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5, 2012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333-184115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060" w:type="dxa"/>
        <w:tblCellMar>
          <w:top w:w="0" w:type="dxa"/>
          <w:left w:w="0" w:type="dxa"/>
          <w:bottom w:w="0" w:type="dxa"/>
          <w:right w:w="0" w:type="dxa"/>
        </w:tblCellMar>
      </w:tblPr>
      <w:tr>
        <w:trPr>
          <w:trHeight w:val="218"/>
        </w:trPr>
        <w:tc>
          <w:tcPr>
            <w:tcW w:w="2840" w:type="dxa"/>
            <w:vAlign w:val="bottom"/>
          </w:tcPr>
          <w:p>
            <w:pPr>
              <w:jc w:val="center"/>
              <w:ind w:right="1006"/>
              <w:spacing w:after="0"/>
              <w:rPr>
                <w:sz w:val="20"/>
                <w:szCs w:val="20"/>
                <w:color w:val="auto"/>
              </w:rPr>
            </w:pPr>
            <w:r>
              <w:rPr>
                <w:rFonts w:ascii="Arial" w:cs="Arial" w:eastAsia="Arial" w:hAnsi="Arial"/>
                <w:sz w:val="18"/>
                <w:szCs w:val="18"/>
                <w:b w:val="1"/>
                <w:bCs w:val="1"/>
                <w:color w:val="auto"/>
                <w:w w:val="87"/>
              </w:rPr>
              <w:t>Nevada</w:t>
            </w:r>
          </w:p>
        </w:tc>
        <w:tc>
          <w:tcPr>
            <w:tcW w:w="3980" w:type="dxa"/>
            <w:vAlign w:val="bottom"/>
          </w:tcPr>
          <w:p>
            <w:pPr>
              <w:jc w:val="center"/>
              <w:ind w:right="26"/>
              <w:spacing w:after="0"/>
              <w:rPr>
                <w:sz w:val="20"/>
                <w:szCs w:val="20"/>
                <w:color w:val="auto"/>
              </w:rPr>
            </w:pPr>
            <w:r>
              <w:rPr>
                <w:rFonts w:ascii="Arial" w:cs="Arial" w:eastAsia="Arial" w:hAnsi="Arial"/>
                <w:sz w:val="18"/>
                <w:szCs w:val="18"/>
                <w:b w:val="1"/>
                <w:bCs w:val="1"/>
                <w:color w:val="auto"/>
                <w:w w:val="89"/>
              </w:rPr>
              <w:t>7990</w:t>
            </w:r>
          </w:p>
        </w:tc>
        <w:tc>
          <w:tcPr>
            <w:tcW w:w="2240" w:type="dxa"/>
            <w:vAlign w:val="bottom"/>
          </w:tcPr>
          <w:p>
            <w:pPr>
              <w:jc w:val="center"/>
              <w:ind w:left="1126"/>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2840" w:type="dxa"/>
            <w:vAlign w:val="bottom"/>
          </w:tcPr>
          <w:p>
            <w:pPr>
              <w:jc w:val="center"/>
              <w:ind w:right="98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8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240" w:type="dxa"/>
            <w:vAlign w:val="bottom"/>
          </w:tcPr>
          <w:p>
            <w:pPr>
              <w:jc w:val="center"/>
              <w:ind w:left="110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40" w:type="dxa"/>
            <w:vAlign w:val="bottom"/>
          </w:tcPr>
          <w:p>
            <w:pPr>
              <w:jc w:val="center"/>
              <w:ind w:right="1006"/>
              <w:spacing w:after="0"/>
              <w:rPr>
                <w:sz w:val="20"/>
                <w:szCs w:val="20"/>
                <w:color w:val="auto"/>
              </w:rPr>
            </w:pPr>
            <w:r>
              <w:rPr>
                <w:rFonts w:ascii="Arial" w:cs="Arial" w:eastAsia="Arial" w:hAnsi="Arial"/>
                <w:sz w:val="14"/>
                <w:szCs w:val="14"/>
                <w:b w:val="1"/>
                <w:bCs w:val="1"/>
                <w:color w:val="auto"/>
                <w:w w:val="88"/>
              </w:rPr>
              <w:t>incorporation or organization)</w:t>
            </w:r>
          </w:p>
        </w:tc>
        <w:tc>
          <w:tcPr>
            <w:tcW w:w="398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Classification Code Number)</w:t>
            </w:r>
          </w:p>
        </w:tc>
        <w:tc>
          <w:tcPr>
            <w:tcW w:w="2240" w:type="dxa"/>
            <w:vAlign w:val="bottom"/>
          </w:tcPr>
          <w:p>
            <w:pPr>
              <w:jc w:val="center"/>
              <w:ind w:left="110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Las Vegas Capital Corp.</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060" w:type="dxa"/>
        <w:tblCellMar>
          <w:top w:w="0" w:type="dxa"/>
          <w:left w:w="0" w:type="dxa"/>
          <w:bottom w:w="0" w:type="dxa"/>
          <w:right w:w="0" w:type="dxa"/>
        </w:tblCellMar>
      </w:tblPr>
      <w:tr>
        <w:trPr>
          <w:trHeight w:val="218"/>
        </w:trPr>
        <w:tc>
          <w:tcPr>
            <w:tcW w:w="2840" w:type="dxa"/>
            <w:vAlign w:val="bottom"/>
          </w:tcPr>
          <w:p>
            <w:pPr>
              <w:jc w:val="center"/>
              <w:ind w:right="1006"/>
              <w:spacing w:after="0"/>
              <w:rPr>
                <w:sz w:val="20"/>
                <w:szCs w:val="20"/>
                <w:color w:val="auto"/>
              </w:rPr>
            </w:pPr>
            <w:r>
              <w:rPr>
                <w:rFonts w:ascii="Arial" w:cs="Arial" w:eastAsia="Arial" w:hAnsi="Arial"/>
                <w:sz w:val="18"/>
                <w:szCs w:val="18"/>
                <w:b w:val="1"/>
                <w:bCs w:val="1"/>
                <w:color w:val="auto"/>
                <w:w w:val="87"/>
              </w:rPr>
              <w:t>Nevada</w:t>
            </w:r>
          </w:p>
        </w:tc>
        <w:tc>
          <w:tcPr>
            <w:tcW w:w="3980" w:type="dxa"/>
            <w:vAlign w:val="bottom"/>
          </w:tcPr>
          <w:p>
            <w:pPr>
              <w:jc w:val="center"/>
              <w:ind w:right="26"/>
              <w:spacing w:after="0"/>
              <w:rPr>
                <w:sz w:val="20"/>
                <w:szCs w:val="20"/>
                <w:color w:val="auto"/>
              </w:rPr>
            </w:pPr>
            <w:r>
              <w:rPr>
                <w:rFonts w:ascii="Arial" w:cs="Arial" w:eastAsia="Arial" w:hAnsi="Arial"/>
                <w:sz w:val="18"/>
                <w:szCs w:val="18"/>
                <w:b w:val="1"/>
                <w:bCs w:val="1"/>
                <w:color w:val="auto"/>
                <w:w w:val="89"/>
              </w:rPr>
              <w:t>7990</w:t>
            </w:r>
          </w:p>
        </w:tc>
        <w:tc>
          <w:tcPr>
            <w:tcW w:w="2240" w:type="dxa"/>
            <w:vAlign w:val="bottom"/>
          </w:tcPr>
          <w:p>
            <w:pPr>
              <w:jc w:val="center"/>
              <w:ind w:left="1126"/>
              <w:spacing w:after="0"/>
              <w:rPr>
                <w:sz w:val="20"/>
                <w:szCs w:val="20"/>
                <w:color w:val="auto"/>
              </w:rPr>
            </w:pPr>
            <w:r>
              <w:rPr>
                <w:rFonts w:ascii="Arial" w:cs="Arial" w:eastAsia="Arial" w:hAnsi="Arial"/>
                <w:sz w:val="18"/>
                <w:szCs w:val="18"/>
                <w:b w:val="1"/>
                <w:bCs w:val="1"/>
                <w:color w:val="auto"/>
                <w:w w:val="87"/>
              </w:rPr>
              <w:t>46-0484992</w:t>
            </w:r>
          </w:p>
        </w:tc>
      </w:tr>
      <w:tr>
        <w:trPr>
          <w:trHeight w:val="149"/>
        </w:trPr>
        <w:tc>
          <w:tcPr>
            <w:tcW w:w="2840" w:type="dxa"/>
            <w:vAlign w:val="bottom"/>
          </w:tcPr>
          <w:p>
            <w:pPr>
              <w:jc w:val="center"/>
              <w:ind w:right="98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8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240" w:type="dxa"/>
            <w:vAlign w:val="bottom"/>
          </w:tcPr>
          <w:p>
            <w:pPr>
              <w:jc w:val="center"/>
              <w:ind w:left="110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40" w:type="dxa"/>
            <w:vAlign w:val="bottom"/>
          </w:tcPr>
          <w:p>
            <w:pPr>
              <w:jc w:val="center"/>
              <w:ind w:right="1006"/>
              <w:spacing w:after="0"/>
              <w:rPr>
                <w:sz w:val="20"/>
                <w:szCs w:val="20"/>
                <w:color w:val="auto"/>
              </w:rPr>
            </w:pPr>
            <w:r>
              <w:rPr>
                <w:rFonts w:ascii="Arial" w:cs="Arial" w:eastAsia="Arial" w:hAnsi="Arial"/>
                <w:sz w:val="14"/>
                <w:szCs w:val="14"/>
                <w:b w:val="1"/>
                <w:bCs w:val="1"/>
                <w:color w:val="auto"/>
                <w:w w:val="88"/>
              </w:rPr>
              <w:t>incorporation or organization)</w:t>
            </w:r>
          </w:p>
        </w:tc>
        <w:tc>
          <w:tcPr>
            <w:tcW w:w="398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Classification Code Number)</w:t>
            </w:r>
          </w:p>
        </w:tc>
        <w:tc>
          <w:tcPr>
            <w:tcW w:w="2240" w:type="dxa"/>
            <w:vAlign w:val="bottom"/>
          </w:tcPr>
          <w:p>
            <w:pPr>
              <w:jc w:val="center"/>
              <w:ind w:left="110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3131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Matt Maddox</w:t>
      </w:r>
    </w:p>
    <w:p>
      <w:pPr>
        <w:jc w:val="center"/>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spacing w:after="0" w:line="222" w:lineRule="auto"/>
        <w:rPr>
          <w:sz w:val="20"/>
          <w:szCs w:val="20"/>
          <w:color w:val="auto"/>
        </w:rPr>
      </w:pPr>
      <w:r>
        <w:rPr>
          <w:rFonts w:ascii="Arial" w:cs="Arial" w:eastAsia="Arial" w:hAnsi="Arial"/>
          <w:sz w:val="14"/>
          <w:szCs w:val="14"/>
          <w:b w:val="1"/>
          <w:bCs w:val="1"/>
          <w:color w:val="auto"/>
        </w:rPr>
        <w:t>c/o Wynn Resorts, Limited</w:t>
      </w:r>
    </w:p>
    <w:p>
      <w:pPr>
        <w:jc w:val="center"/>
        <w:spacing w:after="0" w:line="221" w:lineRule="auto"/>
        <w:rPr>
          <w:sz w:val="20"/>
          <w:szCs w:val="20"/>
          <w:color w:val="auto"/>
        </w:rPr>
      </w:pPr>
      <w:r>
        <w:rPr>
          <w:rFonts w:ascii="Arial" w:cs="Arial" w:eastAsia="Arial" w:hAnsi="Arial"/>
          <w:sz w:val="14"/>
          <w:szCs w:val="14"/>
          <w:b w:val="1"/>
          <w:bCs w:val="1"/>
          <w:color w:val="auto"/>
        </w:rPr>
        <w:t>3131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of all communications to:</w:t>
      </w:r>
    </w:p>
    <w:p>
      <w:pPr>
        <w:jc w:val="center"/>
        <w:spacing w:after="0" w:line="221" w:lineRule="auto"/>
        <w:rPr>
          <w:sz w:val="20"/>
          <w:szCs w:val="20"/>
          <w:color w:val="auto"/>
        </w:rPr>
      </w:pPr>
      <w:r>
        <w:rPr>
          <w:rFonts w:ascii="Arial" w:cs="Arial" w:eastAsia="Arial" w:hAnsi="Arial"/>
          <w:sz w:val="14"/>
          <w:szCs w:val="14"/>
          <w:b w:val="1"/>
          <w:bCs w:val="1"/>
          <w:color w:val="auto"/>
        </w:rPr>
        <w:t>Gregg A. Noel, Esq.</w:t>
      </w:r>
    </w:p>
    <w:p>
      <w:pPr>
        <w:jc w:val="center"/>
        <w:spacing w:after="0" w:line="221" w:lineRule="auto"/>
        <w:rPr>
          <w:sz w:val="20"/>
          <w:szCs w:val="20"/>
          <w:color w:val="auto"/>
        </w:rPr>
      </w:pPr>
      <w:r>
        <w:rPr>
          <w:rFonts w:ascii="Arial" w:cs="Arial" w:eastAsia="Arial" w:hAnsi="Arial"/>
          <w:sz w:val="14"/>
          <w:szCs w:val="14"/>
          <w:b w:val="1"/>
          <w:bCs w:val="1"/>
          <w:color w:val="auto"/>
        </w:rPr>
        <w:t>Skadden, Arps, Slate, Meagher &amp; Flom LLP</w:t>
      </w:r>
    </w:p>
    <w:p>
      <w:pPr>
        <w:jc w:val="center"/>
        <w:spacing w:after="0" w:line="222" w:lineRule="auto"/>
        <w:rPr>
          <w:sz w:val="20"/>
          <w:szCs w:val="20"/>
          <w:color w:val="auto"/>
        </w:rPr>
      </w:pPr>
      <w:r>
        <w:rPr>
          <w:rFonts w:ascii="Arial" w:cs="Arial" w:eastAsia="Arial" w:hAnsi="Arial"/>
          <w:sz w:val="14"/>
          <w:szCs w:val="14"/>
          <w:b w:val="1"/>
          <w:bCs w:val="1"/>
          <w:color w:val="auto"/>
        </w:rPr>
        <w:t>300 South Grand Avenue, Suite 3400</w:t>
      </w:r>
    </w:p>
    <w:p>
      <w:pPr>
        <w:jc w:val="center"/>
        <w:spacing w:after="0" w:line="221" w:lineRule="auto"/>
        <w:rPr>
          <w:sz w:val="20"/>
          <w:szCs w:val="20"/>
          <w:color w:val="auto"/>
        </w:rPr>
      </w:pPr>
      <w:r>
        <w:rPr>
          <w:rFonts w:ascii="Arial" w:cs="Arial" w:eastAsia="Arial" w:hAnsi="Arial"/>
          <w:sz w:val="14"/>
          <w:szCs w:val="14"/>
          <w:b w:val="1"/>
          <w:bCs w:val="1"/>
          <w:color w:val="auto"/>
        </w:rPr>
        <w:t>Los Angeles, California 90071</w:t>
      </w:r>
    </w:p>
    <w:p>
      <w:pPr>
        <w:ind w:left="5300"/>
        <w:spacing w:after="0" w:line="222" w:lineRule="auto"/>
        <w:rPr>
          <w:sz w:val="24"/>
          <w:szCs w:val="24"/>
          <w:color w:val="auto"/>
        </w:rPr>
      </w:pPr>
      <w:r>
        <w:rPr>
          <w:rFonts w:ascii="Arial" w:cs="Arial" w:eastAsia="Arial" w:hAnsi="Arial"/>
          <w:sz w:val="14"/>
          <w:szCs w:val="14"/>
          <w:b w:val="1"/>
          <w:bCs w:val="1"/>
          <w:color w:val="auto"/>
        </w:rPr>
        <w:t>(213) 687-5000</w:t>
      </w:r>
    </w:p>
    <w:p>
      <w:pPr>
        <w:ind w:left="5300" w:hanging="325"/>
        <w:spacing w:after="0"/>
        <w:tabs>
          <w:tab w:leader="none" w:pos="530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687-5600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46"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117" w:lineRule="exact"/>
        <w:rPr>
          <w:sz w:val="24"/>
          <w:szCs w:val="24"/>
          <w:color w:val="auto"/>
        </w:rPr>
      </w:pPr>
    </w:p>
    <w:p>
      <w:pPr>
        <w:ind w:right="6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right="260" w:firstLine="342"/>
        <w:spacing w:after="0" w:line="168" w:lineRule="exact"/>
        <w:rPr>
          <w:sz w:val="20"/>
          <w:szCs w:val="20"/>
          <w:color w:val="auto"/>
        </w:rPr>
      </w:pPr>
      <w:r>
        <w:rPr>
          <w:rFonts w:ascii="Arial" w:cs="Arial" w:eastAsia="Arial" w:hAnsi="Arial"/>
          <w:sz w:val="14"/>
          <w:szCs w:val="14"/>
          <w:color w:val="auto"/>
        </w:rPr>
        <w:t xml:space="preserve">If this Form is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right="46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“larger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58"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36" w:lineRule="exact"/>
        <w:rPr>
          <w:sz w:val="24"/>
          <w:szCs w:val="24"/>
          <w:color w:val="auto"/>
        </w:rPr>
      </w:pPr>
    </w:p>
    <w:p>
      <w:pPr>
        <w:sectPr>
          <w:pgSz w:w="11900" w:h="16838" w:orient="portrait"/>
          <w:cols w:equalWidth="0" w:num="4">
            <w:col w:w="1220" w:space="160"/>
            <w:col w:w="7500" w:space="720"/>
            <w:col w:w="980" w:space="720"/>
            <w:col w:w="120"/>
          </w:cols>
          <w:pgMar w:left="240" w:top="230"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34" w:lineRule="exact"/>
        <w:rPr>
          <w:sz w:val="24"/>
          <w:szCs w:val="24"/>
          <w:color w:val="auto"/>
        </w:rPr>
      </w:pPr>
    </w:p>
    <w:p>
      <w:pPr>
        <w:sectPr>
          <w:pgSz w:w="11900" w:h="16838" w:orient="portrait"/>
          <w:cols w:equalWidth="0" w:num="5">
            <w:col w:w="1160" w:space="220"/>
            <w:col w:w="120" w:space="120"/>
            <w:col w:w="7260" w:space="720"/>
            <w:col w:w="1480" w:space="220"/>
            <w:col w:w="120"/>
          </w:cols>
          <w:pgMar w:left="240" w:top="230" w:right="2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44"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Exchange Act Rule 13e-4(i) (Cross Border Issuer Tender Offer) </w:t>
      </w:r>
      <w:r>
        <w:rPr>
          <w:rFonts w:ascii="MS PGothic" w:cs="MS PGothic" w:eastAsia="MS PGothic" w:hAnsi="MS PGothic"/>
          <w:sz w:val="14"/>
          <w:szCs w:val="14"/>
          <w:color w:val="auto"/>
        </w:rPr>
        <w:t>☐</w:t>
      </w:r>
    </w:p>
    <w:p>
      <w:pPr>
        <w:spacing w:after="0" w:line="69"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Exchange Act Rule 14d-1(d) (Cross 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right="20" w:firstLine="342"/>
        <w:spacing w:after="0" w:line="231"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E1A1E"/>
        </w:rPr>
        <w:t>Subject to completion, dated October 5,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LLC</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Capital Corp.</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Offer to Exchange $900,000,000 of their outstanding</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5.375% First Mortgage Notes due 2022</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(CUSIPs 983130 AS4 and U98347 AH7)</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for</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5.375% First Mortgage Notes due 2022</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(CUSIP 983130 AT2)</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that have been registered under the Securities Act of 1933, as amended</w:t>
      </w:r>
    </w:p>
    <w:p>
      <w:pPr>
        <w:spacing w:after="0" w:line="156" w:lineRule="exact"/>
        <w:rPr>
          <w:sz w:val="20"/>
          <w:szCs w:val="20"/>
          <w:color w:val="auto"/>
        </w:rPr>
      </w:pPr>
    </w:p>
    <w:p>
      <w:pPr>
        <w:ind w:left="460"/>
        <w:spacing w:after="0"/>
        <w:tabs>
          <w:tab w:leader="none" w:pos="6400" w:val="left"/>
        </w:tabs>
        <w:rPr>
          <w:sz w:val="20"/>
          <w:szCs w:val="20"/>
          <w:color w:val="auto"/>
        </w:rPr>
      </w:pPr>
      <w:r>
        <w:rPr>
          <w:rFonts w:ascii="Arial" w:cs="Arial" w:eastAsia="Arial" w:hAnsi="Arial"/>
          <w:sz w:val="18"/>
          <w:szCs w:val="18"/>
          <w:b w:val="1"/>
          <w:bCs w:val="1"/>
          <w:color w:val="auto"/>
        </w:rPr>
        <w:t>The exchange offer will expire at 5:00 p.m., New York City time, on</w:t>
      </w:r>
      <w:r>
        <w:rPr>
          <w:sz w:val="20"/>
          <w:szCs w:val="20"/>
          <w:color w:val="auto"/>
        </w:rPr>
        <w:tab/>
      </w:r>
      <w:r>
        <w:rPr>
          <w:rFonts w:ascii="Arial" w:cs="Arial" w:eastAsia="Arial" w:hAnsi="Arial"/>
          <w:sz w:val="15"/>
          <w:szCs w:val="15"/>
          <w:b w:val="1"/>
          <w:bCs w:val="1"/>
          <w:color w:val="auto"/>
        </w:rPr>
        <w:t>, 2012, unless we extend the exchange offer.</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refer to the registered notes offered in this exchange offer as the “new notes.” We refer to all outstanding $900,000,000 aggregate principal amount of our 5.375% first mortgage notes due 2022 issued on March 12, 2012 as the “old notes.” The old notes were issued under an indenture, dated as of March 12, 2012.</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The old notes are, and, upon consummation of the exchange offer, the new notes will be, pari passu with our outstanding 7.875% first mortgage notes due 2017 (the “2017 notes”), our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2020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our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first mortgage notes due 2020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of the exchange offer:</w:t>
      </w:r>
    </w:p>
    <w:p>
      <w:pPr>
        <w:spacing w:after="0" w:line="90" w:lineRule="exact"/>
        <w:rPr>
          <w:sz w:val="20"/>
          <w:szCs w:val="20"/>
          <w:color w:val="auto"/>
        </w:rPr>
      </w:pPr>
    </w:p>
    <w:p>
      <w:pPr>
        <w:ind w:left="900" w:right="2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exchange the new notes for all outstanding old notes that are validly tendered pursuant to the exchange offer and not properly withdrawn prior to the expiration of the exchange offer.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withdraw tenders of old notes at any time prior to the expiration of the exchange offer.</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terms of the new notes are substantially identical to those of the old notes, except that the transfer restrictions, registration rights and liquidated damages provisions relating to the old notes will not apply to the new notes.</w:t>
      </w:r>
    </w:p>
    <w:p>
      <w:pPr>
        <w:spacing w:after="0" w:line="5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exchange of old notes for new notes will not be a taxable transaction for United States federal income tax purposes, but you should see the discussion under the heading “Material United States Federal Income Tax Considerations” for more information.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not receive any cash proceeds from the exchange offer.</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issued the old notes in transactions not requiring registration under the Securities Act of 1933, as amended (the “Securities Act”), and as a result, transfer of the old notes is restricted. We are making the exchange offer to satisfy your registration rights as a holder of old notes.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established trading market for the new notes.</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Each broker-dealer that receives new notes pursuant to the exchange offer must acknowledge that it will deliver a prospectus in connection with any resale of such new notes. If the broker-dealer acquired old notes as a result of market making or other trading activities, such broker-dealer may use the prospectus for the exchange offer, as supplemented or amended, in connection with resales of the new notes. Broker-dealers who acquired old notes directly from the issuers in the initial offerings of the old notes must, in the absence of an exemption, comply with the registration and prospectus delivery requirements of the Securities Act in connection with the secondary resales and cannot rely on the position of the staff enunciated in </w:t>
      </w:r>
      <w:r>
        <w:rPr>
          <w:rFonts w:ascii="Arial" w:cs="Arial" w:eastAsia="Arial" w:hAnsi="Arial"/>
          <w:sz w:val="18"/>
          <w:szCs w:val="18"/>
          <w:i w:val="1"/>
          <w:iCs w:val="1"/>
          <w:color w:val="auto"/>
        </w:rPr>
        <w:t>Exxon Capital Holdings Corp.</w:t>
      </w:r>
      <w:r>
        <w:rPr>
          <w:rFonts w:ascii="Arial" w:cs="Arial" w:eastAsia="Arial" w:hAnsi="Arial"/>
          <w:sz w:val="18"/>
          <w:szCs w:val="18"/>
          <w:color w:val="auto"/>
        </w:rPr>
        <w:t>, SEC no-action letter (publicly available May 13, 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0"/>
          <w:szCs w:val="20"/>
          <w:color w:val="auto"/>
        </w:rPr>
      </w:pPr>
    </w:p>
    <w:p>
      <w:pPr>
        <w:ind w:right="42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See “</w:t>
      </w:r>
      <w:hyperlink w:anchor="page1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for a discussion of risks you should consider prior to tendering your old notes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Neither the Nevada Gaming Commission, the Nevada State Gaming Control Board nor any other state gaming commission or gaming authority has passed upon the accuracy or adequacy of this prospectus or the investment merits of the new notes being offered by this prospectus. Any representation to the contrary is unlawful.</w:t>
      </w:r>
    </w:p>
    <w:p>
      <w:pPr>
        <w:spacing w:after="0" w:line="140" w:lineRule="exact"/>
        <w:rPr>
          <w:sz w:val="20"/>
          <w:szCs w:val="20"/>
          <w:color w:val="auto"/>
        </w:rPr>
      </w:pPr>
    </w:p>
    <w:tbl>
      <w:tblPr>
        <w:tblLayout w:type="fixed"/>
        <w:tblInd w:w="400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00" w:type="dxa"/>
            <w:vAlign w:val="bottom"/>
          </w:tcPr>
          <w:p>
            <w:pPr>
              <w:jc w:val="right"/>
              <w:spacing w:after="0"/>
              <w:rPr>
                <w:sz w:val="20"/>
                <w:szCs w:val="20"/>
                <w:color w:val="auto"/>
              </w:rPr>
            </w:pPr>
            <w:r>
              <w:rPr>
                <w:rFonts w:ascii="Arial" w:cs="Arial" w:eastAsia="Arial" w:hAnsi="Arial"/>
                <w:sz w:val="18"/>
                <w:szCs w:val="18"/>
                <w:color w:val="auto"/>
              </w:rPr>
              <w:t>, 2012</w:t>
            </w:r>
          </w:p>
        </w:tc>
      </w:tr>
    </w:tbl>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should rely only on the information contained in this prospectus. We have not authorized any other person to provide you with different information. If anyone provides you with different or inconsistent information, you should not rely on it. We are not making an offer to exchange the new notes in any jurisdiction where it is not permitted. You should assume that the information appearing in this prospectus is accurate only as of the date of this prospectus. Our business, financial condition, results of operations and prospects may have changed since that date.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120" w:type="dxa"/>
            <w:vAlign w:val="bottom"/>
            <w:gridSpan w:val="8"/>
          </w:tcPr>
          <w:p>
            <w:pPr>
              <w:ind w:left="20"/>
              <w:spacing w:after="0"/>
              <w:rPr>
                <w:sz w:val="20"/>
                <w:szCs w:val="20"/>
                <w:color w:val="auto"/>
              </w:rPr>
            </w:pPr>
            <w:r>
              <w:rPr>
                <w:rFonts w:ascii="Arial" w:cs="Arial" w:eastAsia="Arial" w:hAnsi="Arial"/>
                <w:sz w:val="18"/>
                <w:szCs w:val="18"/>
                <w:b w:val="1"/>
                <w:bCs w:val="1"/>
                <w:color w:val="auto"/>
              </w:rPr>
              <w:t>TABLE OF CONTENTS</w:t>
            </w:r>
          </w:p>
        </w:tc>
        <w:tc>
          <w:tcPr>
            <w:tcW w:w="1440" w:type="dxa"/>
            <w:vAlign w:val="bottom"/>
          </w:tcPr>
          <w:p>
            <w:pPr>
              <w:spacing w:after="0"/>
              <w:rPr>
                <w:sz w:val="19"/>
                <w:szCs w:val="19"/>
                <w:color w:val="auto"/>
              </w:rPr>
            </w:pPr>
          </w:p>
        </w:tc>
      </w:tr>
      <w:tr>
        <w:trPr>
          <w:trHeight w:val="380"/>
        </w:trPr>
        <w:tc>
          <w:tcPr>
            <w:tcW w:w="98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DATA</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SPECIAL NOTE REGARDING FORWARD-LOOKING STATEMENTS</w:t>
              </w:r>
            </w:hyperlink>
          </w:p>
        </w:tc>
        <w:tc>
          <w:tcPr>
            <w:tcW w:w="4660" w:type="dxa"/>
            <w:vAlign w:val="bottom"/>
            <w:gridSpan w:val="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USE OF PROCEEDS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RATIO OF EARNINGS TO FIXED CHARGES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SELECTED CONSOLIDATED FINANCIAL DATA</w:t>
              </w:r>
            </w:hyperlink>
          </w:p>
        </w:tc>
        <w:tc>
          <w:tcPr>
            <w:tcW w:w="6120" w:type="dxa"/>
            <w:vAlign w:val="bottom"/>
            <w:gridSpan w:val="1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BUSINESS</w:t>
              </w:r>
            </w:hyperlink>
          </w:p>
        </w:tc>
        <w:tc>
          <w:tcPr>
            <w:tcW w:w="7800" w:type="dxa"/>
            <w:vAlign w:val="bottom"/>
            <w:tcBorders>
              <w:top w:val="single" w:sz="8" w:color="0000EE"/>
            </w:tcBorders>
            <w:gridSpan w:val="22"/>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MANAGEMENT</w:t>
              </w:r>
            </w:hyperlink>
          </w:p>
        </w:tc>
        <w:tc>
          <w:tcPr>
            <w:tcW w:w="8600" w:type="dxa"/>
            <w:vAlign w:val="bottom"/>
            <w:gridSpan w:val="2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72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FURTHER INFORMATION CONCERNING THE BOARD OF DIRECTORS OF WYNN RESORTS</w:t>
              </w:r>
            </w:hyperlink>
          </w:p>
        </w:tc>
        <w:tc>
          <w:tcPr>
            <w:tcW w:w="264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64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73">
              <w:r>
                <w:rPr>
                  <w:rFonts w:ascii="Arial" w:cs="Arial" w:eastAsia="Arial" w:hAnsi="Arial"/>
                  <w:sz w:val="18"/>
                  <w:szCs w:val="18"/>
                  <w:color w:val="0000EE"/>
                  <w:w w:val="93"/>
                </w:rPr>
                <w:t>DIRECTOR AND EXECUTIVE OFFICER COMPENSATION AND OTHER MATTERS</w:t>
              </w:r>
            </w:hyperlink>
          </w:p>
        </w:tc>
        <w:tc>
          <w:tcPr>
            <w:tcW w:w="348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COMPENSATION DISCUSSION AND ANALYSIS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37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2011 SUMMARY COMPENSATION TABLE</w:t>
              </w:r>
            </w:hyperlink>
          </w:p>
        </w:tc>
        <w:tc>
          <w:tcPr>
            <w:tcW w:w="6120" w:type="dxa"/>
            <w:vAlign w:val="bottom"/>
            <w:gridSpan w:val="1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POTENTIAL PAYMENTS UPON TERMINATION OR CHANGE IN CONTROL</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658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92">
              <w:r>
                <w:rPr>
                  <w:rFonts w:ascii="Arial" w:cs="Arial" w:eastAsia="Arial" w:hAnsi="Arial"/>
                  <w:sz w:val="18"/>
                  <w:szCs w:val="18"/>
                  <w:color w:val="0000EE"/>
                  <w:w w:val="94"/>
                </w:rPr>
                <w:t>SECURITY OWNERSHIP OF CERTAIN BENEFICIAL OWNERS AND MANAGEMENT</w:t>
              </w:r>
            </w:hyperlink>
          </w:p>
        </w:tc>
        <w:tc>
          <w:tcPr>
            <w:tcW w:w="330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476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CERTAIN RELATIONSHIPS AND RELATED TRANSACTIONS</w:t>
              </w:r>
            </w:hyperlink>
          </w:p>
        </w:tc>
        <w:tc>
          <w:tcPr>
            <w:tcW w:w="5120" w:type="dxa"/>
            <w:vAlign w:val="bottom"/>
            <w:gridSpan w:val="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THE EXCHANGE OFFER</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05">
              <w:r>
                <w:rPr>
                  <w:rFonts w:ascii="Arial" w:cs="Arial" w:eastAsia="Arial" w:hAnsi="Arial"/>
                  <w:sz w:val="18"/>
                  <w:szCs w:val="18"/>
                  <w:color w:val="0000EE"/>
                  <w:w w:val="92"/>
                </w:rPr>
                <w:t>DESCRIPTION OF THE NEW NOTES</w:t>
              </w:r>
            </w:hyperlink>
          </w:p>
        </w:tc>
        <w:tc>
          <w:tcPr>
            <w:tcW w:w="7020" w:type="dxa"/>
            <w:vAlign w:val="bottom"/>
            <w:gridSpan w:val="1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DESCRIPTION OF CERTAIN INDEBTEDNESS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7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172">
              <w:r>
                <w:rPr>
                  <w:rFonts w:ascii="Arial" w:cs="Arial" w:eastAsia="Arial" w:hAnsi="Arial"/>
                  <w:sz w:val="18"/>
                  <w:szCs w:val="18"/>
                  <w:color w:val="0000EE"/>
                  <w:w w:val="94"/>
                </w:rPr>
                <w:t>MATERIAL UNITED STATES FEDERAL INCOME TAX CONSIDERATIONS</w:t>
              </w:r>
            </w:hyperlink>
          </w:p>
        </w:tc>
        <w:tc>
          <w:tcPr>
            <w:tcW w:w="4120" w:type="dxa"/>
            <w:vAlign w:val="bottom"/>
            <w:gridSpan w:val="6"/>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PLAN OF DISTRIBUTION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r>
      <w:tr>
        <w:trPr>
          <w:trHeight w:val="196"/>
        </w:trPr>
        <w:tc>
          <w:tcPr>
            <w:tcW w:w="2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LEGAL MATTERS</w:t>
              </w:r>
            </w:hyperlink>
          </w:p>
        </w:tc>
        <w:tc>
          <w:tcPr>
            <w:tcW w:w="7880" w:type="dxa"/>
            <w:vAlign w:val="bottom"/>
            <w:gridSpan w:val="16"/>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74">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8460" w:type="dxa"/>
            <w:vAlign w:val="bottom"/>
            <w:gridSpan w:val="1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WHERE YOU CAN FIND MORE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20"/>
        </w:trPr>
        <w:tc>
          <w:tcPr>
            <w:tcW w:w="3720" w:type="dxa"/>
            <w:vAlign w:val="bottom"/>
            <w:gridSpan w:val="1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175">
              <w:r>
                <w:rPr>
                  <w:rFonts w:ascii="Arial" w:cs="Arial" w:eastAsia="Arial" w:hAnsi="Arial"/>
                  <w:sz w:val="18"/>
                  <w:szCs w:val="18"/>
                  <w:color w:val="0000EE"/>
                  <w:w w:val="94"/>
                </w:rPr>
                <w:t>INDEX TO CONSOLIDATED FINANCIAL STATEMENTS</w:t>
              </w:r>
            </w:hyperlink>
          </w:p>
        </w:tc>
        <w:tc>
          <w:tcPr>
            <w:tcW w:w="5520" w:type="dxa"/>
            <w:vAlign w:val="bottom"/>
            <w:gridSpan w:val="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81"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 DATA</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the federal securities laws,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5"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and debt service;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or the impact that a natural disaster may have on the travel and leisure industry;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consequences of the military conflicts in the Middle East and any future security alerts and/or terrorist attacks.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09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209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11 before making an investment decision. You should read this summary together with the more detailed information contained elsewhere in this prospectus and in our financial statements and accompanying notes.</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i w:val="1"/>
          <w:iCs w:val="1"/>
          <w:color w:val="auto"/>
        </w:rPr>
        <w:t>The new notes will be jointly issued by Wynn Las Vegas, LLC, a Nevada limited liability company, and its wholly owned subsidiary, Wynn Las Vegas Capital Corp., a Nevada corporation (“Wynn Capital”). Wynn Las Vegas, LLC and Wynn Capital together are hereinafter referred to as the “Issuers.” Unless the context otherwise requires, all references in this prospectus to the “Company,” “we,” “us” or “our,” or similar terms, refer to Wynn Las Vegas, LLC and its consolidated subsidiaries (other than Wynn Completion Guarantor, LLC). The 5.375% first mortgage notes due 2022 are sometimes referred to herein as the “notes,” which term, except with respect to discussions of income tax consequences and unless the context otherwise requires, includes the new notes and the old notes. The sole member of Wynn Las Vegas, LLC is Wynn Resorts Holdings, LLC, a Nevada limited liability company (“Wynn Holdings”), and the sole member of Wynn Holdings is Wynn Resorts, Limited, a Nevada corporation (“Wynn Resorts”).</w:t>
      </w: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Wynn Las Vegas was expanded with the opening of “Encore at Wynn Las Vegas,” or “Encore,” which is located adjacent to and is connected with Wynn Las Vegas. We commenced operations with the opening of Wynn Las Vegas on April 28, 2005. We opened Encore on December 22, 2008. Prior to April 28, 2005, we were solely a development stage company.</w:t>
      </w:r>
    </w:p>
    <w:p>
      <w:pPr>
        <w:spacing w:after="0" w:line="143"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We believe that Wynn Las Vegas offers exceptional accommodations, amenities and service for our premium guests. Wynn Las Vegas features approximately 4,750 hotel rooms and suites, 220 table games, 2,430 slot machines and a poker room in approximately 186,000 square feet of casino gaming space (including a sky casino and private gaming salons), casual and fine dining in 35 food and beverage outlets, two spas and salons, lounges, meeting facilities and approximately 94,000 square feet of retail space promenade featuring boutiques from Alexander McQueen, Brioni, Cartier, Chanel, Dior, Graff, Hermès, Loro Piana, Louis Vuitton, Manolo Blahnik, Oscar de la Renta, Vertu and others. Our Las Vegas operations also offer three nightclubs, a beach club, two spas and salons, a Ferrari and Maserati automobile dealership, wedding chapels, an 18-hole golf course, approximately 283,000 square feet of meeting space, a specially designed theater presenting “Le Rêve,” a water-based theatrical production, and an Encore Theater currently presenting Garth Brooks and other headliner entertainment acts. We believe that the unique experience of our resort drives the significant visitation experienced since opening. For the sixth consecutive year, The Tower Suites at Wynn Las Vegas has received both the Forbes five-star and AAA five-diamond distinctions. The Spa at Wynn Las Vegas earned five-star recognition from Forbes for the fourth year in a row. For the third consecutive year, the Encore Tower Suites has received both the Forbes five-star and AAA five-diamond distinctions. The Spa at Encore also earned five-star recognition from Forbes for the third year in a row. The Spa at Wynn Las Vegas and the Spa at Encore are two of the only four spas in Las Vegas to be recognized with the Forbes five-star award.</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3131 Las Vegas Boulevard South, Las Vegas, Nevada 89109, and our telephone number is (702) 770-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7000.</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29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47294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 Strategy</w:t>
      </w:r>
    </w:p>
    <w:p>
      <w:pPr>
        <w:spacing w:after="0" w:line="177" w:lineRule="exact"/>
        <w:rPr>
          <w:sz w:val="20"/>
          <w:szCs w:val="20"/>
          <w:color w:val="auto"/>
        </w:rPr>
      </w:pPr>
    </w:p>
    <w:p>
      <w:pPr>
        <w:ind w:left="200" w:right="240" w:firstLine="443"/>
        <w:spacing w:after="0" w:line="256" w:lineRule="auto"/>
        <w:rPr>
          <w:sz w:val="20"/>
          <w:szCs w:val="20"/>
          <w:color w:val="auto"/>
        </w:rPr>
      </w:pPr>
      <w:r>
        <w:rPr>
          <w:rFonts w:ascii="Arial" w:cs="Arial" w:eastAsia="Arial" w:hAnsi="Arial"/>
          <w:sz w:val="18"/>
          <w:szCs w:val="18"/>
          <w:color w:val="auto"/>
        </w:rPr>
        <w:t>We believe that Stephen A.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convention facilities, fine dining and premium retail offerings, to create resorts that appeal to a variety of customers.</w:t>
      </w:r>
    </w:p>
    <w:p>
      <w:pPr>
        <w:spacing w:after="0" w:line="143" w:lineRule="exact"/>
        <w:rPr>
          <w:sz w:val="20"/>
          <w:szCs w:val="20"/>
          <w:color w:val="auto"/>
        </w:rPr>
      </w:pPr>
    </w:p>
    <w:p>
      <w:pPr>
        <w:ind w:left="200" w:right="200" w:firstLine="443"/>
        <w:spacing w:after="0" w:line="294" w:lineRule="auto"/>
        <w:rPr>
          <w:sz w:val="20"/>
          <w:szCs w:val="20"/>
          <w:color w:val="auto"/>
        </w:rPr>
      </w:pPr>
      <w:r>
        <w:rPr>
          <w:rFonts w:ascii="Arial" w:cs="Arial" w:eastAsia="Arial" w:hAnsi="Arial"/>
          <w:sz w:val="16"/>
          <w:szCs w:val="16"/>
          <w:color w:val="auto"/>
        </w:rPr>
        <w:t>Our resort is designed and built to provide a premium experience. Wynn Las Vegas is positioned as a full-service luxury resort and casino in the leisure, convention and tour and travel industries. We market our resort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resort through various media channels, including: social media, television, radio, newspapers, magazines, the internet, direct mail and billboards.</w:t>
      </w:r>
    </w:p>
    <w:p>
      <w:pPr>
        <w:spacing w:after="0" w:line="116" w:lineRule="exact"/>
        <w:rPr>
          <w:sz w:val="20"/>
          <w:szCs w:val="20"/>
          <w:color w:val="auto"/>
        </w:rPr>
      </w:pPr>
    </w:p>
    <w:p>
      <w:pPr>
        <w:jc w:val="both"/>
        <w:ind w:left="200" w:right="140" w:firstLine="443"/>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over 25 years of experience in the hotel and gaming industries. We also have an approximately 90-person design, development and construction affiliate, the senior management of which has significant experience in all major construction disciplines.</w:t>
      </w:r>
    </w:p>
    <w:p>
      <w:pPr>
        <w:spacing w:after="0" w:line="26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September 2012, we terminated our credit facility and, in accordance with the respective indentures:</w:t>
      </w:r>
    </w:p>
    <w:p>
      <w:pPr>
        <w:spacing w:after="0" w:line="90" w:lineRule="exact"/>
        <w:rPr>
          <w:sz w:val="20"/>
          <w:szCs w:val="20"/>
          <w:color w:val="auto"/>
        </w:rPr>
      </w:pPr>
    </w:p>
    <w:p>
      <w:pPr>
        <w:ind w:left="1060" w:right="400" w:hanging="323"/>
        <w:spacing w:after="0" w:line="357" w:lineRule="auto"/>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the liens (other than the first priority pledge by Wynn Holdings of its equity interests in Wynn Las Vegas, LLC (the “Holdings pledge”)) securing, and the subsidiary guarantees of,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and the old notes were released; and</w:t>
      </w:r>
    </w:p>
    <w:p>
      <w:pPr>
        <w:ind w:left="1060" w:right="20" w:hanging="323"/>
        <w:spacing w:after="0" w:line="256"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terminated certain lease and access agreements then existing between Wynn Las Vegas, LLC and Wynn Golf, LLC, a Nevada limited liability company (“Wynn Golf”), and distributed to Wynn Holdings (which distributed to Wynn Resorts) (i) all of the equity interests in Wynn Golf (which owns the Wynn Las Vegas golf course land, the related water rights and certain other water rights related to ancillary uses), and (ii) $700 million in cash.</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also entered into lease agreements with Wynn Golf pursuant to which we lease the Wynn Las Vegas golf course land and water rights.</w:t>
      </w:r>
    </w:p>
    <w:p>
      <w:pPr>
        <w:spacing w:after="0" w:line="194"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 xml:space="preserve">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 are now unsecured (except by the Holdings pledge) and are not guaranteed by our subsidiaries. Under certain circumstances, as further described under “Description of the New Notes—Release and Reinstatement of Liens and Guarantees,” we may be required in the future to grant liens to again secure such notes (and the new notes) or certain of our restricted subsidiaries may be required to provide guarantees of such notes (and the new notes).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340" w:type="dxa"/>
            <w:vAlign w:val="bottom"/>
            <w:tcBorders>
              <w:top w:val="single" w:sz="8" w:color="auto"/>
              <w:left w:val="single" w:sz="8" w:color="auto"/>
            </w:tcBorders>
          </w:tcPr>
          <w:p>
            <w:pPr>
              <w:spacing w:after="0"/>
              <w:rPr>
                <w:sz w:val="24"/>
                <w:szCs w:val="24"/>
                <w:color w:val="auto"/>
              </w:rPr>
            </w:pPr>
          </w:p>
        </w:tc>
        <w:tc>
          <w:tcPr>
            <w:tcW w:w="3400" w:type="dxa"/>
            <w:vAlign w:val="bottom"/>
            <w:tcBorders>
              <w:top w:val="single" w:sz="8" w:color="auto"/>
            </w:tcBorders>
          </w:tcPr>
          <w:p>
            <w:pPr>
              <w:ind w:left="1640"/>
              <w:spacing w:after="0"/>
              <w:rPr>
                <w:sz w:val="20"/>
                <w:szCs w:val="20"/>
                <w:color w:val="auto"/>
              </w:rPr>
            </w:pPr>
            <w:r>
              <w:rPr>
                <w:rFonts w:ascii="Arial" w:cs="Arial" w:eastAsia="Arial" w:hAnsi="Arial"/>
                <w:sz w:val="18"/>
                <w:szCs w:val="18"/>
                <w:b w:val="1"/>
                <w:bCs w:val="1"/>
                <w:color w:val="auto"/>
              </w:rPr>
              <w:t>The Exchange Offer</w:t>
            </w:r>
          </w:p>
        </w:tc>
        <w:tc>
          <w:tcPr>
            <w:tcW w:w="3260" w:type="dxa"/>
            <w:vAlign w:val="bottom"/>
            <w:tcBorders>
              <w:top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spacing w:after="0"/>
              <w:rPr>
                <w:sz w:val="24"/>
                <w:szCs w:val="24"/>
                <w:color w:val="auto"/>
              </w:rPr>
            </w:pPr>
          </w:p>
        </w:tc>
      </w:tr>
      <w:tr>
        <w:trPr>
          <w:trHeight w:val="412"/>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Old Notes</w:t>
            </w: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0"/>
              </w:rPr>
              <w:t>5.375% First Mortgage Notes due 2022, which we issued on March 12, 2012. The old notes were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rPr>
              <w:t>issued under the indenture, dated as of March 12, 2012. The old notes are, and, upon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2"/>
              </w:rPr>
              <w:t>consummation of the exchange offer, the new notes will be, pari passu with the 2017 notes, the</w:t>
            </w:r>
          </w:p>
        </w:tc>
      </w:tr>
      <w:tr>
        <w:trPr>
          <w:trHeight w:val="222"/>
        </w:trPr>
        <w:tc>
          <w:tcPr>
            <w:tcW w:w="3340" w:type="dxa"/>
            <w:vAlign w:val="bottom"/>
            <w:tcBorders>
              <w:left w:val="single" w:sz="8" w:color="auto"/>
            </w:tcBorders>
          </w:tcPr>
          <w:p>
            <w:pPr>
              <w:spacing w:after="0"/>
              <w:rPr>
                <w:sz w:val="19"/>
                <w:szCs w:val="19"/>
                <w:color w:val="auto"/>
              </w:rPr>
            </w:pPr>
          </w:p>
        </w:tc>
        <w:tc>
          <w:tcPr>
            <w:tcW w:w="6660" w:type="dxa"/>
            <w:vAlign w:val="bottom"/>
            <w:gridSpan w:val="2"/>
          </w:tcPr>
          <w:p>
            <w:pPr>
              <w:ind w:left="106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w:t>
            </w:r>
          </w:p>
        </w:tc>
        <w:tc>
          <w:tcPr>
            <w:tcW w:w="1460" w:type="dxa"/>
            <w:vAlign w:val="bottom"/>
            <w:tcBorders>
              <w:right w:val="single" w:sz="8" w:color="auto"/>
            </w:tcBorders>
          </w:tcPr>
          <w:p>
            <w:pPr>
              <w:spacing w:after="0"/>
              <w:rPr>
                <w:sz w:val="19"/>
                <w:szCs w:val="19"/>
                <w:color w:val="auto"/>
              </w:rPr>
            </w:pPr>
          </w:p>
        </w:tc>
      </w:tr>
      <w:tr>
        <w:trPr>
          <w:trHeight w:val="291"/>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New Notes</w:t>
            </w: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4"/>
              </w:rPr>
              <w:t>5.375% First Mortgage Notes due 2022, the issuance of which has been registered under the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1"/>
              </w:rPr>
              <w:t>Securities Act. The form and the terms of the new notes are substantially identical to those of the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9"/>
              </w:rPr>
              <w:t>old notes, except that the transfer restrictions, registration rights and liquidated damages</w:t>
            </w:r>
          </w:p>
        </w:tc>
      </w:tr>
      <w:tr>
        <w:trPr>
          <w:trHeight w:val="222"/>
        </w:trPr>
        <w:tc>
          <w:tcPr>
            <w:tcW w:w="3340" w:type="dxa"/>
            <w:vAlign w:val="bottom"/>
            <w:tcBorders>
              <w:left w:val="single" w:sz="8" w:color="auto"/>
            </w:tcBorders>
          </w:tcPr>
          <w:p>
            <w:pPr>
              <w:spacing w:after="0"/>
              <w:rPr>
                <w:sz w:val="19"/>
                <w:szCs w:val="19"/>
                <w:color w:val="auto"/>
              </w:rPr>
            </w:pPr>
          </w:p>
        </w:tc>
        <w:tc>
          <w:tcPr>
            <w:tcW w:w="6660" w:type="dxa"/>
            <w:vAlign w:val="bottom"/>
            <w:gridSpan w:val="2"/>
          </w:tcPr>
          <w:p>
            <w:pPr>
              <w:ind w:left="1060"/>
              <w:spacing w:after="0"/>
              <w:rPr>
                <w:sz w:val="20"/>
                <w:szCs w:val="20"/>
                <w:color w:val="auto"/>
              </w:rPr>
            </w:pPr>
            <w:r>
              <w:rPr>
                <w:rFonts w:ascii="Arial" w:cs="Arial" w:eastAsia="Arial" w:hAnsi="Arial"/>
                <w:sz w:val="18"/>
                <w:szCs w:val="18"/>
                <w:color w:val="auto"/>
              </w:rPr>
              <w:t>provisions relating to the old notes do not apply to the new notes.</w:t>
            </w:r>
          </w:p>
        </w:tc>
        <w:tc>
          <w:tcPr>
            <w:tcW w:w="1460" w:type="dxa"/>
            <w:vAlign w:val="bottom"/>
            <w:tcBorders>
              <w:right w:val="single" w:sz="8" w:color="auto"/>
            </w:tcBorders>
          </w:tcPr>
          <w:p>
            <w:pPr>
              <w:spacing w:after="0"/>
              <w:rPr>
                <w:sz w:val="19"/>
                <w:szCs w:val="19"/>
                <w:color w:val="auto"/>
              </w:rPr>
            </w:pPr>
          </w:p>
        </w:tc>
      </w:tr>
      <w:tr>
        <w:trPr>
          <w:trHeight w:val="291"/>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Offer for Notes</w:t>
            </w: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rPr>
              <w:t>We are offering to issue up to $900,000,000 aggregate principal amount of new notes in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2"/>
              </w:rPr>
              <w:t>exchange for a like principal amount of old notes to satisfy our obligations under the registration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rPr>
              <w:t>rights agreement that we entered into when the old notes were issued in transactions</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6"/>
              </w:rPr>
              <w:t>consummated in reliance upon the exemptions from registration provided by Rule 144A and</w:t>
            </w:r>
          </w:p>
        </w:tc>
      </w:tr>
      <w:tr>
        <w:trPr>
          <w:trHeight w:val="222"/>
        </w:trPr>
        <w:tc>
          <w:tcPr>
            <w:tcW w:w="3340" w:type="dxa"/>
            <w:vAlign w:val="bottom"/>
            <w:tcBorders>
              <w:left w:val="single" w:sz="8" w:color="auto"/>
            </w:tcBorders>
          </w:tcPr>
          <w:p>
            <w:pPr>
              <w:spacing w:after="0"/>
              <w:rPr>
                <w:sz w:val="19"/>
                <w:szCs w:val="19"/>
                <w:color w:val="auto"/>
              </w:rPr>
            </w:pPr>
          </w:p>
        </w:tc>
        <w:tc>
          <w:tcPr>
            <w:tcW w:w="6660" w:type="dxa"/>
            <w:vAlign w:val="bottom"/>
            <w:gridSpan w:val="2"/>
          </w:tcPr>
          <w:p>
            <w:pPr>
              <w:ind w:left="1060"/>
              <w:spacing w:after="0"/>
              <w:rPr>
                <w:sz w:val="20"/>
                <w:szCs w:val="20"/>
                <w:color w:val="auto"/>
              </w:rPr>
            </w:pPr>
            <w:r>
              <w:rPr>
                <w:rFonts w:ascii="Arial" w:cs="Arial" w:eastAsia="Arial" w:hAnsi="Arial"/>
                <w:sz w:val="18"/>
                <w:szCs w:val="18"/>
                <w:color w:val="auto"/>
              </w:rPr>
              <w:t>Regulation S under the Securities Act.</w:t>
            </w:r>
          </w:p>
        </w:tc>
        <w:tc>
          <w:tcPr>
            <w:tcW w:w="1460" w:type="dxa"/>
            <w:vAlign w:val="bottom"/>
            <w:tcBorders>
              <w:right w:val="single" w:sz="8" w:color="auto"/>
            </w:tcBorders>
          </w:tcPr>
          <w:p>
            <w:pPr>
              <w:spacing w:after="0"/>
              <w:rPr>
                <w:sz w:val="19"/>
                <w:szCs w:val="19"/>
                <w:color w:val="auto"/>
              </w:rPr>
            </w:pPr>
          </w:p>
        </w:tc>
      </w:tr>
      <w:tr>
        <w:trPr>
          <w:trHeight w:val="291"/>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Expiration Date; Tenders</w:t>
            </w:r>
          </w:p>
        </w:tc>
        <w:tc>
          <w:tcPr>
            <w:tcW w:w="6660" w:type="dxa"/>
            <w:vAlign w:val="bottom"/>
            <w:gridSpan w:val="2"/>
          </w:tcPr>
          <w:p>
            <w:pPr>
              <w:ind w:left="1060"/>
              <w:spacing w:after="0"/>
              <w:rPr>
                <w:sz w:val="20"/>
                <w:szCs w:val="20"/>
                <w:color w:val="auto"/>
              </w:rPr>
            </w:pPr>
            <w:r>
              <w:rPr>
                <w:rFonts w:ascii="Arial" w:cs="Arial" w:eastAsia="Arial" w:hAnsi="Arial"/>
                <w:sz w:val="18"/>
                <w:szCs w:val="18"/>
                <w:color w:val="auto"/>
              </w:rPr>
              <w:t>The exchange offer will expire at 5:00 p.m., New York City time, on</w:t>
            </w:r>
          </w:p>
        </w:tc>
        <w:tc>
          <w:tcPr>
            <w:tcW w:w="14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 2012, unless</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rPr>
              <w:t>we extend the exchange offer. By tendering your old notes, you represent to us that:</w:t>
            </w:r>
          </w:p>
        </w:tc>
      </w:tr>
      <w:tr>
        <w:trPr>
          <w:trHeight w:val="297"/>
        </w:trPr>
        <w:tc>
          <w:tcPr>
            <w:tcW w:w="3340" w:type="dxa"/>
            <w:vAlign w:val="bottom"/>
            <w:tcBorders>
              <w:left w:val="single" w:sz="8" w:color="auto"/>
            </w:tcBorders>
          </w:tcPr>
          <w:p>
            <w:pPr>
              <w:spacing w:after="0"/>
              <w:rPr>
                <w:sz w:val="24"/>
                <w:szCs w:val="24"/>
                <w:color w:val="auto"/>
              </w:rPr>
            </w:pPr>
          </w:p>
        </w:tc>
        <w:tc>
          <w:tcPr>
            <w:tcW w:w="6660" w:type="dxa"/>
            <w:vAlign w:val="bottom"/>
            <w:gridSpan w:val="2"/>
          </w:tcPr>
          <w:p>
            <w:pPr>
              <w:ind w:left="1100"/>
              <w:spacing w:after="0"/>
              <w:rPr>
                <w:sz w:val="20"/>
                <w:szCs w:val="20"/>
                <w:color w:val="auto"/>
              </w:rPr>
            </w:pPr>
            <w:r>
              <w:rPr>
                <w:rFonts w:ascii="Arial" w:cs="Arial" w:eastAsia="Arial" w:hAnsi="Arial"/>
                <w:sz w:val="18"/>
                <w:szCs w:val="18"/>
                <w:color w:val="auto"/>
                <w:w w:val="92"/>
              </w:rPr>
              <w:t>• you are not our “affiliate,” as defined in Rule 405 under the Securities Act;</w:t>
            </w:r>
          </w:p>
        </w:tc>
        <w:tc>
          <w:tcPr>
            <w:tcW w:w="1460" w:type="dxa"/>
            <w:vAlign w:val="bottom"/>
            <w:tcBorders>
              <w:right w:val="single" w:sz="8" w:color="auto"/>
            </w:tcBorders>
          </w:tcPr>
          <w:p>
            <w:pPr>
              <w:spacing w:after="0"/>
              <w:rPr>
                <w:sz w:val="24"/>
                <w:szCs w:val="24"/>
                <w:color w:val="auto"/>
              </w:rPr>
            </w:pPr>
          </w:p>
        </w:tc>
      </w:tr>
      <w:tr>
        <w:trPr>
          <w:trHeight w:val="291"/>
        </w:trPr>
        <w:tc>
          <w:tcPr>
            <w:tcW w:w="334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5"/>
              </w:rPr>
              <w:t>• any new notes you receive in the exchange offer are being acquired by you in the ordinary</w:t>
            </w:r>
          </w:p>
        </w:tc>
      </w:tr>
      <w:tr>
        <w:trPr>
          <w:trHeight w:val="222"/>
        </w:trPr>
        <w:tc>
          <w:tcPr>
            <w:tcW w:w="3340" w:type="dxa"/>
            <w:vAlign w:val="bottom"/>
            <w:tcBorders>
              <w:left w:val="single" w:sz="8" w:color="auto"/>
            </w:tcBorders>
          </w:tcPr>
          <w:p>
            <w:pPr>
              <w:spacing w:after="0"/>
              <w:rPr>
                <w:sz w:val="19"/>
                <w:szCs w:val="19"/>
                <w:color w:val="auto"/>
              </w:rPr>
            </w:pPr>
          </w:p>
        </w:tc>
        <w:tc>
          <w:tcPr>
            <w:tcW w:w="3400" w:type="dxa"/>
            <w:vAlign w:val="bottom"/>
          </w:tcPr>
          <w:p>
            <w:pPr>
              <w:ind w:left="1280"/>
              <w:spacing w:after="0"/>
              <w:rPr>
                <w:sz w:val="20"/>
                <w:szCs w:val="20"/>
                <w:color w:val="auto"/>
              </w:rPr>
            </w:pPr>
            <w:r>
              <w:rPr>
                <w:rFonts w:ascii="Arial" w:cs="Arial" w:eastAsia="Arial" w:hAnsi="Arial"/>
                <w:sz w:val="18"/>
                <w:szCs w:val="18"/>
                <w:color w:val="auto"/>
              </w:rPr>
              <w:t>course of your business;</w:t>
            </w:r>
          </w:p>
        </w:tc>
        <w:tc>
          <w:tcPr>
            <w:tcW w:w="326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r>
      <w:tr>
        <w:trPr>
          <w:trHeight w:val="291"/>
        </w:trPr>
        <w:tc>
          <w:tcPr>
            <w:tcW w:w="334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3"/>
              </w:rPr>
              <w:t>• at the time of the commencement of the exchange offer, neither you nor, to your knowledge,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280"/>
              <w:spacing w:after="0"/>
              <w:rPr>
                <w:sz w:val="20"/>
                <w:szCs w:val="20"/>
                <w:color w:val="auto"/>
              </w:rPr>
            </w:pPr>
            <w:r>
              <w:rPr>
                <w:rFonts w:ascii="Arial" w:cs="Arial" w:eastAsia="Arial" w:hAnsi="Arial"/>
                <w:sz w:val="18"/>
                <w:szCs w:val="18"/>
                <w:color w:val="auto"/>
                <w:w w:val="90"/>
              </w:rPr>
              <w:t>anyone receiving new notes from you, has any arrangement or understanding with any person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280"/>
              <w:spacing w:after="0"/>
              <w:rPr>
                <w:sz w:val="20"/>
                <w:szCs w:val="20"/>
                <w:color w:val="auto"/>
              </w:rPr>
            </w:pPr>
            <w:r>
              <w:rPr>
                <w:rFonts w:ascii="Arial" w:cs="Arial" w:eastAsia="Arial" w:hAnsi="Arial"/>
                <w:sz w:val="18"/>
                <w:szCs w:val="18"/>
                <w:color w:val="auto"/>
                <w:w w:val="92"/>
              </w:rPr>
              <w:t>to participate in the distribution, as defined in the Securities Act, of the new notes in violation</w:t>
            </w:r>
          </w:p>
        </w:tc>
      </w:tr>
      <w:tr>
        <w:trPr>
          <w:trHeight w:val="222"/>
        </w:trPr>
        <w:tc>
          <w:tcPr>
            <w:tcW w:w="3340" w:type="dxa"/>
            <w:vAlign w:val="bottom"/>
            <w:tcBorders>
              <w:left w:val="single" w:sz="8" w:color="auto"/>
            </w:tcBorders>
          </w:tcPr>
          <w:p>
            <w:pPr>
              <w:spacing w:after="0"/>
              <w:rPr>
                <w:sz w:val="19"/>
                <w:szCs w:val="19"/>
                <w:color w:val="auto"/>
              </w:rPr>
            </w:pPr>
          </w:p>
        </w:tc>
        <w:tc>
          <w:tcPr>
            <w:tcW w:w="3400" w:type="dxa"/>
            <w:vAlign w:val="bottom"/>
          </w:tcPr>
          <w:p>
            <w:pPr>
              <w:ind w:left="1280"/>
              <w:spacing w:after="0"/>
              <w:rPr>
                <w:sz w:val="20"/>
                <w:szCs w:val="20"/>
                <w:color w:val="auto"/>
              </w:rPr>
            </w:pPr>
            <w:r>
              <w:rPr>
                <w:rFonts w:ascii="Arial" w:cs="Arial" w:eastAsia="Arial" w:hAnsi="Arial"/>
                <w:sz w:val="18"/>
                <w:szCs w:val="18"/>
                <w:color w:val="auto"/>
              </w:rPr>
              <w:t>of the Securities Act;</w:t>
            </w:r>
          </w:p>
        </w:tc>
        <w:tc>
          <w:tcPr>
            <w:tcW w:w="326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r>
      <w:tr>
        <w:trPr>
          <w:trHeight w:val="291"/>
        </w:trPr>
        <w:tc>
          <w:tcPr>
            <w:tcW w:w="334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4"/>
              </w:rPr>
              <w:t>• if you are a broker-dealer, you will receive the new notes for your own account in exchange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280"/>
              <w:spacing w:after="0"/>
              <w:rPr>
                <w:sz w:val="20"/>
                <w:szCs w:val="20"/>
                <w:color w:val="auto"/>
              </w:rPr>
            </w:pPr>
            <w:r>
              <w:rPr>
                <w:rFonts w:ascii="Arial" w:cs="Arial" w:eastAsia="Arial" w:hAnsi="Arial"/>
                <w:sz w:val="18"/>
                <w:szCs w:val="18"/>
                <w:color w:val="auto"/>
                <w:w w:val="95"/>
              </w:rPr>
              <w:t>for old notes that were acquired by you as a result of your market-making or other trading</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280"/>
              <w:spacing w:after="0"/>
              <w:rPr>
                <w:sz w:val="20"/>
                <w:szCs w:val="20"/>
                <w:color w:val="auto"/>
              </w:rPr>
            </w:pPr>
            <w:r>
              <w:rPr>
                <w:rFonts w:ascii="Arial" w:cs="Arial" w:eastAsia="Arial" w:hAnsi="Arial"/>
                <w:sz w:val="18"/>
                <w:szCs w:val="18"/>
                <w:color w:val="auto"/>
                <w:w w:val="91"/>
              </w:rPr>
              <w:t>activities and that you will deliver a prospectus in connection with any resale of the new notes</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280"/>
              <w:spacing w:after="0"/>
              <w:rPr>
                <w:sz w:val="20"/>
                <w:szCs w:val="20"/>
                <w:color w:val="auto"/>
              </w:rPr>
            </w:pPr>
            <w:r>
              <w:rPr>
                <w:rFonts w:ascii="Arial" w:cs="Arial" w:eastAsia="Arial" w:hAnsi="Arial"/>
                <w:sz w:val="18"/>
                <w:szCs w:val="18"/>
                <w:color w:val="auto"/>
                <w:w w:val="99"/>
              </w:rPr>
              <w:t>you receive; for further information regarding resales of the new notes by participating</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gridSpan w:val="3"/>
          </w:tcPr>
          <w:p>
            <w:pPr>
              <w:ind w:left="1280"/>
              <w:spacing w:after="0"/>
              <w:rPr>
                <w:sz w:val="20"/>
                <w:szCs w:val="20"/>
                <w:color w:val="auto"/>
              </w:rPr>
            </w:pPr>
            <w:r>
              <w:rPr>
                <w:rFonts w:ascii="Arial" w:cs="Arial" w:eastAsia="Arial" w:hAnsi="Arial"/>
                <w:sz w:val="18"/>
                <w:szCs w:val="18"/>
                <w:color w:val="auto"/>
              </w:rPr>
              <w:t>broker-dealers, see the discussion under the caption “Plan of Distribution”; and</w:t>
            </w:r>
          </w:p>
        </w:tc>
      </w:tr>
      <w:tr>
        <w:trPr>
          <w:trHeight w:val="291"/>
        </w:trPr>
        <w:tc>
          <w:tcPr>
            <w:tcW w:w="334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6"/>
              </w:rPr>
              <w:t>• if you are not a broker-dealer, you are not engaged in, and do not intend to engage in, the</w:t>
            </w:r>
          </w:p>
        </w:tc>
      </w:tr>
      <w:tr>
        <w:trPr>
          <w:trHeight w:val="222"/>
        </w:trPr>
        <w:tc>
          <w:tcPr>
            <w:tcW w:w="3340" w:type="dxa"/>
            <w:vAlign w:val="bottom"/>
            <w:tcBorders>
              <w:left w:val="single" w:sz="8" w:color="auto"/>
            </w:tcBorders>
          </w:tcPr>
          <w:p>
            <w:pPr>
              <w:spacing w:after="0"/>
              <w:rPr>
                <w:sz w:val="19"/>
                <w:szCs w:val="19"/>
                <w:color w:val="auto"/>
              </w:rPr>
            </w:pPr>
          </w:p>
        </w:tc>
        <w:tc>
          <w:tcPr>
            <w:tcW w:w="6660" w:type="dxa"/>
            <w:vAlign w:val="bottom"/>
            <w:gridSpan w:val="2"/>
          </w:tcPr>
          <w:p>
            <w:pPr>
              <w:ind w:left="1280"/>
              <w:spacing w:after="0"/>
              <w:rPr>
                <w:sz w:val="20"/>
                <w:szCs w:val="20"/>
                <w:color w:val="auto"/>
              </w:rPr>
            </w:pPr>
            <w:r>
              <w:rPr>
                <w:rFonts w:ascii="Arial" w:cs="Arial" w:eastAsia="Arial" w:hAnsi="Arial"/>
                <w:sz w:val="18"/>
                <w:szCs w:val="18"/>
                <w:color w:val="auto"/>
              </w:rPr>
              <w:t>distribution of the new notes, as defined in the Securities Act.</w:t>
            </w:r>
          </w:p>
        </w:tc>
        <w:tc>
          <w:tcPr>
            <w:tcW w:w="1460" w:type="dxa"/>
            <w:vAlign w:val="bottom"/>
            <w:tcBorders>
              <w:right w:val="single" w:sz="8" w:color="auto"/>
            </w:tcBorders>
          </w:tcPr>
          <w:p>
            <w:pPr>
              <w:spacing w:after="0"/>
              <w:rPr>
                <w:sz w:val="19"/>
                <w:szCs w:val="19"/>
                <w:color w:val="auto"/>
              </w:rPr>
            </w:pPr>
          </w:p>
        </w:tc>
      </w:tr>
      <w:tr>
        <w:trPr>
          <w:trHeight w:val="291"/>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Withdrawal; Non-Acceptance</w:t>
            </w: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3"/>
              </w:rPr>
              <w:t>You may withdraw any old notes tendered in the exchange offer at any time prior to 5:00 p.m.,</w:t>
            </w:r>
          </w:p>
        </w:tc>
      </w:tr>
      <w:tr>
        <w:trPr>
          <w:trHeight w:val="216"/>
        </w:trPr>
        <w:tc>
          <w:tcPr>
            <w:tcW w:w="3340" w:type="dxa"/>
            <w:vAlign w:val="bottom"/>
            <w:tcBorders>
              <w:left w:val="single" w:sz="8" w:color="auto"/>
            </w:tcBorders>
          </w:tcPr>
          <w:p>
            <w:pPr>
              <w:spacing w:after="0"/>
              <w:rPr>
                <w:sz w:val="18"/>
                <w:szCs w:val="18"/>
                <w:color w:val="auto"/>
              </w:rPr>
            </w:pPr>
          </w:p>
        </w:tc>
        <w:tc>
          <w:tcPr>
            <w:tcW w:w="3400" w:type="dxa"/>
            <w:vAlign w:val="bottom"/>
          </w:tcPr>
          <w:p>
            <w:pPr>
              <w:ind w:left="1060"/>
              <w:spacing w:after="0"/>
              <w:rPr>
                <w:sz w:val="20"/>
                <w:szCs w:val="20"/>
                <w:color w:val="auto"/>
              </w:rPr>
            </w:pPr>
            <w:r>
              <w:rPr>
                <w:rFonts w:ascii="Arial" w:cs="Arial" w:eastAsia="Arial" w:hAnsi="Arial"/>
                <w:sz w:val="18"/>
                <w:szCs w:val="18"/>
                <w:color w:val="auto"/>
              </w:rPr>
              <w:t>New York City time, on</w:t>
            </w:r>
          </w:p>
        </w:tc>
        <w:tc>
          <w:tcPr>
            <w:tcW w:w="472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 2012, which date we may extend if we extend the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3"/>
          </w:tcPr>
          <w:p>
            <w:pPr>
              <w:ind w:left="1060"/>
              <w:spacing w:after="0"/>
              <w:rPr>
                <w:sz w:val="20"/>
                <w:szCs w:val="20"/>
                <w:color w:val="auto"/>
              </w:rPr>
            </w:pPr>
            <w:r>
              <w:rPr>
                <w:rFonts w:ascii="Arial" w:cs="Arial" w:eastAsia="Arial" w:hAnsi="Arial"/>
                <w:sz w:val="18"/>
                <w:szCs w:val="18"/>
                <w:color w:val="auto"/>
                <w:w w:val="92"/>
              </w:rPr>
              <w:t>exchange offer. If we decide for any reason not to accept any old notes tendered for exchange,</w:t>
            </w:r>
          </w:p>
        </w:tc>
      </w:tr>
      <w:tr>
        <w:trPr>
          <w:trHeight w:val="222"/>
        </w:trPr>
        <w:tc>
          <w:tcPr>
            <w:tcW w:w="3340" w:type="dxa"/>
            <w:vAlign w:val="bottom"/>
            <w:tcBorders>
              <w:left w:val="single" w:sz="8" w:color="auto"/>
            </w:tcBorders>
          </w:tcPr>
          <w:p>
            <w:pPr>
              <w:spacing w:after="0"/>
              <w:rPr>
                <w:sz w:val="19"/>
                <w:szCs w:val="19"/>
                <w:color w:val="auto"/>
              </w:rPr>
            </w:pPr>
          </w:p>
        </w:tc>
        <w:tc>
          <w:tcPr>
            <w:tcW w:w="6660" w:type="dxa"/>
            <w:vAlign w:val="bottom"/>
            <w:gridSpan w:val="2"/>
          </w:tcPr>
          <w:p>
            <w:pPr>
              <w:ind w:left="1060"/>
              <w:spacing w:after="0"/>
              <w:rPr>
                <w:sz w:val="20"/>
                <w:szCs w:val="20"/>
                <w:color w:val="auto"/>
              </w:rPr>
            </w:pPr>
            <w:r>
              <w:rPr>
                <w:rFonts w:ascii="Arial" w:cs="Arial" w:eastAsia="Arial" w:hAnsi="Arial"/>
                <w:sz w:val="18"/>
                <w:szCs w:val="18"/>
                <w:color w:val="auto"/>
              </w:rPr>
              <w:t>the old notes will be returned to the registered holder at our</w:t>
            </w:r>
          </w:p>
        </w:tc>
        <w:tc>
          <w:tcPr>
            <w:tcW w:w="1460" w:type="dxa"/>
            <w:vAlign w:val="bottom"/>
            <w:tcBorders>
              <w:right w:val="single" w:sz="8" w:color="auto"/>
            </w:tcBorders>
          </w:tcPr>
          <w:p>
            <w:pPr>
              <w:spacing w:after="0"/>
              <w:rPr>
                <w:sz w:val="19"/>
                <w:szCs w:val="19"/>
                <w:color w:val="auto"/>
              </w:rPr>
            </w:pPr>
          </w:p>
        </w:tc>
      </w:tr>
      <w:tr>
        <w:trPr>
          <w:trHeight w:val="161"/>
        </w:trPr>
        <w:tc>
          <w:tcPr>
            <w:tcW w:w="3340" w:type="dxa"/>
            <w:vAlign w:val="bottom"/>
            <w:tcBorders>
              <w:left w:val="single" w:sz="8" w:color="auto"/>
              <w:bottom w:val="single" w:sz="8" w:color="auto"/>
            </w:tcBorders>
          </w:tcPr>
          <w:p>
            <w:pPr>
              <w:spacing w:after="0"/>
              <w:rPr>
                <w:sz w:val="13"/>
                <w:szCs w:val="13"/>
                <w:color w:val="auto"/>
              </w:rPr>
            </w:pPr>
          </w:p>
        </w:tc>
        <w:tc>
          <w:tcPr>
            <w:tcW w:w="340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r>
      <w:tr>
        <w:trPr>
          <w:trHeight w:val="359"/>
        </w:trPr>
        <w:tc>
          <w:tcPr>
            <w:tcW w:w="3340" w:type="dxa"/>
            <w:vAlign w:val="bottom"/>
          </w:tcPr>
          <w:p>
            <w:pPr>
              <w:spacing w:after="0"/>
              <w:rPr>
                <w:sz w:val="24"/>
                <w:szCs w:val="24"/>
                <w:color w:val="auto"/>
              </w:rPr>
            </w:pPr>
          </w:p>
        </w:tc>
        <w:tc>
          <w:tcPr>
            <w:tcW w:w="3400" w:type="dxa"/>
            <w:vAlign w:val="bottom"/>
          </w:tcPr>
          <w:p>
            <w:pPr>
              <w:ind w:left="2340"/>
              <w:spacing w:after="0"/>
              <w:rPr>
                <w:sz w:val="20"/>
                <w:szCs w:val="20"/>
                <w:color w:val="auto"/>
              </w:rPr>
            </w:pPr>
            <w:r>
              <w:rPr>
                <w:rFonts w:ascii="Arial" w:cs="Arial" w:eastAsia="Arial" w:hAnsi="Arial"/>
                <w:sz w:val="18"/>
                <w:szCs w:val="18"/>
                <w:color w:val="auto"/>
              </w:rPr>
              <w:t>3</w:t>
            </w:r>
          </w:p>
        </w:tc>
        <w:tc>
          <w:tcPr>
            <w:tcW w:w="32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560" w:type="dxa"/>
            <w:vAlign w:val="bottom"/>
            <w:tcBorders>
              <w:top w:val="single" w:sz="8" w:color="auto"/>
              <w:left w:val="single" w:sz="8" w:color="auto"/>
            </w:tcBorders>
          </w:tcPr>
          <w:p>
            <w:pPr>
              <w:spacing w:after="0"/>
              <w:rPr>
                <w:sz w:val="24"/>
                <w:szCs w:val="24"/>
                <w:color w:val="auto"/>
              </w:rPr>
            </w:pPr>
          </w:p>
        </w:tc>
        <w:tc>
          <w:tcPr>
            <w:tcW w:w="790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color w:val="auto"/>
                <w:w w:val="95"/>
              </w:rPr>
              <w:t>expense promptly after the expiration or termination of the exchange offer. In the case of old</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0"/>
              </w:rPr>
              <w:t>notes tendered by book-entry transfer into the exchange agent’s account at The Depository Trust</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7"/>
              </w:rPr>
              <w:t>Company (“DTC”), any withdrawn or unaccepted old notes will be credited to the tendering</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2"/>
              </w:rPr>
              <w:t>holder’s account at DTC. For further information regarding the withdrawal of tendered old notes,</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3"/>
              </w:rPr>
              <w:t>see “The Exchange Offer—Terms of the Exchange Offer; Period for Tendering Old Notes” and</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“The Exchange Offer—Withdrawal Rights.”</w:t>
            </w:r>
          </w:p>
        </w:tc>
      </w:tr>
      <w:tr>
        <w:trPr>
          <w:trHeight w:val="304"/>
        </w:trPr>
        <w:tc>
          <w:tcPr>
            <w:tcW w:w="35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Conditions to the Exchange Offer</w:t>
            </w: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1"/>
              </w:rPr>
              <w:t>We are not required to accept for exchange or to issue new notes in exchange for any old notes,</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2"/>
              </w:rPr>
              <w:t>and we may terminate or amend the exchange offer, if any of the following events occur prior to</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the expiration of the exchange offer: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4"/>
              </w:rPr>
              <w:t>• the exchange offer violates any applicable law or applicable interpretation of the staff of the</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SEC;</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 an action or proceeding shall have been instituted or threatened in any court or by any</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5"/>
              </w:rPr>
              <w:t>governmental agency that might materially impair our ability to proceed with the exchange</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offer;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 we do not receive all the governmental approvals that we believe are necessary to</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consummate the exchange offer; or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 there has been proposed, adopted, or enacted any law, statute, rule or regulation that, in our</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3"/>
              </w:rPr>
              <w:t>reasonable judgment, would materially impair our ability to consummate the exchange offer.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89"/>
              </w:rPr>
              <w:t>We may waive any of the above conditions in our reasonable discretion. See the discussion below</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under the caption “The Exchange Offer—Conditions to the Exchange Offer” for more</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information regarding the conditions to the exchange offer.</w:t>
            </w:r>
          </w:p>
        </w:tc>
      </w:tr>
      <w:tr>
        <w:trPr>
          <w:trHeight w:val="291"/>
        </w:trPr>
        <w:tc>
          <w:tcPr>
            <w:tcW w:w="35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Procedures for Tendering Old Notes</w:t>
            </w: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2"/>
              </w:rPr>
              <w:t>Unless you comply with the procedure described below under the caption “The Exchange Offer</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—Guaranteed Delivery Procedures,” you must do one of the following on or prior to the</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expiration or termination of the exchange offer to participate in the exchange offer: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8"/>
              </w:rPr>
              <w:t>• tender your old notes by sending (i) the certificates for your old notes (in proper form for</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6"/>
              </w:rPr>
              <w:t>transfer), (ii) a properly completed and duly executed letter of transmittal and (iii) all other</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documents required by the letter of transmittal to U.S. Bank National Association, as</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1"/>
              </w:rPr>
              <w:t>exchange agent, at one of the addresses listed below under the caption “The Exchange Offer</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—Exchange Agent”; or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9"/>
              </w:rPr>
              <w:t>• tender your old notes by using the book-entry transfer procedures described below and</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9"/>
              </w:rPr>
              <w:t>transmitting a properly completed and duly executed letter of transmittal, or an agent’s</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0"/>
              </w:rPr>
              <w:t>message instead of the letter of transmittal, to the exchange agent. For a book-entry transfer to</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constitute a valid tender of your old notes in the exchange offer, U.S. Bank National</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4"/>
              </w:rPr>
              <w:t>Association, as exchange agent, must receive a confirmation of book-entry transfer of your</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4"/>
              </w:rPr>
              <w:t>old notes into the exchange agent’s account at DTC prior to the expiration or termination of</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the exchange offer. For more</w:t>
            </w:r>
          </w:p>
        </w:tc>
      </w:tr>
      <w:tr>
        <w:trPr>
          <w:trHeight w:val="161"/>
        </w:trPr>
        <w:tc>
          <w:tcPr>
            <w:tcW w:w="3560" w:type="dxa"/>
            <w:vAlign w:val="bottom"/>
            <w:tcBorders>
              <w:left w:val="single" w:sz="8" w:color="auto"/>
              <w:bottom w:val="single" w:sz="8" w:color="auto"/>
            </w:tcBorders>
          </w:tcPr>
          <w:p>
            <w:pPr>
              <w:spacing w:after="0"/>
              <w:rPr>
                <w:sz w:val="13"/>
                <w:szCs w:val="13"/>
                <w:color w:val="auto"/>
              </w:rPr>
            </w:pPr>
          </w:p>
        </w:tc>
        <w:tc>
          <w:tcPr>
            <w:tcW w:w="7900" w:type="dxa"/>
            <w:vAlign w:val="bottom"/>
            <w:tcBorders>
              <w:bottom w:val="single" w:sz="8" w:color="auto"/>
              <w:right w:val="single" w:sz="8" w:color="auto"/>
            </w:tcBorders>
          </w:tcPr>
          <w:p>
            <w:pPr>
              <w:spacing w:after="0"/>
              <w:rPr>
                <w:sz w:val="13"/>
                <w:szCs w:val="13"/>
                <w:color w:val="auto"/>
              </w:rPr>
            </w:pPr>
          </w:p>
        </w:tc>
      </w:tr>
      <w:tr>
        <w:trPr>
          <w:trHeight w:val="359"/>
        </w:trPr>
        <w:tc>
          <w:tcPr>
            <w:tcW w:w="3560" w:type="dxa"/>
            <w:vAlign w:val="bottom"/>
          </w:tcPr>
          <w:p>
            <w:pPr>
              <w:spacing w:after="0"/>
              <w:rPr>
                <w:sz w:val="24"/>
                <w:szCs w:val="24"/>
                <w:color w:val="auto"/>
              </w:rPr>
            </w:pPr>
          </w:p>
        </w:tc>
        <w:tc>
          <w:tcPr>
            <w:tcW w:w="7900" w:type="dxa"/>
            <w:vAlign w:val="bottom"/>
          </w:tcPr>
          <w:p>
            <w:pPr>
              <w:ind w:left="21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35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2355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620" w:right="220"/>
        <w:spacing w:after="0" w:line="289" w:lineRule="auto"/>
        <w:rPr>
          <w:sz w:val="20"/>
          <w:szCs w:val="20"/>
          <w:color w:val="auto"/>
        </w:rPr>
      </w:pPr>
      <w:r>
        <w:rPr>
          <w:rFonts w:ascii="Arial" w:cs="Arial" w:eastAsia="Arial" w:hAnsi="Arial"/>
          <w:sz w:val="16"/>
          <w:szCs w:val="16"/>
          <w:color w:val="auto"/>
        </w:rPr>
        <w:t>information regarding the use of book-entry transfer procedures, including a description of the required agent’s message, see the discussion below under the caption “The Exchange Offer— Book-Entry Transfers.” As used in this prospectus, 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ectPr>
          <w:pgSz w:w="11900" w:h="16838" w:orient="portrait"/>
          <w:cols w:equalWidth="0" w:num="1">
            <w:col w:w="11460"/>
          </w:cols>
          <w:pgMar w:left="240" w:top="459" w:right="199" w:bottom="1440" w:gutter="0" w:footer="0" w:header="0"/>
        </w:sectPr>
      </w:pPr>
    </w:p>
    <w:p>
      <w:pPr>
        <w:spacing w:after="0" w:line="3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Guaranteed Delivery Procedures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you are a registered holder of old notes and wish to tender your old notes in the exchange offer, but:</w:t>
      </w:r>
    </w:p>
    <w:p>
      <w:pPr>
        <w:spacing w:after="0" w:line="51" w:lineRule="exact"/>
        <w:rPr>
          <w:sz w:val="20"/>
          <w:szCs w:val="20"/>
          <w:color w:val="auto"/>
        </w:rPr>
      </w:pPr>
    </w:p>
    <w:p>
      <w:pPr>
        <w:sectPr>
          <w:pgSz w:w="11900" w:h="16838" w:orient="portrait"/>
          <w:cols w:equalWidth="0" w:num="2">
            <w:col w:w="3680" w:space="720"/>
            <w:col w:w="7060"/>
          </w:cols>
          <w:pgMar w:left="240" w:top="459" w:right="199" w:bottom="1440" w:gutter="0" w:footer="0" w:header="0"/>
          <w:type w:val="continuous"/>
        </w:sectPr>
      </w:pPr>
    </w:p>
    <w:p>
      <w:pPr>
        <w:ind w:left="4440"/>
        <w:spacing w:after="0"/>
        <w:rPr>
          <w:sz w:val="20"/>
          <w:szCs w:val="20"/>
          <w:color w:val="auto"/>
        </w:rPr>
      </w:pPr>
      <w:r>
        <w:rPr>
          <w:rFonts w:ascii="Arial" w:cs="Arial" w:eastAsia="Arial" w:hAnsi="Arial"/>
          <w:sz w:val="18"/>
          <w:szCs w:val="18"/>
          <w:color w:val="auto"/>
        </w:rPr>
        <w:t>• the old notes are not immediately available;</w:t>
      </w:r>
    </w:p>
    <w:p>
      <w:pPr>
        <w:spacing w:after="0" w:line="90" w:lineRule="exact"/>
        <w:rPr>
          <w:sz w:val="20"/>
          <w:szCs w:val="20"/>
          <w:color w:val="auto"/>
        </w:rPr>
      </w:pPr>
    </w:p>
    <w:p>
      <w:pPr>
        <w:ind w:left="4620" w:right="380" w:hanging="179"/>
        <w:spacing w:after="0" w:line="268" w:lineRule="auto"/>
        <w:tabs>
          <w:tab w:leader="none" w:pos="4600" w:val="left"/>
        </w:tabs>
        <w:rPr>
          <w:sz w:val="20"/>
          <w:szCs w:val="20"/>
          <w:color w:val="auto"/>
        </w:rPr>
      </w:pPr>
      <w:r>
        <w:rPr>
          <w:rFonts w:ascii="Arial" w:cs="Arial" w:eastAsia="Arial" w:hAnsi="Arial"/>
          <w:sz w:val="18"/>
          <w:szCs w:val="18"/>
          <w:color w:val="auto"/>
        </w:rPr>
        <w:t>•</w:t>
        <w:tab/>
        <w:t>time will not permit your old notes or other required documents to reach the exchange agent before the expiration or termination of the exchange offer; or</w:t>
      </w:r>
    </w:p>
    <w:p>
      <w:pPr>
        <w:spacing w:after="0" w:line="51" w:lineRule="exact"/>
        <w:rPr>
          <w:sz w:val="20"/>
          <w:szCs w:val="20"/>
          <w:color w:val="auto"/>
        </w:rPr>
      </w:pPr>
    </w:p>
    <w:p>
      <w:pPr>
        <w:ind w:left="4620" w:right="980" w:hanging="179"/>
        <w:spacing w:after="0" w:line="268" w:lineRule="auto"/>
        <w:tabs>
          <w:tab w:leader="none" w:pos="4600" w:val="left"/>
        </w:tabs>
        <w:rPr>
          <w:sz w:val="20"/>
          <w:szCs w:val="20"/>
          <w:color w:val="auto"/>
        </w:rPr>
      </w:pPr>
      <w:r>
        <w:rPr>
          <w:rFonts w:ascii="Arial" w:cs="Arial" w:eastAsia="Arial" w:hAnsi="Arial"/>
          <w:sz w:val="18"/>
          <w:szCs w:val="18"/>
          <w:color w:val="auto"/>
        </w:rPr>
        <w:t>•</w:t>
        <w:tab/>
        <w:t>the procedure for book-entry transfer cannot be completed prior to the expiration or termination of the exchange offer;</w:t>
      </w:r>
    </w:p>
    <w:p>
      <w:pPr>
        <w:spacing w:after="0" w:line="51" w:lineRule="exact"/>
        <w:rPr>
          <w:sz w:val="20"/>
          <w:szCs w:val="20"/>
          <w:color w:val="auto"/>
        </w:rPr>
      </w:pPr>
    </w:p>
    <w:p>
      <w:pPr>
        <w:ind w:left="4400" w:right="48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ectPr>
          <w:pgSz w:w="11900" w:h="16838" w:orient="portrait"/>
          <w:cols w:equalWidth="0" w:num="1">
            <w:col w:w="11460"/>
          </w:cols>
          <w:pgMar w:left="240" w:top="459" w:right="199" w:bottom="1440" w:gutter="0" w:footer="0" w:header="0"/>
          <w:type w:val="continuous"/>
        </w:sectPr>
      </w:pPr>
    </w:p>
    <w:p>
      <w:pPr>
        <w:spacing w:after="0" w:line="5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If you are a beneficial owner whose old notes are registered in the name of a broker, dealer, commercial bank, trust company or other nominee and you wish to tender your old notes in the exchange offer, you should promptly contact the person in whose name the old notes are registered and instruct that person to tender them on your behalf. If you wish to tender in the exchange offer on your own behalf, prior to completing and executing the letter of transmittal and delivering your old notes, you must either make appropriate arrangements to register ownership of the old notes in your name, or obtain a properly completed bond power from the person in whose name the old notes are registered.</w:t>
      </w:r>
    </w:p>
    <w:p>
      <w:pPr>
        <w:spacing w:after="0" w:line="37" w:lineRule="exact"/>
        <w:rPr>
          <w:sz w:val="20"/>
          <w:szCs w:val="20"/>
          <w:color w:val="auto"/>
        </w:rPr>
      </w:pPr>
    </w:p>
    <w:p>
      <w:pPr>
        <w:sectPr>
          <w:pgSz w:w="11900" w:h="16838" w:orient="portrait"/>
          <w:cols w:equalWidth="0" w:num="2">
            <w:col w:w="3680" w:space="720"/>
            <w:col w:w="7060"/>
          </w:cols>
          <w:pgMar w:left="240" w:top="459" w:right="199" w:bottom="1440" w:gutter="0" w:footer="0" w:header="0"/>
          <w:type w:val="continuous"/>
        </w:sectPr>
      </w:pPr>
    </w:p>
    <w:p>
      <w:pPr>
        <w:ind w:left="4400" w:right="280" w:hanging="4197"/>
        <w:spacing w:after="0" w:line="298" w:lineRule="auto"/>
        <w:rPr>
          <w:sz w:val="20"/>
          <w:szCs w:val="20"/>
          <w:color w:val="auto"/>
        </w:rPr>
      </w:pPr>
      <w:r>
        <w:rPr>
          <w:rFonts w:ascii="Arial" w:cs="Arial" w:eastAsia="Arial" w:hAnsi="Arial"/>
          <w:sz w:val="16"/>
          <w:szCs w:val="16"/>
          <w:color w:val="auto"/>
        </w:rPr>
        <w:t>Material United States Federal Income Tax Considerations 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8580" w:type="dxa"/>
            <w:vAlign w:val="bottom"/>
          </w:tcPr>
          <w:p>
            <w:pPr>
              <w:ind w:left="1520"/>
              <w:spacing w:after="0"/>
              <w:rPr>
                <w:sz w:val="20"/>
                <w:szCs w:val="20"/>
                <w:color w:val="auto"/>
              </w:rPr>
            </w:pPr>
            <w:r>
              <w:rPr>
                <w:rFonts w:ascii="Arial" w:cs="Arial" w:eastAsia="Arial" w:hAnsi="Arial"/>
                <w:sz w:val="18"/>
                <w:szCs w:val="18"/>
                <w:color w:val="auto"/>
              </w:rPr>
              <w:t>We will not receive any cash proceeds from the exchange offer.</w:t>
            </w:r>
          </w:p>
        </w:tc>
      </w:tr>
      <w:tr>
        <w:trPr>
          <w:trHeight w:val="304"/>
        </w:trPr>
        <w:tc>
          <w:tcPr>
            <w:tcW w:w="2880" w:type="dxa"/>
            <w:vAlign w:val="bottom"/>
          </w:tcPr>
          <w:p>
            <w:pPr>
              <w:ind w:left="200"/>
              <w:spacing w:after="0"/>
              <w:rPr>
                <w:sz w:val="20"/>
                <w:szCs w:val="20"/>
                <w:color w:val="auto"/>
              </w:rPr>
            </w:pPr>
            <w:r>
              <w:rPr>
                <w:rFonts w:ascii="Arial" w:cs="Arial" w:eastAsia="Arial" w:hAnsi="Arial"/>
                <w:sz w:val="18"/>
                <w:szCs w:val="18"/>
                <w:color w:val="auto"/>
              </w:rPr>
              <w:t>Exchange Agent</w:t>
            </w:r>
          </w:p>
        </w:tc>
        <w:tc>
          <w:tcPr>
            <w:tcW w:w="8580" w:type="dxa"/>
            <w:vAlign w:val="bottom"/>
          </w:tcPr>
          <w:p>
            <w:pPr>
              <w:ind w:left="1520"/>
              <w:spacing w:after="0"/>
              <w:rPr>
                <w:sz w:val="20"/>
                <w:szCs w:val="20"/>
                <w:color w:val="auto"/>
              </w:rPr>
            </w:pPr>
            <w:r>
              <w:rPr>
                <w:rFonts w:ascii="Arial" w:cs="Arial" w:eastAsia="Arial" w:hAnsi="Arial"/>
                <w:sz w:val="18"/>
                <w:szCs w:val="18"/>
                <w:color w:val="auto"/>
                <w:w w:val="93"/>
              </w:rPr>
              <w:t>U.S. Bank National Association is the exchange agent for the exchange offer. You can find the</w:t>
            </w:r>
          </w:p>
        </w:tc>
      </w:tr>
      <w:tr>
        <w:trPr>
          <w:trHeight w:val="216"/>
        </w:trPr>
        <w:tc>
          <w:tcPr>
            <w:tcW w:w="2880" w:type="dxa"/>
            <w:vAlign w:val="bottom"/>
          </w:tcPr>
          <w:p>
            <w:pPr>
              <w:spacing w:after="0"/>
              <w:rPr>
                <w:sz w:val="18"/>
                <w:szCs w:val="18"/>
                <w:color w:val="auto"/>
              </w:rPr>
            </w:pPr>
          </w:p>
        </w:tc>
        <w:tc>
          <w:tcPr>
            <w:tcW w:w="8580" w:type="dxa"/>
            <w:vAlign w:val="bottom"/>
          </w:tcPr>
          <w:p>
            <w:pPr>
              <w:ind w:left="1520"/>
              <w:spacing w:after="0"/>
              <w:rPr>
                <w:sz w:val="20"/>
                <w:szCs w:val="20"/>
                <w:color w:val="auto"/>
              </w:rPr>
            </w:pPr>
            <w:r>
              <w:rPr>
                <w:rFonts w:ascii="Arial" w:cs="Arial" w:eastAsia="Arial" w:hAnsi="Arial"/>
                <w:sz w:val="18"/>
                <w:szCs w:val="18"/>
                <w:color w:val="auto"/>
                <w:w w:val="92"/>
              </w:rPr>
              <w:t>address and telephone number of the exchange agent below under the caption, “The Exchange</w:t>
            </w:r>
          </w:p>
        </w:tc>
      </w:tr>
      <w:tr>
        <w:trPr>
          <w:trHeight w:val="222"/>
        </w:trPr>
        <w:tc>
          <w:tcPr>
            <w:tcW w:w="2880" w:type="dxa"/>
            <w:vAlign w:val="bottom"/>
          </w:tcPr>
          <w:p>
            <w:pPr>
              <w:spacing w:after="0"/>
              <w:rPr>
                <w:sz w:val="19"/>
                <w:szCs w:val="19"/>
                <w:color w:val="auto"/>
              </w:rPr>
            </w:pPr>
          </w:p>
        </w:tc>
        <w:tc>
          <w:tcPr>
            <w:tcW w:w="8580" w:type="dxa"/>
            <w:vAlign w:val="bottom"/>
          </w:tcPr>
          <w:p>
            <w:pPr>
              <w:ind w:left="1520"/>
              <w:spacing w:after="0"/>
              <w:rPr>
                <w:sz w:val="20"/>
                <w:szCs w:val="20"/>
                <w:color w:val="auto"/>
              </w:rPr>
            </w:pPr>
            <w:r>
              <w:rPr>
                <w:rFonts w:ascii="Arial" w:cs="Arial" w:eastAsia="Arial" w:hAnsi="Arial"/>
                <w:sz w:val="18"/>
                <w:szCs w:val="18"/>
                <w:color w:val="auto"/>
              </w:rPr>
              <w:t>Offer—Exchange Agent.”</w:t>
            </w:r>
          </w:p>
        </w:tc>
      </w:tr>
      <w:tr>
        <w:trPr>
          <w:trHeight w:val="161"/>
        </w:trPr>
        <w:tc>
          <w:tcPr>
            <w:tcW w:w="2880" w:type="dxa"/>
            <w:vAlign w:val="bottom"/>
            <w:tcBorders>
              <w:bottom w:val="single" w:sz="8" w:color="auto"/>
            </w:tcBorders>
          </w:tcPr>
          <w:p>
            <w:pPr>
              <w:spacing w:after="0"/>
              <w:rPr>
                <w:sz w:val="13"/>
                <w:szCs w:val="13"/>
                <w:color w:val="auto"/>
              </w:rPr>
            </w:pPr>
          </w:p>
        </w:tc>
        <w:tc>
          <w:tcPr>
            <w:tcW w:w="8580" w:type="dxa"/>
            <w:vAlign w:val="bottom"/>
            <w:tcBorders>
              <w:bottom w:val="single" w:sz="8" w:color="auto"/>
            </w:tcBorders>
          </w:tcPr>
          <w:p>
            <w:pPr>
              <w:spacing w:after="0"/>
              <w:rPr>
                <w:sz w:val="13"/>
                <w:szCs w:val="13"/>
                <w:color w:val="auto"/>
              </w:rPr>
            </w:pPr>
          </w:p>
        </w:tc>
      </w:tr>
      <w:tr>
        <w:trPr>
          <w:trHeight w:val="359"/>
        </w:trPr>
        <w:tc>
          <w:tcPr>
            <w:tcW w:w="2880" w:type="dxa"/>
            <w:vAlign w:val="bottom"/>
          </w:tcPr>
          <w:p>
            <w:pPr>
              <w:spacing w:after="0"/>
              <w:rPr>
                <w:sz w:val="24"/>
                <w:szCs w:val="24"/>
                <w:color w:val="auto"/>
              </w:rPr>
            </w:pPr>
          </w:p>
        </w:tc>
        <w:tc>
          <w:tcPr>
            <w:tcW w:w="8580" w:type="dxa"/>
            <w:vAlign w:val="bottom"/>
          </w:tcPr>
          <w:p>
            <w:pPr>
              <w:ind w:left="280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60"/>
          </w:cols>
          <w:pgMar w:left="240" w:top="459" w:right="1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284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Resales</w:t>
            </w:r>
          </w:p>
        </w:tc>
        <w:tc>
          <w:tcPr>
            <w:tcW w:w="8620" w:type="dxa"/>
            <w:vAlign w:val="bottom"/>
            <w:tcBorders>
              <w:top w:val="single" w:sz="8" w:color="auto"/>
              <w:right w:val="single" w:sz="8" w:color="auto"/>
            </w:tcBorders>
          </w:tcPr>
          <w:p>
            <w:pPr>
              <w:ind w:left="1560"/>
              <w:spacing w:after="0"/>
              <w:rPr>
                <w:sz w:val="20"/>
                <w:szCs w:val="20"/>
                <w:color w:val="auto"/>
              </w:rPr>
            </w:pPr>
            <w:r>
              <w:rPr>
                <w:rFonts w:ascii="Arial" w:cs="Arial" w:eastAsia="Arial" w:hAnsi="Arial"/>
                <w:sz w:val="18"/>
                <w:szCs w:val="18"/>
                <w:color w:val="auto"/>
                <w:w w:val="93"/>
              </w:rPr>
              <w:t>Based on interpretations by the staff of the SEC, as set forth in no-action letters issued to third</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4"/>
              </w:rPr>
              <w:t>parties, we believe that the new notes issued in the exchange offer may be offered for resale,</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3"/>
              </w:rPr>
              <w:t>resold or otherwise transferred by you without compliance with the registration and prospectus</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delivery requirements of the Securities Act as long as:</w:t>
            </w:r>
          </w:p>
        </w:tc>
      </w:tr>
      <w:tr>
        <w:trPr>
          <w:trHeight w:val="297"/>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you are acquiring the new notes in the ordinary course of your business;</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you are not participating, do not intend to participate and have no arrangement or</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understanding with any person to participate, in a distribution of the new notes; and</w:t>
            </w:r>
          </w:p>
        </w:tc>
      </w:tr>
      <w:tr>
        <w:trPr>
          <w:trHeight w:val="297"/>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you are not an affiliate of ours.</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2"/>
              </w:rPr>
              <w:t>If you are an affiliate of ours, are engaged in or intend to engage in or have any arrangement or</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understanding with any person to participate in, the distribution of new notes:</w:t>
            </w:r>
          </w:p>
        </w:tc>
      </w:tr>
      <w:tr>
        <w:trPr>
          <w:trHeight w:val="297"/>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you cannot rely on the applicable interpretations of the staff of the SEC;</w:t>
            </w:r>
          </w:p>
        </w:tc>
      </w:tr>
      <w:tr>
        <w:trPr>
          <w:trHeight w:val="297"/>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you will not be entitled to tender your old notes in the exchange offer; and</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5"/>
              </w:rPr>
              <w:t>• you must comply with the registration requirements of the Securities Act in connection with</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any resale transaction.</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1"/>
              </w:rPr>
              <w:t>Each broker or dealer that receives new notes for its own account in exchange for old notes that</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3"/>
              </w:rPr>
              <w:t>were acquired as a result of market-making or other trading activities must acknowledge that it</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5"/>
              </w:rPr>
              <w:t>will comply with the registration and prospectus delivery requirements of the Securities Act in</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1"/>
              </w:rPr>
              <w:t>connection with any offer, resale or other transfer of the new notes issued in the exchange offer,</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including information with respect to any selling holder required by the Securities Act in</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connection with any resale of the new notes.</w:t>
            </w:r>
          </w:p>
        </w:tc>
      </w:tr>
      <w:tr>
        <w:trPr>
          <w:trHeight w:val="297"/>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Furthermore, any broker-dealer that acquired any of its old notes directly from us:</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6"/>
              </w:rPr>
              <w:t>• may not rely on the applicable interpretation of the staff of the SEC’s position contained in</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Exxon Capital Holdings Corp., SEC no-action letter (publicly available May 13, 1988),</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5"/>
              </w:rPr>
              <w:t>Morgan Stanley &amp; Co. Incorporated, SEC no-action letter (publicly available June 5, 1991)</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and Shearman &amp; Sterling, SEC no-action letter (publicly available July 2, 1993); and</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1"/>
              </w:rPr>
              <w:t>• must also be named as a selling noteholder in connection with the registration and prospectus</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delivery requirements of the Securities Act relating to any resale transaction.</w:t>
            </w:r>
          </w:p>
        </w:tc>
      </w:tr>
      <w:tr>
        <w:trPr>
          <w:trHeight w:val="291"/>
        </w:trPr>
        <w:tc>
          <w:tcPr>
            <w:tcW w:w="28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Broker-Dealers</w:t>
            </w: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3"/>
              </w:rPr>
              <w:t>Each broker-dealer that receives new notes for its own account pursuant to the exchange offer</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5"/>
              </w:rPr>
              <w:t>must acknowledge that it will deliver a prospectus in connection with any resale of such new</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4"/>
              </w:rPr>
              <w:t>notes. The letter of transmittal states that by so acknowledging and delivering a prospectus, a</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5"/>
              </w:rPr>
              <w:t>broker-dealer will not be deemed to admit that it is an “underwriter” within the meaning of the</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2"/>
              </w:rPr>
              <w:t>Securities Act. This prospectus, as it may be amended or supplemented from time to time, may</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be used by a broker-</w:t>
            </w:r>
          </w:p>
        </w:tc>
      </w:tr>
      <w:tr>
        <w:trPr>
          <w:trHeight w:val="161"/>
        </w:trPr>
        <w:tc>
          <w:tcPr>
            <w:tcW w:w="2840" w:type="dxa"/>
            <w:vAlign w:val="bottom"/>
            <w:tcBorders>
              <w:left w:val="single" w:sz="8" w:color="auto"/>
              <w:bottom w:val="single" w:sz="8" w:color="auto"/>
            </w:tcBorders>
          </w:tcPr>
          <w:p>
            <w:pPr>
              <w:spacing w:after="0"/>
              <w:rPr>
                <w:sz w:val="13"/>
                <w:szCs w:val="13"/>
                <w:color w:val="auto"/>
              </w:rPr>
            </w:pPr>
          </w:p>
        </w:tc>
        <w:tc>
          <w:tcPr>
            <w:tcW w:w="8620" w:type="dxa"/>
            <w:vAlign w:val="bottom"/>
            <w:tcBorders>
              <w:bottom w:val="single" w:sz="8" w:color="auto"/>
              <w:right w:val="single" w:sz="8" w:color="auto"/>
            </w:tcBorders>
          </w:tcPr>
          <w:p>
            <w:pPr>
              <w:spacing w:after="0"/>
              <w:rPr>
                <w:sz w:val="13"/>
                <w:szCs w:val="13"/>
                <w:color w:val="auto"/>
              </w:rPr>
            </w:pPr>
          </w:p>
        </w:tc>
      </w:tr>
      <w:tr>
        <w:trPr>
          <w:trHeight w:val="359"/>
        </w:trPr>
        <w:tc>
          <w:tcPr>
            <w:tcW w:w="2840" w:type="dxa"/>
            <w:vAlign w:val="bottom"/>
          </w:tcPr>
          <w:p>
            <w:pPr>
              <w:spacing w:after="0"/>
              <w:rPr>
                <w:sz w:val="24"/>
                <w:szCs w:val="24"/>
                <w:color w:val="auto"/>
              </w:rPr>
            </w:pPr>
          </w:p>
        </w:tc>
        <w:tc>
          <w:tcPr>
            <w:tcW w:w="8620" w:type="dxa"/>
            <w:vAlign w:val="bottom"/>
          </w:tcPr>
          <w:p>
            <w:pPr>
              <w:ind w:left="284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55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3555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120"/>
        <w:spacing w:after="0" w:line="303" w:lineRule="auto"/>
        <w:rPr>
          <w:sz w:val="20"/>
          <w:szCs w:val="20"/>
          <w:color w:val="auto"/>
        </w:rPr>
      </w:pPr>
      <w:r>
        <w:rPr>
          <w:rFonts w:ascii="Arial" w:cs="Arial" w:eastAsia="Arial" w:hAnsi="Arial"/>
          <w:sz w:val="15"/>
          <w:szCs w:val="15"/>
          <w:color w:val="auto"/>
        </w:rPr>
        <w:t>dealer in connection with resales of new notes received in exchange for old notes which were received by the broker-dealer as a result of market-making or other trading activities. Under the registration rights agreement, we have agreed that for a period of up to the later of (i) 180 days following the 30th business day after the registration statement containing this prospectus is declared effective, and (ii) 180 days following the 10th business day after the exchange offer expires, we will make this prospectus available to any broker-dealer for use in connection with any such resale. See “Plan of Distribution” beginning on page 169 for more information.</w:t>
      </w:r>
    </w:p>
    <w:p>
      <w:pPr>
        <w:spacing w:after="0" w:line="2" w:lineRule="exact"/>
        <w:rPr>
          <w:sz w:val="20"/>
          <w:szCs w:val="20"/>
          <w:color w:val="auto"/>
        </w:rPr>
      </w:pPr>
    </w:p>
    <w:p>
      <w:pPr>
        <w:ind w:left="4400" w:hanging="4197"/>
        <w:spacing w:after="0" w:line="259" w:lineRule="auto"/>
        <w:tabs>
          <w:tab w:leader="none" w:pos="4380" w:val="left"/>
        </w:tabs>
        <w:rPr>
          <w:sz w:val="20"/>
          <w:szCs w:val="20"/>
          <w:color w:val="auto"/>
        </w:rPr>
      </w:pPr>
      <w:r>
        <w:rPr>
          <w:rFonts w:ascii="Arial" w:cs="Arial" w:eastAsia="Arial" w:hAnsi="Arial"/>
          <w:sz w:val="18"/>
          <w:szCs w:val="18"/>
          <w:color w:val="auto"/>
        </w:rPr>
        <w:t>Registration Rights Agreement for the old notes</w:t>
      </w:r>
      <w:r>
        <w:rPr>
          <w:sz w:val="20"/>
          <w:szCs w:val="20"/>
          <w:color w:val="auto"/>
        </w:rPr>
        <w:tab/>
      </w:r>
      <w:r>
        <w:rPr>
          <w:rFonts w:ascii="Arial" w:cs="Arial" w:eastAsia="Arial" w:hAnsi="Arial"/>
          <w:sz w:val="18"/>
          <w:szCs w:val="18"/>
          <w:color w:val="auto"/>
        </w:rPr>
        <w:t>When we issued the old notes on March 12, 2012, we entered into a registration rights agreement with the initial purchasers of the old notes. Under the terms of the registration rights agreement, we agreed to:</w:t>
      </w:r>
    </w:p>
    <w:p>
      <w:pPr>
        <w:spacing w:after="0" w:line="59" w:lineRule="exact"/>
        <w:rPr>
          <w:sz w:val="20"/>
          <w:szCs w:val="20"/>
          <w:color w:val="auto"/>
        </w:rPr>
      </w:pPr>
    </w:p>
    <w:p>
      <w:pPr>
        <w:ind w:left="4620" w:hanging="176"/>
        <w:spacing w:after="0"/>
        <w:tabs>
          <w:tab w:leader="none" w:pos="4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file the exchange offer registration statement with the SEC on or prior to October 8, 2012;</w:t>
      </w:r>
    </w:p>
    <w:p>
      <w:pPr>
        <w:spacing w:after="0" w:line="113" w:lineRule="exact"/>
        <w:rPr>
          <w:rFonts w:ascii="Arial" w:cs="Arial" w:eastAsia="Arial" w:hAnsi="Arial"/>
          <w:sz w:val="16"/>
          <w:szCs w:val="16"/>
          <w:color w:val="auto"/>
        </w:rPr>
      </w:pPr>
    </w:p>
    <w:p>
      <w:pPr>
        <w:ind w:left="4620" w:right="140" w:hanging="176"/>
        <w:spacing w:after="0" w:line="268" w:lineRule="auto"/>
        <w:tabs>
          <w:tab w:leader="none" w:pos="4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all commercially reasonable efforts to cause the exchange offer registration statement to be declared effective no later than January 6, 2013;</w:t>
      </w:r>
    </w:p>
    <w:p>
      <w:pPr>
        <w:spacing w:after="0" w:line="50" w:lineRule="exact"/>
        <w:rPr>
          <w:rFonts w:ascii="Arial" w:cs="Arial" w:eastAsia="Arial" w:hAnsi="Arial"/>
          <w:sz w:val="18"/>
          <w:szCs w:val="18"/>
          <w:color w:val="auto"/>
        </w:rPr>
      </w:pPr>
    </w:p>
    <w:p>
      <w:pPr>
        <w:jc w:val="both"/>
        <w:ind w:left="4620" w:hanging="176"/>
        <w:spacing w:after="0" w:line="306" w:lineRule="auto"/>
        <w:tabs>
          <w:tab w:leader="none" w:pos="4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use all commercially reasonable efforts to consummate the exchange offer within 30 business days after the date on which the exchange offer registration statement is declared effective, or, if later, within 10 business days after the exchange offer expires;</w:t>
      </w:r>
    </w:p>
    <w:p>
      <w:pPr>
        <w:spacing w:after="0" w:line="25" w:lineRule="exact"/>
        <w:rPr>
          <w:rFonts w:ascii="Arial" w:cs="Arial" w:eastAsia="Arial" w:hAnsi="Arial"/>
          <w:sz w:val="16"/>
          <w:szCs w:val="16"/>
          <w:color w:val="auto"/>
        </w:rPr>
      </w:pPr>
    </w:p>
    <w:p>
      <w:pPr>
        <w:ind w:left="4620" w:right="20" w:hanging="176"/>
        <w:spacing w:after="0" w:line="259" w:lineRule="auto"/>
        <w:tabs>
          <w:tab w:leader="none" w:pos="4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all commercially reasonable efforts to file a shelf registration statement for the resale of the old notes if we cannot effect an exchange offer within the time periods listed above and in certain other circumstances; and</w:t>
      </w:r>
    </w:p>
    <w:p>
      <w:pPr>
        <w:spacing w:after="0" w:line="59" w:lineRule="exact"/>
        <w:rPr>
          <w:rFonts w:ascii="Arial" w:cs="Arial" w:eastAsia="Arial" w:hAnsi="Arial"/>
          <w:sz w:val="18"/>
          <w:szCs w:val="18"/>
          <w:color w:val="auto"/>
        </w:rPr>
      </w:pPr>
    </w:p>
    <w:p>
      <w:pPr>
        <w:ind w:left="4620" w:right="140" w:hanging="176"/>
        <w:spacing w:after="0" w:line="290" w:lineRule="auto"/>
        <w:tabs>
          <w:tab w:leader="none" w:pos="4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fail to meet our registration obligations, we will pay liquidated damages in an amount equal to $0.05 per week per $1,000 of the principal amount of old notes held by a holder for each day that we default on our registration obligations during the first 90-day period immediately following the occurrence of such default, increasing by an additional $0.05 per week per $1,000 of the principal amount of old notes for each subsequent 90-day period our registration obligations are not met, up to a maximum of liquidated damages equal to $0.50 per week per $1,000 of the principal amount of old notes.</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77" w:lineRule="exact"/>
        <w:rPr>
          <w:sz w:val="20"/>
          <w:szCs w:val="20"/>
          <w:color w:val="auto"/>
        </w:rPr>
      </w:pPr>
    </w:p>
    <w:p>
      <w:pPr>
        <w:ind w:left="200" w:right="200" w:firstLine="443"/>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51" w:lineRule="exact"/>
        <w:rPr>
          <w:sz w:val="20"/>
          <w:szCs w:val="20"/>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356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8356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20" w:firstLine="443"/>
        <w:spacing w:after="0" w:line="298" w:lineRule="auto"/>
        <w:rPr>
          <w:sz w:val="20"/>
          <w:szCs w:val="20"/>
          <w:color w:val="auto"/>
        </w:rPr>
      </w:pPr>
      <w:r>
        <w:rPr>
          <w:rFonts w:ascii="Arial" w:cs="Arial" w:eastAsia="Arial" w:hAnsi="Arial"/>
          <w:sz w:val="16"/>
          <w:szCs w:val="16"/>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such holders. For more information regarding the consequences of not tendering your old notes, see “The Exchange Offer—Consequences of Exchanging or Failing to Exchange Old Notes.”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Notes</w:t>
      </w:r>
    </w:p>
    <w:p>
      <w:pPr>
        <w:spacing w:after="0" w:line="177"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The terms of the new notes and those of the old notes are substantially identical, except that the transfer restrictions, registration rights and liquidated damages provisions relating to the old notes do not apply to the new notes. For a more complete understanding of the new notes, see “Description of the New Notes” in this prospectus.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311"/>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tcPr>
          <w:p>
            <w:pPr>
              <w:ind w:left="1280"/>
              <w:spacing w:after="0"/>
              <w:rPr>
                <w:sz w:val="20"/>
                <w:szCs w:val="20"/>
                <w:color w:val="auto"/>
              </w:rPr>
            </w:pPr>
            <w:r>
              <w:rPr>
                <w:rFonts w:ascii="Arial" w:cs="Arial" w:eastAsia="Arial" w:hAnsi="Arial"/>
                <w:sz w:val="18"/>
                <w:szCs w:val="18"/>
                <w:color w:val="auto"/>
              </w:rPr>
              <w:t>$900,000,000 aggregate principal amount of 5.375% First Mortgage Notes due 2022.</w:t>
            </w:r>
          </w:p>
        </w:tc>
      </w:tr>
      <w:tr>
        <w:trPr>
          <w:trHeight w:val="311"/>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tcPr>
          <w:p>
            <w:pPr>
              <w:ind w:left="1280"/>
              <w:spacing w:after="0"/>
              <w:rPr>
                <w:sz w:val="20"/>
                <w:szCs w:val="20"/>
                <w:color w:val="auto"/>
              </w:rPr>
            </w:pPr>
            <w:r>
              <w:rPr>
                <w:rFonts w:ascii="Arial" w:cs="Arial" w:eastAsia="Arial" w:hAnsi="Arial"/>
                <w:sz w:val="18"/>
                <w:szCs w:val="18"/>
                <w:color w:val="auto"/>
              </w:rPr>
              <w:t>March 15, 2022.</w:t>
            </w:r>
          </w:p>
        </w:tc>
      </w:tr>
      <w:tr>
        <w:trPr>
          <w:trHeight w:val="304"/>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tcPr>
          <w:p>
            <w:pPr>
              <w:ind w:left="1280"/>
              <w:spacing w:after="0"/>
              <w:rPr>
                <w:sz w:val="20"/>
                <w:szCs w:val="20"/>
                <w:color w:val="auto"/>
              </w:rPr>
            </w:pPr>
            <w:r>
              <w:rPr>
                <w:rFonts w:ascii="Arial" w:cs="Arial" w:eastAsia="Arial" w:hAnsi="Arial"/>
                <w:sz w:val="18"/>
                <w:szCs w:val="18"/>
                <w:color w:val="auto"/>
                <w:w w:val="91"/>
              </w:rPr>
              <w:t>None; however, under certain circumstances, as further described under “Description of the New</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Notes—Release and Reinstatement of Liens and Guarantees,” certain of our restricted</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subsidiaries may be required to provide guarantees of the new notes.</w:t>
            </w:r>
          </w:p>
        </w:tc>
      </w:tr>
      <w:tr>
        <w:trPr>
          <w:trHeight w:val="297"/>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tcPr>
          <w:p>
            <w:pPr>
              <w:ind w:left="1280"/>
              <w:spacing w:after="0"/>
              <w:rPr>
                <w:sz w:val="20"/>
                <w:szCs w:val="20"/>
                <w:color w:val="auto"/>
              </w:rPr>
            </w:pPr>
            <w:r>
              <w:rPr>
                <w:rFonts w:ascii="Arial" w:cs="Arial" w:eastAsia="Arial" w:hAnsi="Arial"/>
                <w:sz w:val="18"/>
                <w:szCs w:val="18"/>
                <w:color w:val="auto"/>
              </w:rPr>
              <w:t>5.375% per year.</w:t>
            </w:r>
          </w:p>
        </w:tc>
      </w:tr>
      <w:tr>
        <w:trPr>
          <w:trHeight w:val="311"/>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tcPr>
          <w:p>
            <w:pPr>
              <w:ind w:left="1280"/>
              <w:spacing w:after="0"/>
              <w:rPr>
                <w:sz w:val="20"/>
                <w:szCs w:val="20"/>
                <w:color w:val="auto"/>
              </w:rPr>
            </w:pPr>
            <w:r>
              <w:rPr>
                <w:rFonts w:ascii="Arial" w:cs="Arial" w:eastAsia="Arial" w:hAnsi="Arial"/>
                <w:sz w:val="18"/>
                <w:szCs w:val="18"/>
                <w:color w:val="auto"/>
              </w:rPr>
              <w:t>March 15 and September 15 of each year, beginning on September 15, 2012.</w:t>
            </w:r>
          </w:p>
        </w:tc>
      </w:tr>
      <w:tr>
        <w:trPr>
          <w:trHeight w:val="311"/>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tcPr>
          <w:p>
            <w:pPr>
              <w:ind w:left="1280"/>
              <w:spacing w:after="0"/>
              <w:rPr>
                <w:sz w:val="20"/>
                <w:szCs w:val="20"/>
                <w:color w:val="auto"/>
              </w:rPr>
            </w:pPr>
            <w:r>
              <w:rPr>
                <w:rFonts w:ascii="Arial" w:cs="Arial" w:eastAsia="Arial" w:hAnsi="Arial"/>
                <w:sz w:val="18"/>
                <w:szCs w:val="18"/>
                <w:color w:val="auto"/>
              </w:rPr>
              <w:t>The new notes:</w:t>
            </w:r>
          </w:p>
        </w:tc>
      </w:tr>
      <w:tr>
        <w:trPr>
          <w:trHeight w:val="31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rPr>
              <w:t>• will be general obligations of the Issuers;</w:t>
            </w:r>
          </w:p>
        </w:tc>
      </w:tr>
      <w:tr>
        <w:trPr>
          <w:trHeight w:val="29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w w:val="92"/>
              </w:rPr>
              <w:t>• will be unsecured (except by the Holdings pledge, which pledge also secures the 2017 notes,</w:t>
            </w:r>
          </w:p>
        </w:tc>
      </w:tr>
      <w:tr>
        <w:trPr>
          <w:trHeight w:val="222"/>
        </w:trPr>
        <w:tc>
          <w:tcPr>
            <w:tcW w:w="3120" w:type="dxa"/>
            <w:vAlign w:val="bottom"/>
          </w:tcPr>
          <w:p>
            <w:pPr>
              <w:spacing w:after="0"/>
              <w:rPr>
                <w:sz w:val="19"/>
                <w:szCs w:val="19"/>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w:t>
            </w:r>
          </w:p>
        </w:tc>
      </w:tr>
      <w:tr>
        <w:trPr>
          <w:trHeight w:val="29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w w:val="98"/>
              </w:rPr>
              <w:t>• will rank pari passu in right of payment with all other senior indebtedness of the Issuers,</w:t>
            </w:r>
          </w:p>
        </w:tc>
      </w:tr>
      <w:tr>
        <w:trPr>
          <w:trHeight w:val="216"/>
        </w:trPr>
        <w:tc>
          <w:tcPr>
            <w:tcW w:w="3120" w:type="dxa"/>
            <w:vAlign w:val="bottom"/>
          </w:tcPr>
          <w:p>
            <w:pPr>
              <w:spacing w:after="0"/>
              <w:rPr>
                <w:sz w:val="18"/>
                <w:szCs w:val="18"/>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w w:val="96"/>
              </w:rPr>
              <w:t xml:space="preserve">including the 2017 notes, the 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1"/>
                <w:szCs w:val="11"/>
                <w:color w:val="auto"/>
                <w:w w:val="96"/>
              </w:rPr>
              <w:t>8</w:t>
            </w:r>
            <w:r>
              <w:rPr>
                <w:rFonts w:ascii="Arial" w:cs="Arial" w:eastAsia="Arial" w:hAnsi="Arial"/>
                <w:sz w:val="18"/>
                <w:szCs w:val="18"/>
                <w:color w:val="auto"/>
                <w:w w:val="96"/>
              </w:rPr>
              <w:t xml:space="preserve">% 2020 notes, the 7 </w:t>
            </w:r>
            <w:r>
              <w:rPr>
                <w:rFonts w:ascii="Arial" w:cs="Arial" w:eastAsia="Arial" w:hAnsi="Arial"/>
                <w:sz w:val="11"/>
                <w:szCs w:val="11"/>
                <w:color w:val="auto"/>
                <w:w w:val="96"/>
              </w:rPr>
              <w:t>3</w:t>
            </w:r>
            <w:r>
              <w:rPr>
                <w:rFonts w:ascii="Arial" w:cs="Arial" w:eastAsia="Arial" w:hAnsi="Arial"/>
                <w:sz w:val="18"/>
                <w:szCs w:val="18"/>
                <w:color w:val="auto"/>
                <w:w w:val="96"/>
              </w:rPr>
              <w:t>/</w:t>
            </w:r>
            <w:r>
              <w:rPr>
                <w:rFonts w:ascii="Arial" w:cs="Arial" w:eastAsia="Arial" w:hAnsi="Arial"/>
                <w:sz w:val="11"/>
                <w:szCs w:val="11"/>
                <w:color w:val="auto"/>
                <w:w w:val="96"/>
              </w:rPr>
              <w:t>4</w:t>
            </w:r>
            <w:r>
              <w:rPr>
                <w:rFonts w:ascii="Arial" w:cs="Arial" w:eastAsia="Arial" w:hAnsi="Arial"/>
                <w:sz w:val="18"/>
                <w:szCs w:val="18"/>
                <w:color w:val="auto"/>
                <w:w w:val="96"/>
              </w:rPr>
              <w:t>% 2020 notes and the old notes,</w:t>
            </w:r>
          </w:p>
        </w:tc>
      </w:tr>
      <w:tr>
        <w:trPr>
          <w:trHeight w:val="222"/>
        </w:trPr>
        <w:tc>
          <w:tcPr>
            <w:tcW w:w="3120" w:type="dxa"/>
            <w:vAlign w:val="bottom"/>
          </w:tcPr>
          <w:p>
            <w:pPr>
              <w:spacing w:after="0"/>
              <w:rPr>
                <w:sz w:val="19"/>
                <w:szCs w:val="19"/>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rPr>
              <w:t>without giving effect to collateral arrangements;</w:t>
            </w:r>
          </w:p>
        </w:tc>
      </w:tr>
      <w:tr>
        <w:trPr>
          <w:trHeight w:val="29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w w:val="92"/>
              </w:rPr>
              <w:t>• will be effectively subordinated to any secured indebtedness of the Issuers to the extent of the</w:t>
            </w:r>
          </w:p>
        </w:tc>
      </w:tr>
      <w:tr>
        <w:trPr>
          <w:trHeight w:val="222"/>
        </w:trPr>
        <w:tc>
          <w:tcPr>
            <w:tcW w:w="3120" w:type="dxa"/>
            <w:vAlign w:val="bottom"/>
          </w:tcPr>
          <w:p>
            <w:pPr>
              <w:spacing w:after="0"/>
              <w:rPr>
                <w:sz w:val="19"/>
                <w:szCs w:val="19"/>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rPr>
              <w:t>value of the Issuers’ assets securing such indebtedness;</w:t>
            </w:r>
          </w:p>
        </w:tc>
      </w:tr>
      <w:tr>
        <w:trPr>
          <w:trHeight w:val="29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rPr>
              <w:t>• will rank senior in right of payment to the obligations of the Issuers with respect to any</w:t>
            </w:r>
          </w:p>
        </w:tc>
      </w:tr>
      <w:tr>
        <w:trPr>
          <w:trHeight w:val="222"/>
        </w:trPr>
        <w:tc>
          <w:tcPr>
            <w:tcW w:w="3120" w:type="dxa"/>
            <w:vAlign w:val="bottom"/>
          </w:tcPr>
          <w:p>
            <w:pPr>
              <w:spacing w:after="0"/>
              <w:rPr>
                <w:sz w:val="19"/>
                <w:szCs w:val="19"/>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rPr>
              <w:t>indebtedness subordinated to the notes; and</w:t>
            </w:r>
          </w:p>
        </w:tc>
      </w:tr>
      <w:tr>
        <w:trPr>
          <w:trHeight w:val="29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w w:val="94"/>
              </w:rPr>
              <w:t>• will be structurally subordinated to any indebtedness and other liabilities, including preferred</w:t>
            </w:r>
          </w:p>
        </w:tc>
      </w:tr>
      <w:tr>
        <w:trPr>
          <w:trHeight w:val="222"/>
        </w:trPr>
        <w:tc>
          <w:tcPr>
            <w:tcW w:w="3120" w:type="dxa"/>
            <w:vAlign w:val="bottom"/>
          </w:tcPr>
          <w:p>
            <w:pPr>
              <w:spacing w:after="0"/>
              <w:rPr>
                <w:sz w:val="19"/>
                <w:szCs w:val="19"/>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rPr>
              <w:t>stock, of any of our subsidiaries.</w:t>
            </w:r>
          </w:p>
        </w:tc>
      </w:tr>
      <w:tr>
        <w:trPr>
          <w:trHeight w:val="291"/>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3"/>
              </w:rPr>
              <w:t>As of June 30, 2012, the Issuers’ subsidiaries had approximately $34.7 million of indebtedness</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5"/>
              </w:rPr>
              <w:t>and other liabilities, to which the new notes will be structurally subordinated. As of the date of</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this</w:t>
            </w:r>
          </w:p>
        </w:tc>
      </w:tr>
      <w:tr>
        <w:trPr>
          <w:trHeight w:val="161"/>
        </w:trPr>
        <w:tc>
          <w:tcPr>
            <w:tcW w:w="31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8340" w:type="dxa"/>
            <w:vAlign w:val="bottom"/>
          </w:tcPr>
          <w:p>
            <w:pPr>
              <w:ind w:left="256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20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gridSpan w:val="2"/>
          </w:tcPr>
          <w:p>
            <w:pPr>
              <w:ind w:left="200"/>
              <w:spacing w:after="0"/>
              <w:rPr>
                <w:sz w:val="20"/>
                <w:szCs w:val="20"/>
                <w:color w:val="auto"/>
              </w:rPr>
            </w:pPr>
            <w:r>
              <w:rPr>
                <w:rFonts w:ascii="Arial" w:cs="Arial" w:eastAsia="Arial" w:hAnsi="Arial"/>
                <w:sz w:val="18"/>
                <w:szCs w:val="18"/>
                <w:color w:val="auto"/>
                <w:w w:val="89"/>
              </w:rPr>
              <w:t xml:space="preserve">prospectus, the Issuers have no secured indebtedness (other than the 2017 notes, the 7 </w:t>
            </w:r>
            <w:r>
              <w:rPr>
                <w:rFonts w:ascii="Arial" w:cs="Arial" w:eastAsia="Arial" w:hAnsi="Arial"/>
                <w:sz w:val="11"/>
                <w:szCs w:val="11"/>
                <w:color w:val="auto"/>
                <w:w w:val="89"/>
              </w:rPr>
              <w:t>7</w:t>
            </w:r>
            <w:r>
              <w:rPr>
                <w:rFonts w:ascii="Arial" w:cs="Arial" w:eastAsia="Arial" w:hAnsi="Arial"/>
                <w:sz w:val="18"/>
                <w:szCs w:val="18"/>
                <w:color w:val="auto"/>
                <w:w w:val="89"/>
              </w:rPr>
              <w:t>/</w:t>
            </w:r>
            <w:r>
              <w:rPr>
                <w:rFonts w:ascii="Arial" w:cs="Arial" w:eastAsia="Arial" w:hAnsi="Arial"/>
                <w:sz w:val="11"/>
                <w:szCs w:val="11"/>
                <w:color w:val="auto"/>
                <w:w w:val="89"/>
              </w:rPr>
              <w:t>8</w:t>
            </w:r>
            <w:r>
              <w:rPr>
                <w:rFonts w:ascii="Arial" w:cs="Arial" w:eastAsia="Arial" w:hAnsi="Arial"/>
                <w:sz w:val="18"/>
                <w:szCs w:val="18"/>
                <w:color w:val="auto"/>
                <w:w w:val="89"/>
              </w:rPr>
              <w:t>% 2020</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0"/>
              </w:rPr>
              <w:t xml:space="preserve">notes, the 7 </w:t>
            </w:r>
            <w:r>
              <w:rPr>
                <w:rFonts w:ascii="Arial" w:cs="Arial" w:eastAsia="Arial" w:hAnsi="Arial"/>
                <w:sz w:val="11"/>
                <w:szCs w:val="11"/>
                <w:color w:val="auto"/>
                <w:w w:val="90"/>
              </w:rPr>
              <w:t>3</w:t>
            </w:r>
            <w:r>
              <w:rPr>
                <w:rFonts w:ascii="Arial" w:cs="Arial" w:eastAsia="Arial" w:hAnsi="Arial"/>
                <w:sz w:val="18"/>
                <w:szCs w:val="18"/>
                <w:color w:val="auto"/>
                <w:w w:val="90"/>
              </w:rPr>
              <w:t>/</w:t>
            </w:r>
            <w:r>
              <w:rPr>
                <w:rFonts w:ascii="Arial" w:cs="Arial" w:eastAsia="Arial" w:hAnsi="Arial"/>
                <w:sz w:val="11"/>
                <w:szCs w:val="11"/>
                <w:color w:val="auto"/>
                <w:w w:val="90"/>
              </w:rPr>
              <w:t>4</w:t>
            </w:r>
            <w:r>
              <w:rPr>
                <w:rFonts w:ascii="Arial" w:cs="Arial" w:eastAsia="Arial" w:hAnsi="Arial"/>
                <w:sz w:val="18"/>
                <w:szCs w:val="18"/>
                <w:color w:val="auto"/>
                <w:w w:val="90"/>
              </w:rPr>
              <w:t>% 2020 notes and the notes, each of which is secured only by the Holdings pledge,</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and capital leases).</w:t>
            </w:r>
          </w:p>
        </w:tc>
      </w:tr>
      <w:tr>
        <w:trPr>
          <w:trHeight w:val="304"/>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Security</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9"/>
              </w:rPr>
              <w:t>None (except for the Holdings pledge); however, under certain circumstances, as further</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7"/>
              </w:rPr>
              <w:t>described under “Description of the New Notes—Release and Reinstatement of Liens and</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Guarantees,” we may be required in the future to grant liens to secure the new notes.</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Optional Redemption after Qualified Equity Offerings</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3"/>
              </w:rPr>
              <w:t>At any time prior to March 15, 2015, we may, on one or more occasions, redeem up to 35% of</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7"/>
              </w:rPr>
              <w:t>the outstanding new notes at a redemption price of 105.375% of the principal amount, plus</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1"/>
              </w:rPr>
              <w:t>accrued and unpaid interest, with the net cash proceeds of one or more qualified equity offerings</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 xml:space="preserve">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w w:val="92"/>
              </w:rPr>
              <w:t>• at least 65% of the aggregate principal amount of notes issued under the indenture governing</w:t>
            </w:r>
          </w:p>
        </w:tc>
      </w:tr>
      <w:tr>
        <w:trPr>
          <w:trHeight w:val="222"/>
        </w:trPr>
        <w:tc>
          <w:tcPr>
            <w:tcW w:w="4200" w:type="dxa"/>
            <w:vAlign w:val="bottom"/>
            <w:tcBorders>
              <w:lef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the notes remains outstanding immediately after the occurrence of such redemption; and</w:t>
            </w:r>
          </w:p>
        </w:tc>
      </w:tr>
      <w:tr>
        <w:trPr>
          <w:trHeight w:val="297"/>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the redemption occurs within 60 days of the closing of the qualified equity offering.</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3"/>
              </w:rPr>
              <w:t>Except pursuant to a qualified equity offering, we cannot redeem the new notes until March 15,</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4"/>
              </w:rPr>
              <w:t>2017. On or after March 15, 2017, we may redeem some or all of the new notes at a premium</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declining ratably to zero, plus accrued and unpaid interest.</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Gaming Redemption</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The new notes will be subject to redemption requirements imposed by gaming laws and</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Change of Control Offer</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9"/>
              </w:rPr>
              <w:t>If a change of control occurs, we must offer to repurchase the new notes at 101% of their</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principal amount, plus accrued and unpaid interest.</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Asset Sales and Events of Loss</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1"/>
              </w:rPr>
              <w:t>If we or any of our restricted subsidiaries sell certain assets or experience certain events of loss,</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2"/>
              </w:rPr>
              <w:t xml:space="preserve">we may be required to offer to repurchase the notes, the 2017 notes, the 7 </w:t>
            </w:r>
            <w:r>
              <w:rPr>
                <w:rFonts w:ascii="Arial" w:cs="Arial" w:eastAsia="Arial" w:hAnsi="Arial"/>
                <w:sz w:val="11"/>
                <w:szCs w:val="11"/>
                <w:color w:val="auto"/>
                <w:w w:val="92"/>
              </w:rPr>
              <w:t>7</w:t>
            </w:r>
            <w:r>
              <w:rPr>
                <w:rFonts w:ascii="Arial" w:cs="Arial" w:eastAsia="Arial" w:hAnsi="Arial"/>
                <w:sz w:val="18"/>
                <w:szCs w:val="18"/>
                <w:color w:val="auto"/>
                <w:w w:val="92"/>
              </w:rPr>
              <w:t>/</w:t>
            </w:r>
            <w:r>
              <w:rPr>
                <w:rFonts w:ascii="Arial" w:cs="Arial" w:eastAsia="Arial" w:hAnsi="Arial"/>
                <w:sz w:val="11"/>
                <w:szCs w:val="11"/>
                <w:color w:val="auto"/>
                <w:w w:val="92"/>
              </w:rPr>
              <w:t>8</w:t>
            </w:r>
            <w:r>
              <w:rPr>
                <w:rFonts w:ascii="Arial" w:cs="Arial" w:eastAsia="Arial" w:hAnsi="Arial"/>
                <w:sz w:val="18"/>
                <w:szCs w:val="18"/>
                <w:color w:val="auto"/>
                <w:w w:val="92"/>
              </w:rPr>
              <w:t>% 2020 notes, the</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repay indebtedness under any credit facility on a pro rata basis.</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Indenture Provisions</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The indenture governing the notes contains covenants restricting our and our restricted</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subsidiaries’ ability to:</w:t>
            </w:r>
          </w:p>
        </w:tc>
      </w:tr>
      <w:tr>
        <w:trPr>
          <w:trHeight w:val="297"/>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pay dividends or distributions or repurchase equity;</w:t>
            </w:r>
          </w:p>
        </w:tc>
      </w:tr>
      <w:tr>
        <w:trPr>
          <w:trHeight w:val="297"/>
        </w:trPr>
        <w:tc>
          <w:tcPr>
            <w:tcW w:w="4200" w:type="dxa"/>
            <w:vAlign w:val="bottom"/>
            <w:tcBorders>
              <w:left w:val="single" w:sz="8" w:color="auto"/>
            </w:tcBorders>
          </w:tcPr>
          <w:p>
            <w:pPr>
              <w:spacing w:after="0"/>
              <w:rPr>
                <w:sz w:val="24"/>
                <w:szCs w:val="24"/>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6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incur additional debt;</w:t>
            </w:r>
          </w:p>
        </w:tc>
      </w:tr>
      <w:tr>
        <w:trPr>
          <w:trHeight w:val="297"/>
        </w:trPr>
        <w:tc>
          <w:tcPr>
            <w:tcW w:w="4200" w:type="dxa"/>
            <w:vAlign w:val="bottom"/>
            <w:tcBorders>
              <w:left w:val="single" w:sz="8" w:color="auto"/>
            </w:tcBorders>
          </w:tcPr>
          <w:p>
            <w:pPr>
              <w:spacing w:after="0"/>
              <w:rPr>
                <w:sz w:val="24"/>
                <w:szCs w:val="24"/>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6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make investments;</w:t>
            </w:r>
          </w:p>
        </w:tc>
      </w:tr>
      <w:tr>
        <w:trPr>
          <w:trHeight w:val="297"/>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create liens on assets to secure debt;</w:t>
            </w:r>
          </w:p>
        </w:tc>
      </w:tr>
      <w:tr>
        <w:trPr>
          <w:trHeight w:val="297"/>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enter into transactions with affiliates;</w:t>
            </w:r>
          </w:p>
        </w:tc>
      </w:tr>
      <w:tr>
        <w:trPr>
          <w:trHeight w:val="297"/>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issue stock of, or member’s interests in, subsidiaries;</w:t>
            </w:r>
          </w:p>
        </w:tc>
      </w:tr>
      <w:tr>
        <w:trPr>
          <w:trHeight w:val="161"/>
        </w:trPr>
        <w:tc>
          <w:tcPr>
            <w:tcW w:w="4200" w:type="dxa"/>
            <w:vAlign w:val="bottom"/>
            <w:tcBorders>
              <w:left w:val="single" w:sz="8" w:color="auto"/>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900" w:type="dxa"/>
            <w:vAlign w:val="bottom"/>
            <w:tcBorders>
              <w:bottom w:val="single" w:sz="8" w:color="auto"/>
              <w:right w:val="single" w:sz="8" w:color="auto"/>
            </w:tcBorders>
          </w:tcPr>
          <w:p>
            <w:pPr>
              <w:spacing w:after="0"/>
              <w:rPr>
                <w:sz w:val="13"/>
                <w:szCs w:val="13"/>
                <w:color w:val="auto"/>
              </w:rPr>
            </w:pPr>
          </w:p>
        </w:tc>
      </w:tr>
      <w:tr>
        <w:trPr>
          <w:trHeight w:val="359"/>
        </w:trPr>
        <w:tc>
          <w:tcPr>
            <w:tcW w:w="4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00" w:type="dxa"/>
            <w:vAlign w:val="bottom"/>
          </w:tcPr>
          <w:p>
            <w:pPr>
              <w:jc w:val="right"/>
              <w:ind w:right="5612"/>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2860" w:type="dxa"/>
            <w:vAlign w:val="bottom"/>
            <w:tcBorders>
              <w:top w:val="single" w:sz="8" w:color="auto"/>
              <w:left w:val="single" w:sz="8" w:color="auto"/>
            </w:tcBorders>
          </w:tcPr>
          <w:p>
            <w:pPr>
              <w:spacing w:after="0"/>
              <w:rPr>
                <w:sz w:val="24"/>
                <w:szCs w:val="24"/>
                <w:color w:val="auto"/>
              </w:rPr>
            </w:pPr>
          </w:p>
        </w:tc>
        <w:tc>
          <w:tcPr>
            <w:tcW w:w="8600" w:type="dxa"/>
            <w:vAlign w:val="bottom"/>
            <w:tcBorders>
              <w:top w:val="single" w:sz="8" w:color="auto"/>
              <w:right w:val="single" w:sz="8" w:color="auto"/>
            </w:tcBorders>
          </w:tcPr>
          <w:p>
            <w:pPr>
              <w:ind w:left="1580"/>
              <w:spacing w:after="0"/>
              <w:rPr>
                <w:sz w:val="20"/>
                <w:szCs w:val="20"/>
                <w:color w:val="auto"/>
              </w:rPr>
            </w:pPr>
            <w:r>
              <w:rPr>
                <w:rFonts w:ascii="Arial" w:cs="Arial" w:eastAsia="Arial" w:hAnsi="Arial"/>
                <w:sz w:val="18"/>
                <w:szCs w:val="18"/>
                <w:color w:val="auto"/>
              </w:rPr>
              <w:t>• enter into sale-leaseback transactions;</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engage in other businesses;</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merge or consolidate with another company;</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transfer and sell assets;</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issue disqualified stock;</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create dividend and other payment restrictions affecting subsidiaries; and</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designate restricted and unrestricted subsidiaries.</w:t>
            </w:r>
          </w:p>
        </w:tc>
      </w:tr>
      <w:tr>
        <w:trPr>
          <w:trHeight w:val="297"/>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New notes issued in book-entry form will be issued to Cede &amp; Co. as nominee of DTC.</w:t>
            </w:r>
          </w:p>
        </w:tc>
      </w:tr>
      <w:tr>
        <w:trPr>
          <w:trHeight w:val="311"/>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laws of the State of New York.</w:t>
            </w:r>
          </w:p>
        </w:tc>
      </w:tr>
      <w:tr>
        <w:trPr>
          <w:trHeight w:val="304"/>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2"/>
              </w:rPr>
              <w:t>You should refer to the section entitled “Risk Factors,” beginning on page 11, for a discussion of</w:t>
            </w:r>
          </w:p>
        </w:tc>
      </w:tr>
      <w:tr>
        <w:trPr>
          <w:trHeight w:val="222"/>
        </w:trPr>
        <w:tc>
          <w:tcPr>
            <w:tcW w:w="2860" w:type="dxa"/>
            <w:vAlign w:val="bottom"/>
            <w:tcBorders>
              <w:left w:val="single" w:sz="8" w:color="auto"/>
            </w:tcBorders>
          </w:tcPr>
          <w:p>
            <w:pPr>
              <w:spacing w:after="0"/>
              <w:rPr>
                <w:sz w:val="19"/>
                <w:szCs w:val="19"/>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certain risks involved in investing in the new notes.</w:t>
            </w:r>
          </w:p>
        </w:tc>
      </w:tr>
      <w:tr>
        <w:trPr>
          <w:trHeight w:val="161"/>
        </w:trPr>
        <w:tc>
          <w:tcPr>
            <w:tcW w:w="2860" w:type="dxa"/>
            <w:vAlign w:val="bottom"/>
            <w:tcBorders>
              <w:left w:val="single" w:sz="8" w:color="auto"/>
              <w:bottom w:val="single" w:sz="8" w:color="auto"/>
            </w:tcBorders>
          </w:tcPr>
          <w:p>
            <w:pPr>
              <w:spacing w:after="0"/>
              <w:rPr>
                <w:sz w:val="13"/>
                <w:szCs w:val="13"/>
                <w:color w:val="auto"/>
              </w:rPr>
            </w:pPr>
          </w:p>
        </w:tc>
        <w:tc>
          <w:tcPr>
            <w:tcW w:w="8600" w:type="dxa"/>
            <w:vAlign w:val="bottom"/>
            <w:tcBorders>
              <w:bottom w:val="single" w:sz="8" w:color="auto"/>
              <w:right w:val="single" w:sz="8" w:color="auto"/>
            </w:tcBorders>
          </w:tcPr>
          <w:p>
            <w:pPr>
              <w:spacing w:after="0"/>
              <w:rPr>
                <w:sz w:val="13"/>
                <w:szCs w:val="13"/>
                <w:color w:val="auto"/>
              </w:rPr>
            </w:pPr>
          </w:p>
        </w:tc>
      </w:tr>
      <w:tr>
        <w:trPr>
          <w:trHeight w:val="359"/>
        </w:trPr>
        <w:tc>
          <w:tcPr>
            <w:tcW w:w="2860" w:type="dxa"/>
            <w:vAlign w:val="bottom"/>
          </w:tcPr>
          <w:p>
            <w:pPr>
              <w:spacing w:after="0"/>
              <w:rPr>
                <w:sz w:val="24"/>
                <w:szCs w:val="24"/>
                <w:color w:val="auto"/>
              </w:rPr>
            </w:pPr>
          </w:p>
        </w:tc>
        <w:tc>
          <w:tcPr>
            <w:tcW w:w="8600" w:type="dxa"/>
            <w:vAlign w:val="bottom"/>
          </w:tcPr>
          <w:p>
            <w:pPr>
              <w:ind w:left="276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new notes could decline substantially, and you may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a substantial amount of consolidated debt in relation to our equity. As of June 30, 2012, we had total outstanding debt of approximately $3.1 billion. In addition, our indentures permit us to incur additional indebtedness in the future if certain conditions are met. Our substantial indebtedness could have important consequences. For example:</w:t>
      </w:r>
    </w:p>
    <w:p>
      <w:pPr>
        <w:spacing w:after="0" w:line="59" w:lineRule="exact"/>
        <w:rPr>
          <w:sz w:val="20"/>
          <w:szCs w:val="20"/>
          <w:color w:val="auto"/>
        </w:rPr>
      </w:pPr>
    </w:p>
    <w:p>
      <w:pPr>
        <w:ind w:left="9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the right to petition a court to appoint a receiver for us or for substantially all of our assets;</w:t>
      </w:r>
    </w:p>
    <w:p>
      <w:pPr>
        <w:spacing w:after="0" w:line="59" w:lineRule="exact"/>
        <w:rPr>
          <w:rFonts w:ascii="Arial" w:cs="Arial" w:eastAsia="Arial" w:hAnsi="Arial"/>
          <w:sz w:val="18"/>
          <w:szCs w:val="18"/>
          <w:color w:val="auto"/>
        </w:rPr>
      </w:pPr>
    </w:p>
    <w:p>
      <w:pPr>
        <w:ind w:left="900" w:right="100" w:hanging="325"/>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to service and amortize our Wynn Las Vegas indebtedness, which will reduce the amount of available cash, if any, to fund working capital, other capital expenditures and other general corporate purposes, and may give us greater exposure to the current adverse economic and industry conditions;</w:t>
      </w:r>
    </w:p>
    <w:p>
      <w:pPr>
        <w:spacing w:after="0" w:line="25" w:lineRule="exact"/>
        <w:rPr>
          <w:rFonts w:ascii="Arial" w:cs="Arial" w:eastAsia="Arial" w:hAnsi="Arial"/>
          <w:sz w:val="16"/>
          <w:szCs w:val="16"/>
          <w:color w:val="auto"/>
        </w:rPr>
      </w:pPr>
    </w:p>
    <w:p>
      <w:pPr>
        <w:ind w:left="900" w:right="2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and high unemployment due to the current adverse economic and industry conditions, and could fail to generate sufficient cash to fund our liquidity needs and/or fail to satisfy the financial and other restrictive covenants to which we are subject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61"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 and</w:t>
      </w:r>
    </w:p>
    <w:p>
      <w:pPr>
        <w:spacing w:after="0" w:line="5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if we fail to pay our debts generally as they become due, unsecured creditors that we fail to pay may initiate involuntary bankruptcy proceedings against us, subject to the requirements of the United States Bankruptcy Code, as amended (the “Bankruptcy Code”), and such bankruptcy proceedings will delay or impair the repayment of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w:t>
      </w:r>
    </w:p>
    <w:p>
      <w:pPr>
        <w:spacing w:after="0" w:line="107"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Under the terms of the indentures governing the notes, we may, subject to certain limitations, be permitted to incur additional indebtedness, including secured and unsecured senior and subordinated indebtedness. If we incur additional indebtedness, the risks described above will be exacerbated.</w:t>
      </w:r>
    </w:p>
    <w:p>
      <w:pPr>
        <w:spacing w:after="0" w:line="6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various rating agencies provide us or Wynn Resorts with a credit rating or ratings outlook. Any adverse rating agency actions could make it more difficult for us to obtain additional financing on acceptable terms.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indentures contain certain covenants that restrict our ability to engage in certain transactions and may impair our ability to respond to changing business and economic conditions.</w:t>
      </w:r>
    </w:p>
    <w:p>
      <w:pPr>
        <w:spacing w:after="0" w:line="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The indentures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 require us to satisfy various covenants. Future indebtedness or other contracts, including any credit facility that we may enter into in the future, could contain covenants more restrictive than those contained in our indentures and could also contain financial maintenance covenants which require us to maintain minimum financial ratios.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indentures contain restrictions on our ability to engage in certain transactions and may limit our ability to respond to changing business and economic conditions. The indentures impose operating and financial restrictions on us and our restricted subsidiaries, including, among other things, limitations on the ability to:</w:t>
      </w:r>
    </w:p>
    <w:p>
      <w:pPr>
        <w:spacing w:after="0" w:line="59"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there were an event of default under one of our indentures,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Chief Executive Officer and one of the principal stockholders of Wynn Resorts. In 2008, Wynn Resorts extended the term of Mr. Wynn’s employment agreement until October 2020. However, we cannot assure you that Mr. Wynn will remain with Wynn Resorts. If Wynn Resorts loses the services of Mr. Wynn, or if he is unable to devote sufficient attention to our operations for any other reason, our business may be significantly impaired.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are entirely dependent on Wynn Las Vegas for all of our cash flow, which subjects us to greater risks than a gaming company with more operating properties.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We are entirely dependent upon Wynn Las Vegas for all of our cash flow. As a result, we are subject to a greater degree of risk than a gaming company with more operating properties. The risks to which we have a greater degree of exposure include the following:</w:t>
      </w:r>
    </w:p>
    <w:p>
      <w:pPr>
        <w:spacing w:after="0" w:line="5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decline in the number of visitors to Las Vegas;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outbreak of an infectious disease such as H1N1 or the avian flu.</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casino/hotel industry is highly competitive and additional developments have recently opened or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w:t>
      </w:r>
    </w:p>
    <w:p>
      <w:pPr>
        <w:spacing w:after="0" w:line="14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Wynn Las Vegas also competes, to some extent, with other hotel/casino facilities in Nevada, throughout the United States and elsewhere in the world. In addition, the legalization of casino gaming in or near metropolitan areas from which we attract customers could have a negative effect on our business. New or renovated casinos in Asia, including our property in Macau, could draw Asian gaming customers away from Las Vegas.</w:t>
      </w:r>
    </w:p>
    <w:p>
      <w:pPr>
        <w:spacing w:after="0" w:line="18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significant portion of our table games revenue at Wynn Las Vegas is attributable to the play of a limited number of international customers. The 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collectability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the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high unemployment, the current housing foreclosure crisis, the current credit crisis, bank failures and the potential for additional bank failures, perceived or actual changes in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operations of Wynn Las Vegas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on December 22, 2008; however, we are subject to ongoing regulation to maintain these operations.</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For example, the conduct of Kazuo Okada (who is currently a member of Wynn Resorts’ Board of Directors and who was formerly the largest beneficial owner of Wynn Resorts’ shares) and his affiliates could result in regulatory investigations, including investigations by Nevada regulatory authorities, which could have adverse consequences to the Company. As described elsewhere in this prospectus, on February 18, 2012, Wynn Resorts’ Gaming Compliance Committee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has refused to acknowledge Wynn Resorts’ anti-bribery policies and has refused to participate in the training all other directors have received concerning these policies. Based on the Freeh Report, the Board of Directors of Wynn Resorts determined that Aruze USA, Inc., Universal Entertainment Corporation and Mr. Okada are “Unsuitable Persons” under Article VII of Wynn Resorts’ articles of incorporation. Based on Wynn Resorts’ Board of Directors’ finding of unsuitability, on February 18, 2012, Wynn Resorts redeemed and canceled Aruze USA, Inc.’s 24,549,222 shares of Wynn Resorts’ common stock and issued a promissory note pursuant to the terms of Article VII of the Wynn Resorts’ Articles of Incorporation in payment therefor.</w:t>
      </w:r>
    </w:p>
    <w:p>
      <w:pPr>
        <w:spacing w:after="0" w:line="12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finding by regulatory authorities that Mr. Okada violated the FCPA on property of Wynn Resorts or its subsidiaries and/or otherwise involved Wynn Resorts or its subsidiaries in criminal or civil violations could result in actions by regulatory authorities against Wynn Resorts or its subsidiaries. Relatedly, regulators could pursue separate investigations into Wynn Resorts’ and its subsidiaries’ compliance with applicable laws, including in response to litigation filed by Mr. Okada suggesting improprieties in connection with the donation by Wynn Resorts’ subsidiary to the University of Macau and a related informal inquiry by the SEC into this donation. Any such investigations could result in actions by regulators against Wynn Resorts or its subsidiaries, which could have adverse consequences to the Company. In addition, investigations by Nevada regulatory authorities relating to the Company’s gaming licenses could possibly have a negative impact on such gaming licenses and on the Company’s ability to bid successfully for new gaming market opportunities. For additional information on the Freeh Report, as well as the redemption of Aruze USA, Inc.’s shares, see “Management—Directors—Class III Directors (Terms expire at the 2014 Annual Meeting of Stockholders)—Kazuo Okada,” “Certain Relationships and Related Transactions—Share Redemption,” the Notes to Condensed Consolidated Financial Statements, Note 10, “Commitments and Contingencies,” and the Notes to Consolidated Financial Statements, Note 16 “Subsequent Events,” each included in this prospectus.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w:t>
      </w:r>
    </w:p>
    <w:p>
      <w:pPr>
        <w:spacing w:after="0" w:line="21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51"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our resort offers. Changes in consumer preferences or discretionary consumer spending could harm our business. Terrorist activities in the United States and elsewhere, military conflicts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 discretionary spending and/or disruptions or declines in airline travel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and business conventions could significantly harm our operations. In particular, because our business relies heavily upon premium customers, particularly international customers, factors resulting in a decreased propensity to travel internationally could have a negative impact on our operations.</w:t>
      </w:r>
    </w:p>
    <w:p>
      <w:pPr>
        <w:spacing w:after="0" w:line="85"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In addition,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currently have insurance coverage for terrorist acts included in our commercial property insurance policy with respect to Wynn Las Vegas, not to exceed $1.75 billion. However, these types of acts could expose us to losses that exceed our coverage and could have a significant negative impact on our operations.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increase, we may not be able to maintain the insurance coverage we currently have or otherwise be able to maintain adequate insurance protection.</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Wynn Holdings’ ownership of, or right to use, the Wynn-related trademarks and/or service marks, our business or results of operations could be harmed.</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We have sublicensed certain Wynn-related trademarks and service marks from Wynn Holdings. Wynn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intent to use the marks.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the portion of a mark primarily constituting a surname) is not eligible for registration unless the surname has acquired “secondary meaning.” To date, Wynn Holdings has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 if Wynn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intellectual property assets, including the word and the logo version of “Wynn,” are among our most valuable assets.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influence over our operations and future direction.</w:t>
      </w:r>
    </w:p>
    <w:p>
      <w:pPr>
        <w:spacing w:after="0" w:line="11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Our ultimate parent company is Wynn Resorts. Currently, Mr. Wynn and Elaine P. Wynn own 10,026,708 shares and 9,742,150 shares, respectively, or together approximately 19.7% of Wynn Resorts’ outstanding common stock. As a result, Mr. Wynn and Elaine P. Wynn, to the extent they vote their shares in a similar manner, may be able to exert significant influence over all matters requiring our stockholders’ approval, including the approval of significant corporate transactions. In addition, until February 2012, Aruze USA, Inc. owned 24,549,222 shares of Wynn Resorts’ outstanding common stock. On February 18, 2012, Wynn Resorts redeemed all of the shares of Wynn Resorts’ common stock held by Aruze USA, Inc., a company controlled by Mr. Okada, who is currently a member of Wynn Resorts’ Board of Directors. However, in their Schedule 13D filings, Mr. Okada and his affiliates report continued ownership of such shares because they believe the purported redemption is contrary to law and will be determined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pursuant to the pending litigation between, among others, Aruze USA, Inc. and Wynn Resorts, regarding Aruze USA, Inc.’s stockholder status and rights. Wynn Resorts has received a letter from Aruze USA, Inc. purportedly notifying Wynn Resorts of Aruze USA, Inc.’s intent to nominate two individuals for election as directors at the 2012 Annual Meeting, which is scheduled for November 2, 2012, in opposition to Wynn Resorts’ recommended nominees. On August 31, 2012, Aruze USA, Inc. filed a motion in state court seeking, among other things, a preliminary injunction that would have prohibited Wynn Resorts from barring or preventing Aruze USA, Inc. from exercising rights as a stockholder of Wynn Resorts and an order that Aruze USA, Inc.’s purported nominees be presented to the stockholders of Wynn Resorts and voted on (including by Aruze USA, Inc. as a stockholder) at the 2012 Annual Meeting of Stockholders (scheduled for November 2, 2012). At the conclusion of a hearing held on October 2, 2012, the Nevada state court denied Aruze USA, Inc.’s motion for a preliminary injunction. For additional information on the redemption, see “Management—Directors—Class III Directors (Terms expire at the 2014 Annual Meeting of Stockholders)—Kazuo Okada,” “Certain Relationships and Related Transactions—Share Redemption,” the Notes to Condensed Consolidated Financial Statements, Note 10, “Commitments and Contingencies,” and the Notes to Consolidated Financial Statements, Note 16 “Subsequent Events,” each included in this prospectus.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the Amended and Restated Stockholders Agreement, dated as of January 6, 2010, by and among Stephen A. Wynn, Elaine P. Wynn and Aruze USA, Inc. (the “Amended and Restated Stockholders Agreement”), Mr. Wynn and Elaine P. Wynn have agreed to vote the shares of Wynn Resorts’ common stock held by them subject to the terms of the Amended and Restated Stockholders Agreement in a manner so as to elect to the Board of Directors of Wynn Resorts each of the nominees contained on each and every slate of directors endorsed by Mr. Wynn, which slate will include, subject to certain exceptions, Elaine P. Wynn. As a result of this voting arrangement, Mr. Wynn, as a practical matter, exercises significant influence over the slate of directors to be elected to Wynn Resorts’ board of directors. In addition, with stated exceptions, the agreement requires the written consent of the other party prior to any party selling any shares of Wynn Resorts’ common stock that it owns. In June 2012, in connection with the ongoing litigation with Kazuo Okada, Elaine P. Wynn asserted a cross claim against Mr. Wynn and Kazuo Okada with respect to the Amended and Restated Stockholders Agreement. If Elaine P. Wynn prevails in her claim, Mr. Wynn would not beneficially own or control Elaine P. Wynn’s shares and a change in control may result under the indentures governing the 2017</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 Mr. Wynn is opposing Elaine P. Wynn’s cross claim. See “Description of the New Notes— Repurchase at the Option of Holders—Change of Control.” See also “Management—Directors—Class I Directors (Terms expire at the 2012 Annual Meeting of Stockholders, which is scheduled for November 2, 2012)—Elaine P. Wynn,” for information regarding litigation filed by Elaine P. Wynn.</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20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laws or regulations could have a negative impact on us.</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are subject to regulations imposed by the Foreign Corrupt Practices Act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the FCPA. Internal control policies and procedures and employee training and compliance programs that we have implemented to deter prohibited practices may not be effective in prohibiting our employees, contractors or agents from violating or circumventing our policies and the law. If our employees or agents fail to comply with applicable laws or Company policies governing our international operations, the Company may face investigations, prosecutions and other legal proceedings and actions which could result in civil penalties, administrative remedies and criminal sanctions. As described elsewhere in this prospectus, on February 18, 2012, Wynn Resorts’ Gaming Compliance Committee concluded an investigation after receiving</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has refused to acknowledge Wynn Resorts’ anti-bribery policies and has refused to participate in the training all other directors have received concerning these policies. For additional information on the Freeh Report, as well as the redemption of Aruze USA, Inc.’s shares, see “Management—Directors—Class III Directors (Terms expire at the 2014 Annual Meeting of Stockholders)—Kazuo Okada,” “Certain Relationships and Related Transactions—Share Redemption,” the Notes to Condensed Consolidated Financial Statements, Note 10, “Commitments and Contingencies,” and the Notes to Consolidated Financial Statements, Note 16 “Subsequent Events,” each included in this prospectus. Any determination that we have violated the FCPA could have a material adverse effect on our financial condition. We also deal with significant amounts of cash in our operations and are subject to various reporting and anti-money laundering regulations. Any violation of anti-money laundering laws or regulations by any of our resorts could have a negative effect on our results of operations.</w:t>
      </w:r>
    </w:p>
    <w:p>
      <w:pPr>
        <w:spacing w:after="0" w:line="12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As previously disclosed, in May 2011, Wynn Macau, Limited,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2012 donation has been made.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Limited and approved by 15 of the 16 directors who serve on those boards. The sole dissenting vote was Mr. Kazuo Okada whose stated objection was to the length of time over which the donation would occur, not its propriety.</w:t>
      </w:r>
    </w:p>
    <w:p>
      <w:pPr>
        <w:spacing w:after="0" w:line="14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Also as previously disclosed, Mr. Okada commenced litigation on January 11, 2012, in Nevada seeking to compel Wynn Resorts to produce information relating to the donation to the University of Macau, among other things.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February 8, 2012, following Mr. Okada’s lawsuit, Wynn Resorts received a letter from the Salt Lake Regional Office of the SEC requesting that, in connection with an informal inquiry by the SEC, Wynn Resorts preserve information relating to the donation to the University of Macau, any donations by Wynn Resorts to any other educational charitable institutions, including the University of Macau Development Foundation, and Wynn Resorts’ casino or concession gaming licenses or renewals in Macau.</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February 19, 2012, Wynn Resorts filed a complaint in Nevada state court against Mr. Okada and other entities alleging, among other things, breach of fiduciary duty in connection with alleged violations of the FCPA.</w:t>
      </w:r>
    </w:p>
    <w:p>
      <w:pPr>
        <w:spacing w:after="0" w:line="2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Potential violations of law by Mr. Okada (who is currently a member of Wynn Resorts’ Board of Directors and who was formerly the largest beneficial owner of Wynn Resorts’ shares) and his affiliates could have adverse consequences to the Company.</w:t>
      </w:r>
    </w:p>
    <w:p>
      <w:pPr>
        <w:spacing w:after="0" w:line="51" w:lineRule="exact"/>
        <w:rPr>
          <w:sz w:val="20"/>
          <w:szCs w:val="20"/>
          <w:color w:val="auto"/>
        </w:rPr>
      </w:pPr>
    </w:p>
    <w:p>
      <w:pPr>
        <w:ind w:right="660" w:firstLine="456"/>
        <w:spacing w:after="0" w:line="335" w:lineRule="auto"/>
        <w:rPr>
          <w:sz w:val="20"/>
          <w:szCs w:val="20"/>
          <w:color w:val="auto"/>
        </w:rPr>
      </w:pPr>
      <w:r>
        <w:rPr>
          <w:rFonts w:ascii="Arial" w:cs="Arial" w:eastAsia="Arial" w:hAnsi="Arial"/>
          <w:sz w:val="15"/>
          <w:szCs w:val="15"/>
          <w:color w:val="auto"/>
        </w:rPr>
        <w:t>As described elsewhere in this prospectus, on February 18, 2012, Wynn Resorts’ Gaming Compliance Committee concluded an investigation after receiving the Freeh Report detailing a pattern of misconduct by Aruze USA, Inc., at the time a stockholder of Wynn Resorts, Universal Entertainment Corporation, Aruze USA, Inc.’s parent company, and Kazuo Okada, the majority shareholder of Universal Entertainment Corporation, who</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is also a member of Wynn Resorts’ Board of Directors and was at the time a director of Wynn Macau, Limited. See “Management—Directors—Class III Directors (Terms expire at the 2014 Annual Meeting of Stockholders)—Kazuo Okada,” the Notes to Condensed Consolidated Financial Statements, Note 10, “Commitments and Contingencies,” and the Notes to Consolidated Financial Statements, Note 16 “Subsequent Events,” each included in this prospectus. Wynn Resorts provided the Freeh Report to appropriate regulators and law enforcement agencies and is cooperating with related investigations that such regulators and agencies have undertaken. The conduct of Mr. Okada and his affiliates and any resulting regulatory investigations could have adverse consequences to the Company. A finding by regulatory authorities that Mr. Okada violated the FCPA on property of Wynn Resorts or its subsidiaries and/or otherwise involved Wynn Resorts or its subsidiaries in criminal or civil violations could result in actions by regulatory authorities against Wynn Resorts or its subsidiaries. Relatedly, regulators could pursue separate investigations into Wynn Resorts’ and its subsidiaries’ compliance with applicable laws, including in response to litigation filed by Mr. Okada suggesting improprieties in connection with the donation by Wynn Resorts’ subsidiary to the University of Macau and a related informal inquiry by the SEC into this donation. While the Company believes that it is in full compliance with all applicable laws, any such investigations could result in actions by regulators against Wynn Resorts or its subsidiaries.</w:t>
      </w:r>
    </w:p>
    <w:p>
      <w:pPr>
        <w:spacing w:after="0" w:line="20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Ongoing litigation and other disputes with Mr. Okada and certain of his affiliates could distract management and result in negative publicity and additional scrutiny of regulators.</w:t>
      </w:r>
    </w:p>
    <w:p>
      <w:pPr>
        <w:spacing w:after="0" w:line="5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There has been widespread publicity of the findings in the Freeh Report, Wynn Resorts’ board of directors’ “unsuitability” finding with respect to Mr. Okada, Aruze USA, Inc. and Universal Entertainment Corporation, the redemption of Aruze USA, Inc.’s shares and related litigation, including related federal and state derivative actions and a cross claim filed by Elaine P. Wynn. The actions, litigation, and publicity could reduce demand for shares of Wynn Resorts and thereby have a negative impact on the trading prices of its shares. The disputes may also lead to additional scrutiny from gaming regulators, which could lead to investigations relating to, and possibly a negative impact on, the Company’s gaming licenses, and possibly have a negative impact on the Company’s ability to bid successfully for new gaming market opportunities.</w:t>
      </w:r>
    </w:p>
    <w:p>
      <w:pPr>
        <w:spacing w:after="0" w:line="20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r>
        <w:rPr>
          <w:rFonts w:ascii="Arial" w:cs="Arial" w:eastAsia="Arial" w:hAnsi="Arial"/>
          <w:sz w:val="18"/>
          <w:szCs w:val="18"/>
          <w:i w:val="1"/>
          <w:iCs w:val="1"/>
          <w:color w:val="auto"/>
        </w:rPr>
        <w:t>.</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rely on information technology and other systems to maintain and transmit customer financial information, credit card settlements, credit card funds transmissions, mailing lists and reservations information. In addition, our financial and recordkeeping processes are run from one central location at a secured off site Network Operations Center. We have substantially completed the implementation of industry best practice systems that are designed to meet all requirements of the Payment Card Industry standards for data protection, however, our information and processes are exposed to the ever-changing threat of compromised security, in the form of a risk of potential breach, system failure, computer virus, or unauthorized or fraudulent use by customers, company employees, or employees of third party vendors.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notes are not secured by any assets (other than the pledged equity interests in Wynn Las Vegas, LLC) and will be effectively subordinated to any secured indebtedness to the extent of any other assets securing such indebtedness.</w:t>
      </w:r>
    </w:p>
    <w:p>
      <w:pPr>
        <w:spacing w:after="0" w:line="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Our obligations under the notes are unsecured (except by the Holdings pledge). We currently do not have any secured indebtedness (other than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notes,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05" w:lineRule="auto"/>
        <w:rPr>
          <w:sz w:val="20"/>
          <w:szCs w:val="20"/>
          <w:color w:val="auto"/>
        </w:rPr>
      </w:pPr>
      <w:r>
        <w:rPr>
          <w:rFonts w:ascii="Arial" w:cs="Arial" w:eastAsia="Arial" w:hAnsi="Arial"/>
          <w:sz w:val="15"/>
          <w:szCs w:val="15"/>
          <w:color w:val="auto"/>
        </w:rPr>
        <w:t>each of which is secured only by the Holdings pledge, and capital leases). However, under certain circumstances, we may incur in the future secured indebtedness, including (i) capital lease obligations, mortgage financings and purchase money obligations, in an amount not to exceed $100 million, and</w:t>
      </w:r>
    </w:p>
    <w:p>
      <w:pPr>
        <w:ind w:firstLine="8"/>
        <w:spacing w:after="0" w:line="288" w:lineRule="auto"/>
        <w:tabs>
          <w:tab w:leader="none" w:pos="2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certain other indebtedness in an amount not to exceed $100 million, without being required to further secure the notes with our assets securing such indebtedness, and, in such event, the notes would be effectively subordinated to such secured indebtedness to the extent of the value of such assets. If we are declared bankrupt or insolvent, or if we default under any of our future secured indebtedness, the lenders under such secured indebtedness could declare all of the funds borrowed thereunder, together with accrued interest, immediately due and payable. Lenders under such secured indebtedness would be entitled to be paid in full from the assets (if other than the pledged equity interests in Wynn Las Vegas, LLC) securing that secured indebtedness before any payment may be made with respect to the notes, even if an event of default existed at such time under the indenture governing the notes. As a result, in such case, your claims with respect to the notes may not be fully satisfied.</w:t>
      </w:r>
    </w:p>
    <w:p>
      <w:pPr>
        <w:spacing w:after="0" w:line="20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a default occurs with respect to the notes, the value of the pledged equity interests in Wynn Las Vegas, LLC may not be sufficient to repay the holders of the notes and other indebtedness secured by such pledge.</w:t>
      </w:r>
    </w:p>
    <w:p>
      <w:pPr>
        <w:spacing w:after="0" w:line="5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 xml:space="preserve">As of September 19, 2012, we had approximately $3.1 billion aggregate principal amount of 2017 notes,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notes outstanding, each of which is secured only by the Holdings pledge. In addition, we may be permitted to incur additional indebtedness that could also be secured by the equity interests held by Wynn Holdings in Wynn Las Vegas, LLC. The value of the pledged equity interests in Wynn Las Vegas, LLC in the event of liquidation will depend on market and economic conditions, the availability of buyers and other factors. We cannot assure you that the proceeds from the sale of the pledged equity interests in Wynn Las Vegas, LLC would be sufficient to satisfy our obligations under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the notes or any other future indebtedness secured by the Holdings pledge. To the extent that the net proceeds from any sale of the pledged equity interests in Wynn Las Vegas, LLC are insufficient to satisfy amounts due under the notes and any other indebtedness secured by the Holdings pledge, including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holders of the notes will participate with holders of our unsecured indebtedness (including holders of any secured indebtedness not paid in full from the net proceeds of their collateral) in the net proceeds of any of our remaining assets. As a result, your claims with respect to the notes may not be fully satisfied.</w:t>
      </w:r>
    </w:p>
    <w:p>
      <w:pPr>
        <w:spacing w:after="0" w:line="20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the notes and the Holdings pledge, and to require noteholders to return payments received from us or Wynn Holdings.</w:t>
      </w:r>
    </w:p>
    <w:p>
      <w:pPr>
        <w:spacing w:after="0" w:line="5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Our creditors and the creditors of Wynn Holdings could challenge the issuers’ issuance of the notes or Wynn Holdings’ grant of the Holdings pledge, respectively, as fraudulent conveyances or on other grounds. Under the federal bankruptcy law and similar provisions of state fraudulent transfer laws, the issuance of notes and the grant of the Holdings pledge, could be avoided (that is, cancelled) as fraudulent transfers if a court determined that the issuers, at the time they issued the notes, or the pledgor, at the time it granted the Holdings pledge:</w:t>
      </w:r>
    </w:p>
    <w:p>
      <w:pPr>
        <w:spacing w:after="0" w:line="3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issued the notes or granted the Holdings pledge, as the case may be, with the intent to hinder, delay or defraud its existing or future creditors; or</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issuance of the notes or the grant of the Holdings pledge, as the case may be, and if the issuers or pledgor: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were insolvent or rendered insolvent at the time the notes were issued or the Holdings pledge was granted, as the case may be;</w:t>
      </w:r>
    </w:p>
    <w:p>
      <w:pPr>
        <w:spacing w:after="0" w:line="113" w:lineRule="exact"/>
        <w:rPr>
          <w:rFonts w:ascii="Arial" w:cs="Arial" w:eastAsia="Arial" w:hAnsi="Arial"/>
          <w:sz w:val="16"/>
          <w:szCs w:val="16"/>
          <w:color w:val="auto"/>
        </w:rPr>
      </w:pPr>
    </w:p>
    <w:p>
      <w:pPr>
        <w:ind w:left="1480" w:right="120" w:hanging="446"/>
        <w:spacing w:after="0" w:line="268"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were engaged in a business or transaction for which the issuers’ or pledgor’s remaining assets, as the case may be, constituted unreasonably small capital;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intended to incur, or believed that they would incur, debts beyond their ability to pay such debts generally as they mature.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the notes or the Holdings pledge were avoided or limited under fraudulent transfer or other laws, any claim you may make against us or Wynn Holdings, as the case may be, for amounts payable on the notes would be unenforceable to the extent of such avoidance or limitation. Moreover, the court could order you to return any payments previously made by us or Wynn Holdings.</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party would be considered insolvent if:</w:t>
      </w:r>
    </w:p>
    <w:p>
      <w:pPr>
        <w:spacing w:after="0" w:line="51" w:lineRule="exact"/>
        <w:rPr>
          <w:sz w:val="20"/>
          <w:szCs w:val="20"/>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sum of its property, at a fair valuation;</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cannot be sure what standard a court would apply in making these determinations or, regardless of the standard, that a court would not avoid the notes or the Holdings pledge.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 may limit your ability to collect on the notes.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a bankruptcy case were to be commenced by or against us prior to the repayment of the notes, your ability to receive repayment of the notes is likely to be significantly impaired by applicable bankruptcy law. Under the Bankruptcy Code, the commencement of a bankruptcy case acts as an “automatic stay” of virtually all actions by creditors to collect pre-bankruptcy debts. Factors that may bear on the recovery by the holders of the notes in these circumstances, among other, would include: (i) a debtor in a bankruptcy case does not have the ability to compel performance of a “financial accommodation”; (ii) creditors with secured claims and claims providing a priority of payment under the Bankruptcy Code would have a higher priority of payment than the notes; (iii) the holders of other unsecured debt will be entitled to share ratably with the holders of the notes in any proceeds distributed in an insolvency, liquidation, reorganization, dissolution or other winding up, and; (iv) the cost and delay of a bankruptcy case could reduce our value. Moreover, in a bankruptcy proceeding, the bankruptcy court would have broad discretion to approve transactions that could disadvantage the holders of the notes. For example, under certain circumstances, a bankruptcy court could approve a motion for the sale of our assets over the objections of holders of the notes or approve the modification of the terms of the notes under a confirmed plan of reorganization. Therefore, in the event of our bankruptcy, it is impossible to predict how long payments under the notes would be delayed, whether there would be sufficient funds to pay the notes in full, or whether the terms and conditions of the notes or any rights of the holders of the notes could be altered in a bankruptcy case without the notes trustee’s or your consent.</w:t>
      </w:r>
    </w:p>
    <w:p>
      <w:pPr>
        <w:spacing w:after="0" w:line="20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Bankruptcy and gaming laws may significantly impair your rights to repossess and dispose of the pledged equity interests in Wynn Las Vegas, LLC securing the notes and to otherwise collect on any amounts due thereunder.</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If a bankruptcy case were to be commenced by or against Wynn Holdings prior to the repossession and disposition of the pledged equity interests in Wynn Las Vegas, LLC securing the notes, the right of the notes trustee to repossess and dispose of such equity interests upon the occurrence of an event of default under the applicable indenture is likely to be significantly impaired by applicable bankruptcy law. The commencement of any such bankruptcy proceedings would expose the holders of the notes to additional risks, including, without limitation, additional restrictions on exercising rights against the pledged equity interests in Wynn Las Vegas, LLC and on otherwise pursuing or obtaining repayment of the notes. For example, the “automatic stay” under applicable bankruptcy law prohibits secured creditors, such as the holders of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notes, from repossessing their security from a debtor in a bankruptcy case, or from disposing of collateral in their possession, without bankruptcy court approval.</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the Bankruptcy Code, a claim is a secured claim up to the value of the collateral that secures it. In most cases, interest stops accruing on the date of commencement of the bankruptcy case, but if the collateral’s value exceeds the amount of the claim, interest may continue to accrue on the claim up to the collateral’s value. On the other hand, if the amount of the claim exceeds the collateral’s value, the excess constitutes an unsecured claim. Generally, the Bankruptcy Code contemplates that secured creditors will be paid in full. If a bankruptcy proceeding is commenced by or against Wynn Holdings, we cannot assure you that the bankruptcy court would find that the value of the pledged equity interests in Wynn Las Vegas, LLC exceeds the amount outstanding under the notes. Indeed, under the Bankruptcy Code, distribution to our equity holders is subordinated to the claims of our creditors. Therefore, there can be no assurance that a bankruptcy court would find that the collateral had any value. Accordingly, there can be no assurances, pending or following the completion of the bankruptcy proceeding commenced by or against Wynn Holdings, with respect to the following: whether and when any payments under the notes would be made; whether or when the notes trustee could foreclose upon or sell the pledged equity interests in Wynn Las Vegas, LLC; and whether the terms and conditions of the notes or any rights of the holders of the notes could be altered in a bankruptcy case without the notes trustee’s or your consent.</w:t>
      </w:r>
    </w:p>
    <w:p>
      <w:pPr>
        <w:spacing w:after="0" w:line="12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Furthermore, as a result of applicable gaming laws and regulations, the notes trustee must obtain prior approval from, and may be required to be licensed by, the Nevada gaming authorities before the notes trustee can foreclose on the pledged equity interests in Wynn Las Vegas, LLC. In addition, in any foreclosure sale of the pledged equity interests in Wynn Las Vegas, LLC, the purchaser would need to obtain prior approval from the Nevada gaming authorities and be licensed or found suitable under the Nevada gaming laws and regulations. Because potential purchasers must satisfy these gaming regulatory requirements, the number of potential purchasers in a foreclosure sale could be less than in foreclosures of other types of facilities, and this requirement may delay the sale of, and may reduce the sales price for, the pledged equity interests in Wynn Las Vegas, LLC.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notes upon a change of control.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experience certain specific change of control events, subject to certain exceptions, we will be required to offer to repurchase all outstanding notes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101% of their principal amount, plus accrued and unpaid interest to the date of repurchase. We have similar offer to repurchase obligations with respect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Should Stephen A. Wynn, together with certain related parties, in the aggregate beneficially owns a lesser percentage of the outstanding common stock of Wynn Resorts than are beneficially owned by any other person, a change of control will have occurred. In connection with the ongoing litigation with Kazuo Okada, Elaine P. Wynn has asserted a cross claim against Stephen A. Wynn and Kazuo Okada with respect to the Amended and Restated Stockholders Agreement. If Elaine P. Wynn prevails in her claim, Stephen A. Wynn would not beneficially own or control Elaine P. Wynn’s shares and a change in control may result under the indentures governing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notes. Stephen A. Wynn is opposing Elaine P. Wynn’s cross-claim.</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We cannot assure you that we will have available funds sufficient to pay the change of control purchase price for any or all of the notes (or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that might be delivered by holders of such notes seeking to accept the change of control offer. A failure to pay any such change of control purchase price would result in an event of default under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and/or the notes, which could adversely effect our business or results of operations. Moreover, under the indenture governing the notes, certain important corporate events, such as leveraged recapitalizations that would increase the level of our indebtedness, would not constitute a “change of control” and thus would not give rise to any repurchase rights. See “Description of the New Notes—Repurchase at the Option of Holders—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Change of Control.” See also “Management—Directors—Class I Directors (Terms expire at the 2012 Annual Meeting of Stockholders, which is scheduled for November 2, 2012)—Elaine P. Wynn,” for information regarding litigation filed by Elaine P. Wynn.</w:t>
      </w:r>
    </w:p>
    <w:p>
      <w:pPr>
        <w:spacing w:after="0" w:line="21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notes could be delayed or reduced.</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of its other subsidiaries becomes a debtor under the Bankruptcy Code. If a bankruptcy court concludes that substantive consolidation of us with any affiliated party referred to in this paragraph is warranted, holders of the notes should expect payments on the notes to be delayed and/or reduced.</w:t>
      </w:r>
    </w:p>
    <w:p>
      <w:pPr>
        <w:spacing w:after="0" w:line="197" w:lineRule="exact"/>
        <w:rPr>
          <w:sz w:val="20"/>
          <w:szCs w:val="20"/>
          <w:color w:val="auto"/>
        </w:rPr>
      </w:pPr>
    </w:p>
    <w:p>
      <w:pPr>
        <w:ind w:right="580"/>
        <w:spacing w:after="0" w:line="357" w:lineRule="auto"/>
        <w:rPr>
          <w:sz w:val="20"/>
          <w:szCs w:val="20"/>
          <w:color w:val="auto"/>
        </w:rPr>
      </w:pPr>
      <w:r>
        <w:rPr>
          <w:rFonts w:ascii="Arial" w:cs="Arial" w:eastAsia="Arial" w:hAnsi="Arial"/>
          <w:sz w:val="15"/>
          <w:szCs w:val="15"/>
          <w:b w:val="1"/>
          <w:bCs w:val="1"/>
          <w:i w:val="1"/>
          <w:iCs w:val="1"/>
          <w:color w:val="auto"/>
        </w:rPr>
        <w:t>Our subsidiaries likely will not be able to contribute to any payments with respect to the notes. In addition, the notes are not guaranteed by any of our subsidiaries and, as a result, the creditors of our subsidiaries could collect on their claims, ahead of the notes, from our subsidiaries’ assets.</w:t>
      </w:r>
    </w:p>
    <w:p>
      <w:pPr>
        <w:ind w:right="180" w:firstLine="456"/>
        <w:spacing w:after="0" w:line="318" w:lineRule="auto"/>
        <w:rPr>
          <w:sz w:val="20"/>
          <w:szCs w:val="20"/>
          <w:color w:val="auto"/>
        </w:rPr>
      </w:pPr>
      <w:r>
        <w:rPr>
          <w:rFonts w:ascii="Arial" w:cs="Arial" w:eastAsia="Arial" w:hAnsi="Arial"/>
          <w:sz w:val="15"/>
          <w:szCs w:val="15"/>
          <w:color w:val="auto"/>
        </w:rPr>
        <w:t>Although the assets of our subsidiaries are important to our operations, they are not expected to generate significant cash flows. As such, you should not expect any of our subsidiaries to contribute to any payments of principal, interest or other amounts required to be made on the notes. In addition, Wynn Resorts will not be required to contribute to payments of principal, interest or other amounts required to be made on the notes regardless of whether it has unrestricted funds from other sources. In addition, certain subsidiaries of Wynn Resorts, including the entities involved in the operation of “Wynn Macau,” which includes “Encore at Wynn Macau,” are parties to financing or other agreements that restrict their ability to make any payments or distributions to Wynn Resorts.</w:t>
      </w:r>
    </w:p>
    <w:p>
      <w:pPr>
        <w:spacing w:after="0" w:line="10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Since none of our subsidiaries guarantee the notes, the notes are not supported by the assets of such subsidiaries, except to the extent of the value of our equity interests in those subsidiaries. Meanwhile, creditors of our subsidiaries have a direct claim against those subsidiaries’ assets, which would reduce or possibly eliminate the value of our interest in those subsidiaries. As of June 30, 2012, the Issuers’ subsidiaries had approximately $34.7 million of indebtedness and other liabilities, to which the notes are structurally subordinated. In addition, our subsidiaries have no obligation, contingent or otherwise, to pay amounts due under the notes or to make any funds available to pay those amounts, whether by dividend, distribution, loan or other payments, and legal and contractual limitations may further limit our ability to obtain cash from our subsidiaries. In the event of a bankruptcy, liquidation, reorganization or other winding up of any of our subsidiaries, holders of indebtedness and trade creditors of our subsidiaries will generally be entitled to payment of their claims from the assets of our subsidiaries before any assets are made available for distribution to us. Accordingly, there may be insufficient funds to satisfy claims of noteholders.</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5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Unrestricted subsidiaries will generally not be subject to the covenants under the notes indenture. Unrestricted subsidiaries may enter into financing arrangements that limit their ability to make loans, dividends or other payments to us. Accordingly, we may not be able to rely on the cash flow or assets of unrestricted subsidiaries to pay any of our indebtedness, including the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redeem your notes due to regulatory considerations, either as required by gaming authorities or in our discretion.</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notes indenture grants us the power to redeem the notes that you own or control if any gaming authority requires you, or a beneficial owner of the notes, to be licensed, qualified or found suitable under any applicable gaming law and:</w:t>
      </w:r>
    </w:p>
    <w:p>
      <w:pPr>
        <w:spacing w:after="0" w:line="51" w:lineRule="exact"/>
        <w:rPr>
          <w:sz w:val="20"/>
          <w:szCs w:val="20"/>
          <w:color w:val="auto"/>
        </w:rPr>
      </w:pPr>
    </w:p>
    <w:p>
      <w:pPr>
        <w:ind w:left="900" w:right="2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or such beneficial owner fail to apply for a license, qualification or finding of suitability within 30 days after being requested to do so (or such lesser period as required by the relevant gaming authority);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or such beneficial owner is determined by a gaming authority to be unsuitable to own or control the notes.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Under the foregoing circumstances, under the notes indenture, we may redeem, and if required by the applicable gaming authority, we must redeem, your notes to the extent required by the gaming authority or deemed necessary or advisable by us. The redemption price will be equal to:</w:t>
      </w:r>
    </w:p>
    <w:p>
      <w:pPr>
        <w:spacing w:after="0" w:line="4"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as applicable, and (2) the price that you or the beneficial owner paid for the notes, as applicable, in either case, together with accrued and unpaid interest on the notes, as applicable.</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As a holder of the notes, you may be required to comply with registration, licensing, qualification or other requirements under gaming laws or dispose of your securities.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notes be registered, licensed, qualified or found suitable, or comply with other requirements under applicable gaming laws. If you purchase, acquire or otherwise accept an interest in the notes, by the terms of the indenture governing the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39" w:lineRule="exact"/>
        <w:rPr>
          <w:sz w:val="20"/>
          <w:szCs w:val="20"/>
          <w:color w:val="auto"/>
        </w:rPr>
      </w:pPr>
    </w:p>
    <w:p>
      <w:pPr>
        <w:ind w:left="900" w:right="3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you to sell your notes or beneficial interest in the notes within 30 days after you receive notice of our election, or any earlier date that the relevant gaming authority may request or prescribe; 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redeem your notes (possibly within less than 30 days following the notice of redemption if requested or prescribed by the gaming authority) at a price equal to:</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as applicable, and (2) the price that you or the beneficial owner paid for the notes, as applicable, in either case, together with accrued and unpaid interest on the notes, as applicable.</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will notify the notes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notes also provides that as soon as you are required to sell your notes as a result of a gaming authority action, you will, to the extent required by applicable gaming laws, have no further right:</w:t>
      </w:r>
    </w:p>
    <w:p>
      <w:pPr>
        <w:spacing w:after="0" w:line="6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notes; or</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notes, except the redemption price we refer to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Notes—Gaming Redemption.”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new notes.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new notes are a new issue of securities for which there is currently no public market. An active market may not develop for the new notes offered hereby, and there can be no assurance as to the liquidity of any market that may develop for the new notes. If an active market does not develop, the market price and liquidity of the new notes may be adversely affected. If any of the new notes are traded after their initial issuance, they may trade at a discount from their initial offering price. Future trading prices of the new notes will depend on many factors, including, among other things, prevailing interest rates, our operating results and the market for similar securities. Historically, the market for high-yield debt has been subject to disruptions that have caused substantial fluctuations in the prices of these securities. In addition, securities of gaming companies historically have been more volatile than securities of other companies. The market for the new notes may be subject to such disruptions, and there can be no assurance that the new notes will not be subject to such volatility, either of which could have an adverse effect on the price and liquidity of the new notes. We do not intend to apply for listing of the new notes on any securities exchange or for quotation of the new notes in any automated dealer quotation system.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who fail to exchange their old notes will continue to be subject to restrictions on transfer and may have reduced liquidity after the exchange offer.</w:t>
      </w:r>
    </w:p>
    <w:p>
      <w:pPr>
        <w:spacing w:after="0" w:line="1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applicable to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are offered and sold under an exemption from these requirements. We do not plan to register the old notes under the Securities 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Furthermore, we have not conditioned the exchange offer on receipt of any minimum or maximum principal amount of old notes. As old notes are tendered and accepted in the exchange offer, the principal amount of remaining outstanding old notes will decrease. This decrease could reduce the liquidity of the trading market for the old notes. We cannot assure you of the liquidity, or even the continuation, of the trading market for the outstanding old notes following the exchange offer.</w:t>
      </w:r>
    </w:p>
    <w:p>
      <w:pPr>
        <w:spacing w:after="0" w:line="143"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For further information regarding the consequences of not tendering your old notes in the exchange offer, see the discussions below under the captions “The Exchange Offer—Consequences of Exchanging or Failing to Exchange Old Notes” and “Material United States Federal Income Tax Considerations.”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to receive new notes.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51" w:lineRule="exact"/>
        <w:rPr>
          <w:sz w:val="20"/>
          <w:szCs w:val="20"/>
          <w:color w:val="auto"/>
        </w:rPr>
      </w:pPr>
    </w:p>
    <w:p>
      <w:pPr>
        <w:ind w:left="900" w:right="100" w:hanging="325"/>
        <w:spacing w:after="0" w:line="357" w:lineRule="auto"/>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certificates for old notes or a book-entry confirmation of a book-entry transfer of old notes into the exchange agent’s account at DTC, New York, New York as a depository, including an agent’s message, as defined in this prospectus, if the tendering holder does not deliver a letter of transmittal;</w:t>
      </w:r>
    </w:p>
    <w:p>
      <w:pPr>
        <w:ind w:left="900" w:right="4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necessary documents to be timely received by the exchange agent.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will no longer have the registration and other rights under the registration rights agreement. See “The Exchange Offer—Procedures for Tendering Old Notes” and “The Exchange Offer—Consequences of Exchanging or Failing to Exchange Old Notes.”</w:t>
      </w:r>
    </w:p>
    <w:p>
      <w:pPr>
        <w:spacing w:after="0" w:line="19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If you are deemed to have received restricted securities, you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the six months ended June 30, 2012 and the years ended December 31, 2011, 2010, 2009, 2008 and 2007,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For the Six</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46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Months Ended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For the Year Ended 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24"/>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 (1)</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Deficiency of earnings to cover fixed charges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(80,617)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 (79,468)</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 (331,351)</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 (284,944)</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(195,762)</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purposes of determining the ratio of earnings to fixed charges, earnings are defined as earnings before income from equity investments plus fixed charges. Fixed charges consist of interest, whether capitalized or expensed, amortization of issuance costs and the estimated interest component of rent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The selected data presented below as of and for the six months ended June 30, 2012 and 2011 is derived from our unaudited consolidated financial statements. The selected data presented below as of and for the years ended December 31, 2011, 2010, 2009, 2008 and 2007 is derived from our audited consolidated financial statements.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contained in this prospectus.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82"/>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2010</w:t>
            </w: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060" w:type="dxa"/>
            <w:vAlign w:val="bottom"/>
            <w:tcBorders>
              <w:top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Consolidated Statement of Operations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Net revenues(1)</w:t>
            </w:r>
          </w:p>
        </w:tc>
        <w:tc>
          <w:tcPr>
            <w:tcW w:w="1280" w:type="dxa"/>
            <w:vAlign w:val="bottom"/>
            <w:gridSpan w:val="5"/>
          </w:tcPr>
          <w:p>
            <w:pPr>
              <w:jc w:val="right"/>
              <w:ind w:right="160"/>
              <w:spacing w:after="0"/>
              <w:rPr>
                <w:sz w:val="20"/>
                <w:szCs w:val="20"/>
                <w:color w:val="auto"/>
              </w:rPr>
            </w:pPr>
            <w:r>
              <w:rPr>
                <w:rFonts w:ascii="Arial" w:cs="Arial" w:eastAsia="Arial" w:hAnsi="Arial"/>
                <w:sz w:val="18"/>
                <w:szCs w:val="18"/>
                <w:color w:val="auto"/>
              </w:rPr>
              <w:t>$708,864</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$786,051</w:t>
            </w:r>
          </w:p>
        </w:tc>
        <w:tc>
          <w:tcPr>
            <w:tcW w:w="1260" w:type="dxa"/>
            <w:vAlign w:val="bottom"/>
            <w:gridSpan w:val="3"/>
          </w:tcPr>
          <w:p>
            <w:pPr>
              <w:jc w:val="right"/>
              <w:ind w:right="122"/>
              <w:spacing w:after="0"/>
              <w:rPr>
                <w:sz w:val="20"/>
                <w:szCs w:val="20"/>
                <w:color w:val="auto"/>
              </w:rPr>
            </w:pPr>
            <w:r>
              <w:rPr>
                <w:rFonts w:ascii="Arial" w:cs="Arial" w:eastAsia="Arial" w:hAnsi="Arial"/>
                <w:sz w:val="18"/>
                <w:szCs w:val="18"/>
                <w:color w:val="auto"/>
              </w:rPr>
              <w:t>$1,481,895</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w w:val="99"/>
              </w:rPr>
              <w:t>$1,296,556</w:t>
            </w:r>
          </w:p>
        </w:tc>
        <w:tc>
          <w:tcPr>
            <w:tcW w:w="1260" w:type="dxa"/>
            <w:vAlign w:val="bottom"/>
          </w:tcPr>
          <w:p>
            <w:pPr>
              <w:jc w:val="right"/>
              <w:ind w:right="179"/>
              <w:spacing w:after="0"/>
              <w:rPr>
                <w:sz w:val="20"/>
                <w:szCs w:val="20"/>
                <w:color w:val="auto"/>
              </w:rPr>
            </w:pPr>
            <w:r>
              <w:rPr>
                <w:rFonts w:ascii="Arial" w:cs="Arial" w:eastAsia="Arial" w:hAnsi="Arial"/>
                <w:sz w:val="18"/>
                <w:szCs w:val="18"/>
                <w:color w:val="auto"/>
              </w:rPr>
              <w:t>$1,230,120</w:t>
            </w:r>
          </w:p>
        </w:tc>
        <w:tc>
          <w:tcPr>
            <w:tcW w:w="1060" w:type="dxa"/>
            <w:vAlign w:val="bottom"/>
          </w:tcPr>
          <w:p>
            <w:pPr>
              <w:jc w:val="right"/>
              <w:ind w:right="116"/>
              <w:spacing w:after="0"/>
              <w:rPr>
                <w:sz w:val="20"/>
                <w:szCs w:val="20"/>
                <w:color w:val="auto"/>
              </w:rPr>
            </w:pPr>
            <w:r>
              <w:rPr>
                <w:rFonts w:ascii="Arial" w:cs="Arial" w:eastAsia="Arial" w:hAnsi="Arial"/>
                <w:sz w:val="18"/>
                <w:szCs w:val="18"/>
                <w:color w:val="auto"/>
                <w:w w:val="93"/>
              </w:rPr>
              <w:t>$1,099,891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1,295,851</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2,479</w:t>
            </w: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346</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72,373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Operating (loss) income</w:t>
            </w:r>
          </w:p>
        </w:tc>
        <w:tc>
          <w:tcPr>
            <w:tcW w:w="1280" w:type="dxa"/>
            <w:vAlign w:val="bottom"/>
            <w:gridSpan w:val="5"/>
          </w:tcPr>
          <w:p>
            <w:pPr>
              <w:jc w:val="right"/>
              <w:ind w:right="160"/>
              <w:spacing w:after="0"/>
              <w:rPr>
                <w:sz w:val="20"/>
                <w:szCs w:val="20"/>
                <w:color w:val="auto"/>
              </w:rPr>
            </w:pPr>
            <w:r>
              <w:rPr>
                <w:rFonts w:ascii="Arial" w:cs="Arial" w:eastAsia="Arial" w:hAnsi="Arial"/>
                <w:sz w:val="18"/>
                <w:szCs w:val="18"/>
                <w:color w:val="auto"/>
              </w:rPr>
              <w:t>23,964</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97,783</w:t>
            </w:r>
          </w:p>
        </w:tc>
        <w:tc>
          <w:tcPr>
            <w:tcW w:w="1260" w:type="dxa"/>
            <w:vAlign w:val="bottom"/>
            <w:gridSpan w:val="3"/>
          </w:tcPr>
          <w:p>
            <w:pPr>
              <w:jc w:val="right"/>
              <w:ind w:right="122"/>
              <w:spacing w:after="0"/>
              <w:rPr>
                <w:sz w:val="20"/>
                <w:szCs w:val="20"/>
                <w:color w:val="auto"/>
              </w:rPr>
            </w:pPr>
            <w:r>
              <w:rPr>
                <w:rFonts w:ascii="Arial" w:cs="Arial" w:eastAsia="Arial" w:hAnsi="Arial"/>
                <w:sz w:val="18"/>
                <w:szCs w:val="18"/>
                <w:color w:val="auto"/>
              </w:rPr>
              <w:t>101,319</w:t>
            </w:r>
          </w:p>
        </w:tc>
        <w:tc>
          <w:tcPr>
            <w:tcW w:w="1040" w:type="dxa"/>
            <w:vAlign w:val="bottom"/>
          </w:tcPr>
          <w:p>
            <w:pPr>
              <w:jc w:val="right"/>
              <w:spacing w:after="0"/>
              <w:rPr>
                <w:sz w:val="20"/>
                <w:szCs w:val="20"/>
                <w:color w:val="auto"/>
              </w:rPr>
            </w:pPr>
            <w:r>
              <w:rPr>
                <w:rFonts w:ascii="Arial" w:cs="Arial" w:eastAsia="Arial" w:hAnsi="Arial"/>
                <w:sz w:val="18"/>
                <w:szCs w:val="18"/>
                <w:color w:val="auto"/>
              </w:rPr>
              <w:t>(81,314)</w:t>
            </w:r>
          </w:p>
        </w:tc>
        <w:tc>
          <w:tcPr>
            <w:tcW w:w="1260" w:type="dxa"/>
            <w:vAlign w:val="bottom"/>
          </w:tcPr>
          <w:p>
            <w:pPr>
              <w:jc w:val="right"/>
              <w:ind w:right="119"/>
              <w:spacing w:after="0"/>
              <w:rPr>
                <w:sz w:val="20"/>
                <w:szCs w:val="20"/>
                <w:color w:val="auto"/>
              </w:rPr>
            </w:pPr>
            <w:r>
              <w:rPr>
                <w:rFonts w:ascii="Arial" w:cs="Arial" w:eastAsia="Arial" w:hAnsi="Arial"/>
                <w:sz w:val="18"/>
                <w:szCs w:val="18"/>
                <w:color w:val="auto"/>
              </w:rPr>
              <w:t>(144,279)</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(58,616)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199,825</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(88,630)</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6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(95,632)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(348,329)</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(309,870)</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(129,794)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100" w:type="dxa"/>
            <w:vAlign w:val="bottom"/>
            <w:shd w:val="clear" w:color="auto" w:fill="CCEEFF"/>
          </w:tcPr>
          <w:p>
            <w:pPr>
              <w:spacing w:after="0"/>
              <w:rPr>
                <w:sz w:val="18"/>
                <w:szCs w:val="18"/>
                <w:color w:val="auto"/>
              </w:rPr>
            </w:pPr>
          </w:p>
        </w:tc>
      </w:tr>
      <w:tr>
        <w:trPr>
          <w:trHeight w:val="351"/>
        </w:trPr>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As of June 30,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 of December 31,</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940" w:type="dxa"/>
            <w:vAlign w:val="bottom"/>
          </w:tcPr>
          <w:p>
            <w:pPr>
              <w:jc w:val="right"/>
              <w:ind w:right="342"/>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2010</w:t>
            </w: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060" w:type="dxa"/>
            <w:vAlign w:val="bottom"/>
          </w:tcPr>
          <w:p>
            <w:pPr>
              <w:jc w:val="right"/>
              <w:ind w:right="35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70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771,928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  138,475</w:t>
            </w:r>
          </w:p>
        </w:tc>
        <w:tc>
          <w:tcPr>
            <w:tcW w:w="1260" w:type="dxa"/>
            <w:vAlign w:val="bottom"/>
            <w:gridSpan w:val="3"/>
          </w:tcPr>
          <w:p>
            <w:pPr>
              <w:jc w:val="right"/>
              <w:ind w:right="62"/>
              <w:spacing w:after="0"/>
              <w:rPr>
                <w:sz w:val="20"/>
                <w:szCs w:val="20"/>
                <w:color w:val="auto"/>
              </w:rPr>
            </w:pPr>
            <w:r>
              <w:rPr>
                <w:rFonts w:ascii="Arial" w:cs="Arial" w:eastAsia="Arial" w:hAnsi="Arial"/>
                <w:sz w:val="18"/>
                <w:szCs w:val="18"/>
                <w:color w:val="auto"/>
              </w:rPr>
              <w:t>$  201,399</w:t>
            </w:r>
          </w:p>
        </w:tc>
        <w:tc>
          <w:tcPr>
            <w:tcW w:w="1040" w:type="dxa"/>
            <w:vAlign w:val="bottom"/>
          </w:tcPr>
          <w:p>
            <w:pPr>
              <w:jc w:val="right"/>
              <w:spacing w:after="0"/>
              <w:rPr>
                <w:sz w:val="20"/>
                <w:szCs w:val="20"/>
                <w:color w:val="auto"/>
              </w:rPr>
            </w:pPr>
            <w:r>
              <w:rPr>
                <w:rFonts w:ascii="Arial" w:cs="Arial" w:eastAsia="Arial" w:hAnsi="Arial"/>
                <w:sz w:val="18"/>
                <w:szCs w:val="18"/>
                <w:color w:val="auto"/>
              </w:rPr>
              <w:t>$   52,540</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   66,354</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  123,315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146,521</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26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6,368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23,973</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4,579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865,130</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Total assets</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4,492,031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4,071,147</w:t>
            </w:r>
          </w:p>
        </w:tc>
        <w:tc>
          <w:tcPr>
            <w:tcW w:w="1260" w:type="dxa"/>
            <w:vAlign w:val="bottom"/>
            <w:gridSpan w:val="3"/>
          </w:tcPr>
          <w:p>
            <w:pPr>
              <w:jc w:val="right"/>
              <w:ind w:right="62"/>
              <w:spacing w:after="0"/>
              <w:rPr>
                <w:sz w:val="20"/>
                <w:szCs w:val="20"/>
                <w:color w:val="auto"/>
              </w:rPr>
            </w:pPr>
            <w:r>
              <w:rPr>
                <w:rFonts w:ascii="Arial" w:cs="Arial" w:eastAsia="Arial" w:hAnsi="Arial"/>
                <w:sz w:val="18"/>
                <w:szCs w:val="18"/>
                <w:color w:val="auto"/>
              </w:rPr>
              <w:t>4,035,398</w:t>
            </w:r>
          </w:p>
        </w:tc>
        <w:tc>
          <w:tcPr>
            <w:tcW w:w="1040" w:type="dxa"/>
            <w:vAlign w:val="bottom"/>
          </w:tcPr>
          <w:p>
            <w:pPr>
              <w:jc w:val="right"/>
              <w:spacing w:after="0"/>
              <w:rPr>
                <w:sz w:val="20"/>
                <w:szCs w:val="20"/>
                <w:color w:val="auto"/>
              </w:rPr>
            </w:pPr>
            <w:r>
              <w:rPr>
                <w:rFonts w:ascii="Arial" w:cs="Arial" w:eastAsia="Arial" w:hAnsi="Arial"/>
                <w:sz w:val="18"/>
                <w:szCs w:val="18"/>
                <w:color w:val="auto"/>
              </w:rPr>
              <w:t>4,108,516</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4,254,324</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4,584,271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3,647,256</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3,260,632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2,721,040</w:t>
            </w:r>
          </w:p>
        </w:tc>
        <w:tc>
          <w:tcPr>
            <w:tcW w:w="126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2,632,164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2,730,738</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2,638,083</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2,897,328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2,034,603</w:t>
            </w:r>
          </w:p>
        </w:tc>
        <w:tc>
          <w:tcPr>
            <w:tcW w:w="100" w:type="dxa"/>
            <w:vAlign w:val="bottom"/>
            <w:shd w:val="clear" w:color="auto" w:fill="CCEEFF"/>
          </w:tcPr>
          <w:p>
            <w:pPr>
              <w:spacing w:after="0"/>
              <w:rPr>
                <w:sz w:val="18"/>
                <w:szCs w:val="18"/>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Member’s equity</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924,376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1,101,843</w:t>
            </w:r>
          </w:p>
        </w:tc>
        <w:tc>
          <w:tcPr>
            <w:tcW w:w="1260" w:type="dxa"/>
            <w:vAlign w:val="bottom"/>
            <w:gridSpan w:val="3"/>
          </w:tcPr>
          <w:p>
            <w:pPr>
              <w:jc w:val="right"/>
              <w:ind w:right="62"/>
              <w:spacing w:after="0"/>
              <w:rPr>
                <w:sz w:val="20"/>
                <w:szCs w:val="20"/>
                <w:color w:val="auto"/>
              </w:rPr>
            </w:pPr>
            <w:r>
              <w:rPr>
                <w:rFonts w:ascii="Arial" w:cs="Arial" w:eastAsia="Arial" w:hAnsi="Arial"/>
                <w:sz w:val="18"/>
                <w:szCs w:val="18"/>
                <w:color w:val="auto"/>
              </w:rPr>
              <w:t>1,010,307</w:t>
            </w:r>
          </w:p>
        </w:tc>
        <w:tc>
          <w:tcPr>
            <w:tcW w:w="1040" w:type="dxa"/>
            <w:vAlign w:val="bottom"/>
          </w:tcPr>
          <w:p>
            <w:pPr>
              <w:jc w:val="right"/>
              <w:spacing w:after="0"/>
              <w:rPr>
                <w:sz w:val="20"/>
                <w:szCs w:val="20"/>
                <w:color w:val="auto"/>
              </w:rPr>
            </w:pPr>
            <w:r>
              <w:rPr>
                <w:rFonts w:ascii="Arial" w:cs="Arial" w:eastAsia="Arial" w:hAnsi="Arial"/>
                <w:sz w:val="18"/>
                <w:szCs w:val="18"/>
                <w:color w:val="auto"/>
              </w:rPr>
              <w:t>1,098,502</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1,385,553</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1,257,563</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1,375,020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Encore opened on December 22,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long-term debt, interest rate swap and long-term amounts due to affiliates.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In December 2008, we expanded Wynn Las Vegas with the opening of Encore at Wynn Las Vegas. Wynn Las Vegas, located at the intersection of the Las Vegas Strip and Sands Avenue, occupies approximately 215 acres of land (of which approximately 140 acres comprise the Wynn Las Vegas golf course, which we lease from Wynn Resorts) fronting the Las Vegas Strip and utilizes approximately 18 additional acres across Sands Avenue, a portion of which is improved with an employee parking garage, and approximately 5 acres adjacent to the Wynn Las Vegas golf course on which an office building is located.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900" w:right="4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Approximately 94,000 square feet of high-end, brand-name retail shopping, including stores and boutiques by Alexander McQueen, Brioni, Cartier, Chanel, Dior, Graff, Hermès, Loro Piana, Louis Vuitton, Manolo Blahnik, Oscar de la Renta, Vertu and others;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response to our evaluation of our property and the reactions of our guests, we have and expect to continue to remodel and make enhancements and refinements to our resort complex.</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During the six months ended June 30, 2012, the economic environment in the Las Vegas gaming, hotel, tourism, and convention markets were stable compared to 2011. For the six months ended June 30, 2012, the average daily room rate increased 4.3%, visitation increased 2.4% to 19.9 million visitors, and Las Vegas Strip revenues decreased 0.6%, all as compared to the prior year period. For the six months ended June 30, 2012, our financial results were adversely impacted by a lower than normal table games win percentage. While we experienced a decrease in occupancy rate over the prior year period, we were able to achieve an increase in average daily rate as we adjusted rates in an effort to attract customers who would take advantage of all aspects of our resort.</w:t>
      </w:r>
    </w:p>
    <w:p>
      <w:pPr>
        <w:spacing w:after="0" w:line="10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2011, the economic environment in the gaming, hotel, tourism and convention markets in Las Vegas began to improve with increased levels of gaming revenue, visitation and hotel room demand. For the year ended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the average daily room rate increased 10.7%, visitation increased 4.3% to 38.9 million visitors,</w:t>
      </w:r>
    </w:p>
    <w:p>
      <w:pPr>
        <w:spacing w:after="0" w:line="1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and Las Vegas Strip gaming revenues increased 5.1%, all as compared to the year ended December 31, 2010. While these gaming and hotel statistics have increased from prior year levels, uncertainty still exists in the Las Vegas market. For the year ended December 31, 2011, we benefited from a higher than normal table games win percentage, improved ADR and increased visitation resulting in an increase in all revenue streams including entertainment, food and beverage. While we experienced a decrease in occupancy rate over the prior year, we were able to achieve an increase in average daily rate as we adjusted rates in an effort to attract a higher quality customer who would take advantage of all aspects of our resort.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and Encore. We currently rely solely upon the operations of this resort complex for our operating cash flow. Concentration of our cash flow in one resort complex exposes us to certain risks that competitors, whose operations are more diversified, may be better able to control. In addition to the concentration of operations in a single resort complex, many of our customers are premium gaming customers who wager on credit, thus exposing us to credit risk. High-end gaming also increases the potential for variability in our results.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recorded a net loss for the three months ended June 30, 2012 of $53.2 million, compared to a net loss of $1.5 million recorded for the three months ended June 30, 2011. This decrease was primarily a result of decreased departmental profits, especially in the casino department ($57.3 million) where we experienced lower than normal table games win and hold, significantly lower than that achieved in the prior year quarter. We also recorded a loss on retirement of debt of $4.8 million for the six months ended June 30, 2012 related to an amendment of our bank credit facilities. See below for a more detailed discussion regarding our results.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recorded a net loss for the year ended December 31, 2011 of $95.6 million, which represents an improvement of $252.7 million from the net loss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$348.3 million recorded for the year ended December 31, 2010. This improvement is primarily due to an increase in departmental profits, especially in the casino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department and the hotel department. See below for a more detailed discussion regarding our results.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our operational performance for the periods in which a Condensed Consolidated Statement of Operations and Comprehensive Loss or a Consolidated Statement of Operations and Comprehensive Loss is presented. Below are definitions of the gaming statistics discussed:</w:t>
      </w:r>
    </w:p>
    <w:p>
      <w:pPr>
        <w:spacing w:after="0" w:line="59"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recorded as casino revenue.</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the retail value of promotional allowances (less service charges, if any) by total rooms occupied including complimentary rooms.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the retail value of promotional allowances (less service charges, if any) by total rooms available.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June 30, 2012 compared to the three months ended June 30,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Net revenues for the three months ended June 30, 2012, are composed of $98.6 million in casino revenues (28.5% of total net revenues) and $247.1 million of net non-casino revenues (71.5% of total net revenues). Net revenues for the three months ended June 30, 2011, were comprised of $158.3 million in casino revenues (40.5% of total net revenues) and $232.7 million of net non-casino revenues (59.5% of total net revenues).</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experienced a decrease in casino revenues of $59.7 million (37.7%) to $98.6 million for the three months ended June 30, 2012, compared to $158.3 million for the three months ended June 30, 2011, due to a significant decrease in our table games win percentage. Our table games win percentage (before discounts) for the three months ended June 30, 2012, was 15.0%, which was below the expected range of 21% to 24%; and was significantly lower than the 27.6% experienced in the prior year quarter. Drop increased $40.9 million (7.6%) to $575.6 million during the three months ended June 30, 2012, compared to $534.7 million in the prior year quarter. Slot machine handle increased $22.2 million (3.2%) to $707.8 million compared to $685.6 million in the prior year quarter; however slot machine win of $40.5 million was flat compared to the prior year quarter.</w:t>
      </w:r>
    </w:p>
    <w:p>
      <w:pPr>
        <w:spacing w:after="0" w:line="14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 the three months ended June 30, 2012, room revenues were $96.2 million, which represents a $5.1 million (5.6%) increase over the $91.1 million generated in the three months ended June 30, 2011. We experienced an increase in ADR during the three months ended June 30, 2012, compared to the three months ended June 30, 2011, and a decrease in occupancy rate of 1.6 percentage points. ADR has increased as we adjusted rates in an effort to attract customers who would take advantage of all aspects of our resort. See the table below for key operating measures related to our room revenue.</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Ended June 30,</w:t>
            </w:r>
          </w:p>
        </w:tc>
      </w:tr>
      <w:tr>
        <w:trPr>
          <w:trHeight w:val="142"/>
        </w:trPr>
        <w:tc>
          <w:tcPr>
            <w:tcW w:w="41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$ 254</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$ 240</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3960" w:type="dxa"/>
            <w:vAlign w:val="bottom"/>
            <w:gridSpan w:val="3"/>
          </w:tcPr>
          <w:p>
            <w:pPr>
              <w:jc w:val="right"/>
              <w:ind w:right="680"/>
              <w:spacing w:after="0"/>
              <w:rPr>
                <w:sz w:val="20"/>
                <w:szCs w:val="20"/>
                <w:color w:val="auto"/>
              </w:rPr>
            </w:pPr>
            <w:r>
              <w:rPr>
                <w:rFonts w:ascii="Arial" w:cs="Arial" w:eastAsia="Arial" w:hAnsi="Arial"/>
                <w:sz w:val="18"/>
                <w:szCs w:val="18"/>
                <w:color w:val="auto"/>
              </w:rPr>
              <w:t>87.6%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$ 222</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$ 214</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Other non-gaming revenues for the three months ended June 30, 2012, included food and beverage revenues of $138.4 million, retail revenues of $21 million, entertainment revenues of $18.1 million, and other revenues from outlets, including the spa and salon, of $17.2 million. Other non-casino revenues for the three months ended June 30, 2011, included: food and beverage revenues of $126 million, retail revenues of $22.9 million, entertainment revenues of $19 million, and other revenues from outlets such as the spa and salon, of $16.8 million. Food and beverage revenues increased primarily due to business in our beach club and nightclubs. Retail revenues decreased as we reconfigured the Encore retail area and are in the process of rebranding several retail outlets. Entertainment revenues decreased over the prior year quarter primarily due to a loss of revenues from the Sinatra “Dance with Me” show, which ended its run on April 23, 2011.</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three months ended June 30, 2012, departmental expenses included casino expenses of $67.3 million, room expense of $32.6 million, food and beverage expenses of $79.7 million, and entertainment, retail and other expenses of $34.5 million. Also included are general and administrative expenses of $58.3 million and a $0.3 million credit taken to provision for doubtful accounts receivable. For the three months ended June 30, 2011, departmental expenses included casino expense of $69.7 million, room expense of $31.2 million, food and beverage expense of $70.4 million, and entertainment, retail and other expense of $36.9 million. Also included are general and administrative expenses of approximately $55.7 million and approximately $3.8 million charged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provision for doubtful accounts receivable. Food and beverage expenses increased over prior year quarter primarily due to additional nightclub promotional costs. General and administrative expenses increased over the prior year quarter primarily due to higher advertising costs. During the quarter ended June 30, 2012, we recorded an adjustment to our reserve estimates for casino accounts receivable based on the results of historical collection patterns and current collection trends. This change in estimate was the primary factor that resulted in a $0.3 million credit to the provision for doubtful accounts for the quarter ended June 30, 2012.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the first mortgage notes indentures. Management fees were $5.2 million for the three months ended June 30, 2012, compared to $5.9 million for the three months ended June 30, 2011.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and amortization for the three months ended June 30, 2012 was $62.8 million compared to $66.3 million for the three months ended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Property charges and other for the three months ended June 30, 2012, were $2.2 million compared to $2.6 million for the three months ended June 30, 2011. Property charges and other for the three months ended June 30, 2012 and 2011, related to miscellaneous renovations and abandonments at our resort complex.</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expense was $58.5 million for the three months ended June 30, 2012, compared to $50.3 million for the three months ended June 30, 2011. No interest was capitalized during either period. Interest expense increased approximately $8.2 million primarily due to the issuance of the $900 million 5 3/8% first mortgage notes in March 2012, offset by the reduction of $370.9 million in term loan borrowings as described in Note 6 to our Condensed Consolidated Notes to Financial Statements.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Changes in the fair value of our interest rate swaps are recorded as an increase (decrease) in swap fair value in each period. We recorded a gain of approximately $1.3 million for the three months ended June 30, 2012, resulting from the increase in the fair value of our interest rate swap during this period. In June 2012, we terminated the interest rate swap for a payment of $2.4 million. We recorded a gain of $27,000 for the three months ended June 30, 2011, resulting from the increase in the fair value of our interest rate swap from March 31, 2011 to June 30, 2011.</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March 12, 2012, we entered into an eighth amendment to our Amended and Restated Credit Agreement (the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 In September 2012, we terminated the Wynn Las Vegas Credit Agreement.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six months ended June 30, 2012 compared to the six months ended June 30,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revenues for the six months ended June 30, 2012, are composed of $256.3 million in casino revenues (36.2% of total net revenues) and $452.6 million of net non-casino revenues (63.8% of total net revenues). Net revenues for the six months ended June 30, 2011, were comprised of $352.5 million in casino revenues (44.8% of total net revenues) and $433.5 million of net non-casino revenues (55.2% of total net revenues).</w:t>
      </w:r>
    </w:p>
    <w:p>
      <w:pPr>
        <w:spacing w:after="0" w:line="10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experienced a decrease in casino revenues of $96.2 million (27.3%) to $256.3 million for the six months ended June 30, 2012, compared to $352.5 million for the six months ended June 30, 2011, due to a decrease in our table</w:t>
      </w:r>
    </w:p>
    <w:p>
      <w:pPr>
        <w:spacing w:after="0"/>
        <w:rPr>
          <w:sz w:val="20"/>
          <w:szCs w:val="20"/>
          <w:color w:val="auto"/>
        </w:rPr>
      </w:pPr>
      <w:r>
        <w:rPr>
          <w:rFonts w:ascii="Arial" w:cs="Arial" w:eastAsia="Arial" w:hAnsi="Arial"/>
          <w:sz w:val="16"/>
          <w:szCs w:val="16"/>
          <w:color w:val="auto"/>
        </w:rPr>
        <w:t>games win percentage. Our table games win percentage (before discounts) for the six months ended June 30, 2012, was 19.2%, which was below the expected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range of 21% to 24%; and was significantly lower than the 29.1% experienced in the prior year period. Drop increased $61.4 million (5.3%) to $1,230.1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2012, compared to $1,168.7 million in the prior year period. Slot machine handle increased $22.4 million (1.6%)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$1,426.7 million compared to $1,404.3 million in the prior year period; however slot machine win decreased $0.5 million (0.6%) to $83.5 million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lower hold.</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six months ended June 30, 2012, room revenues were $183.5 million, which represents a $4.5 million (2.5%) increase over the $179 million generated in the six months ended June 30, 2011. We experienced an increase in ADR during the six months ended June 30, 2012, compared to the six months ended June 30, 2011, and a decrease in occupancy rate of 5 percentage points. ADR has increased as we adjusted rates in an effort to attract customers who would take advantage of all aspects of our resort. See the table below for key operating measures related to our room revenue.</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6"/>
              </w:rPr>
              <w:t>Six Months</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Ended June 30,</w:t>
            </w:r>
          </w:p>
        </w:tc>
      </w:tr>
      <w:tr>
        <w:trPr>
          <w:trHeight w:val="142"/>
        </w:trPr>
        <w:tc>
          <w:tcPr>
            <w:tcW w:w="41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210"/>
        </w:trPr>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$ 254</w:t>
            </w:r>
          </w:p>
        </w:tc>
        <w:tc>
          <w:tcPr>
            <w:tcW w:w="7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$ 240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3920" w:type="dxa"/>
            <w:vAlign w:val="bottom"/>
            <w:gridSpan w:val="3"/>
          </w:tcPr>
          <w:p>
            <w:pPr>
              <w:jc w:val="right"/>
              <w:ind w:right="572"/>
              <w:spacing w:after="0"/>
              <w:rPr>
                <w:sz w:val="20"/>
                <w:szCs w:val="20"/>
                <w:color w:val="auto"/>
              </w:rPr>
            </w:pPr>
            <w:r>
              <w:rPr>
                <w:rFonts w:ascii="Arial" w:cs="Arial" w:eastAsia="Arial" w:hAnsi="Arial"/>
                <w:sz w:val="18"/>
                <w:szCs w:val="18"/>
                <w:color w:val="auto"/>
              </w:rPr>
              <w:t>83.5%</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88.5%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$ 212</w:t>
            </w: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$ 212</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Other non-gaming revenues for the six months ended June 30, 2012, included food and beverage revenues of $247.3 million, retail revenues of $41.2 million, entertainment revenues of $39.1 million, and other revenues from outlets, including the spa and salon, of $32.4 million. Other non-casino revenues for the six months ended June 30, 2011, included: food and beverage revenues of $232.1 million, retail revenues of $43 million, entertainment revenues of $39.7 million, and other revenues from outlets such as the spa and salon, of $31.4 million. Food and beverage revenues increased primarily due to business in our beach club and nightclubs. Entertainment revenues decreased over the prior year period primarily due to a loss of revenues from the Sinatra “Dance with Me” show, which ended its run on April 23, 2011.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six months ended June 30, 2012, departmental expenses included casino expenses of $146.3 million, room expense of $61.8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$145 million, and entertainment, retail and other expenses of $71.5 million. Also included are general and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$113.5 million and $4 million charged as a provision for doubtful accounts receivable. For the six months ended June 30, 2011, departmental expenses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casino expense of $154.2 million, room expense of $61 million, food and beverage expense of $131.5 million, and entertainment, retail and other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$74.6 million. Also included are general and administrative expenses of approximately $110 million and approximately $8.5 million charged as a provision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doubtful accounts receivable. Food and beverage expenses increased over the prior year period primarily due to additional nightclub promotional costs. General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administrative expenses increased over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prior year period primarily due to higher advertising costs. The provision for doubtful accounts decreased during the six months ended June 30, 2012 as we recorded an adjustment to our reserve estimates for casino accounts receivable based on the results of historical collection patterns and current collection trends.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the first mortgage notes indentures. Management fees were $10.6 million for the six months ended June 30, 2012, compared to $11.8 million for the six months ended June 30, 2011.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six months ended June 30, 2012 was $126.2 million compared to $132 million for the six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six months ended June 30, 2012, were $5.9 million compared to $4.6 million for the six months ended June 30, 2011.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Property charges and other for the six months ended June 30, 2012 and 2011, related to miscellaneous renovations and abandonments at our resort complex.</w:t>
      </w:r>
    </w:p>
    <w:p>
      <w:pPr>
        <w:spacing w:after="0" w:line="1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Interest expense was $110.6 million for the six months ended June 30, 2012, compared to $100.6 million for the six months ended June 30, 2011. No interest was capitalized during either period. Interest expense increased approximately $10 million primarily due to the issuance of the $900 million 5 3/8% first mortgage notes in March 2012, offset by the reduction of $370.9 million in term loan borrowings as described in Note 6 to our Condensed Consolidated Notes to Financial Statements.</w:t>
      </w:r>
    </w:p>
    <w:p>
      <w:pPr>
        <w:spacing w:after="0" w:line="14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Changes in the fair value of our interest rate swaps are recorded as an increase (decrease) in swap fair value in each period. We recorded a gain of approximately $2.3 million for the six months ended June 30, 2012, resulting from the increase in the fair value of our interest rate swap during this period. In June 2012, we terminated the interest rate swap for a payment of $2.4 million. We recorded a gain of approximately $1.4 million for the six months ended June 30, 2011, resulting from the increase in the fair value of our interest rate swap from December 31, 2010 to June 30, 2011.</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March 12, 2012, we entered into an eighth amendment to the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 In September 2012, we terminated the Wynn Las Vegas Credit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2011 compared to the year ended December 31,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Net revenues for the year ended December 31, 2011 are comprised of $625.2 million in casino revenues (42.2% of total net revenues) and $856.7 million of net non-casino revenues (57.8% of total net revenues).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revenues for the year ended December 31, 2010 were comprised of $534.3 million in casino revenues (41.2% of total net revenues) and $762.3 million of net non-casino revenues (58.8% of total net revenues).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$90.9 million (17%) to $625.2 million for the year ended December 31, 2011, compared to $534.3 million for the year ended December 31, 2010. For the year ended December 31, 2011, we experienced a 9.9% increase in drop and an increase in the average table games win percentage compared to the prior year. Our average table games win percentage (before discounts) of 24.9% was above the expected range of 21% to 24% for the year ended December 31, 2011. For the year ended December 31, 2010, our average table games win percentage (before discounts) was 22.2%. Slot machine handle increased slightly compared to the prior year; however, slot machine win increased 7.0% as more play shifted to higher hold slot machines.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For the year ended December 31, 2011, room revenues were $354 million, which represents a $45.6 million (14.8%) increase over the $308.4 million generated in the year ended December 31, 2010. We experienced an increase in room rates during the year ended December 31, 2011, compared to the prior year, with a 1.9 percentage point decrease in occupancy rate. We were able to achieve an increase in ADR as we adjusted rates to attract a high quality customer who would take advantage of all aspects of our resort. See the table below for key operating measures related to our room revenue.</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2011</w:t>
            </w:r>
          </w:p>
        </w:tc>
        <w:tc>
          <w:tcPr>
            <w:tcW w:w="8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$ 242</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$ 210</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3960" w:type="dxa"/>
            <w:vAlign w:val="bottom"/>
            <w:gridSpan w:val="3"/>
          </w:tcPr>
          <w:p>
            <w:pPr>
              <w:jc w:val="right"/>
              <w:ind w:right="612"/>
              <w:spacing w:after="0"/>
              <w:rPr>
                <w:sz w:val="20"/>
                <w:szCs w:val="20"/>
                <w:color w:val="auto"/>
              </w:rPr>
            </w:pPr>
            <w:r>
              <w:rPr>
                <w:rFonts w:ascii="Arial" w:cs="Arial" w:eastAsia="Arial" w:hAnsi="Arial"/>
                <w:sz w:val="18"/>
                <w:szCs w:val="18"/>
                <w:color w:val="auto"/>
              </w:rPr>
              <w:t>86.1%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$ 208</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Other non-casino revenues for the year ended December 31, 2011, included food and beverage revenues of $454.7 million, retail revenues of $87.3 million, entertainment revenues of $82.2 million, and other revenues from outlets such as the spa and salon of $60.1 million. Other non-gaming revenues for the year ended December 31, 2010, included food and beverage revenues of $417.2 million, retail revenues of $83.1 million, entertainment revenues of $72 million, and other revenues from outlets, including the spa and salon, of $58.9 million. The increase in food and beverage revenue is due primarily to business in our nightclubs including the full year of operations of the Encore Beach Club and Surrender Nightclub which opened in May 2010, and increases in our catering and restaurant business that we experienced with the improving tourism and convention markets during 2011. Entertainment revenues increased over the prior year primarily due to revenue from Garth Brooks who performs in the Encore Theater, and the Sinatra “Dance with Me” show which ended its run on April 23, 2011.</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2011, departmental expenses included casino expenses of $298.2 million, room expenses of $122.2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$264.9 million, and entertainment, retail and other expenses of $147 million. Also included are general and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$225.5 million and $20.3 million charged as a provision for doubtful accounts receivable. For the year ended December 31, 2010, departmental expenses included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casino expenses of $288.3 million, room expenses of $119.4 million, food and beverage expenses of $256.2 million, and entertainment, retail and other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$145.3 million. Also included are general and administrative expenses of $237.7 million and $15.7 million charged as a provision for doubtful accounts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receivable.</w:t>
      </w:r>
    </w:p>
    <w:p>
      <w:pPr>
        <w:spacing w:after="0" w:line="16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Casino expense increased as a result of increased gaming revenue. Although our room revenues increased 14.8%, room expenses increased only 2.3% as the revenue increase was driven primarily by increased ADR.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Food and beverage expenses increased commensurate with the increase in revenues. General and administrative expenses decreased primarily as a result of lower property tax expense and reduced utility costs. The provision for doubtful accounts receivable increased for the year ended December 31, 2011, primarily due to a higher casino revenue base, compared to the prior year.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the first mortgage notes indentures. Management fees were $22.2 million for the year ended December 31, 2011, compared to $19.5 million for the year ended December 31, 2010, as revenues increased.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the year ended December 31, 2011, we incurred no pre-opening costs. Pre-opening costs incurred for the year ended December 31, 2010 of $2.5 million were related to the Encore Beach Club and Surrender Nightclub which opened in May 2010.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2011 was $263.6 million compared to $274.3 million for the year ended December 31, 2010. This decrease is primarily due to assets with a 5-year life being fully depreciated as of April 2010 at Wynn Las Vegas, offset by depreciation of the assets of the Encore Beach Club which were placed into service in May 2010.</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Property charges and other for the year ended December 31, 2011, were $16.6 million compared to $19 million for the year ended December 31, 2010. Property charges and other for the year ended December 31, 2011, include miscellaneous renovations and abandonments at our resort, including modifications of the Encore retail esplanade, the closure of the Blush nightclub and the write off of certain off-site golf memberships. Property charges and other for the year ended December 31, 2011 also includes the write off of costs related to the Sinatra “Dance with Me” show that ended its run earlier in the year.</w:t>
      </w:r>
    </w:p>
    <w:p>
      <w:pPr>
        <w:spacing w:after="0" w:line="11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2010, include a contract termination payment of $14.9 million related to a management contract for certain of the nightclubs at Wynn Las Vegas and miscellaneous renovations and abandonments.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Interest expense was $201.3 million, net of capitalized interest of $0, for the year ended December 31, 2011, compared to $193.4 million, net of capitalized interest of $0.6 million for the year ended December 31, 2010. Our interest expense increased compared to the prior year primarily due to higher interest rates on the first mortgage notes and the Wynn Las Vegas term loan facilities. This increase was partially offset by reduced outstanding balances on the Wynn Las Vegas revolving credit facilities.</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year. We recorded a gain of $3.8 million for the year ended December 31, 2011, resulting from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increase in the fair value of our interest rate swap from December 31, 2010 to December 31, 2011. We recorded an expense of $4.2 million for the year ended December 31, 2010, resulting from the decrease in the fair value of our interest rate swap from December 31, 2009 to December 31, 2010. This swap will mature in November 2012.</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April 2010 we completed an exchange offer for a portion of our outstanding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2014 (the “2014 notes”). In connection with that exchange offer, the direct costs incurred with third parties of $4.6 million were expensed. In the third quarter of 2010, we completed a tender offer for the then outstanding 2014 notes and subsequent call of all the remaining amounts once the tender was completed. In connection with this transaction, we recorded a loss on extinguishment of debt of $65.4 million. This included the tender offer consideration, the call premium and the related write off of the unamortized debt issue costs and original issue discount.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2010 compared to the year ended December 31,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2010 are comprised of $534.3 million in casino revenues (41.2% of total net revenues) and $762.3 million of net non-casino revenues (58.8% of total net revenues). Net revenues for the year ended December 31, 2009 were comprised of $505.8 million in casino revenues (41.1% of total net revenues) and $724.3 million of net non-casino revenues (58.9% of total net revenues).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approximately $28.5 million (5.6%) to $534.3 million for the year ended December 31, 2010, compared to $505.8 million for the year ended December 31, 2009. For the year ended December 31, 2010, we experienced a 3.4% increase in drop and an increase in the average table games win percentage compared to the prior year. Our average table games win percentage (before discounts) of 22.2% was within the expected range of 21% to 24% for the year ended December 31, 2010. For the year ended December 31, 2009, our average table games win percentage (before discounts) was 20.2%. Slot handle decreased 18.3% for the year ended December 31, 2010 as compared to 2009; however slot win, net of free play and progressive accruals only decreased 6.9% compared to the prior year as more play shifted to higher hold machines.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the year ended December 31, 2010, room revenues were approximately $308.4 million, which represents a $12.7 million (4%) decrease compared to the $321.2 million generated in the year ended December 31, 2009. We continued to experience a decrease in room rates during the year ended December 31, 2010, compared to the year ended December 31, 2009. We believe this is due to the current economic conditions in which we operate in the U.S. and the increased capacity in the Las Vegas market including the opening of a new large scale casino hotel in Las Vegas in December 2009. Also, due to our remodel of the rooms and suites at Wynn Las Vegas beginning in July 2010, we had 3.8% fewer room nights available during the year ended December 31, 2010 which contributed to a decrease in room revenues compared to the prior year. The room remodel was completed in January 2011 and the suite remodel was completed in May 2011. See the table below for key operating measures related to our room revenue.</w:t>
      </w:r>
    </w:p>
    <w:p>
      <w:pPr>
        <w:spacing w:after="0" w:line="1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$ 210</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$ 217</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3960" w:type="dxa"/>
            <w:vAlign w:val="bottom"/>
            <w:gridSpan w:val="3"/>
          </w:tcPr>
          <w:p>
            <w:pPr>
              <w:jc w:val="right"/>
              <w:ind w:right="612"/>
              <w:spacing w:after="0"/>
              <w:rPr>
                <w:sz w:val="20"/>
                <w:szCs w:val="20"/>
                <w:color w:val="auto"/>
              </w:rPr>
            </w:pPr>
            <w:r>
              <w:rPr>
                <w:rFonts w:ascii="Arial" w:cs="Arial" w:eastAsia="Arial" w:hAnsi="Arial"/>
                <w:sz w:val="18"/>
                <w:szCs w:val="18"/>
                <w:color w:val="auto"/>
              </w:rPr>
              <w:t>88.0%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85.2%</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$ 185</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Other non-casino revenues for the year ended December 31, 2010 included food and beverage revenues of approximately $417.2 million, retail revenues of approximately $83.1 million, entertainment revenues of approximately $72 million, and other revenues from outlets such as the spa and salon, of approximately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$58.9 million. Other non-gaming revenues for the year ended December 31, 2009 included food and beverage revenues of approximately $385.8 million, retail revenues of approximately $85.8 million, entertainment revenues of approximately $57.1 million, and other revenues from outlets, including the spa and salon, of approximately $60.5 million. The increase in food and beverage revenue is due primarily to business in our nightclubs including the opening of the Encore Beach Club and Surrender Nightclub in May 2010. Entertainment revenues increased over the prior year primarily due to performances by Garth Brooks in the Encore Theater which started in December 2009, as well as increased revenue from our Le Rêve show.</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During the year ended December 31, 2010, departmental expenses included casino expenses of $288.3 million, room expenses of $119.4 million, food and beverage expenses of $256.2 million, and entertainment, retail and other expenses of $145.3 million. Also included are general and administrative expenses of approximately $237.7 million and approximately $15.7 million charged as a provision for doubtful accounts receivable. During the year ended December 31, 2009, departmental expenses included casino expenses of $275.3 million, room expenses of $109.2 million, food and beverage expenses of $239.8 million, and entertainment, retail and other expenses of $133.8 million. Also included are general and administrative expenses of approximately $246.8 million and approximately $12.4 million charged as a provision for doubtful accounts receivable. The increase in casino and room expenses was primarily attributable to additional customer acquisition and marketing costs. Food and beverage expenses increased commensurate with the increase in revenue.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Entertainment, retail and other expenses increased primarily as a result of performances by Garth Brooks in the Encore Theater at Wynn Las Vegas as noted above. General and administrative expenses decreased as a result of lower advertising expenses and our cost savings initiatives offset partially by higher repairs and replacement expenses associated with general property maintenance.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the first mortgage notes indentures. Management fees were $19.5 million for the year ended December 31, 2010, compared to $18.4 million for the year ended December 31, 2009.</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For the year ended December 31, 2010, we incurred $2.5 million of pre-opening costs. We incurred $0.3 million of preopening costs for the year ended December 31, 2009. Pre-opening costs incurred for the year ended December 31, 2010, were related the Encore Beach Club and Surrender Nightclub which opened in May 2010.</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2010 was $274.3 million compared to $313.8 million for the year ended December 31, 2009. This decrease is primarily due to assets with a 5-year life being fully depreciated as of April 2010 at Wynn Las Vegas, off set by depreciation of the assets of the Encore Beach Club which were placed into service in May 2010.</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2010, were $19 million compared to $24.5 million for the year ended December 31, 2009. Property charges and other for the year ended December 31,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include a contract termination payment of $14.9 million related to a management contract for certain of the nightclubs at our resorts, as well as miscellaneous renovations and abandonments at Wynn Las Vegas and Encore.</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2009, include a charge of $16.7 million for the abandonment of the front porte-cochere at Encore to make way for the Encore Beach Club, the write-off of $5.3 million of aircraft purchase deposits and $2.5 million related to miscellaneous renovations and abandonments.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Interest expense was $193.4 million, net of capitalized interest of $0.6 million, for the year ended December 31, 2010, compared to $157.2 million for the year ended December 31, 2009. There was no interest capitalized during the year ended December 31, 2009. Interest expense increased $36.2 million primarily due to increased interest related to the $500 million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issued in October 2009, a higher rate on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 notes, as discussed below, and offset partially by reductions in amounts outstanding under the Wynn Las Vegas bank credit facilities compared to the prior year.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fair value of our interest rate swaps are recorded as an increase (or decrease) in swap fair value in each year. We recorded an expense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$4.2 million for the year ended December 31, 2010, resulting from the decrease in the fair value of our interest rate swap from December 31, 2009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2010. We recorded an expense of approximately $4.2 million for the year ended December 31, 2009, resulting from the decrease in the fair value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interest rate swap from August 2009 (the date we entered into the agreement) to December 31, 2009.</w:t>
      </w:r>
    </w:p>
    <w:p>
      <w:pPr>
        <w:spacing w:after="0" w:line="165"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In April 2010 we completed an exchange offer for a portion of our outstanding 2014 notes. In connection with that exchange offer, the direct costs incurred with third parties of $4.6 million were expensed. In the third quarter of 2010, we completed a tender offer for the then outstanding 2014 notes and subsequent call of all the remaining amounts once the tender was completed. In connection with this transaction, we recorded a loss on extinguishment of debt of $65.4 million. This included the tender offer consideration, the call premium and the related write off of the unamortized debt issue costs and original issue discount.</w:t>
      </w:r>
    </w:p>
    <w:p>
      <w:pPr>
        <w:spacing w:after="0" w:line="188" w:lineRule="exact"/>
        <w:rPr>
          <w:sz w:val="20"/>
          <w:szCs w:val="20"/>
          <w:color w:val="auto"/>
        </w:rPr>
      </w:pPr>
    </w:p>
    <w:p>
      <w:pPr>
        <w:jc w:val="right"/>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right"/>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resort complex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Net cash provided by operations for the six months ended June 30, 2012, was $73.7 million compared to $137.6 million provided by operations for the six months ended June 30, 2011. This decrease is primarily due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operating income as a result of decreased casino department profitability offset by beneficial changes in working capital.</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Net cash provided by operations for the year ended December 31, 2011 was $228 million compared to $104.6 million provided by operations for the year ended December 31, 2010. This increase is primarily due to the increase in operating income as a result of increased casino and rooms department profitability. Cash flow from operations were negatively impacted by a $50.4 million increase in cash paid for interest as our interest payment dates changed with the debt transactions we completed last year and ordinary changes in working capital.</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September 2012, we terminated the Wynn Las Vegas Credit Agreement and, in accordance with the respective indentures, the liens (other than the Holdings pledge) securing, and the subsidiary guarantees of,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old notes were released. Also in September 2012, Wynn Las Vegas, LLC made a distribution payment to Wynn Resorts of $700 million, thus reducing the available cash at Wynn Las Vegas, LLC. As of September 19, 2012, we had approximately $67 million of cash and cash equivalents available for use without restriction, including for operations, debt service and retirement, new development activities, enhancements to Wynn Las Vegas and general corporate purposes. See “Summary—Recent Developments.” We require a certain amount of cash on hand for operations. We anticipate such funds, together with cash generated from operations, will satisfy our liquidity needs for the next 12 months. Except for scheduled quarterly payments on one note payable, we have no debt maturities until July 2017.</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June 30, 2012, we had $771.9 million of cash and cash equivalents available for use without restriction, including for operations, debt service and retirement, new development activities, enhancements to Wynn Las Vegas and general corporate purposes. Our cash balance increased as a result of the issuance of the $900 million first mortgage notes in March 2012. As of June 30, 2012, we had $84.2 million available to draw under the Wynn Las Vegas Credit Agreement.</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At December 31, 2011, we had approximately $201.4 million of cash and cash equivalents available for use without restriction, including for operations, debt service and retirement, new development activities, enhancements to Wynn Las Vegas and general corporate purposes. As of December 31, 2011, we had $351.1 million of availability under the Wynn Las Vegas Credit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Capital expenditures were approximately $23.2 million for the six months ended June 30, 2012, and related primarily to general property maintenance. Capital expenditures were approximately $34.8 million for the six months ended June 30, 2011 and related primarily to the room and suite remodel that began in 2010.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Capital expenditures were approximately $65.2 million for the year ended December 31, 2011, and were primarily related to the room and suite remodel at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Wynn Las Vegas, the new high limit slot salon, the new Tower Suites lobby and lounge and other property remodels. Capital expenditures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$157.1 million for the year ended December 31, 2010, and were related primarily to the Wynn Las Vegas room and suite remodel and the Encore Beach Club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Surrender Nightclub. Capital expenditures were approximately $245 million for the year ended December 31, 2009 and were almost entirely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construction of Encore.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we had the following first mortgage notes outstanding: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7.875% First Mortgage Notes due 2017</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October 2009, we issued, in a private offering, $500 million aggregate principal amount of 7.875% first mortgage notes due November 1, 2017 at a price of 97.823% of the principal amount. We pay interest on the 2017 notes on May 1st and November 1st of each year. Commencing November 1, 2013, the 2017 notes are redeemable at our option at a price equal to 103.938% of the principal amount redeemed and the premium over the principal amount declines ratably on November 1st of each year thereafter to zero on or after November 1, 2015. The 2017 notes are unsecured (except by the Holdings pledge). Our obligations under the 2017 notes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 The 2017 notes are not guaranteed by any of our subsidiaries. The indenture governing the 2017 notes contains customary negative covenants and financial covenants, including, but not limited to, covenants that restrict our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First Mortgage Notes due 2020</w:t>
      </w:r>
    </w:p>
    <w:p>
      <w:pPr>
        <w:spacing w:after="0" w:line="9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color w:val="auto"/>
        </w:rPr>
        <w:t xml:space="preserve">In April 2010, we issued, in a private offering, $382 million aggregate principal amount of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first mortgage notes due May 1, 2020.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were issued pursuant to an exchange offer for previously issued notes that were to mature in December 2014. We pay interest on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on May 1st and November 1st of each year. Commencing May 1, 2015,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2020 notes are redeemable at our option at a price equal to 103.938% of the principal amount redeemed and the premium over the principal amount declines ratably on May 1st of each year thereafter to zero on or after May 1, 2018. The</w:t>
      </w:r>
    </w:p>
    <w:p>
      <w:pPr>
        <w:spacing w:after="0" w:line="3"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 xml:space="preserve">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are unsecured (except by the Holdings pledge). Our obligations under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rank pari passu in right of payment with the 2017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and the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are not guaranteed by any of our subsidiaries. The indenture governing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2020 notes contains customary negative covenants and financial covenants, including, but not limited to, covenants that restrict our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1"/>
          <w:szCs w:val="11"/>
          <w:i w:val="1"/>
          <w:iCs w:val="1"/>
          <w:color w:val="auto"/>
        </w:rPr>
        <w:t>4</w:t>
      </w:r>
      <w:r>
        <w:rPr>
          <w:rFonts w:ascii="Arial" w:cs="Arial" w:eastAsia="Arial" w:hAnsi="Arial"/>
          <w:sz w:val="18"/>
          <w:szCs w:val="18"/>
          <w:i w:val="1"/>
          <w:iCs w:val="1"/>
          <w:color w:val="auto"/>
        </w:rPr>
        <w:t>% First Mortgage Notes due 2020</w:t>
      </w:r>
    </w:p>
    <w:p>
      <w:pPr>
        <w:spacing w:after="0" w:line="90"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 xml:space="preserve">In August 2010, we issued $1.32 billion aggregate principal amount of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first mortgage notes due August 15, 2020.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were issued at par.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refinanced our previous note issue that was to mature in December 2014. We pay interest on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on February 15th and August 15th of each year. Commencing August 15, 2015,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are redeemable at our option at a price equal to 103.875% of the principal amount redeemed and the premium over the principal amount declines ratably on August 15th of each year thereafter to zero on or after August 15, 2018. The</w:t>
      </w:r>
    </w:p>
    <w:p>
      <w:pPr>
        <w:spacing w:after="0" w:line="3"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 xml:space="preserve">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are unsecured (except by the Holdings pledge). Our obligations under the 7¾% 2020 notes rank pari passu in right of payment with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and the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are not guaranteed by any of our subsidiaries. The indenture governing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contains customary negative covenants and financial covenants, including, but not limited to, covenants that restrict our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5.375% First Mortgage Notes due 2022</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March 12, 2012, we issued $900 million aggregate principal amount of old notes. The old notes mature on March 15, 2022 and bear interest at the rate of 5.375% per year. We pay interest on the old notes on March 15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and September 15 of each year. Commencing March 15, 2017, the old notes will become redeemable at our option at a price equal to 102.688% of the principal amount redeemed and declining ratably on March 15 of each year thereafter to 100.000% on or after March 15, 2020. The old notes are unsecured (except by the Holdings pledge). Our obligations under the old notes rank pari passu in right of payment with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The old notes are not guaranteed by any of our subsidiaries. The indenture governing the old notes contains covenants limiting our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designate restricted and unrestricted subsidiaries and other specified types of transactions.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 Credit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17, 2012, we terminated the Wynn Las Vegas Credit Agreement. See “Summary—Recent Developments.”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Parent Company contributions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years ended December 31, 2010 and 2009, Wynn Resorts made cash capital contributions to us in the amount of $50 million and $413 million, respectively. The proceeds from these contributions were used to fund construction costs of Encore paid during 2009 and to fund paydowns of our outstanding debt.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June 30, 2012, we had outstanding letters of credit totaling $15.8 million.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2011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w w:val="90"/>
              </w:rPr>
              <w:t>Payments Due By Period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500"/>
              <w:spacing w:after="0" w:line="129" w:lineRule="exact"/>
              <w:rPr>
                <w:sz w:val="20"/>
                <w:szCs w:val="20"/>
                <w:color w:val="auto"/>
              </w:rPr>
            </w:pPr>
            <w:r>
              <w:rPr>
                <w:rFonts w:ascii="Arial" w:cs="Arial" w:eastAsia="Arial" w:hAnsi="Arial"/>
                <w:sz w:val="14"/>
                <w:szCs w:val="14"/>
                <w:b w:val="1"/>
                <w:bCs w:val="1"/>
                <w:color w:val="auto"/>
                <w:w w:val="75"/>
              </w:rPr>
              <w:t>Less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Than</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1 to 3</w:t>
            </w: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 to 5</w:t>
            </w:r>
          </w:p>
        </w:tc>
        <w:tc>
          <w:tcPr>
            <w:tcW w:w="42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After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1 Year</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8"/>
              </w:rPr>
              <w:t>Years</w:t>
            </w:r>
          </w:p>
        </w:tc>
        <w:tc>
          <w:tcPr>
            <w:tcW w:w="4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5 Years</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$254.6</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$2,230.7</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$2,608.2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343.6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343.5</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503.9</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1,362.8</w:t>
            </w: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2.8</w:t>
            </w: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r>
      <w:tr>
        <w:trPr>
          <w:trHeight w:val="222"/>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338.3</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465.3</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612.6</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2,737.6</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4,153.8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20" w:hanging="452"/>
        <w:spacing w:after="0" w:line="25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2011. Actual rates will vary.</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noted above, in March 2012, we issued the old notes, repaid all amounts outstanding under the term loan facilities totaling $370.9 million and reduced our revolving facilities to $100 million. In June 2012, we terminated our interest rate swap agreement as described below. In September 2012, we terminated the Wynn Las Vegas Credit Agreement. Otherwise, there have been no other material changes from the above table relating to our contractual obligations or off-balance sheet arrangements.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 xml:space="preserve">We are restricted under the indentures governing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and the notes from making certain “restricted payments” as defined in the indentures. These restricted payments include the payment of dividends or distributions to any direct or indirect holders of equity interests in Wynn Las Vegas, LLC. These restricted payments may not be made until certain other financial and non-financial criteria have been satisfied.</w:t>
      </w:r>
    </w:p>
    <w:p>
      <w:pPr>
        <w:spacing w:after="0" w:line="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If we experience certain specific change of control events, subject to certain exceptions, we will be required under the indentures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 to offer to repurchase all outstanding notes at 101% of their principal amount, plus accrued and unpaid interest to the date of repurchase. For example, the indenture governing the notes provide that if Stephen A. Wynn, together with certain related parties, in the aggregate beneficially owns a lesser percentage of the outstanding common stock of Wynn Resorts than are beneficially owned by any other person, a change of control will have occurred. In connection with the ongoing litigation with Kazuo Okada, Elaine P. Wynn has asserted a cross claim against Stephen A. Wynn and Kazuo Okada with respect to the Amended and Restated Stockholders Agreement. If Elaine P. Wynn prevails in her claim, Stephen A. Wynn would not beneficially own or control Elaine P. Wynn’s shares and a change in control may result under the indenture governing the notes. We cannot assure you that we will have available funds sufficient to pay the change of control purchase price for any or all of the notes that might be delivered by holders of the notes seeking to accept the change of control offer. See “Description of the New Notes—Repurchase at the Option of Holders—Change of Control.” See also “Management— Directors—Class I Directors (Terms expire at the 2012 Annual Meeting of Stockholders, which is scheduled for November 2, 2012)—Elaine P. Wynn,” for information regarding litigation filed by Elaine P. Wynn.</w:t>
      </w:r>
    </w:p>
    <w:p>
      <w:pPr>
        <w:spacing w:after="0" w:line="12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In September 2012, Wynn Las Vegas, LLC made a distribution payment to Wynn Resorts of $700 million, thus reducing the available cash at Wynn Las Vegas, LLC. As of September 19, 2012, we had approximately $67 million of cash and cash equivalents available for use without restriction, including for operations, debt service and retirement, new development activities, enhancements to Wynn Las Vegas and general corporate purposes. See “Summary—Recent Developments.” We cannot be sure that we will generate sufficient cash flow from operations or that future borrowings that are available to us, if any, will be sufficient to enable us to service and repay Wynn Las Vegas, LLC’s indebtedness and to fund our other liquidity needs. We cannot be sure that we will be able to refinance any of our indebtedness on acceptable terms or at all. Certain legal matters may also impact our liquidity. See the Notes to Condensed Consolidated Financial Statements, Note 10, “Commitments and Contingencies,” included in this prospectus.</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our resort, significant start-up costs were incurred and charged to pre-opening costs prior to the opening date. Once open, expenses associated with the opening of the resort are no longer charged as pre-opening costs.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resorts, we begin recognizing depreciation expense on the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and adjusted as necessary.</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accounting standards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 to casino credit play. Credit play, through the issuance of markers, represents a significant portion of the table games volume at Wynn Las Vegas.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June 30, 2012, December 31, 2011 and 2010, approximately 70%, 75% and 75%, respectively, of our casino accounts receivable were owed by customers from foreign countries, primarily in Asia. The collectability of markers given by foreign customers is affected by a number of factors including changes in currency exchange rates and economic conditions in the customers’ home countries.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receivables (amounts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 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156,414</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156,469</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139,932</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54,354</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56,190</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43,440</w:t>
            </w:r>
          </w:p>
        </w:tc>
        <w:tc>
          <w:tcPr>
            <w:tcW w:w="20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7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34.8%</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35.9%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08"/>
        </w:trPr>
        <w:tc>
          <w:tcPr>
            <w:tcW w:w="51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w:t>
            </w:r>
          </w:p>
        </w:tc>
        <w:tc>
          <w:tcPr>
            <w:tcW w:w="1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5100" w:type="dxa"/>
            <w:vAlign w:val="bottom"/>
          </w:tcPr>
          <w:p>
            <w:pPr>
              <w:ind w:left="220"/>
              <w:spacing w:after="0"/>
              <w:rPr>
                <w:sz w:val="20"/>
                <w:szCs w:val="20"/>
                <w:color w:val="auto"/>
              </w:rPr>
            </w:pPr>
            <w:r>
              <w:rPr>
                <w:rFonts w:ascii="Arial" w:cs="Arial" w:eastAsia="Arial" w:hAnsi="Arial"/>
                <w:sz w:val="18"/>
                <w:szCs w:val="18"/>
                <w:color w:val="auto"/>
              </w:rPr>
              <w:t>days</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32.5%</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26.1%</w:t>
            </w: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r>
    </w:tbl>
    <w:p>
      <w:pPr>
        <w:spacing w:after="0" w:line="15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our employees regarding realizability, the state of the economy and our credit policy.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quarter ended June 30, 2012, the Company recorded an adjustment to its reserve estimates for casino accounts receivable based on the results of historical collection patterns and current collection trends. This adjustment benefited operating income and net loss by $9.6 million for the three and six months ended June 30, 2012. This change in estimate was the primary factor that resulted in a $0.3 million credit to the provision for doubtful accounts for the quarter ended June 30, 2012.</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as changes occur in a region’s economy or legal system.</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Changes in the fair value of this interest rate swap have and will continue to be recorded as an increase/ (decrease) in swap fair value in our Condensed Consolidated Statements of Operations as the swap does not qualify for hedge accounting.</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measure the fair value of our interest rate swaps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our interest rate swap contract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Resorts’ Equity Instruments Issued to Employees—Stock-Based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stock-based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we issue.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expected volatility and expected term assumptions can significantly impact the fair value of stock options. We believe that the valuation techniques and the approach utilized to develop our assumptions are appropriate in calculating the fair value of the options we grant. We estimate the expected stock price volatility using a combination of implied and historical factors related to our stock price in accordance with applicable accounting standards. As our stock price fluctuates, this estimate will change. Expected term represents the estimated average time between the option’s grant date and its exercise date. For the year ended December 31, 2011, no stock options were granted.</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six months ended June 30, 2012 and 2011, the Company recorded $2.7 million and $4.4 million, respectively, in share based compensation with a corresponding credit to contributed capital. For the years ended December 31, 2011 and 2010, the Company recorded $7.4 million and $11.3 million, respectively, in stock-based compensation with a corresponding credit to contributed capital.</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Self-Insurance Reserves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self-insured up to certain limits for costs of employee health coverage (fully insured for employee health coverage beginning January 1, 2012), workers’ compensation and general liability claims. Insurance claims and reserves include accruals of estimated settlements for known claims, as well as accruals of estimates for claims incurred but not yet reported. In estimating these accruals, we consider historical loss experience and make judgments about the expected level of costs per claim. Management believes the estimates of future liability are reasonable based upon its methodology; however, changes in health care costs, accident frequency and severity could materially affect the estimate for these liabilities.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Customer Loyalty Program</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offer a slot club program whereby customers may earn points based on their level of play that may be redeemed for free credits which must be replayed in the slot machine. We accrue a liability based on the points earned times the redemption value, less an estimate for breakage, and record a related reduction in casino revenue.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Slot Machine Jackpots</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do not accrue a liability for base jackpots because we have the ability to avoid payment of such amounts as our slot machines can legally be removed from the gaming floor without payment of the base amount. When we are unable to avoid payment of the jackpot (i.e. the incremental amount on a progressive machine) due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legal requirements, the jackpot is accrued as the obligation becomes unavoidable. This liability is accrued over the time period in which the incremental progressive jackpot amount is generated with a related reduction in casino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May 2011, the Financial Accounting Standards Board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This update did not have a material impact on our financial statements.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June 2011, the FASB issued an accounting standards update that will require items of net income, items of other comprehensive income (“OCI”) and total comprehensive income to be presented in one continuous statement or two separate but consecutive statements. This will make the presentation of items within OCI more prominent. Companies will no longer be allowed to present OCI in the statement of stockholders’ equity. The effective date for this update is for years, and the interim periods within those years, beginning after December 15,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June 30, 2012, our primary exposure to market risk was interest rate risk associated with our debt facilities that bear interest based on floating rates. On September 17, 2012, we terminated the Wynn Las Vegas Credit Agreement, and are no longer exposed to interest rate risk. See “Summary—Recent Developments” and “Management’s Discussion and Analysis of Financial Condition and Results of Operations—Liquidity and Capital Resources—Financing Activities.” We do not use derivative financial instruments, other financial instruments or derivative commodity instruments for trading or speculative purposes.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table provides estimated future cash flow and related weighted average interest rates by expected maturity date, as derived from our best estimates of repayments at December 31, 2011 on our expected long-term indebtedness but does not give effect to the issuance and sale of the old notes and the use of proceeds from the offering of the old notes. However, we cannot predict the LIBOR rate that will be in effect in the future. Actual rates will vary. The one-month LIBOR rate at December 31, 2011 of 0.295% was used for all variable rate calculations in the table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7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w w:val="96"/>
              </w:rPr>
              <w:t>2012</w:t>
            </w:r>
          </w:p>
        </w:tc>
        <w:tc>
          <w:tcPr>
            <w:tcW w:w="9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w w:val="89"/>
              </w:rPr>
              <w:t>2015</w:t>
            </w:r>
          </w:p>
        </w:tc>
        <w:tc>
          <w:tcPr>
            <w:tcW w:w="800" w:type="dxa"/>
            <w:vAlign w:val="bottom"/>
            <w:tcBorders>
              <w:bottom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Thereafter</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Fixed rate</w:t>
            </w:r>
          </w:p>
        </w:tc>
        <w:tc>
          <w:tcPr>
            <w:tcW w:w="700" w:type="dxa"/>
            <w:vAlign w:val="bottom"/>
          </w:tcPr>
          <w:p>
            <w:pPr>
              <w:jc w:val="right"/>
              <w:ind w:right="316"/>
              <w:spacing w:after="0"/>
              <w:rPr>
                <w:sz w:val="20"/>
                <w:szCs w:val="20"/>
                <w:color w:val="auto"/>
              </w:rPr>
            </w:pPr>
            <w:r>
              <w:rPr>
                <w:rFonts w:ascii="Arial" w:cs="Arial" w:eastAsia="Arial" w:hAnsi="Arial"/>
                <w:sz w:val="18"/>
                <w:szCs w:val="18"/>
                <w:color w:val="auto"/>
                <w:w w:val="84"/>
              </w:rPr>
              <w:t>$ —</w:t>
            </w:r>
          </w:p>
        </w:tc>
        <w:tc>
          <w:tcPr>
            <w:tcW w:w="900" w:type="dxa"/>
            <w:vAlign w:val="bottom"/>
          </w:tcPr>
          <w:p>
            <w:pPr>
              <w:jc w:val="right"/>
              <w:ind w:right="336"/>
              <w:spacing w:after="0"/>
              <w:rPr>
                <w:sz w:val="20"/>
                <w:szCs w:val="20"/>
                <w:color w:val="auto"/>
              </w:rPr>
            </w:pPr>
            <w:r>
              <w:rPr>
                <w:rFonts w:ascii="Arial" w:cs="Arial" w:eastAsia="Arial" w:hAnsi="Arial"/>
                <w:sz w:val="18"/>
                <w:szCs w:val="18"/>
                <w:color w:val="auto"/>
              </w:rPr>
              <w:t>$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19"/>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86"/>
              </w:rPr>
              <w:t>2,202.0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2,202.0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7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Variable rate</w:t>
            </w:r>
          </w:p>
        </w:tc>
        <w:tc>
          <w:tcPr>
            <w:tcW w:w="700" w:type="dxa"/>
            <w:vAlign w:val="bottom"/>
          </w:tcPr>
          <w:p>
            <w:pPr>
              <w:jc w:val="right"/>
              <w:ind w:right="216"/>
              <w:spacing w:after="0"/>
              <w:rPr>
                <w:sz w:val="20"/>
                <w:szCs w:val="20"/>
                <w:color w:val="auto"/>
              </w:rPr>
            </w:pPr>
            <w:r>
              <w:rPr>
                <w:rFonts w:ascii="Arial" w:cs="Arial" w:eastAsia="Arial" w:hAnsi="Arial"/>
                <w:sz w:val="18"/>
                <w:szCs w:val="18"/>
                <w:color w:val="auto"/>
                <w:w w:val="84"/>
              </w:rPr>
              <w:t>$89.4</w:t>
            </w:r>
          </w:p>
        </w:tc>
        <w:tc>
          <w:tcPr>
            <w:tcW w:w="900" w:type="dxa"/>
            <w:vAlign w:val="bottom"/>
          </w:tcPr>
          <w:p>
            <w:pPr>
              <w:jc w:val="right"/>
              <w:ind w:right="236"/>
              <w:spacing w:after="0"/>
              <w:rPr>
                <w:sz w:val="20"/>
                <w:szCs w:val="20"/>
                <w:color w:val="auto"/>
              </w:rPr>
            </w:pPr>
            <w:r>
              <w:rPr>
                <w:rFonts w:ascii="Arial" w:cs="Arial" w:eastAsia="Arial" w:hAnsi="Arial"/>
                <w:sz w:val="18"/>
                <w:szCs w:val="18"/>
                <w:color w:val="auto"/>
              </w:rPr>
              <w:t>$32.1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9"/>
              <w:spacing w:after="0"/>
              <w:rPr>
                <w:sz w:val="20"/>
                <w:szCs w:val="20"/>
                <w:color w:val="auto"/>
              </w:rPr>
            </w:pPr>
            <w:r>
              <w:rPr>
                <w:rFonts w:ascii="Arial" w:cs="Arial" w:eastAsia="Arial" w:hAnsi="Arial"/>
                <w:sz w:val="18"/>
                <w:szCs w:val="18"/>
                <w:color w:val="auto"/>
                <w:w w:val="88"/>
              </w:rPr>
              <w:t>253.2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32"/>
              <w:spacing w:after="0"/>
              <w:rPr>
                <w:sz w:val="20"/>
                <w:szCs w:val="20"/>
                <w:color w:val="auto"/>
              </w:rPr>
            </w:pPr>
            <w:r>
              <w:rPr>
                <w:rFonts w:ascii="Arial" w:cs="Arial" w:eastAsia="Arial" w:hAnsi="Arial"/>
                <w:sz w:val="18"/>
                <w:szCs w:val="18"/>
                <w:color w:val="auto"/>
              </w:rPr>
              <w:t>1.4</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28.7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406.2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3.15%</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6"/>
              </w:rPr>
              <w:t>1.55%</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2"/>
              </w:rPr>
              <w:t>1.55%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June 2012, we terminated our only outstanding interest rate swap agreement for a payment of $2.4 million. This interest rate swap was intended to hedge a portion of the underlying interest rate risk on borrowings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under the Wynn Las Vegas Credit Agreement, which was terminated on September 17, 2012. Under this swap agreement, we paid a fixed interest rate of 2.485% on borrowings of $250 million incurred under the Wynn Las Vegas Credit Agreement in exchange for receipts on the same amount at a variable interest rate based on the applicable LIBOR at the time of payment. This interest rate swap fixed the interest rate on $250 million of borrowings under the Wynn Las Vegas Credit Agreement at approximately 5.485%. Changes in the fair value of this interest rate swap prior to termination were recorded as an increase (decrease) in swap fair value in our Condensed Consolidated Statements of Operations and Comprehensive Loss as the swap did not qualify for hedge accounting.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our long-term debt was essentially based on fixed rates, including the notional amount of our swap.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Wynn Las Vegas, LLC owns and operates Wynn Las Vegas, a destination casino resort on the Strip in Las Vegas, Nevada. Wynn Las Vegas was expanded with the opening of Encore in April 2008. Wynn Capital is a wholly owned subsidiary of Wynn Las Vegas, LLC, incorporated on June 3, 2002, solely for the purpose of obtaining financing for Wynn Las Vegas. Wynn Capital is authorized to issue 2,000 shares of common stock, par value $0.01. At June 30, 2012, the Company owned the one share that was issued and outstanding. Wynn Capital has neither any significant net assets nor any operating activity. Its sole function is to serve as the co-issuer of the mortgage notes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believe that Wynn Las Vegas offers exceptional accommodations, amenities and service for our premium guests. Wynn Las Vegas features approximately 4,750 hotel rooms and suites, 220 table games, 2,430 slot machines and a poker room in approximately 186,000 square feet of casino gaming space (including a sky casino and private gaming salons), casual and fine dining in 35 food and beverage outlets, two spas and salons, lounges, meeting facilities and approximately 94,000 square feet of retail space promenade featuring boutiques from Alexander McQueen, Brioni, Cartier, Chanel, Dior, Graff, Hermès, Loro Piana, Louis Vuitton, Manolo Blahnik, Oscar de la Renta, Vertu and others. Our Las Vegas Operations also offers three nightclubs, a beach club, two spas and salons, a Ferrari and Maserati automobile dealership, wedding chapels, an 18-hole golf course, approximately 283,000 square feet of meeting space, a specially designed theater presenting “Le Rêve,” a water-based theatrical production, and an Encore Theater presenting Garth Brooks and other headliner entertainment acts. We believe that the unique experience of our resort drives the significant visitation experienced since opening.</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the sixth consecutive year, The Tower Suites at Wynn Las Vegas has received both the Forbes five-star and AAA five-diamond distinctions. The Spa at Wynn Las Vegas earned five-star recognition from Forbes for the fourth year in a row. For the third consecutive year, the Encore Tower Suites has received both the Forbes five-star and AAA five-diamond distinctions. The Spa at Encore also earned five-star recognition from Forbes for the third year in a row. The Spa at Wynn Las Vegas and the Spa at Encore are two of the only four spas in Las Vegas to be recognized with the Forbes five-star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our resort complex.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believe that Stephen A.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convention facilities, fine dining and premium retail offerings, to create resorts that appeal to a variety of customers.</w:t>
      </w:r>
    </w:p>
    <w:p>
      <w:pPr>
        <w:spacing w:after="0" w:line="14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resort is designed and built to provide a premium experience. Wynn Las Vegas is positioned as a full-service luxury resort and casino in the leisure, convention and tour and travel industries. We market our resort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resort through various media channels, including: social media, television, radio, newspapers, magazines, the internet, direct mail and billboards.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Mr. Wynn and his team bring significant experience in designing, developing and operating casino resorts. The senior executive team has an average of over 25 years of experience in the hotel and gaming industries. We also have an approximately 90-person design, development and construction affiliate, the senior management of which has significant experience in all major construction disciplines.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Las Vegas</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 customer. Wynn Las Vegas is located on the Las Vegas Strip and competes with other high-quality resorts and hotel casinos on the Strip, those in downtown Las Vegas, as well as a large number of hotels in and near Las Vegas. Many competing properties draw a significant number of visitors and directly compete with our operations. Resorts located on or near the Las Vegas Strip compete with other Las Vegas Strip hotels and with other hotel casinos in Las Vegas on the basis of overall atmosphere, range of amenities, level of service, price, location, entertainment, themes and size, among other factors. We seek to differentiate Wynn Las Vegas from other major Las Vegas resorts by concentrating on our fundamental elements of design, atmosphere, personal service and luxury.</w:t>
      </w:r>
    </w:p>
    <w:p>
      <w:pPr>
        <w:spacing w:after="0" w:line="145"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Wynn Las Vegas also competes, to some extent, with other hotel/casino facilities in Nevada and throughout the Unites States, casino resorts throughout Asia and elsewhere in the world. In addition, the legalization of casino gaming in or near metropolitan areas from which we attract customers could have a negative effect on our business. New or renovated casinos in Asia, including our properties in Macau, could draw Asian gaming customers away from Las Vegas.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Current Economic and Operating Environment</w:t>
      </w:r>
    </w:p>
    <w:p>
      <w:pPr>
        <w:spacing w:after="0" w:line="96"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During the six months ended June 30, 2012, the economic environment in the Las Vegas gaming, hotel, tourism, and convention markets were stable compared to 2011. For the six months ended June 30, 2012, the average daily room rate increased 4.3%, visitation increased 2.4% to 19.9 million visitors, and Las Vegas Strip revenues decreased 0.6%, all as compared to the prior year period. For the six months ended June 30, 2012, our financial results were adversely impacted by a lower than normal table games win percentage. While we experienced a decrease in occupancy rate over the prior year period, we were able to achieve an increase in average daily rate as we adjusted rates in an effort to attract customers who would take advantage of all aspects of our resort.</w:t>
      </w:r>
    </w:p>
    <w:p>
      <w:pPr>
        <w:spacing w:after="0" w:line="100"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During 2011, the economic environment in the gaming, hotel, tourism and convention markets in Las Vegas began to improve with increased levels of gaming revenue, visitation and hotel room demand. For the year ended December 31, 2011, the average daily room rate increased 10.7%, visitation increased</w:t>
      </w:r>
    </w:p>
    <w:p>
      <w:pPr>
        <w:ind w:right="60"/>
        <w:spacing w:after="0" w:line="254" w:lineRule="auto"/>
        <w:rPr>
          <w:sz w:val="20"/>
          <w:szCs w:val="20"/>
          <w:color w:val="auto"/>
        </w:rPr>
      </w:pPr>
      <w:r>
        <w:rPr>
          <w:rFonts w:ascii="Arial" w:cs="Arial" w:eastAsia="Arial" w:hAnsi="Arial"/>
          <w:sz w:val="18"/>
          <w:szCs w:val="18"/>
          <w:color w:val="auto"/>
        </w:rPr>
        <w:t>4.3% to 38.9 million visitors, and Las Vegas Strip gaming revenues increased 5.1%, all as compared to the year ended December 31, 2010. For the year ended December 31, 2010, the average daily room rate increased 2%, visitation increased 2.7% to 37.3 million visitors, and Las Vegas Strip gaming revenues increased 4.5%, all as compared to the year ended December 31, 2009. While these gaming and hotel statistics have increased from prior year levels, uncertainty still exists in the Las Vegas market.</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year ended December 31, 2011, we benefited from a higher than normal table games win percentage, improved ADR and increased visitation resulting in an increase in all revenue streams including entertainment, food and beverage. While we experienced a decrease in occupancy rate over the prior year, we were able to achieve an increase in average daily rate as we adjusted rates in an effort to attract a higher quality customer who would take advantage of all aspects of our resort.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or any other property we may own and operate in the future, we would, to the extent permitted by law, seek to recover our investment by selling the property affected, but we cannot assure you that we would recover its full value.</w:t>
      </w:r>
    </w:p>
    <w:p>
      <w:pPr>
        <w:spacing w:after="0" w:line="116"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 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Wynn Las Vegas’ gaming operations and our financial condition and results of operations.</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has been approved by the Nevada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in Wynn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to be registered by the Nevada Gaming Commission as a publicly traded corporation, referred to as a registered company, for the purposes of the Nevada Gaming Control Act. Wynn Holdings was found suitable by the Nevada Gaming Commission to own the equity interests in Wynn Las Vegas, LLC and to be registered by the Nevada Gaming Commission as an intermediary company. In addition to being licensed, Wynn Las Vegas, LLC, as an issuer of debt securities that were registered with the SEC, also qualified as a registered company. Wynn Capital, a co-issuer of the debt securities, was not required to be registered or licensed, but may be required to be found suitable as a lender or financing source.</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more than 5% stockholder or member of, or receive any percentage of the profits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2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a registered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or 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39"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24, 2011, the Nevada Gaming Commission granted us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this prospectus or the investment merits of the securities. Any representation to the contrary is unlawful.</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A live entertainment tax also is imposed on admission charges and sales of food, beverages and merchandise where live entertainment is furnished. 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39"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40" w:hanging="325"/>
        <w:spacing w:after="0" w:line="357"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b w:val="1"/>
          <w:bCs w:val="1"/>
          <w:i w:val="1"/>
          <w:iCs w:val="1"/>
          <w:color w:val="auto"/>
        </w:rPr>
        <w:t xml:space="preserve">Determination of Unsuitability of Kazuo Okada and Affiliates and Redemption of Aruze USA, Inc. and Related Matters. </w:t>
      </w:r>
      <w:r>
        <w:rPr>
          <w:rFonts w:ascii="Arial" w:cs="Arial" w:eastAsia="Arial" w:hAnsi="Arial"/>
          <w:sz w:val="15"/>
          <w:szCs w:val="15"/>
          <w:color w:val="auto"/>
        </w:rPr>
        <w:t>For example, the conduct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Kazuo Okada (who is currently a member of Wynn Resorts’ Board of Directors and who was formerly the largest beneficial owner of Wynn Resorts’ shares) and his affiliates could result in regulatory investigations, including investigations by the Nevada Gaming Authorities, which could have adverse consequences to the Company. As described elsewhere in this prospectus, on February 18, 2012, Wynn Resorts’ Gaming Compliance Committee concluded an investigation after receiving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has refused to acknowledge Wynn Resorts’ anti-bribery policies and has refused to participate in the training all other directors have received concerning these policies. Based on the Freeh Report, the Board of Directors of Wynn Resorts determined that Aruze USA, Inc., Universal Entertainment Corporation and Mr. Okada are “Unsuitable Persons” under Article VII of Wynn Resorts’ articles of incorporation. The Board of Directors of Wynn Resorts was unanimous (other than Mr. Okada) in its determination. The Board of Directors of Wynn Resorts also requested that Mr. Okada resign as a director of Wynn Resorts (under Nevada corporation law, a board of directors does not have the power to remove a director)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and recommended that Mr. Okada be removed as a member of the board of directors of Wynn Macau, Limited. In addition, on February 18, 2012, Mr. Okada was removed from the board of directors of Wynn Capital.</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Based on Wynn Resorts’ Board of Directors’ finding of unsuitability, on February 18, 2012, Wynn Resorts redeemed and canceled Aruze USA, Inc.’s 24,549,222 shares of Wynn Resorts’ common stock and issued a promissory note pursuant to the terms of Article VII of the Wynn Resorts’ Articles of Incorporation in payment therefor. A finding by regulatory authorities that Mr. Okada violated the FCPA on property of Wynn Resorts or its subsidiaries and/or otherwise involved Wynn Resorts or its subsidiaries in criminal or civil violations could result in actions by regulatory authorities against Wynn Resorts or its subsidiaries. Relatedly, regulators could pursue separate investigations into Wynn Resorts’ and its subsidiaries’ compliance with applicable laws, including in response to litigation filed by Mr. Okada suggesting improprieties in connection with the donation by Wynn Resorts’ subsidiary to the University of Macau and a related informal inquiry by the SEC into this donation. While the Company believes that it is in full compliance with all applicable laws, any such investigations could result in actions by regulators against Wynn Resorts or its subsidiaries, which could have adverse consequences to the Company. In addition, investigations by the Nevada Gaming Authorities relating to the Company’s gaming licenses could possibly have a negative impact on such gaming licenses and on the Company’s ability to bid successfully for new gaming market opportunities. For additional information on the Freeh Report, as well as the redemption of Aruze USA, Inc.’s shares, see “Management—Directors—Class III Directors (Terms expire at the 2014 Annual Meeting of Stockholders)—Kazuo Okada,” “Certain Relationships and Related Transactions—Share Redemption,” the Notes to Condensed Consolidated Financial Statements, Note 10 “Commitments and Contingencies,” and the Notes to Consolidated Financial Statements, Note 16 “Subsequent Events,” each included in this prospectus.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we had a total of approximately 9,650 full-time equivalent employees.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2006, we entered into a ten year collective bargaining agreement with the Culinary and Bartenders Union local covering approximately 5,600 of our employees. We also entered into a ten year collective bargaining agreement with the Transportation Workers Union in November 2010, which covers the table games dealers at Wynn Las Vegas. Certain other unions may seek to organize the workers at Wynn Las Vegas. Unionization, pressure to unionize, or other forms of collective bargaining could increase our labor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 xml:space="preserve">Among our most important marks are our trademarks and service marks that use the name “WYNN.” Wynn Holdings has registered with the U.S. PTO and various foreign patent and trademark registries, a variety of the WYNN-related trademarks and service marks in connection with a variety of goods and services. These marks include “WYNN LAS VEGAS” and “ENCORE.” Some of the applications are based upon ongoing use and others are based upon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intent to use the marks.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the portion of a mark primarily constituting a surname) is not eligible for registration unless the surname has acquired “secondary meaning.” To date, Wynn Holdings has been successful in demonstrating to the PTO such secondary meaning for the Wynn name in certain of the applications based upon factors including Mr. Wynn’s prominence as a resort developer.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PTO and include “WYNN LAS VEGAS” and “ENCORE.” Some of the applications are based upon ongoing use and others are based upon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intent to use the marks.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 and gaming activities outside the United States, we have undertaken a program to register our trademarks and other intellectual property rights in relevant jurisdictions. We have retained counsel and intend to take all steps necessary to not only acquire, but protect our intellectual property rights against unauthorized use throughout the world.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August 6, 2004, Wynn Holdings entered into agreements with Mr. Wynn that confirm and clarify its rights to use the “Wynn” name and Mr. Wynn’s persona in connection with our casino resorts. Under a Surname Rights Agreement, Mr. Wynn has acknowledged Wynn Holdings’ exclusive, fully paid-up, perpetual, worldwide right to use, and to own and register trademarks and service marks incorporating, the “Wynn” name for casino resorts and related businesses, together with the right to sublicense the name and marks to our affiliates. Under a Rights of Publicity License, Mr. Wynn has granted Wynn Holdings the exclusive, royalty-free, worldwide right to use his full name, persona and related rights of publicity for casino resorts and related businesses, together with the ability to sublicense the persona and publicity rights to our affiliates, until October 24, 2017. Wynn Holdings has entered into sublicense agreements with us relating to our use of Mr. Wynn’s name and persona, as well as other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Las Vegas Land</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currently own approximately 93 acres of land on or near the Las Vegas Strip. This consists of approximately 75 acres at the northeast corner of the intersection of Las Vegas Boulevard and Sands Avenue on which Wynn Las Vegas is located and approximately 18 acres located across from the Wynn Las Vegas site at Koval Lane and Sands Avenue, a portion of which is improved with an employee parking garage.</w:t>
      </w:r>
    </w:p>
    <w:p>
      <w:pPr>
        <w:spacing w:after="0" w:line="14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We lease from Wynn Resorts, through Wynn Golf, the approximately 140 acres of land on which the Wynn Las Vegas golf course is located. See “Summary—Recent Developments.”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Las Vegas Well Water Rights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lease from Wynn Resorts, through Wynn Golf, the water rights related to the Wynn Las Vegas golf course land and certain other water rights related to ancillary uses. As a result, we have the right to use approximately 834 acre feet of permitted and certificated water rights for the irrigation, operation and maintenance of the Wynn Las Vegas golf course, as well as the right to use approximately 151.5 acre feet of permitted and certificated water rights at Wynn Las Vegas. See “Summary—Recent Developments”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the directors, executive officers and certain key management personnel of Wynn Resorts and certain of its subsidiaries as of August 15, 2012. All directors hold their positions until their terms expire and until their respective successors are elected and qualified. Executive officers are appointed by the Board of Directors of Wynn Resorts and serve at the discretion of the Board of Directors, subject to applicable employment agreements.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5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554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r>
      <w:tr>
        <w:trPr>
          <w:trHeight w:val="203"/>
        </w:trPr>
        <w:tc>
          <w:tcPr>
            <w:tcW w:w="5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70</w:t>
            </w:r>
          </w:p>
        </w:tc>
        <w:tc>
          <w:tcPr>
            <w:tcW w:w="554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President, Wynn International Marketing, Ltd. and 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Goldsmith</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Ray R. Irani</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77</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80</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Chief Operating Officer and 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59</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Executive Vice President-Chief Administration Officer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Ian M. Coughlan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53</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President, Wynn Macau, Limited</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Marilyn Spiegel</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w w:val="89"/>
              </w:rPr>
              <w:t>Senior Vice President and Chief Financial Officer, Wynn Las Vegas, LLC</w:t>
            </w:r>
          </w:p>
        </w:tc>
      </w:tr>
      <w:tr>
        <w:trPr>
          <w:trHeight w:val="208"/>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Gansmo</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Senior Vice President and Chief Financial Officer, Wynn Resorts</w:t>
            </w:r>
          </w:p>
        </w:tc>
      </w:tr>
      <w:tr>
        <w:trPr>
          <w:trHeight w:val="224"/>
        </w:trPr>
        <w:tc>
          <w:tcPr>
            <w:tcW w:w="380" w:type="dxa"/>
            <w:vAlign w:val="bottom"/>
            <w:shd w:val="clear" w:color="auto" w:fill="CCEEFF"/>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(Macau), S.A.</w:t>
            </w:r>
          </w:p>
        </w:tc>
      </w:tr>
    </w:tbl>
    <w:p>
      <w:pPr>
        <w:spacing w:after="0" w:line="15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At the 2012 Annual Meeting of Stockholders, which is scheduled for November 2, 2012, four Class I directors are to be elected. On September 10, 2012, Mr. Moran advised Wynn Resorts’ Nominating and Corporate Governance Committee of his determination not to stand for re-election to the Board of Directors of Wynn Resorts in favor of retirement from the Board of Directors of Wynn Resorts. At the recommendation of the Nominating and Corporate Governance Committee of Wynn Resorts, the Board of Directors of Wynn Resorts has nominated Linda Chen, Marc D. Schorr and Elaine P. Wynn to continue as Class I directors, and J. Edward (Ted) Virtue to fill the Class I director vacancy upon Mr. Moran’s retirement, in each case to serve until the 2015 Annual Meeting of Stockholders and until his or her successor is elected and qualified, or until such director’s earlier death, resignation or removal.</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Set forth below is certain information regarding each of the current directors and the non-director executive officers and certain key management personnel of Wynn Resorts, as well as the new director nominee.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Wynn Resorts has received a letter from Aruze USA, Inc., a company controlled by Kazuo Okada, who is currently a member of Wynn Resorts’ Board of Directors, purportedly notifying Wynn Resorts of Aruze USA,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Inc.’s intent to nominate two individuals for election as directors at the 2012 Annual Meeting of Stockholders in opposition to Wynn Resorts’ recommended nominees. As discussed elsewhere in this prospectus, Wynn Resorts believes that Aruze USA, Inc. is not eligible to nominate director candidates for election at the 2012 Annual Meeting of Stockholders. Furthermore, Wynn Resorts does not view these purported nominations as creating a proxy solicitation by Aruze USA, Inc., as Wynn Resorts has redeemed the common shares previously held by Aruze USA, Inc. and therefore believes that Aruze USA, Inc. is not eligible to nominate director candidates for election at the 2012 Annual Meeting of Stockholders. As discussed elsewhere in this prospectus, Aruze USA, Inc. and Wynn Resorts are currently involved in litigation regarding Aruze USA, Inc.’s stockholder status and rights. On August 31, 2012, Aruze USA, Inc. filed a motion in state court seeking, among other things, a preliminary injunction that would have prohibited Wynn Resorts from barring or preventing Aruze USA, Inc. from exercising rights as a stockholder and an order that its purported nominees be presented to Wynn Resorts’ stockholders and voted on (including by Aruze USA, Inc. as a stockholder) at the 2012 Annual Meeting of Stockholders. At the conclusion of a hearing held on October 2, 2012, the Nevada state court denied Aruze USA, Inc.’s motion for a preliminary injunction.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Class I Directors (Terms expire at the 2012 Annual Meeting of Stockholders, which is scheduled for November 2, 2012)</w:t>
      </w:r>
    </w:p>
    <w:p>
      <w:pPr>
        <w:spacing w:after="0" w:line="84"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45, has served as a Director of Wynn Resorts since October 2007. Ms. Chen has been an Executive Director and Chief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Wynn Macau, Limited, a majority owned subsidiary of Wynn Resorts, since September 2009. Ms. Chen serves as the President of Wynn International Marketing, Limited, a wholly-owned indirect subsidiary of Wynn Resorts, a position she has held since January 2005. In addition, Ms. Chen is the Chief Operating Officer of Wynn Resorts (Macau), S.A., a role she has served in since June 2002. Ms. Chen is responsible for the marketing and strategic development of Wynn Macau. Ms. Chen is a member of the Nanjing Committee of the Chinese People’s Political Consultative Conference (Macau).</w:t>
      </w:r>
    </w:p>
    <w:p>
      <w:pPr>
        <w:spacing w:after="0" w:line="11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Ms. Chen’s insight and experience as the primary marketing executive for Wynn Resorts contribute to the Board’s ability to evaluate and make informed decisions that affect Wynn Resorts’ global operations. Ms. Chen’s experience becomes ever more important to Wynn Resorts and its stockholders as the percentage of Wynn Resorts’ operational revenue and profits generated from its Macau operations increases.</w:t>
      </w:r>
    </w:p>
    <w:p>
      <w:pPr>
        <w:spacing w:after="0" w:line="18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80, has served as a Director of Wynn Resorts since October 2002. Mr. Moran is the retired Chairman of the Dyson-Kissner-Moran Corporation. Dyson-Kissner-Moran is a private holding company headquartered in New York City whose international portfolio of companies in over 20 countries has included business engaged in manufacturing, retailing, distribution, financial services, and real estate development. During his business career, Mr. Moran has served as a Director of over 30 corporations and philanthropic organizations. Mr. Moran serves as a Director of the John A. Moran Eye Center at the University of Utah; a Trustee of the George and Barbara Bush Endowment for Innovative Cancer Research at M.D. Anderson Cancer Center at the University of Texas; and an Honorary Trustee of the Metropolitan Museum of Art in New York City.</w:t>
      </w:r>
    </w:p>
    <w:p>
      <w:pPr>
        <w:spacing w:after="0" w:line="11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With his extensive knowledge of Wynn Resorts’ background, development and financing arrangements and his experience in the financial and equity markets, Mr. Moran provides the Board insight that is important to its oversight of Wynn Resorts’ financial structure. His guidance in the evaluation of capital deployment and management of Wynn Resorts’ balance sheet is especially valuable. In addition, he brings to the Board experience in political and public policy matters.</w:t>
      </w:r>
    </w:p>
    <w:p>
      <w:pPr>
        <w:spacing w:after="0" w:line="137"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64, has served as a Director of Wynn Resorts since July 2010. He also serves as Chief Operating Officer of Wynn Resorts, a</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he has held since June 2002. Mr. Schorr has served as a Non-Executive Director of Wynn Macau, Limited since September 2009 and is also an officer of several of Wynn Resorts’ other subsidiaries. Mr. Schorr has over 32 years of experience in the casino gaming industry.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When electing Mr. Schorr to the Board of Directors, the electing directors considered his extensive operating experience, particularly his marketing expertise and ability to effectively manage operating costs. These qualifications have been particularly valuable to Wynn Resorts as it has navigated the difficult economic environment of the past several years. In addition, Mr. Schorr brings first-hand operational knowledge to the Board, enhancing their ability to oversee the operations of Wynn Resorts.</w:t>
      </w:r>
    </w:p>
    <w:p>
      <w:pPr>
        <w:spacing w:after="0" w:line="13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Elaine P. Wynn. </w:t>
      </w:r>
      <w:r>
        <w:rPr>
          <w:rFonts w:ascii="Arial" w:cs="Arial" w:eastAsia="Arial" w:hAnsi="Arial"/>
          <w:sz w:val="18"/>
          <w:szCs w:val="18"/>
          <w:color w:val="auto"/>
        </w:rPr>
        <w:t>Ms. Wynn, 70, has served as a Director of Wynn Resorts since October 2002. Ms. Wynn has been a strong advocate of programs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for children at risk of dropping out of school. Since 1995 she has co-chaired the Greater Las Vegas After-School All Stars, an organization that provides thousands of children with high quality educational, recreational and cultural after-school programs. A past member of the Executive Board of the Consortium for Policy Research in Education, Ms. Wynn has served on the State of Nevada Council to Establish Academic Standards and chaired for 8 years the UNLV Foundation (the private fundraising arm of University of Nevada, Las Vegas). She is the founding chairman of Communities in Schools of Nevada and was appointed in 2009 as Chairman of the national board of Communities in Schools, the oldest, most successful stay-in-school organization in America. In 2011, Ms. Wynn was appointed by Nevada’s governor to co-chair a Blue Ribbon Education Reform Task Force that resulted in the enactment of ambitious new reform legislation.</w:t>
      </w:r>
    </w:p>
    <w:p>
      <w:pPr>
        <w:spacing w:after="0" w:line="14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Ms. Wynn has also been a strong supporter of the arts. She established the Elaine Wynn Studio for Arts Education at The Smith Center for the Performing Arts in Las Vegas and is a member of the Board of the Los Angeles County Museum of Art. In 2012, Ms. Wynn was re-appointed to the Kennedy Center for the Performing Arts Board of Trustees. She also serves on the Library of Congress Trust Fund Board.</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Ms. Wynn’s experience in the gaming and hospitality businesses during her tenure as a director of Wynn Resorts and Mirage Resorts has been valuable to the Board of Directors of Wynn Resorts and important in the continued development of the Wynn brand. In addition, her philanthropic and community efforts as well as her history of assisting Wynn Resorts on such matters have been important to Wynn Resorts’ Board of Directors’ strategic and brand vision.</w:t>
      </w:r>
    </w:p>
    <w:p>
      <w:pPr>
        <w:spacing w:after="0" w:line="10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On January 6, 2010, Elaine P. Wynn, Aruze USA, Inc. and Stephen A. Wynn entered into the Amended and Restated Stockholders Agreement which contains covenants and provisions relating to voting agreements (including endorsement of director candidates including Ms. Wynn), preemptive rights, rights of first refusal, tag-along rights and certain other instructions. On February 18, 2012, Wynn Resorts redeemed all of the shares previously owned by Aruze USA, Inc. (as more particularly described in Mr. Okada’s biographical information below) and commenced litigation against Mr. Okada, Universal Entertainment Corporation and Aruze USA, Inc. On June 19, 2012, Elaine Wynn asserted a cross claim against Stephen A. Wynn and Aruze USA, Inc. in the Aruze litigation (described below) seeking a declaration that (1) any and all of Elaine P. Wynn’s duties under the Amended and Restated Stockholders Agreement be discharged;</w:t>
      </w:r>
    </w:p>
    <w:p>
      <w:pPr>
        <w:spacing w:after="0" w:line="1"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Amended and Restated Stockholders Agreement is subject to rescission and is rescinded; (3) the Amended and Restated Stockholders Agreement is an</w:t>
      </w:r>
    </w:p>
    <w:p>
      <w:pPr>
        <w:spacing w:after="0" w:line="32"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unreasonable restraint on alienation in violation of public policy; and/or (4) the restrictions on sale of shares shall be construed as inapplicable to Elaine P. Wynn. The indentures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the notes provide that if Stephen A. Wynn, together with certain related parties, in the aggregate beneficially owns a lesser percentage of the outstanding common stock of Wynn Resorts than are beneficially owned by any other person, a change of control will have occurred. If Elaine P. Wynn prevails in her cross claim, Stephen A. Wynn would not beneficially own or control Elaine P. Wynn’s shares and a change in control may result under the debt documents of Wynn Resorts. Under the indentures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 the occurrence of a change of control requires that Wynn Resorts make an offer (unless such notes have been previously called for redemption) to each holder to repurchase all or any part of such holder’s notes at a purchase price equal to 101% of the aggregate principal amount thereof plus accrued and unpaid interest on such notes purchased, if any, to the date of repurchase. Mr. Wynn is opposing Ms. Wynn’s cross claim.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Class II Directors (Terms expire at the 2013 Annual Meeting of Stockholders)</w:t>
      </w:r>
    </w:p>
    <w:p>
      <w:pPr>
        <w:spacing w:after="0" w:line="8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70, has served as Chairman and Chief Executive Officer of Wynn Resorts since June 2002. Mr. Wynn has been an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the Chairman of the Board of Directors, Chief Executive Officer and President of Wynn Macau, Limited, a majority owned subsidiary of Wynn Resorts since September 2009. Mr. Wynn has also served as Director, Chairman and Chief Executive Officer of Wynn Resorts (Macau) since October 2001. From April 2000 to September 2002, Mr. Wynn was the managing member of Valvino Lamore, LLC, the predecessor and a current wholly owned subsidiary of Wynn Resorts. Mr. Wynn also serves as an officer and/or director of several subsidiaries of Wynn Resorts. Mr. Wynn served as Chairman, President and Chief Executive Officer of Mirage Resorts, Inc. and its predecessor, Golden Nugget Inc., between 1973 and 2000. Mr. Wynn developed and opened The Mirage, Treasure Island and Bellagio in 1989, 1993 and 1998, respectively.</w:t>
      </w:r>
    </w:p>
    <w:p>
      <w:pPr>
        <w:spacing w:after="0" w:line="119"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Mr. Wynn is the founder and creative and organizational force of Wynn Resorts. Mr. Wynn’s 40 years of experience in the industry has contributed to his brand name status as the preeminent designer, developer and operator of destination casino resorts. Mr. Wynn’s involvement with Wynn Resorts’ casino resorts provides a distinct advantage over other gaming enterprises. As founder, Chairman and Chief Executive Officer, he has a unique perspective into the operations and vision for Wynn Resorts.</w:t>
      </w:r>
    </w:p>
    <w:p>
      <w:pPr>
        <w:spacing w:after="0" w:line="13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Ray R. Irani, 77, has served as a Director of Wynn Resorts since October 2007. Dr. Irani became Executive Chairman of Occidental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Petroleum Corporation, an international oil and gas exploration and production company as well as a major North American chemical manufacturer, in May 2011 after serving as Chairman and Chief Executive Officer from 1990 to 2011. He has been a director of Occidental since 1984 and served as President and Chief Operating Officer of Occidental from 1984 to 1990. Dr. Irani is a director of the American Petroleum Institute. He is a member of the California Business Roundtable, The Conference Board, the Council on Foreign Relations, the National Association of Manufacturers, the National Committee on United States-China Relations, the National Petroleum Council and Sigma Xi—The Scientific Research Society. He is the U.S. Chairman of the U.S.-U.A.E. Business Council. Dr. Irani is a Trustee of the University of Southern California, Co-Chair of the Board of the American University of Beirut and a member of the Lebanese American University Board of Trustees. He is a member of the Board of Governors of Town Hall Los Angeles and the Los Angeles World Affairs Council, and serves on the Advisory Board of RAND’s Center for Middle East Public Policy and the Atlantic Council’s International Advisory Board.</w:t>
      </w:r>
    </w:p>
    <w:p>
      <w:pPr>
        <w:spacing w:after="0" w:line="11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After the opening of Wynn Macau in 2006, Wynn Resorts sought additional representation on the Board by executives with experience in managing international operations and with keen insight into issues relevant to companies with global operations, which are of increasing importance to Wynn Resorts. Dr. Irani was elected to the Board of Directors in 2007 as a result of that extensive international experience gained from serving as the long time Chairman and Chief Executive Officer of Occidental Petroleum Corporation, an international oil and gas exploration and production company with operations throughout the world.</w:t>
      </w:r>
    </w:p>
    <w:p>
      <w:pPr>
        <w:spacing w:after="0" w:line="137"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73, has served as a Director of Wynn Resorts since December 2002. Mr. Shoemaker was the Chairman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First Boston Inc. and First Boston Corp. from April 1983 until his retirement in January 1989, at the time of its sale to Credit Suisse Bank. Mr. Shoemaker currently serves as a member of the board of directors of Frontier Bank, Western Community Bank Shares, and Huntsman Chemical Co.</w:t>
      </w:r>
    </w:p>
    <w:p>
      <w:pPr>
        <w:spacing w:after="0" w:line="10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Mr. Shoemaker has served on the Board of Directors of Wynn Resorts since its formation in 2002. With his extensive knowledge of Wynn Resorts’ development, strategy, financing arrangements and operations since its formation and his deep experience as a financial executive serving as the Chairman of First Boston, Mr. Shoemaker contributes to the Board’s oversight of Wynn Resorts’ financial matters. Mr. Shoemaker’s experience in this respect has been especially valuable to Wynn Resorts during the recent financial crisis, and enables him to provide strong leadership.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59, has served as a Director of Wynn Resorts since August 2003. Mr. Wayson has been a principal of Wayson’s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a real estate development and holding company, since 1970. He also serves as an officer and/or director of other real estate and business ventures. From 2000 through May 2003, Mr. Wayson served as a member of the board of directors and audit committee of MGM Mirage.</w:t>
      </w:r>
    </w:p>
    <w:p>
      <w:pPr>
        <w:spacing w:after="0" w:line="103" w:lineRule="exact"/>
        <w:rPr>
          <w:sz w:val="20"/>
          <w:szCs w:val="20"/>
          <w:color w:val="auto"/>
        </w:rPr>
      </w:pPr>
    </w:p>
    <w:p>
      <w:pPr>
        <w:jc w:val="both"/>
        <w:ind w:right="320" w:firstLine="456"/>
        <w:spacing w:after="0" w:line="323" w:lineRule="auto"/>
        <w:rPr>
          <w:sz w:val="20"/>
          <w:szCs w:val="20"/>
          <w:color w:val="auto"/>
        </w:rPr>
      </w:pPr>
      <w:r>
        <w:rPr>
          <w:rFonts w:ascii="Arial" w:cs="Arial" w:eastAsia="Arial" w:hAnsi="Arial"/>
          <w:sz w:val="15"/>
          <w:szCs w:val="15"/>
          <w:color w:val="auto"/>
        </w:rPr>
        <w:t>Mr. Wayson’s experience in the real estate and gaming businesses contributes to the Board’s ability to assess and oversee these critical aspects of Wynn Resorts’ business and to provide insights to Wynn Resorts’ operations. Mr. Wayson has extensive operational experience in the casino finance and marketing areas beginning as casino controller and ultimately managing a resort casino property in Atlantic City, N.J. The Board is benefited by Mr. Wayson’s first hand experience in operations and utilizes his knowledge of the business, especially in the finance and marketing areas, to identify, manage and monitor risk.</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Class III Directors (Terms expire at the 2014 Annual Meeting of Stockholders)</w:t>
      </w:r>
    </w:p>
    <w:p>
      <w:pPr>
        <w:spacing w:after="0" w:line="8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Russell Goldsmith. </w:t>
      </w:r>
      <w:r>
        <w:rPr>
          <w:rFonts w:ascii="Arial" w:cs="Arial" w:eastAsia="Arial" w:hAnsi="Arial"/>
          <w:sz w:val="16"/>
          <w:szCs w:val="16"/>
          <w:color w:val="auto"/>
        </w:rPr>
        <w:t>Mr. Goldsmith, 62, has served as a Director of Wynn Resorts since May 2008. Mr. Goldsmith has served as Chairman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City National Bank, a provider of a wide range of banking, investing and trust services, since October 1995. Additionally, during this time he also has served as Chief Executive Officer and since May 2005 as President of its publicly held parent company, City National Corporation, which is listed on the New York Stock Exchange (CYN) and headquartered in Los Angeles, California. He has been a director of both the bank and its parent company since 1978.</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From 2008 to 2011, Mr. Goldsmith was a member of the 12-member Federal Advisory Council, which advises the Board of Governors of the Federal Reserve System, representing the Twelfth Federal Reserve District. Mr. Goldsmith chairs the Mid-Size Bank Coalition of America, which is composed of 29 mid-sized banks in 41 states and the District of Columbia. He also chairs the Los Angeles Coalition for the Economy &amp; Jobs, an independent organization of leading economic stakeholders representing business, labor, higher education and the nonprofit sectors. Mr. Goldsmith also serves on the board of trustees of the Harvard-Westlake School and is a member of the Council on Foreign Relations.</w:t>
      </w:r>
    </w:p>
    <w:p>
      <w:pPr>
        <w:spacing w:after="0" w:line="11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Mr. Goldsmith brings current insight and deep financial expertise to Wynn Resorts’ Board. His recent service on the Federal Reserve Board’s Advisory Council has brought additional perspective on the macroeconomic and public policy issues facing Wynn Resorts.</w:t>
      </w:r>
    </w:p>
    <w:p>
      <w:pPr>
        <w:spacing w:after="0" w:line="12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Governor Miller, 67, has served as a Director of Wynn Resorts since October 2002 and as the Chairman of Wynn Las Vegas, LLC’s</w:t>
      </w:r>
      <w:r>
        <w:rPr>
          <w:rFonts w:ascii="Arial" w:cs="Arial" w:eastAsia="Arial" w:hAnsi="Arial"/>
          <w:sz w:val="16"/>
          <w:szCs w:val="16"/>
          <w:b w:val="1"/>
          <w:bCs w:val="1"/>
          <w:color w:val="auto"/>
        </w:rPr>
        <w:t xml:space="preserve"> </w:t>
      </w:r>
      <w:r>
        <w:rPr>
          <w:rFonts w:ascii="Arial" w:cs="Arial" w:eastAsia="Arial" w:hAnsi="Arial"/>
          <w:sz w:val="16"/>
          <w:szCs w:val="16"/>
          <w:color w:val="auto"/>
        </w:rPr>
        <w:t>Gaming Compliance Committee and as Wynn Resorts’ Compliance Director. In that role, he recently led Wynn Resorts’ Board of Directors’ independent investigation of Aruze USA, Inc., which is discussed below. In June 2010, he founded Robert J. Miller Consulting, a company that provides assistance in establishing relationships with and building partnerships between private and government entities on the local, state, national and international level. Governor Miller also currently serves as a Senior Advisor to Dutko Worldwide, a multidisciplinary governmental affairs strategy and management firm. Governor Miller was a partner of the Nevada law firm of Jones Vargas from 2000 to 2005. He has been a partner in Nevada Rose, LLC, since November 2004. From January 1989 until January 1999, Governor Miller served as Governor of the State of Nevada, and, from 1987 to 1989, he served as Lieutenant Governor of the State of Nevada. Governor Miller also serves as a director of International Game Technology (IGT).</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Governor Miller’s extensive experience in regulatory and legal compliance matters and in Nevada and federal government and politics brings unique expertise and insight into state regulatory and public policy issues that directly impact Wynn Resorts’ operations. In addition, his legal background and knowledge of Nevada gaming regulation support his service as Chair of Wynn Resorts’ Gaming Compliance Committee and as Compliance Director, which roles are important to maintaining the regulatory structure and probity of Wynn Resorts. In addition to serving the longest period as a Governor of the State of Nevada, Governor Miller has long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standing experience in law enforcement including terms as an elected judge, police attorney, and elected district attorney during which term he served as the President of the National District Attorneys Association.</w:t>
      </w:r>
    </w:p>
    <w:p>
      <w:pPr>
        <w:spacing w:after="0" w:line="12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69, has served as a Director of Wynn Resorts since October 2002. Mr. Okada also served as a Non-Executive Director of Wynn</w:t>
      </w:r>
      <w:r>
        <w:rPr>
          <w:rFonts w:ascii="Arial" w:cs="Arial" w:eastAsia="Arial" w:hAnsi="Arial"/>
          <w:sz w:val="16"/>
          <w:szCs w:val="16"/>
          <w:b w:val="1"/>
          <w:bCs w:val="1"/>
          <w:color w:val="auto"/>
        </w:rPr>
        <w:t xml:space="preserve"> </w:t>
      </w:r>
      <w:r>
        <w:rPr>
          <w:rFonts w:ascii="Arial" w:cs="Arial" w:eastAsia="Arial" w:hAnsi="Arial"/>
          <w:sz w:val="16"/>
          <w:szCs w:val="16"/>
          <w:color w:val="auto"/>
        </w:rPr>
        <w:t>Macau, Limited, a majority owned subsidiary of Wynn Resorts from September 2009 until his removal in February of 2012. In 1969, Mr. Okada founded Universal Lease Co. Ltd., which, in 1998, became Aruze Corp., a company listed on the Japanese Association of Securities Dealers Automated Quotation Securities Exchange. In November 2009, Aruze Corp. changed its name to Universal Entertainment Corporation, which is a Japanese manufacturer of pachislot and pachinko machines, amusement machines, and video games for domestic sales. Mr. Okada currently serves as Director and Chairman of the Board of Universal Entertainment Corporation and as Director, President, Secretary and Treasurer of Aruze USA, Inc., which is a wholly owned subsidiary of Universal Entertainment Corporation and prior to the redemption described below owned approximately 19.7% of Wynn Resorts. In 1983, Mr. Okada also founded Universal Distributing of Nevada, Inc., which changed its name to Aruze Gaming America, Inc. in 2005. Aruze Gaming America, Inc. is a manufacturer and distributor of gaming machines and devices in the United States and is expanding its sales business in Asia, Australia and South Africa. Mr. Okada currently serves as director, President, Secretary and Treasurer of Aruze Gaming America, Inc.</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February 18, 2012, Wynn Resorts’ Gaming Compliance Committee concluded an investigation after receiving an independent report by Freeh, Sporkin &amp; Sullivan, LLP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has refused to acknowledge Wynn Resorts’ anti-bribery policies and has refused to participate in the training all other directors have received concerning these policies.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Based on the Freeh Report, the Board of Directors of Wynn Resorts determined that Aruze USA, Inc., Universal Entertainment Corporation and Mr. Okada are “Unsuitable Persons” under Article VII of Wynn Resorts’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In addition, on February 18, 2012, Mr. Okada was removed from the board of directors of Wynn Capital.</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 USA, Inc.’s 24,549,222 shares of Wynn Resorts’ common stock and issued a promissory note pursuant to the terms of Article VII of Wynn Resorts’ Articles of Incorporation in payment therefor. After authorizing on February 18, 2012 the redemption of 24,549,222 shares then held by Aruze USA, Inc., the Board of Directors of Wynn Resorts took certain actions to protect Wynn Resorts and its operations from any influence of an “Unsuitable Person,” including placing limitations on the provision of certain operating information to “Unsuitable Persons,” evaluating whether to seek the removal of Mr. Okada from the Board of Directors of Wynn Resorts, and formation of an Executive Committee of Wynn Resorts’ Board of Directors to manage the business and affairs of Wynn Resorts during the period between each annual meeting. The Charter of the Executive Committee provides that “Unsuitable Persons” are not permitted to serve on the Executive Committee. All members of the Board of Directors of Wynn Resorts, other than Mr. Okada, were appointed to the Executive Committee on February 18, 2012. For additional information on the share redemption, see “Certain Relationships and Related Transactions—Share Redemption.”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February 19, 2012, Wynn Resorts filed a complaint in the District Court of Clark County, Nevada against Mr. Okada, Aruze USA, Inc. and Universal Entertainment Corporation, companies controlled by Mr. Okada (the “Okada Parties”) alleging breaches of fiduciary duty and related claims. Wynn Resorts is seeking compensatory and special damages as well as a declaration that it acted lawfully and in full compliance with its articles of incorporation, bylaws and other governing documents. On March 12,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Wynn Resorts, each of the members of Wynn Resorts’ Board of Directors (other than Mr. Okada) and Kim Sinatra, Wynn Resorts’ general counsel. Among other relief, the counterclaim seeks a declaration that the redemption of Aruze USA, Inc.’s shares was void, an injunction restoring Aruze USA, Inc.’s share ownership, damages in an unspecified amount and rescission of the Amended and Restated Stockholders Agreement. Wynn Resorts’ claim of February 19, 2012, was removed to federal court by the Okada Parties. On March 29, 2012, Wynn Resorts filed a motion to remand the action to state court and to request an extension to answer the denial of Wynn Resorts’ claims and the Okada Parties’ counterclaims. The motion to remand was granted and Wynn Resorts’ request for related attorneys’ fees was also granted. The case is now pending in the state court, which has determined that this action will be coordinated with Mr. Okada’s inspection action, which is discussed below. The Okada Parties have filed a notice of intent to commence a separate federal securities action for the securities counterclaims previously asserted. On August 31, 2012, the Okada Parties filed a Motion for Preliminary Injunction with the state court. The motion sought a preliminary injunction that would have prohibited Wynn Resorts from barring or preventing Aruze USA, Inc. from exercising rights as a stockholder and an order that its purported nominees be presented to Wynn Resorts’ stockholders and voted on (including by Aruze USA, Inc. as a stockholder) at the 2012 Annual Meeting of Stockholders (scheduled for November 2, 2012). At the conclusion of a hearing held on October 2, 2012, the Nevada state court denied Aruze USA, Inc.’s motion for a preliminary injunction. See “—Directors—Class I Directors (Terms expire at the 2012 Annual Meeting of Stockholders, which is scheduled for November 2, 2012)—Elaine P. Wynn,” for information regarding a related cross claim asserted by Elaine P. Wynn.</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Okada from its board of directors.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August 28, 2012, Mr. Okada, Universal Entertainment Corporation and Okada Holdings filed a complaint in Tokyo District Court against Wynn Resorts, all members of the Board of Directors of Wynn Resorts (other than Mr. Okada) and Kim Sinatra, the general counsel of Wynn Resorts, alleging that the press release issued by Wynn Resorts with respect to the redemption has damaged plaintiffs’ social evaluation and credibility. The plaintiffs seek damages and legal fees from the defendants.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August 31, 2012, Wynn Resorts received a letter from Aruze USA, Inc. purportedly notifying Wynn Resorts of Aruze USA, Inc.’s intent to nominate two individuals for election as directors pursuant to Section 2.13 of Wynn Resorts’ Fourth Amended and Restated Bylaws. Section 2.13 provides for nominations by stockholders. As a result of Wynn Resorts’ Board of Directors’ determination on February 18, 2012, that all of Mr. Okada, Aruze USA, Inc. and Universal Entertainment Corporation are “Unsuitable Persons” as defined in the Articles of Incorporation of Wynn Resorts, and the subsequent redemption of all shares previously owned by Aruze USA, Inc., Wynn Resorts believes that Aruze USA, Inc. is not eligible to make such nominations.</w:t>
      </w:r>
    </w:p>
    <w:p>
      <w:pPr>
        <w:spacing w:after="0" w:line="11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Wynn Resorts provided the Freeh Report to appropriate regulators and law enforcement agencies and is cooperating with related investigations that such regulators and agencies have undertaken. The Executive Committee of Wynn Resorts continues to monitor such investigations and may decide at some future point to call a special meeting of the stockholders of Wynn Resorts for the purpose of removing Mr. Okada as a director of Wynn Resorts, if it considers such action to be desirable and in the best interests of Wynn Resorts and its stockholders. See Notes to Condensed Consolidated Financial Statements, Note 10 “Commitments and Contingencies,” included in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Dr. Zeman, 64, has served as a Director of Wynn Resorts since October 2002. He is also Vice Chairman and has served 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Wynn Macau, Limited, a majority owned subsidiary of Wynn Resorts, since September 2009. Dr. Zeman founded The Colby International Group in 1975 to source and export fashion apparel to North America. In late 2000, The Colby International Group merged with Li &amp; Fung Limited. Dr. Zeman is the Chairman of Lan Kwai Fong Holdings Limited, a company engaged in property investment and development in Hong Kong since July 1996. He is also the owner of Paradise Properties Group, a property developer in Thailand. Dr. Zeman is also Chairman of Ocean Park, a major theme park in Hong Kong. Dr. Zeman is Vice Patron of Hong Kong Community Chest and serves as a director of the “Star” Ferry Company, Limited. Dr. Zeman also serves as an independent non-executive director of Pacific Century Premium Developments Limited, Sino Land Company Limited and Tsim Sha Tsui Properties Limited, all of which are listed on the Hong Kong Stock Exchange. Dr. Zeman is a member of the Food Business Task Force for Business Facilitation Advisory Committee, the Consultation Panel of the West Kowloon Cultural District Authority (“WKCDA”), WKCDA Development Committee, WKCDA Investment Committee, and WKCDA Performing Arts Committee (of which Dr. Zeman is the Chairman). In 2001, Dr. Zeman joined the Richard Ivey School of Business’ Asian Advisory Board. In 2001, Dr. Zeman was appointed a Justice of the Peace. He was awarded the Gold Bauhinia Star in 2004 and the Grand Bauhinia Medal in 2011.</w:t>
      </w:r>
    </w:p>
    <w:p>
      <w:pPr>
        <w:spacing w:after="0" w:line="12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Dr. Zeman, a Hong Kong citizen and successful Hong Kong entrepreneur, has been a guiding force in the development of Wynn Resorts’ Macau operations and the continued operation and strategic focus of Wynn Macau. His personal business experience in China and extensive knowledge of Wynn Resorts’ history, development and marketing strategy in Asia contribute to the Board’s oversight of these aspects of Wynn Resorts’ operations.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Class I Director Nominee</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J. Edward (Ted) Virtue. </w:t>
      </w:r>
      <w:r>
        <w:rPr>
          <w:rFonts w:ascii="Arial" w:cs="Arial" w:eastAsia="Arial" w:hAnsi="Arial"/>
          <w:sz w:val="18"/>
          <w:szCs w:val="18"/>
          <w:color w:val="auto"/>
        </w:rPr>
        <w:t>Mr. Virtue, 52, is the Chief Executive Officer of MidOcean Partners, a private investment firm that specializes in middle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the U.S. Prior to his current position, from 1999 to February of 2003, Mr. Virtue was Chief Executive Officer of DB Capital Partners, the captive merchant bank of Deutsche Bank and had oversight for the bank’s $35 billion direct investment portfolio. Mr. Virtue also served on the Deutsche Bank Executive Board. Prior to Deutsche Bank’s acquisition of Bankers Trust Company (“Bankers Trust”), Mr. Virtue was President of BT Alex. Brown Incorporated and Executive Vice President and Head of Global Finance at Bankers Trust. Representative boards that Mr. Virtue has served on include Bushnell, Kinetics Group, Noveon, and Vitaquest International.</w:t>
      </w:r>
    </w:p>
    <w:p>
      <w:pPr>
        <w:spacing w:after="0" w:line="14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When considering the potential candidacy of Mr. Virtue, the Nominating and Corporate Governance Committee of Wynn Resorts considered Mr. Virtue’s extensive financial experience as a fund manager and business investor, including experience in the gaming, hospitality and consumer products industries. The continuing challenges of global economic uncertainty require sophisticated and diverse experience in capital markets, which the Nominating and Corporate Governance Committee of Wynn Resorts determined Mr. Virtue provided. Additionally, the Nominating and Corporate Governance Committee of Wynn Resorts relied upon Mr. Virtue’s long standing experience in the gaming and hospitality industries, as both an advisor and investor.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90"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 and Chief Administrative Officer of Wynn Resorts.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Wynn Resorts, positions he held since September 2002. Mr. Strzemp served as Wynn Resorts’ Treasurer from March 2003 to March 2006.</w:t>
      </w:r>
    </w:p>
    <w:p>
      <w:pPr>
        <w:spacing w:after="0" w:line="132"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Matt Maddox. </w:t>
      </w:r>
      <w:r>
        <w:rPr>
          <w:rFonts w:ascii="Arial" w:cs="Arial" w:eastAsia="Arial" w:hAnsi="Arial"/>
          <w:sz w:val="16"/>
          <w:szCs w:val="16"/>
          <w:color w:val="auto"/>
        </w:rPr>
        <w:t>Mr. Maddox serves as Wynn Resorts’ Chief Financial Officer and Treasurer. Prior to his promotion in March 2008, Mr. Maddox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Wynn Resorts’ Senior Vice President of Business Development and Treasurer, positions he held since January 2007 and May 2006, respectively. From September 2005 to December 31, 2006, Mr. Maddox served as the Senior Vice President of Business Development for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Wynn Las Vegas, LLC. From March 2003 to September 2005, Mr. Maddox was the Chief Financial Officer of Wynn Resorts (Macau), S.A. From May 2002 through March 2003, Mr. Maddox was Wynn Resorts’ Treasurer and Vice President—Investor Relations. Mr. Maddox also serves as an officer of several of Wynn Resorts’ subsidiaries. Prior to joining Wynn Resorts in 2002, Mr. Maddox served as Director of Finance, Executive Director of Finance and Vice President of Finance for Caesars Entertainment, Inc. (formerly Park Place Entertainment, Inc.). Before joining Park Place Entertainment, Mr. Maddox worked as an investment banker for Bank of America Securities in the Mergers and Acquisitions Department.</w:t>
      </w:r>
    </w:p>
    <w:p>
      <w:pPr>
        <w:spacing w:after="0" w:line="11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the General Counsel and Secretary of Wynn Resorts, a position she has held since February 2006. She joined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2004 as Senior Vice President and General Counsel of its development activities. She also serves as an officer of several of Wynn Resorts’ subsidiaries. From 2000 to 2003 Ms. Sinatra served as Executive Vice President and Chief Legal Officer of Caesars Entertainment, Inc. (formerly Park Place Entertainment, Inc.). She has also served as General Counsel for The Griffin Group, Inc., Merv Griffin’s investment management company, and as a partner in the New York office of the law firm Gibson, Dunn &amp; Crutcher LLP.</w:t>
      </w:r>
    </w:p>
    <w:p>
      <w:pPr>
        <w:spacing w:after="0" w:line="13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 xml:space="preserve">Ian Michael Coughlan. </w:t>
      </w:r>
      <w:r>
        <w:rPr>
          <w:rFonts w:ascii="Arial" w:cs="Arial" w:eastAsia="Arial" w:hAnsi="Arial"/>
          <w:sz w:val="18"/>
          <w:szCs w:val="18"/>
          <w:color w:val="auto"/>
        </w:rPr>
        <w:t>Mr. Coughlan has been an Executive Director of Wynn Macau, Limited since September 2009. Mr. Coughlan is also the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of Wynn Resorts (Macau) S.A., a position he has held since July 2007. In this role, he is responsible for the operation of Wynn Macau and Encore at Wynn Macau. Prior to becoming President of Wynn Macau, Mr. Coughlan was Director of Hotel Operations—Worldwide for Wynn Resorts. Mr. Coughlan has over 30 years of hospitality experience with leading hotels across Asia, Europe and the United States. Before joining Wynn Resorts, he spent 10 years with The Peninsula Group, including posts as General Manager of The Peninsula Hong Kong from September 2004 to January 2007, and General Manager of The Peninsula Bangkok from September 1999 to August 2004.</w:t>
      </w:r>
    </w:p>
    <w:p>
      <w:pPr>
        <w:spacing w:after="0" w:line="139"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b w:val="1"/>
          <w:bCs w:val="1"/>
          <w:color w:val="auto"/>
        </w:rPr>
        <w:t xml:space="preserve">Marilyn Spiegel. </w:t>
      </w:r>
      <w:r>
        <w:rPr>
          <w:rFonts w:ascii="Arial" w:cs="Arial" w:eastAsia="Arial" w:hAnsi="Arial"/>
          <w:sz w:val="15"/>
          <w:szCs w:val="15"/>
          <w:color w:val="auto"/>
        </w:rPr>
        <w:t>Mrs. Spiegel is the President of Wynn Las Vegas, LLC, owner and operator of Wynn Las Vegas and Encore Las Vegas where she</w:t>
      </w:r>
      <w:r>
        <w:rPr>
          <w:rFonts w:ascii="Arial" w:cs="Arial" w:eastAsia="Arial" w:hAnsi="Arial"/>
          <w:sz w:val="15"/>
          <w:szCs w:val="15"/>
          <w:b w:val="1"/>
          <w:bCs w:val="1"/>
          <w:color w:val="auto"/>
        </w:rPr>
        <w:t xml:space="preserve"> </w:t>
      </w:r>
      <w:r>
        <w:rPr>
          <w:rFonts w:ascii="Arial" w:cs="Arial" w:eastAsia="Arial" w:hAnsi="Arial"/>
          <w:sz w:val="15"/>
          <w:szCs w:val="15"/>
          <w:color w:val="auto"/>
        </w:rPr>
        <w:t>oversees the day-to-day operations of the properties. She assumed this position in December 2010. Prior to joining Wynn Resorts, Mrs. Spiegel held various executive positions with Caesars Entertainment Corporation (formerly Harrah’s Entertainment, Inc.), a gaming and hospitality company. From January 2004 to November 2010, Mrs. Spiegel was the General Manager and Regional President of five Caesars Entertainment Las Vegas properties including most recently Bally’s, Paris and Planet Hollywood. Mrs. Spiegel also served in other executive positions at Harrah’s Entertainment, Inc., including Senior Vice President and General Manager of Harrah’s Las Vegas and the Rio All Suite Hotel and Casino, Senior Vice President of Human Resources, Senior Vice President and General Manager of Harrah’s Shreveport Hotel &amp; Casino in Louisiana and Vice President of Human Resources for the company’s Southern Nevada operations.</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Mrs. Spiegel began working for Harrah’s Entertainment, Inc. in 1988. Mrs. Spiegel is a member of the Las Vegas Visitors and Convention Bureau board of directors.</w:t>
      </w:r>
    </w:p>
    <w:p>
      <w:pPr>
        <w:spacing w:after="0" w:line="132"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Scott Peterson. </w:t>
      </w:r>
      <w:r>
        <w:rPr>
          <w:rFonts w:ascii="Arial" w:cs="Arial" w:eastAsia="Arial" w:hAnsi="Arial"/>
          <w:sz w:val="16"/>
          <w:szCs w:val="16"/>
          <w:color w:val="auto"/>
        </w:rPr>
        <w:t>Mr. Peterson is the Senior Vice President and Chief Financial Officer of Wynn Las Vegas, LLC, a position he has held since April 2009. In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to overseeing the finance and accounting areas, Mr. Peterson is responsible for the operations of the cage, credit, collections, gaming and non-gaming revenue audit, purchasing and the warehouse/receiving departments. From June 2005 to April 2009, Mr. Peterson was the Vice President and Chief Financial Officer for Wynn Resorts (Macau), S.A. From September 2002 to June 2005, Mr. Peterson was the Vice President of Finance and Treasurer of Wynn Las Vegas, LLC and from December 2000 to September 2002, Mr. Peterson was Assistant Vice President of Finance of Wynn Resorts Holdings, LLC.</w:t>
      </w:r>
    </w:p>
    <w:p>
      <w:pPr>
        <w:spacing w:after="0" w:line="10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Robert Gansmo. </w:t>
      </w:r>
      <w:r>
        <w:rPr>
          <w:rFonts w:ascii="Arial" w:cs="Arial" w:eastAsia="Arial" w:hAnsi="Arial"/>
          <w:sz w:val="18"/>
          <w:szCs w:val="18"/>
          <w:color w:val="auto"/>
        </w:rPr>
        <w:t>Mr. Gansmo is the Senior Vice President—Chief Financial Officer of Wynn Resorts (Macau) S.A., a position he has held since April</w:t>
      </w:r>
      <w:r>
        <w:rPr>
          <w:rFonts w:ascii="Arial" w:cs="Arial" w:eastAsia="Arial" w:hAnsi="Arial"/>
          <w:sz w:val="18"/>
          <w:szCs w:val="18"/>
          <w:b w:val="1"/>
          <w:bCs w:val="1"/>
          <w:color w:val="auto"/>
        </w:rPr>
        <w:t xml:space="preserve"> </w:t>
      </w:r>
      <w:r>
        <w:rPr>
          <w:rFonts w:ascii="Arial" w:cs="Arial" w:eastAsia="Arial" w:hAnsi="Arial"/>
          <w:sz w:val="18"/>
          <w:szCs w:val="18"/>
          <w:color w:val="auto"/>
        </w:rPr>
        <w:t>2009. Prior to taking this position, Mr. Gansmo was the Director—Finance of Wynn Resorts (Macau) S.A., a position he assumed in January 2007. Mr. Gansmo is responsible for the management and administration of Wynn Resorts (Macau) S.A.’s finance division. Before joining Wynn Resorts (Macau) S.A., Mr. Gansmo worked at Wynn Resorts, where he served as the Director of Financial Reporting from November 2002. Prior to joining Wynn Resorts, Mr. Gansmo practiced as a certified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public accountant with firms in Las Vegas, Washington and California, including KPMG Peat Marwick, Arthur Andersen, and Deloitte and Touche.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FURTHER INFORMATION CONCERNING THE BOARD OF DIRECTORS OF WYNN RESORTS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Seven of the twelve members of Wynn Resorts’ Board of Directors are independent under the listing standards of The NASDAQ Stock Market LLC (“NASDAQ”). In addition, Wynn Resorts’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Wynn Resorts’ Board of Directors has determined that the following directors and director nominee are independent under the NASDAQ listing standards and that they also meet the additional, heightened independence criteria applicable to audit committee members under the NASDAQ listing standards: Messrs. Goldsmith, Irani, Miller, Moran, Shoemaker, Virtue, Wayson and Zeman. Based upon information requested from each director concerning his or her background, employment and affiliations, Wynn Resorts’ Board of Directors has affirmatively determined that none of the independent directors has a material relationship with Wynn Resorts. In assessing independence, Wynn Resorts’ Board of Directors considered all relevant facts and circumstances, including any direct or indirect relationship between Wynn Resorts and the director or his or her immediate family member.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Mr. Virtue, the Nominating and Corporate Governance Committee of Wynn Resorts considered that Mr. Wynn, Ms. Wynn,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Messrs. Schorr, Maddox and Strzemp had invested in MidOcean Partners, a private investment firm of which Mr. Virtue serves as Chief Executive Officer.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Corporate Governance Committee of Wynn Resorts determined that in order for Mr. Virtue to be nominated as an independent director,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(Messrs. Wynn, Schorr, Maddox and Strzemp) would be required to sever their relationship with MidOcean and Ms. Wynn could, in her discretion,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either sever her relationship or require that Mr. Virtue disclaim any fee income or profit participation related to her account. Mr. Wynn has liquidated his account.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accounts of Messrs. Schorr, Maddox and Strzemp and Ms. Wynn are in the process of orderly liquidation which is expected to be completed for all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later than October 31, 2012. Until the full liquidation of Ms. Wynn’s account, Mr. Virtue will not participate in any fee income or profit participation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Ms. Wynn’s account.</w:t>
      </w:r>
    </w:p>
    <w:p>
      <w:pPr>
        <w:spacing w:after="0" w:line="165"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None of the independent directors has any economic relationship with Wynn Resorts other than receipt of his director’s compensation. None of the independent directors is engaged in any related party transaction with Wynn Resorts. Mr. Wynn, Ms. Wynn, Mr. Okada, Mr. Schorr and Ms. Chen have been determined not to be independent.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On February 18, 2012, the Board of Directors of Wynn Resorts formed an Executive Committee consisting of all members of Wynn Resorts’ Board of Directors other than Mr. Okada. This action was taken in the wake of Wynn Resorts’ Board of Directors’ determination that Mr. Okada was an “Unsuitable Person” under Wynn Resorts’ Articles of Incorporation. Since February 18, 2012, the Executive Committee of Wynn Resorts has met 8 times.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Wynn Resorts’ Board of Directors also has standing committees: the Audit Committee, the Compensation Committee, and the Nominating and Corporate Governance Committee. Each of these committees consists entirely of directors whom Wynn Resorts’ Board of Directors has determined to be independent under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NASDAQ listing standards for audit committee members. The current membership and functions of each of Wynn Resorts’ Board of Directors’ committees are listed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428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Nominating and Corporate</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4280" w:type="dxa"/>
            <w:vAlign w:val="bottom"/>
            <w:vMerge w:val="continue"/>
          </w:tcPr>
          <w:p>
            <w:pPr>
              <w:spacing w:after="0"/>
              <w:rPr>
                <w:sz w:val="14"/>
                <w:szCs w:val="14"/>
                <w:color w:val="auto"/>
              </w:rPr>
            </w:pPr>
          </w:p>
        </w:tc>
        <w:tc>
          <w:tcPr>
            <w:tcW w:w="144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89"/>
              </w:rPr>
              <w:t>Audit</w:t>
            </w:r>
          </w:p>
        </w:tc>
        <w:tc>
          <w:tcPr>
            <w:tcW w:w="1780" w:type="dxa"/>
            <w:vAlign w:val="bottom"/>
            <w:gridSpan w:val="2"/>
          </w:tcPr>
          <w:p>
            <w:pPr>
              <w:jc w:val="center"/>
              <w:ind w:right="940"/>
              <w:spacing w:after="0" w:line="148" w:lineRule="exact"/>
              <w:rPr>
                <w:sz w:val="20"/>
                <w:szCs w:val="20"/>
                <w:color w:val="auto"/>
              </w:rPr>
            </w:pPr>
            <w:r>
              <w:rPr>
                <w:rFonts w:ascii="Arial" w:cs="Arial" w:eastAsia="Arial" w:hAnsi="Arial"/>
                <w:sz w:val="14"/>
                <w:szCs w:val="14"/>
                <w:b w:val="1"/>
                <w:bCs w:val="1"/>
                <w:color w:val="auto"/>
                <w:w w:val="86"/>
              </w:rPr>
              <w:t>Compensation</w:t>
            </w:r>
          </w:p>
        </w:tc>
        <w:tc>
          <w:tcPr>
            <w:tcW w:w="1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Governance Committee</w:t>
            </w:r>
          </w:p>
        </w:tc>
        <w:tc>
          <w:tcPr>
            <w:tcW w:w="0" w:type="dxa"/>
            <w:vAlign w:val="bottom"/>
          </w:tcPr>
          <w:p>
            <w:pPr>
              <w:spacing w:after="0"/>
              <w:rPr>
                <w:sz w:val="1"/>
                <w:szCs w:val="1"/>
                <w:color w:val="auto"/>
              </w:rPr>
            </w:pPr>
          </w:p>
        </w:tc>
      </w:tr>
      <w:tr>
        <w:trPr>
          <w:trHeight w:val="203"/>
        </w:trPr>
        <w:tc>
          <w:tcPr>
            <w:tcW w:w="4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Russell Goldsmith</w:t>
            </w: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9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9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2"/>
              </w:rPr>
              <w:t>Chair</w:t>
            </w:r>
          </w:p>
        </w:tc>
        <w:tc>
          <w:tcPr>
            <w:tcW w:w="1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Chair</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X</w:t>
            </w:r>
          </w:p>
        </w:tc>
        <w:tc>
          <w:tcPr>
            <w:tcW w:w="1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w:t>
            </w:r>
          </w:p>
        </w:tc>
        <w:tc>
          <w:tcPr>
            <w:tcW w:w="1440" w:type="dxa"/>
            <w:vAlign w:val="bottom"/>
            <w:gridSpan w:val="2"/>
            <w:shd w:val="clear" w:color="auto" w:fill="CCEEFF"/>
          </w:tcPr>
          <w:p>
            <w:pPr>
              <w:jc w:val="center"/>
              <w:ind w:right="960"/>
              <w:spacing w:after="0"/>
              <w:rPr>
                <w:sz w:val="20"/>
                <w:szCs w:val="20"/>
                <w:color w:val="auto"/>
              </w:rPr>
            </w:pPr>
            <w:r>
              <w:rPr>
                <w:rFonts w:ascii="Arial" w:cs="Arial" w:eastAsia="Arial" w:hAnsi="Arial"/>
                <w:sz w:val="18"/>
                <w:szCs w:val="18"/>
                <w:color w:val="auto"/>
                <w:w w:val="99"/>
              </w:rPr>
              <w:t>X</w:t>
            </w:r>
          </w:p>
        </w:tc>
        <w:tc>
          <w:tcPr>
            <w:tcW w:w="178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99"/>
              </w:rPr>
              <w:t>X</w:t>
            </w: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1440" w:type="dxa"/>
            <w:vAlign w:val="bottom"/>
            <w:gridSpan w:val="2"/>
          </w:tcPr>
          <w:p>
            <w:pPr>
              <w:jc w:val="center"/>
              <w:ind w:right="960"/>
              <w:spacing w:after="0"/>
              <w:rPr>
                <w:sz w:val="20"/>
                <w:szCs w:val="20"/>
                <w:color w:val="auto"/>
              </w:rPr>
            </w:pPr>
            <w:r>
              <w:rPr>
                <w:rFonts w:ascii="Arial" w:cs="Arial" w:eastAsia="Arial" w:hAnsi="Arial"/>
                <w:sz w:val="18"/>
                <w:szCs w:val="18"/>
                <w:color w:val="auto"/>
                <w:w w:val="92"/>
              </w:rPr>
              <w:t>Chair</w:t>
            </w: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X</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1440" w:type="dxa"/>
            <w:vAlign w:val="bottom"/>
            <w:gridSpan w:val="2"/>
            <w:shd w:val="clear" w:color="auto" w:fill="CCEEFF"/>
          </w:tcPr>
          <w:p>
            <w:pPr>
              <w:jc w:val="center"/>
              <w:ind w:right="960"/>
              <w:spacing w:after="0"/>
              <w:rPr>
                <w:sz w:val="20"/>
                <w:szCs w:val="20"/>
                <w:color w:val="auto"/>
              </w:rPr>
            </w:pPr>
            <w:r>
              <w:rPr>
                <w:rFonts w:ascii="Arial" w:cs="Arial" w:eastAsia="Arial" w:hAnsi="Arial"/>
                <w:sz w:val="18"/>
                <w:szCs w:val="18"/>
                <w:color w:val="auto"/>
                <w:w w:val="99"/>
              </w:rPr>
              <w:t>X</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Number of meetings during 2011</w:t>
            </w:r>
          </w:p>
        </w:tc>
        <w:tc>
          <w:tcPr>
            <w:tcW w:w="1440" w:type="dxa"/>
            <w:vAlign w:val="bottom"/>
            <w:gridSpan w:val="2"/>
          </w:tcPr>
          <w:p>
            <w:pPr>
              <w:jc w:val="center"/>
              <w:ind w:right="960"/>
              <w:spacing w:after="0"/>
              <w:rPr>
                <w:sz w:val="20"/>
                <w:szCs w:val="20"/>
                <w:color w:val="auto"/>
              </w:rPr>
            </w:pPr>
            <w:r>
              <w:rPr>
                <w:rFonts w:ascii="Arial" w:cs="Arial" w:eastAsia="Arial" w:hAnsi="Arial"/>
                <w:sz w:val="18"/>
                <w:szCs w:val="18"/>
                <w:color w:val="auto"/>
                <w:w w:val="87"/>
              </w:rPr>
              <w:t>Eleven</w:t>
            </w: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3"/>
              </w:rPr>
              <w:t>Five</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Four</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Governor Miller serves as Chairman of Wynn Resorts’ Gaming Compliance Committee and as Wynn Resorts’ Compliance Director. The Gaming Compliance Committee is a committee comprised of Messrs. Miller, Schorr and Strzemp, and its purpose is to assist Wynn Resorts in maintaining the highest level of regulatory compliance.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members of the Compensation Committee are appointed by the Board of Directors of Wynn Resorts each year. The members of the Compensation Committee serving in 2011 were Messrs. Goldsmith, Irani, Moran, Shoemaker and Wayson. No member of the Compensation Committee is, or was formerly, one of Wynn Resorts’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2011.</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2011 DIRECTOR COMPENSATION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75"/>
              </w:rPr>
              <w:t>Fees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Earned or</w:t>
            </w:r>
          </w:p>
        </w:tc>
        <w:tc>
          <w:tcPr>
            <w:tcW w:w="10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Paid in</w:t>
            </w:r>
          </w:p>
        </w:tc>
        <w:tc>
          <w:tcPr>
            <w:tcW w:w="1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3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6"/>
              </w:rPr>
              <w:t>Cash ($)</w:t>
            </w:r>
          </w:p>
        </w:tc>
        <w:tc>
          <w:tcPr>
            <w:tcW w:w="100" w:type="dxa"/>
            <w:vAlign w:val="bottom"/>
          </w:tcPr>
          <w:p>
            <w:pPr>
              <w:spacing w:after="0"/>
              <w:rPr>
                <w:sz w:val="14"/>
                <w:szCs w:val="14"/>
                <w:color w:val="auto"/>
              </w:rPr>
            </w:pPr>
          </w:p>
        </w:tc>
        <w:tc>
          <w:tcPr>
            <w:tcW w:w="580" w:type="dxa"/>
            <w:vAlign w:val="bottom"/>
          </w:tcPr>
          <w:p>
            <w:pPr>
              <w:jc w:val="right"/>
              <w:ind w:right="24"/>
              <w:spacing w:after="0" w:line="148" w:lineRule="exact"/>
              <w:rPr>
                <w:sz w:val="20"/>
                <w:szCs w:val="20"/>
                <w:color w:val="auto"/>
              </w:rPr>
            </w:pPr>
            <w:r>
              <w:rPr>
                <w:rFonts w:ascii="Arial" w:cs="Arial" w:eastAsia="Arial" w:hAnsi="Arial"/>
                <w:sz w:val="14"/>
                <w:szCs w:val="14"/>
                <w:b w:val="1"/>
                <w:bCs w:val="1"/>
                <w:color w:val="auto"/>
                <w:w w:val="89"/>
              </w:rPr>
              <w:t>($)(1)(3)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($)(4)</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Russell Goldsmith</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121,500</w:t>
            </w:r>
          </w:p>
        </w:tc>
        <w:tc>
          <w:tcPr>
            <w:tcW w:w="5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w w:val="85"/>
              </w:rPr>
              <w:t>$173,912</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16,250</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311,662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118,500</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324,912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172,000</w:t>
            </w:r>
          </w:p>
        </w:tc>
        <w:tc>
          <w:tcPr>
            <w:tcW w:w="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106,500</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312,912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72,000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123,000</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329,412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136,500</w:t>
            </w:r>
          </w:p>
        </w:tc>
        <w:tc>
          <w:tcPr>
            <w:tcW w:w="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70,500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121,500</w:t>
            </w:r>
          </w:p>
        </w:tc>
        <w:tc>
          <w:tcPr>
            <w:tcW w:w="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327,912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68580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900" w:right="1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set forth in this column reflect the aggregate grant date fair value of 3,600 stock option awards granted to each non-employee director, other than Mr. Okada and Elaine P. Wynn, on May 16, 2011, computed in accordance with accounting standards for stock-based compensation. See Wynn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Resorts’ Annual Report on Form 10-K for the year ended December 31, 2011, Note 14 to the Consolidated Financial Statements for assumptions used in computing fair value.</w:t>
      </w:r>
    </w:p>
    <w:p>
      <w:pPr>
        <w:spacing w:after="0" w:line="24" w:lineRule="exact"/>
        <w:rPr>
          <w:sz w:val="20"/>
          <w:szCs w:val="20"/>
          <w:color w:val="auto"/>
        </w:rPr>
      </w:pPr>
    </w:p>
    <w:p>
      <w:pPr>
        <w:ind w:left="900" w:right="540" w:hanging="446"/>
        <w:spacing w:after="0" w:line="317"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Governor Miller, as a member of the Board of Directors, receives a $50,000 annual retainer for his service as the Chairman of Wynn Resorts’ Gaming Compliance Committee and a $20,000 annual retainer for his service as Wynn Resorts’ Compliance Director.</w:t>
      </w:r>
    </w:p>
    <w:p>
      <w:pPr>
        <w:ind w:left="900" w:right="80" w:hanging="446"/>
        <w:spacing w:after="0" w:line="298"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aggregate number of outstanding option awards for each director at December 31, 2011 is as follows: Mr. Goldsmith 27,600, Dr. Irani and Governor Miller 28,600 each, Messrs. Moran, Shoemaker and Wayson 48,600 each and Mr. Zeman 38,600. The aggregate number of outstanding stock awards for each director at December 31, 2011 is as follows: Mr. Goldsmith 2,500, and Messrs. Irani, Miller, Moran, Shoemaker, Wayson and Zeman 5,000 each. Mr. Okada and Elaine P. Wynn have not previously been granted equity awards for their service as directors.</w:t>
      </w:r>
    </w:p>
    <w:p>
      <w:pPr>
        <w:spacing w:after="0" w:line="4" w:lineRule="exact"/>
        <w:rPr>
          <w:rFonts w:ascii="Arial" w:cs="Arial" w:eastAsia="Arial" w:hAnsi="Arial"/>
          <w:sz w:val="16"/>
          <w:szCs w:val="16"/>
          <w:color w:val="auto"/>
        </w:rPr>
      </w:pPr>
    </w:p>
    <w:p>
      <w:pPr>
        <w:ind w:left="900" w:right="80" w:hanging="446"/>
        <w:spacing w:after="0" w:line="306"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Other Compensation” consists of cash dividends accrued on nonvested stock, which is paid if and when the stock vests. Dividends that are accrued on nonvested stock are reported as compensation because the value of dividends was not previously reflected in the accounting expense for these awards when they were granted, as Wynn Resorts did not regularly pay dividends at that time.</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Directors who are not employees of Wynn Resorts currently receive a monthly fee of $5,000 for services as a director. Directors who serve on the Compensation Committee or the Nominating/Governance Committee receive an additional monthly fee of $1,000 per committee ($2,000 for committee chairmen). Directors who serve on the Audit Committee receive an additional monthly fee of $1,250 ($2,500 for the Chairman). Each non-employee director also receives a $1,500 meeting fee for each board or committee meeting he or she attends. Directors are also awarded annual equity participation in the form of stock options or restricted stock determined annually at the May meeting of the Board of Directors, which for 2011 consisted of a grant of 3,600 stock options. All directors are provided complimentary room, food and beverage privileges at Wynn Resorts’ properties and are reimbursed for any other out of pocket expenses related to attendance at meetings. Directors from time to time may receive other benefits, although the aggregate incremental cost of any such benefits and perquisites did not exceed $10,000 for any director in 2011. Wynn Resorts does not provide non-equity incentive plan awards or deferred compensation or retirement plans for non-employee directors.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section explains the executive compensation program of Wynn Resorts as it relates to the following “named executive officers” whose compensation information is presented in the tables following this discussion in accordance with SEC rules:</w:t>
      </w:r>
    </w:p>
    <w:p>
      <w:pPr>
        <w:sectPr>
          <w:pgSz w:w="11900" w:h="16838" w:orient="portrait"/>
          <w:cols w:equalWidth="0" w:num="1">
            <w:col w:w="11360"/>
          </w:cols>
          <w:pgMar w:left="240" w:top="459" w:right="299" w:bottom="1440" w:gutter="0" w:footer="0" w:header="0"/>
        </w:sectPr>
      </w:pP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Stephen A. Wynn</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Matt Maddox</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Marc D. Schorr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Linda Chen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Kim Sinatra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President of Wynn International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line="165" w:lineRule="exact"/>
        <w:rPr>
          <w:sz w:val="20"/>
          <w:szCs w:val="20"/>
          <w:color w:val="auto"/>
        </w:rPr>
      </w:pPr>
    </w:p>
    <w:p>
      <w:pPr>
        <w:sectPr>
          <w:pgSz w:w="11900" w:h="16838" w:orient="portrait"/>
          <w:cols w:equalWidth="0" w:num="2">
            <w:col w:w="4380" w:space="720"/>
            <w:col w:w="6260"/>
          </w:cols>
          <w:pgMar w:left="240" w:top="459" w:right="299" w:bottom="1440" w:gutter="0" w:footer="0" w:header="0"/>
          <w:type w:val="continuous"/>
        </w:sectPr>
      </w:pPr>
    </w:p>
    <w:p>
      <w:pPr>
        <w:ind w:right="260" w:firstLine="456"/>
        <w:spacing w:after="0" w:line="268" w:lineRule="auto"/>
        <w:rPr>
          <w:sz w:val="20"/>
          <w:szCs w:val="20"/>
          <w:color w:val="auto"/>
        </w:rPr>
      </w:pPr>
      <w:r>
        <w:rPr>
          <w:rFonts w:ascii="Arial" w:cs="Arial" w:eastAsia="Arial" w:hAnsi="Arial"/>
          <w:sz w:val="18"/>
          <w:szCs w:val="18"/>
          <w:color w:val="auto"/>
        </w:rPr>
        <w:t>The Compensation Committee of the Wynn Resorts’ Board of Directors has responsibility for establishing, developing and administering our executive compensation program.</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Wynn Resorts completed another year of outstanding performance in 2011, posting record net revenues, operating income, net income, earnings per share and EBITDA. Wynn Resorts set a company record in 2011 with $1.6 billion in Adjusted Property EBITDA, up 40.7% from 2010. Wynn Resorts did not achieve this Adjusted Property EBITDA growth through risky balance sheet expansion. Instead, Wynn Resorts achieved these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Adjusted Property EBITDA results during a period when it also reduced its debt from $4.3 billion in 2008 to $3.2 billion in 2011.</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2011</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2010</w:t>
            </w: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1"/>
              </w:rPr>
              <w:t>Increase</w:t>
            </w:r>
          </w:p>
        </w:tc>
        <w:tc>
          <w:tcPr>
            <w:tcW w:w="140" w:type="dxa"/>
            <w:vAlign w:val="bottom"/>
            <w:tcBorders>
              <w:bottom w:val="single" w:sz="8" w:color="CCEEFF"/>
            </w:tcBorders>
          </w:tcPr>
          <w:p>
            <w:pPr>
              <w:spacing w:after="0"/>
              <w:rPr>
                <w:sz w:val="14"/>
                <w:szCs w:val="14"/>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 ($ 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5,269.8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4,184.7</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Income ($ millions)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3"/>
              </w:rPr>
              <w:t>1,008.2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625.3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 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316.6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160.6%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Diluted EPS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4.88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1.29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278.3%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Adjusted Property EBITDA ($ 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1,635.3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1,163.0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operating and balance sheet management success has contributed to significant returns for Wynn Resorts’ stockholders. Our total stockholder return was 12.3% for this past year, 49.2% over the past 5 years and 1,048% since our inception in 2002. Thus, $100 invested in Wynn Resorts at its inception would be worth $1,148 at the end of 2011. This performance for stockholders is unmatched in the gaming and resort industry and far exceeds the results of the S&amp;P 500 during this period.</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graph illustrates the compound average annual growth rate of share price growth adjusted for dividends and splits for Wynn Resorts, Las Vegas Sands, MGM Resorts International, a Gaming industry index (Las Vegas Sands, MGM, Crown, Penn National, Melco Crown, and Boyd, weighted by current market capitalization) and the S&amp;P 500. The Compounded Annual Growth Rate (“CAGRs”) for Las Vegas Sands (12/16/2004), Melco Crown (12/19/2006), and Crown Limited (3/25/2008) were measured from the date of their initial public offerings (“IPOs”) and the CAGRs for all others was measured from the October 25, 2002, IPO of Wynn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3978910" cy="2426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978910"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Standard &amp; Poors Capital IQ.</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the formation of Wynn Resorts, we set out to develop and operate the premier casino resort in each jurisdiction in which we operate, and to develop and expand the “Wynn” brand while delivering successful operating and financial performance. Today the Wynn brand has become synonymous with luxury in the gaming industry. Wynn Las Vegas and Wynn Macau both have received the coveted Forbes five-star distinction.</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Compensation Committee believes that our compensation program has been instrumental in supporting achievement of our branding success and our strong financial and stockholder value performance. The program emphasizes pay for performance and total compensation. It is designed to help recruit, retain and motivate a</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highly talented team of executives with the requisite set of skills and experience to successfully lead Wynn Resorts in creating value for our stockholders.</w:t>
      </w:r>
    </w:p>
    <w:p>
      <w:pPr>
        <w:spacing w:after="0" w:line="19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of the named executive officers of Wynn Resorts consists primarily of base salary, annual cash incentives, and periodic grants of equity in the form of stock options and restricted stock. As a result, the vast majority of their total compensation is tied to the financial and share price performance of Wynn Resorts. Historically, Mr. Wynn has not received equity incentives, relying on his significant equity ownership as a founding stockholder to realize increases in value created for Wynn Resorts’ stockholders. For the past three years, Mr. Wynn received 64% of his total compensation in the form of annual cash incentives. The other named executive officers as a group received 73% of their total compensation in the form of annual and long-term incentives that are tied to the operating results and stock price of Wynn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107315</wp:posOffset>
            </wp:positionV>
            <wp:extent cx="1475105" cy="1818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75105" cy="181800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107315</wp:posOffset>
            </wp:positionV>
            <wp:extent cx="2238375" cy="1818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38375"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consideration of our outstanding performance, the Compensation Committee made the following compensation changes for the named executed officers in 2011:</w:t>
      </w:r>
    </w:p>
    <w:p>
      <w:pPr>
        <w:spacing w:after="0" w:line="5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the base salary for Mr. Wynn.</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EBITDA of Wynn Resorts that far exceeded our goals, awarded the named executive officers annual incentive awards at maximum levels for 2011 performance.</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Determined no additional equity awards were necessary during 2011 (none were made in 2010 either), in light of the significant grants awarded to Wynn Resorts’ most senior executive officers in 2009.</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Established a $10 million cash retention award for Ms. Chen, payable in ten years, in recognition of her contribution and continued importance to our Macau resort.</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his contribution to the extraordinary performance of Wynn Macau for 2011, the Wynn Macau, Limited Board of Directors awarded Mr. Wynn a $2 million discretionary bonus.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Philosophy and Objectives</w:t>
      </w:r>
    </w:p>
    <w:p>
      <w:pPr>
        <w:spacing w:after="0" w:line="96" w:lineRule="exact"/>
        <w:rPr>
          <w:sz w:val="20"/>
          <w:szCs w:val="20"/>
          <w:color w:val="auto"/>
        </w:rPr>
      </w:pPr>
    </w:p>
    <w:p>
      <w:pPr>
        <w:ind w:right="260" w:firstLine="456"/>
        <w:spacing w:after="0" w:line="357" w:lineRule="auto"/>
        <w:rPr>
          <w:sz w:val="20"/>
          <w:szCs w:val="20"/>
          <w:color w:val="auto"/>
        </w:rPr>
      </w:pPr>
      <w:r>
        <w:rPr>
          <w:rFonts w:ascii="Arial" w:cs="Arial" w:eastAsia="Arial" w:hAnsi="Arial"/>
          <w:sz w:val="15"/>
          <w:szCs w:val="15"/>
          <w:color w:val="auto"/>
        </w:rPr>
        <w:t>The Compensation Committee believes that stockholder interests are best advanced by attracting and retaining a high-performing management team. To promote this objective, the Compensation Committee was guided by the following underlying principles in developing our executive compensation program:</w:t>
      </w: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Top talent</w:t>
      </w:r>
      <w:r>
        <w:rPr>
          <w:rFonts w:ascii="Arial" w:cs="Arial" w:eastAsia="Arial" w:hAnsi="Arial"/>
          <w:sz w:val="16"/>
          <w:szCs w:val="16"/>
          <w:color w:val="auto"/>
        </w:rPr>
        <w:t>—The program should be designed to gain a long-term commitment from the proven, successful executives that lead our success.</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Focus on total compensation</w:t>
      </w:r>
      <w:r>
        <w:rPr>
          <w:rFonts w:ascii="Arial" w:cs="Arial" w:eastAsia="Arial" w:hAnsi="Arial"/>
          <w:sz w:val="18"/>
          <w:szCs w:val="18"/>
          <w:color w:val="auto"/>
        </w:rPr>
        <w:t>—Compensation opportunities should be considered in the context of total compensation relative to the pay practices of</w:t>
      </w:r>
      <w:r>
        <w:rPr>
          <w:rFonts w:ascii="Arial" w:cs="Arial" w:eastAsia="Arial" w:hAnsi="Arial"/>
          <w:sz w:val="18"/>
          <w:szCs w:val="18"/>
          <w:i w:val="1"/>
          <w:iCs w:val="1"/>
          <w:color w:val="auto"/>
        </w:rPr>
        <w:t xml:space="preserve"> </w:t>
      </w:r>
      <w:r>
        <w:rPr>
          <w:rFonts w:ascii="Arial" w:cs="Arial" w:eastAsia="Arial" w:hAnsi="Arial"/>
          <w:sz w:val="18"/>
          <w:szCs w:val="18"/>
          <w:color w:val="auto"/>
        </w:rPr>
        <w:t>major gaming companies and other competitors for key talent.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Pay-for-performance</w:t>
      </w:r>
      <w:r>
        <w:rPr>
          <w:rFonts w:ascii="Arial" w:cs="Arial" w:eastAsia="Arial" w:hAnsi="Arial"/>
          <w:sz w:val="18"/>
          <w:szCs w:val="18"/>
          <w:color w:val="auto"/>
        </w:rPr>
        <w:t>—A high proportion of total compensation should be at risk and tied to achievement of annual operating goals and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value.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Long-term performance orientation</w:t>
      </w:r>
      <w:r>
        <w:rPr>
          <w:rFonts w:ascii="Arial" w:cs="Arial" w:eastAsia="Arial" w:hAnsi="Arial"/>
          <w:sz w:val="18"/>
          <w:szCs w:val="18"/>
          <w:color w:val="auto"/>
        </w:rPr>
        <w:t>—The mix of incentives provided should motivate long-term sustainable growth in the value of the brand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Stockholder alignment</w:t>
      </w:r>
      <w:r>
        <w:rPr>
          <w:rFonts w:ascii="Arial" w:cs="Arial" w:eastAsia="Arial" w:hAnsi="Arial"/>
          <w:sz w:val="18"/>
          <w:szCs w:val="18"/>
          <w:color w:val="auto"/>
        </w:rPr>
        <w:t>—Long-term incentives should be provided periodically in Wynn Resorts’ equity to encourage executives to plan and act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perspective of stockholders.</w:t>
      </w:r>
    </w:p>
    <w:p>
      <w:pPr>
        <w:spacing w:after="0" w:line="132"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Our compensation program is simple in design and provides only a limited number of perquisites and executive benefits. We do not provide supplemental retirement benefits to our executives. The Compensation Committee regularly evaluates the compensation arrangements of Wynn Resorts to assess whether they are appropriately structured to support these objectives and are effective in enabling Wynn Resorts to attract and retain superior employees in key positions.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Program Overview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Element</w:t>
            </w:r>
          </w:p>
        </w:tc>
        <w:tc>
          <w:tcPr>
            <w:tcW w:w="8780" w:type="dxa"/>
            <w:vAlign w:val="bottom"/>
          </w:tcPr>
          <w:p>
            <w:pPr>
              <w:spacing w:after="0"/>
              <w:rPr>
                <w:sz w:val="20"/>
                <w:szCs w:val="20"/>
                <w:color w:val="auto"/>
              </w:rPr>
            </w:pPr>
            <w:r>
              <w:rPr>
                <w:rFonts w:ascii="Arial" w:cs="Arial" w:eastAsia="Arial" w:hAnsi="Arial"/>
                <w:sz w:val="14"/>
                <w:szCs w:val="14"/>
                <w:b w:val="1"/>
                <w:bCs w:val="1"/>
                <w:i w:val="1"/>
                <w:iCs w:val="1"/>
                <w:color w:val="auto"/>
              </w:rPr>
              <w:t>Role and Purpose</w:t>
            </w:r>
          </w:p>
        </w:tc>
      </w:tr>
      <w:tr>
        <w:trPr>
          <w:trHeight w:val="201"/>
        </w:trPr>
        <w:tc>
          <w:tcPr>
            <w:tcW w:w="20" w:type="dxa"/>
            <w:vAlign w:val="bottom"/>
          </w:tcPr>
          <w:p>
            <w:pPr>
              <w:spacing w:after="0"/>
              <w:rPr>
                <w:sz w:val="17"/>
                <w:szCs w:val="17"/>
                <w:color w:val="auto"/>
              </w:rPr>
            </w:pPr>
          </w:p>
        </w:tc>
        <w:tc>
          <w:tcPr>
            <w:tcW w:w="2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i w:val="1"/>
                <w:iCs w:val="1"/>
                <w:color w:val="auto"/>
              </w:rPr>
              <w:t>Base salary</w:t>
            </w:r>
          </w:p>
        </w:tc>
        <w:tc>
          <w:tcPr>
            <w:tcW w:w="220" w:type="dxa"/>
            <w:vAlign w:val="bottom"/>
          </w:tcPr>
          <w:p>
            <w:pPr>
              <w:spacing w:after="0"/>
              <w:rPr>
                <w:sz w:val="17"/>
                <w:szCs w:val="17"/>
                <w:color w:val="auto"/>
              </w:rPr>
            </w:pPr>
          </w:p>
        </w:tc>
        <w:tc>
          <w:tcPr>
            <w:tcW w:w="8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i w:val="1"/>
                <w:iCs w:val="1"/>
                <w:color w:val="auto"/>
              </w:rPr>
              <w:t>Provide competitive foundation for total compensation</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Recognize executive’s demonstrated sustained performance, capabilities, job scope and experience</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Annual incentives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Motivate and reward achievement of annual EBITDA targets, which drive the valuation of our stock</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87"/>
              </w:rPr>
              <w:t>Enforce accountability for individual performance through discretionary reductions in awards as deemed appropriate</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Discretionary bonus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86"/>
              </w:rPr>
              <w:t>Make periodic awards for superior contributions to the enterprise as determined in the discretion of the Compensation</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Committee</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Long-term incentives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Align executives with stockholders</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91"/>
              </w:rPr>
              <w:t>Make periodic grants with long-term vesting to encourage a long-term value perspective and executive retention</w:t>
            </w:r>
          </w:p>
        </w:tc>
      </w:tr>
      <w:tr>
        <w:trPr>
          <w:trHeight w:val="222"/>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restricted stock)</w:t>
            </w:r>
          </w:p>
        </w:tc>
        <w:tc>
          <w:tcPr>
            <w:tcW w:w="8780" w:type="dxa"/>
            <w:vAlign w:val="bottom"/>
          </w:tcPr>
          <w:p>
            <w:pPr>
              <w:spacing w:after="0"/>
              <w:rPr>
                <w:sz w:val="19"/>
                <w:szCs w:val="19"/>
                <w:color w:val="auto"/>
              </w:rPr>
            </w:pPr>
          </w:p>
        </w:tc>
      </w:tr>
      <w:tr>
        <w:trPr>
          <w:trHeight w:val="223"/>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Deferred compensation</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Permit executives to participate in Wynn Resorts’ 401(k) plan to facilitate retirement savings</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Security benefits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87"/>
              </w:rPr>
              <w:t>Consistent with the requirement of the Board of Directors of Wynn Resorts that Mr. Wynn travel privately for security</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85"/>
              </w:rPr>
              <w:t>reasons, provide him with access to Wynn Resorts’ aircraft for both personal and business travel, as well as a car and a</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driver (and security when necessary)</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Foreign living expenses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90"/>
              </w:rPr>
              <w:t>Consistent with competitive practice in Macau, provide Ms. Chen with a car and driver, certain housing and living</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expenses and assistance with tax preparation</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Executive benefits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Promote executive health through supplemental health benefits</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Provide for executives’ families in the event of death through supplemental life insurance policies</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Executive perquisites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89"/>
              </w:rPr>
              <w:t>Offer industry-competitive discounts and complimentary privileges with respect to the resorts and aircraft of Wynn</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Resorts as described below</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Setting Compensation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Compensation Committee sets all elements of compensation for the Chief Executive Officer and Chief Operating Officer based upon consideration of their respective contributions to the development and operating performance of Wynn Resorts. Annually, the Compensation Committee reviews compensation data of those with whom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Wynn Resorts competes for talent. The Compensation Committee considers the recommendations of the Chief Executive Officer and Chief Operating Officer in establishing compensation for all other named executive officers. The Chief Executive Officer and Chief Operating Officer perform annual reviews of all of Wynn Resorts’ senior management and make recommendations to the Compensation Committee. The Compensation Committee reviews the recommendations and makes final decisions regarding compensation for all of Wynn Resorts’ most senior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has the authority to retain compensation consulting firms exclusively to assist it in the evaluation of executive officer and employee compensation and benefit programs. During 2011, the Compensation Committee retained Pay Governance LLC, a nationally-recognized independent compensation consulting firm, to assist in performing its duties. In 2011, Pay Governance LLC assisted with a review of certain benefits awarded to our Chief Executive Officer and advised the Compensation Committee with respect to compensation trends and best practices, competitive pay levels, equity grant practices and competitive levels, and proxy disclosure. While our advisor regularly consults with management in performing work requested by the Compensation Committee, Pay Governance LLC did not perform any separate additional services for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determining base salary, target annual incentives and guidelines for equity awards, the Compensation Committee uses the named executive officers’ current level of compensation as the starting point. Wynn Resorts’ compensation decisions consider the scope and complexity of the functions executives oversee, the contribution of those functions to Wynn Resorts’ overall performance, their experience and capabilities, and individual performance, taking into consideration the compensation practices of Wynn Resorts’ peers in order to obtain a general understanding of competitive compensation practices. In addition, wealth accumulation is considered when making equity grants to increase the alignment between the interest of Wynn Resorts’ senior executives and those of Wynn Resorts’ stockholders.</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Compensation Committee reviews total compensation annually, along with the value from past equity awards, to assess the need for change to current compensation. While cash bonuses and annual cash incentive compensation awards are considered annually on the basis of Wynn Resorts’ and individual performance, reviews of base salary and equity incentives are conducted only on a periodic basis or in recognition of notable contributions to value creation for Wynn Resorts’ stockholders. The Compensation Committee retains the discretion to adjust actual bonus amounts paid based on a variety of factors, including corporate, property level and individual performance, as well as general macroeconomic conditions.</w:t>
      </w:r>
    </w:p>
    <w:p>
      <w:pPr>
        <w:spacing w:after="0" w:line="11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Compensation Committee believes that the companies in its peer group are those companies with which Wynn Resorts competes for talent and stockholder investment. Please refer to the discussion below under “Peer Group” for a more detailed discussion of our use of peer group data.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Advisory Resolution Approving Our Executive Compensation</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At the May 17, 2011, Annual Meeting of Stockholders, our advisory resolution on executive compensation was approved by the stockholders. Although this approval was non-binding, the Board of Directors of Wynn Resorts and the Compensation Committee considered the voting results in evaluating our executive compensation program for the current year. The Board of Directors of Wynn Resorts and the Compensation Committee also consider the other factors discussed in this Compensation Discussion and Analysis. Following such consideration, the Board of Directors of Wynn Resorts determined not to make any changes to our compensation program based on the advisory resolution voting result. In addition, at that same meeting, approximately 71% of the votes cast regarding the frequency proposal voted in favor of holding future advisory votes on executive compensation every three years. The Board of Directors of Wynn Resorts has determined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follow this decision by stockholders. Accordingly, the next advisory resolution on executive compensation will be voted on by stockholders at the 2014 Annual Meeting of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Wynn Resorts does not use a specific formula or weighting for allocating among the elements of its total compensation program including base salary, cash bonus awards, and long term compensation. Instead it offers what the Compensation Committee views to be effective for attracting and retaining key leaders while motivating management to maximize long term value of Wynn Resorts for its stockholders.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deemed necessary due to competitive reasons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to reflect sustained performance, capabilities, experience and changes in responsibility or other extraordinary circumstances. Companies in the gaming business typically have total compensation packages that may be higher than many of their non-gaming counterparts due to certain regulatory and other extraordinary demands. Wynn Resorts’ rapid expansion in the last six years and its operations in widely separated geographic locations has required that named executive officers provide extraordinary levels of financial, development and operating expertise. These efforts have resulted in industry-leading product and impressive financial performance, including returns to stockholders exceeding industry averages. Thus, in fulfilling Wynn Resorts’ goal of attracting and retaining high-quality and experienced executives, Wynn Resorts has paid base salary levels for its named executive officers that may exceed the peer group median. Prior to an increase in 2011, Mr. Wynn’s base salary had not been increased since 2008, other than restoring a 15% reduction that was applied to certain corporate executives in 2009 and 2010. Base salary increases for 2011 are indicated in the following table: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Executive</w:t>
            </w:r>
          </w:p>
        </w:tc>
        <w:tc>
          <w:tcPr>
            <w:tcW w:w="5460" w:type="dxa"/>
            <w:vAlign w:val="bottom"/>
          </w:tcPr>
          <w:p>
            <w:pPr>
              <w:spacing w:after="0"/>
              <w:rPr>
                <w:sz w:val="14"/>
                <w:szCs w:val="1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2011 Salary</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2010 Salary</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20"/>
        </w:trPr>
        <w:tc>
          <w:tcPr>
            <w:tcW w:w="6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4,000,000</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3,250,000</w:t>
            </w:r>
          </w:p>
        </w:tc>
        <w:tc>
          <w:tcPr>
            <w:tcW w:w="64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6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2,000,000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2,000,000</w:t>
            </w:r>
          </w:p>
        </w:tc>
        <w:tc>
          <w:tcPr>
            <w:tcW w:w="6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1,500,000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1,500,000</w:t>
            </w:r>
          </w:p>
        </w:tc>
        <w:tc>
          <w:tcPr>
            <w:tcW w:w="6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6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Annual Incentives. </w:t>
      </w:r>
      <w:r>
        <w:rPr>
          <w:rFonts w:ascii="Arial" w:cs="Arial" w:eastAsia="Arial" w:hAnsi="Arial"/>
          <w:sz w:val="16"/>
          <w:szCs w:val="16"/>
          <w:color w:val="auto"/>
        </w:rPr>
        <w:t>Wynn Resorts’ named executive officers participate in the Wynn Resorts Annual Performance-Based Incentive Plan for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(the “Incentive Plan”). Within 90 days after the commencement of the year, the Compensation Committee identifies the executive officers who will participate in the Incentive Plan for that year and establishes the annual performance criteria. The Incentive Plan provides that the maximum annual incentive is 250% of base salary for Mr. Wynn and 200% of base salary for the other named executive officer participants.</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For 2011, the Compensation Committee selected adjusted property EBITDA on a consolidated basis as the appropriate criterion and, in the course of such determination, concluded that the achievement of the performance criterion was substantially uncertain. Adjusted property EBITDA is a non-GAAP measure calculated at the segment level and reported in the footnotes to Wynn Resorts’ audited consolidated financial statements. This criterion is a reflection on the operating performance of Wynn Resorts’ assets and directly influences return to stockholders. In addition, management and stockholders use adjusted property EBITDA to value Wynn Resorts and its assets. Given the challenging economic environment an adjusted property EBITDA target of $1 billion on a consolidated basis was established for maximum Plan funding. Actual performance of $1.6 billion significantly exceeded the target and all participants were awarded the maximum incentive allowed under the Incentive Plan. While the Compensation Committee has the discretion to reduce individual awards from this maximum level based on other company and individual performance and any other considerations it may deem appropriate, it did not exercise that discretion with respect to 2011 owing to the outstanding Wynn Resorts’ EBITDA results.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the Compensation Committee approved the $2 million discretionary bonus paid to Mr. Wynn outside the Incentive Plan, which was awarded by the Wynn Macau, Limited Board of Directors for his contribution to the extraordinary performance of Wynn Macau for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Long-term Incentives. </w:t>
      </w:r>
      <w:r>
        <w:rPr>
          <w:rFonts w:ascii="Arial" w:cs="Arial" w:eastAsia="Arial" w:hAnsi="Arial"/>
          <w:sz w:val="16"/>
          <w:szCs w:val="16"/>
          <w:color w:val="auto"/>
        </w:rPr>
        <w:t>Wynn Resorts makes only periodic (not annual) equity grants to executives, with the last grant in 2009.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uses grants under the 2002 Stock Plan to attract qualified individuals to work for Wynn Resorts and align executives with the perspective of stockholders, and makes additional grants periodically to existing officers to reward extraordinary performance and encourage retention with Wynn Resorts. Periodic grants to named executive officers are typically made with long term vesting dates to assure retention of talent deemed important to Wynn Resorts’ continued prosperity. From time to time, Wynn Resorts also has granted long-term cash retention awards to reward extraordinary performance and encourage retention. The underlying philosophy behind this approach is to retain senior management for the long term, thereby building a talent base to drive sustained company performance and growth. As in 2010, the Compensation Committee determined not to make any grants during 2011 to the named executive officers in light of significant grants awarded to Wynn Resorts’ most senior officers in 2009.</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Mr. Wynn, the founder, Chairman and Chief Executive Officer of Wynn Resorts who owns 10% of Wynn Resorts’ outstanding stock, has not participated in Wynn Resorts’ equity incentive plans. This differs from the chief executive officer compensation at most of the companies included in the peer group.</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July 2011, Ms. Chen was granted a $10 million cash retention award which vests in full on July 27, 2021, subject to certain provisions. This retention award was awarded to Ms. Chen for her current and expected future contributions to the success of Wynn Resorts and to provide an incentive to her to remain an employee of Wynn Resorts. If Ms. Chen’s employment is terminated without “Cause” (as such term is defined in the Agreement) prior to the vesting date by Wynn Resorts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is forfeited in full and no compensation is paid under the award.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believes that it is appropriate to offer competitive cash and equity compensation packages to executive officers in order to attract and retain top executive talent. The compensation peer group allows the Compensation Committee to monitor the compensation practices of our primary competitors for executive talent, although the Compensation Committee also takes into account the gaming industry’s extensive regulatory requirements and other demands. However, the Compensation Committee does not utilize this information to target any specific pay percentile for Wynn Resorts’ executive officers. Instead, the Compensation Committee uses this information as a general overview of market practices and to ensure that it makes informed decisions on executive pay packages in the interest of attracting and retaining highly-qualified executive talent.</w:t>
      </w:r>
    </w:p>
    <w:p>
      <w:pPr>
        <w:spacing w:after="0" w:line="12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To help evaluate overall 2011 compensation, the Compensation Committee reviewed the peer group established in 2010 to confirm it remained appropriate in light of the growth in Wynn Resorts’ market capitalization and revenues and the competitive market for key executive talent.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2011 Executive Compensation Peer Group</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Gaming &amp; Resorts</w:t>
            </w:r>
          </w:p>
        </w:tc>
        <w:tc>
          <w:tcPr>
            <w:tcW w:w="3460" w:type="dxa"/>
            <w:vAlign w:val="bottom"/>
            <w:gridSpan w:val="2"/>
          </w:tcPr>
          <w:p>
            <w:pPr>
              <w:ind w:left="740"/>
              <w:spacing w:after="0"/>
              <w:rPr>
                <w:sz w:val="20"/>
                <w:szCs w:val="20"/>
                <w:color w:val="auto"/>
              </w:rPr>
            </w:pPr>
            <w:r>
              <w:rPr>
                <w:rFonts w:ascii="Arial" w:cs="Arial" w:eastAsia="Arial" w:hAnsi="Arial"/>
                <w:sz w:val="14"/>
                <w:szCs w:val="14"/>
                <w:b w:val="1"/>
                <w:bCs w:val="1"/>
                <w:color w:val="auto"/>
              </w:rPr>
              <w:t>Travel, Hospitality &amp; Resorts</w:t>
            </w:r>
          </w:p>
        </w:tc>
        <w:tc>
          <w:tcPr>
            <w:tcW w:w="3040" w:type="dxa"/>
            <w:vAlign w:val="bottom"/>
          </w:tcPr>
          <w:p>
            <w:pPr>
              <w:ind w:left="1000"/>
              <w:spacing w:after="0"/>
              <w:rPr>
                <w:sz w:val="20"/>
                <w:szCs w:val="20"/>
                <w:color w:val="auto"/>
              </w:rPr>
            </w:pPr>
            <w:r>
              <w:rPr>
                <w:rFonts w:ascii="Arial" w:cs="Arial" w:eastAsia="Arial" w:hAnsi="Arial"/>
                <w:sz w:val="14"/>
                <w:szCs w:val="14"/>
                <w:b w:val="1"/>
                <w:bCs w:val="1"/>
                <w:color w:val="auto"/>
              </w:rPr>
              <w:t>Lifestyle Products</w:t>
            </w:r>
          </w:p>
        </w:tc>
      </w:tr>
      <w:tr>
        <w:trPr>
          <w:trHeight w:val="196"/>
        </w:trPr>
        <w:tc>
          <w:tcPr>
            <w:tcW w:w="20" w:type="dxa"/>
            <w:vAlign w:val="bottom"/>
          </w:tcPr>
          <w:p>
            <w:pPr>
              <w:spacing w:after="0"/>
              <w:rPr>
                <w:sz w:val="17"/>
                <w:szCs w:val="17"/>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Las Vegas Sands Corp.</w:t>
            </w:r>
          </w:p>
        </w:tc>
        <w:tc>
          <w:tcPr>
            <w:tcW w:w="320" w:type="dxa"/>
            <w:vAlign w:val="bottom"/>
          </w:tcPr>
          <w:p>
            <w:pPr>
              <w:spacing w:after="0"/>
              <w:rPr>
                <w:sz w:val="17"/>
                <w:szCs w:val="17"/>
                <w:color w:val="auto"/>
              </w:rPr>
            </w:pPr>
          </w:p>
        </w:tc>
        <w:tc>
          <w:tcPr>
            <w:tcW w:w="3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Carnival plc</w:t>
            </w:r>
          </w:p>
        </w:tc>
        <w:tc>
          <w:tcPr>
            <w:tcW w:w="300" w:type="dxa"/>
            <w:vAlign w:val="bottom"/>
          </w:tcPr>
          <w:p>
            <w:pPr>
              <w:spacing w:after="0"/>
              <w:rPr>
                <w:sz w:val="17"/>
                <w:szCs w:val="17"/>
                <w:color w:val="auto"/>
              </w:rPr>
            </w:pPr>
          </w:p>
        </w:tc>
        <w:tc>
          <w:tcPr>
            <w:tcW w:w="3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Estee Lauder Companies</w:t>
            </w: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MGM Resorts International</w:t>
            </w: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Hyatt Hotels Corporation</w:t>
            </w:r>
          </w:p>
        </w:tc>
        <w:tc>
          <w:tcPr>
            <w:tcW w:w="3040" w:type="dxa"/>
            <w:vAlign w:val="bottom"/>
          </w:tcPr>
          <w:p>
            <w:pPr>
              <w:spacing w:after="0"/>
              <w:rPr>
                <w:sz w:val="20"/>
                <w:szCs w:val="20"/>
                <w:color w:val="auto"/>
              </w:rPr>
            </w:pPr>
            <w:r>
              <w:rPr>
                <w:rFonts w:ascii="Arial" w:cs="Arial" w:eastAsia="Arial" w:hAnsi="Arial"/>
                <w:sz w:val="18"/>
                <w:szCs w:val="18"/>
                <w:b w:val="1"/>
                <w:bCs w:val="1"/>
                <w:color w:val="auto"/>
              </w:rPr>
              <w:t>Ralph Lauren Corporation</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Marriott International</w:t>
            </w:r>
          </w:p>
        </w:tc>
        <w:tc>
          <w:tcPr>
            <w:tcW w:w="3040" w:type="dxa"/>
            <w:vAlign w:val="bottom"/>
          </w:tcPr>
          <w:p>
            <w:pPr>
              <w:spacing w:after="0"/>
              <w:rPr>
                <w:sz w:val="20"/>
                <w:szCs w:val="20"/>
                <w:color w:val="auto"/>
              </w:rPr>
            </w:pPr>
            <w:r>
              <w:rPr>
                <w:rFonts w:ascii="Arial" w:cs="Arial" w:eastAsia="Arial" w:hAnsi="Arial"/>
                <w:sz w:val="18"/>
                <w:szCs w:val="18"/>
                <w:b w:val="1"/>
                <w:bCs w:val="1"/>
                <w:color w:val="auto"/>
              </w:rPr>
              <w:t>Starbucks Corporation</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priceline.com</w:t>
            </w:r>
          </w:p>
        </w:tc>
        <w:tc>
          <w:tcPr>
            <w:tcW w:w="3040" w:type="dxa"/>
            <w:vAlign w:val="bottom"/>
          </w:tcPr>
          <w:p>
            <w:pPr>
              <w:spacing w:after="0"/>
              <w:rPr>
                <w:sz w:val="20"/>
                <w:szCs w:val="20"/>
                <w:color w:val="auto"/>
              </w:rPr>
            </w:pPr>
            <w:r>
              <w:rPr>
                <w:rFonts w:ascii="Arial" w:cs="Arial" w:eastAsia="Arial" w:hAnsi="Arial"/>
                <w:sz w:val="18"/>
                <w:szCs w:val="18"/>
                <w:b w:val="1"/>
                <w:bCs w:val="1"/>
                <w:color w:val="auto"/>
              </w:rPr>
              <w:t>Tiffany &amp; Co.</w:t>
            </w:r>
          </w:p>
        </w:tc>
      </w:tr>
      <w:tr>
        <w:trPr>
          <w:trHeight w:val="228"/>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Starwood Hotels &amp; Resorts</w:t>
            </w:r>
          </w:p>
        </w:tc>
        <w:tc>
          <w:tcPr>
            <w:tcW w:w="304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Pr>
          <w:p>
            <w:pPr>
              <w:ind w:left="116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11 companies in the peer group generally had 2011 revenue, market capitalization and total enterprise value (as of December 31, 2011) in a relevant range around those of Wynn Resorts as set forth below (amounts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Market</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Enterprise</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8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Value</w:t>
            </w:r>
          </w:p>
        </w:tc>
        <w:tc>
          <w:tcPr>
            <w:tcW w:w="74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5"/>
                <w:szCs w:val="15"/>
                <w:color w:val="auto"/>
              </w:rPr>
            </w:pPr>
          </w:p>
        </w:tc>
        <w:tc>
          <w:tcPr>
            <w:tcW w:w="3900" w:type="dxa"/>
            <w:vAlign w:val="bottom"/>
            <w:gridSpan w:val="2"/>
          </w:tcPr>
          <w:p>
            <w:pPr>
              <w:ind w:left="1440"/>
              <w:spacing w:after="0"/>
              <w:rPr>
                <w:sz w:val="20"/>
                <w:szCs w:val="20"/>
                <w:color w:val="auto"/>
              </w:rPr>
            </w:pPr>
            <w:r>
              <w:rPr>
                <w:rFonts w:ascii="Arial" w:cs="Arial" w:eastAsia="Arial" w:hAnsi="Arial"/>
                <w:sz w:val="14"/>
                <w:szCs w:val="14"/>
                <w:b w:val="1"/>
                <w:bCs w:val="1"/>
                <w:color w:val="auto"/>
              </w:rPr>
              <w:t>Company</w:t>
            </w:r>
          </w:p>
        </w:tc>
        <w:tc>
          <w:tcPr>
            <w:tcW w:w="3140" w:type="dxa"/>
            <w:vAlign w:val="bottom"/>
          </w:tcPr>
          <w:p>
            <w:pPr>
              <w:ind w:left="1060"/>
              <w:spacing w:after="0"/>
              <w:rPr>
                <w:sz w:val="20"/>
                <w:szCs w:val="20"/>
                <w:color w:val="auto"/>
              </w:rPr>
            </w:pPr>
            <w:r>
              <w:rPr>
                <w:rFonts w:ascii="Arial" w:cs="Arial" w:eastAsia="Arial" w:hAnsi="Arial"/>
                <w:sz w:val="14"/>
                <w:szCs w:val="14"/>
                <w:b w:val="1"/>
                <w:bCs w:val="1"/>
                <w:color w:val="auto"/>
              </w:rPr>
              <w:t>Business Segment</w:t>
            </w:r>
          </w:p>
        </w:tc>
      </w:tr>
      <w:tr>
        <w:trPr>
          <w:trHeight w:val="203"/>
        </w:trPr>
        <w:tc>
          <w:tcPr>
            <w:tcW w:w="1200" w:type="dxa"/>
            <w:vAlign w:val="bottom"/>
            <w:tcBorders>
              <w:top w:val="single" w:sz="8" w:color="CCEEFF"/>
            </w:tcBorders>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5"/>
              </w:rPr>
              <w:t>$34,296</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$ 33,276</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$12,186</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Starbucks Corporation</w:t>
            </w:r>
          </w:p>
        </w:tc>
        <w:tc>
          <w:tcPr>
            <w:tcW w:w="46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Lifestyle Products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30,231</w:t>
            </w:r>
          </w:p>
        </w:tc>
        <w:tc>
          <w:tcPr>
            <w:tcW w:w="640" w:type="dxa"/>
            <w:vAlign w:val="bottom"/>
          </w:tcPr>
          <w:p>
            <w:pPr>
              <w:jc w:val="right"/>
              <w:spacing w:after="0"/>
              <w:rPr>
                <w:sz w:val="20"/>
                <w:szCs w:val="20"/>
                <w:color w:val="auto"/>
              </w:rPr>
            </w:pPr>
            <w:r>
              <w:rPr>
                <w:rFonts w:ascii="Arial" w:cs="Arial" w:eastAsia="Arial" w:hAnsi="Arial"/>
                <w:sz w:val="18"/>
                <w:szCs w:val="18"/>
                <w:color w:val="auto"/>
              </w:rPr>
              <w:t>36,361</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9,411</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Las Vegas Sands Corp.</w:t>
            </w:r>
          </w:p>
        </w:tc>
        <w:tc>
          <w:tcPr>
            <w:tcW w:w="3140" w:type="dxa"/>
            <w:vAlign w:val="bottom"/>
          </w:tcPr>
          <w:p>
            <w:pPr>
              <w:spacing w:after="0"/>
              <w:rPr>
                <w:sz w:val="20"/>
                <w:szCs w:val="20"/>
                <w:color w:val="auto"/>
              </w:rPr>
            </w:pPr>
            <w:r>
              <w:rPr>
                <w:rFonts w:ascii="Arial" w:cs="Arial" w:eastAsia="Arial" w:hAnsi="Arial"/>
                <w:sz w:val="18"/>
                <w:szCs w:val="18"/>
                <w:color w:val="auto"/>
              </w:rPr>
              <w:t>Gaming &amp; Resorts</w:t>
            </w:r>
          </w:p>
        </w:tc>
      </w:tr>
      <w:tr>
        <w:trPr>
          <w:trHeight w:val="216"/>
        </w:trPr>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25,671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28,665</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7,160</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Carnival plc</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Cruise &amp; Resorts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23,284</w:t>
            </w:r>
          </w:p>
        </w:tc>
        <w:tc>
          <w:tcPr>
            <w:tcW w:w="640" w:type="dxa"/>
            <w:vAlign w:val="bottom"/>
          </w:tcPr>
          <w:p>
            <w:pPr>
              <w:jc w:val="right"/>
              <w:spacing w:after="0"/>
              <w:rPr>
                <w:sz w:val="20"/>
                <w:szCs w:val="20"/>
                <w:color w:val="auto"/>
              </w:rPr>
            </w:pPr>
            <w:r>
              <w:rPr>
                <w:rFonts w:ascii="Arial" w:cs="Arial" w:eastAsia="Arial" w:hAnsi="Arial"/>
                <w:sz w:val="18"/>
                <w:szCs w:val="18"/>
                <w:color w:val="auto"/>
              </w:rPr>
              <w:t>23,149</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4,356</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priceline.com</w:t>
            </w:r>
          </w:p>
        </w:tc>
        <w:tc>
          <w:tcPr>
            <w:tcW w:w="3140" w:type="dxa"/>
            <w:vAlign w:val="bottom"/>
          </w:tcPr>
          <w:p>
            <w:pPr>
              <w:spacing w:after="0"/>
              <w:rPr>
                <w:sz w:val="20"/>
                <w:szCs w:val="20"/>
                <w:color w:val="auto"/>
              </w:rPr>
            </w:pPr>
            <w:r>
              <w:rPr>
                <w:rFonts w:ascii="Arial" w:cs="Arial" w:eastAsia="Arial" w:hAnsi="Arial"/>
                <w:sz w:val="18"/>
                <w:szCs w:val="18"/>
                <w:color w:val="auto"/>
              </w:rPr>
              <w:t>Travel</w:t>
            </w:r>
          </w:p>
        </w:tc>
      </w:tr>
      <w:tr>
        <w:trPr>
          <w:trHeight w:val="216"/>
        </w:trPr>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21,630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21,844</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9,443</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Estee Lauder Companies</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13,820</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15,775</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5,270</w:t>
            </w:r>
          </w:p>
        </w:tc>
        <w:tc>
          <w:tcPr>
            <w:tcW w:w="4100" w:type="dxa"/>
            <w:vAlign w:val="bottom"/>
            <w:gridSpan w:val="3"/>
          </w:tcPr>
          <w:p>
            <w:pPr>
              <w:ind w:left="200"/>
              <w:spacing w:after="0"/>
              <w:rPr>
                <w:sz w:val="20"/>
                <w:szCs w:val="20"/>
                <w:color w:val="auto"/>
              </w:rPr>
            </w:pPr>
            <w:r>
              <w:rPr>
                <w:rFonts w:ascii="Arial" w:cs="Arial" w:eastAsia="Arial" w:hAnsi="Arial"/>
                <w:sz w:val="18"/>
                <w:szCs w:val="18"/>
                <w:b w:val="1"/>
                <w:bCs w:val="1"/>
                <w:color w:val="auto"/>
              </w:rPr>
              <w:t>Wynn Resorts Ltd.</w:t>
            </w:r>
          </w:p>
        </w:tc>
        <w:tc>
          <w:tcPr>
            <w:tcW w:w="3140" w:type="dxa"/>
            <w:vAlign w:val="bottom"/>
          </w:tcPr>
          <w:p>
            <w:pPr>
              <w:spacing w:after="0"/>
              <w:rPr>
                <w:sz w:val="20"/>
                <w:szCs w:val="20"/>
                <w:color w:val="auto"/>
              </w:rPr>
            </w:pPr>
            <w:r>
              <w:rPr>
                <w:rFonts w:ascii="Arial" w:cs="Arial" w:eastAsia="Arial" w:hAnsi="Arial"/>
                <w:sz w:val="18"/>
                <w:szCs w:val="18"/>
                <w:b w:val="1"/>
                <w:bCs w:val="1"/>
                <w:color w:val="auto"/>
              </w:rPr>
              <w:t>Gaming &amp; Resorts</w:t>
            </w:r>
          </w:p>
        </w:tc>
      </w:tr>
      <w:tr>
        <w:trPr>
          <w:trHeight w:val="216"/>
        </w:trPr>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12,721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12,171</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6,664</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Ralph Lauren Corporation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9,776</w:t>
            </w:r>
          </w:p>
        </w:tc>
        <w:tc>
          <w:tcPr>
            <w:tcW w:w="640" w:type="dxa"/>
            <w:vAlign w:val="bottom"/>
          </w:tcPr>
          <w:p>
            <w:pPr>
              <w:jc w:val="right"/>
              <w:spacing w:after="0"/>
              <w:rPr>
                <w:sz w:val="20"/>
                <w:szCs w:val="20"/>
                <w:color w:val="auto"/>
              </w:rPr>
            </w:pPr>
            <w:r>
              <w:rPr>
                <w:rFonts w:ascii="Arial" w:cs="Arial" w:eastAsia="Arial" w:hAnsi="Arial"/>
                <w:sz w:val="18"/>
                <w:szCs w:val="18"/>
                <w:color w:val="auto"/>
              </w:rPr>
              <w:t>11,845</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12,317</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Marriott International</w:t>
            </w:r>
          </w:p>
        </w:tc>
        <w:tc>
          <w:tcPr>
            <w:tcW w:w="3140" w:type="dxa"/>
            <w:vAlign w:val="bottom"/>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5,624</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Starwood Hotels &amp; Resorts</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8,412</w:t>
            </w:r>
          </w:p>
        </w:tc>
        <w:tc>
          <w:tcPr>
            <w:tcW w:w="640" w:type="dxa"/>
            <w:vAlign w:val="bottom"/>
          </w:tcPr>
          <w:p>
            <w:pPr>
              <w:jc w:val="right"/>
              <w:spacing w:after="0"/>
              <w:rPr>
                <w:sz w:val="20"/>
                <w:szCs w:val="20"/>
                <w:color w:val="auto"/>
              </w:rPr>
            </w:pPr>
            <w:r>
              <w:rPr>
                <w:rFonts w:ascii="Arial" w:cs="Arial" w:eastAsia="Arial" w:hAnsi="Arial"/>
                <w:sz w:val="18"/>
                <w:szCs w:val="18"/>
                <w:color w:val="auto"/>
              </w:rPr>
              <w:t>8,682</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3,643</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Tiffany &amp; Co.</w:t>
            </w:r>
          </w:p>
        </w:tc>
        <w:tc>
          <w:tcPr>
            <w:tcW w:w="3140" w:type="dxa"/>
            <w:vAlign w:val="bottom"/>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6,217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3,698</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Hyatt Hotels Corporation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5,099</w:t>
            </w:r>
          </w:p>
        </w:tc>
        <w:tc>
          <w:tcPr>
            <w:tcW w:w="640" w:type="dxa"/>
            <w:vAlign w:val="bottom"/>
          </w:tcPr>
          <w:p>
            <w:pPr>
              <w:jc w:val="right"/>
              <w:spacing w:after="0"/>
              <w:rPr>
                <w:sz w:val="20"/>
                <w:szCs w:val="20"/>
                <w:color w:val="auto"/>
              </w:rPr>
            </w:pPr>
            <w:r>
              <w:rPr>
                <w:rFonts w:ascii="Arial" w:cs="Arial" w:eastAsia="Arial" w:hAnsi="Arial"/>
                <w:sz w:val="18"/>
                <w:szCs w:val="18"/>
                <w:color w:val="auto"/>
              </w:rPr>
              <w:t>16,705</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7,849</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MGM Resorts International</w:t>
            </w:r>
          </w:p>
        </w:tc>
        <w:tc>
          <w:tcPr>
            <w:tcW w:w="3140" w:type="dxa"/>
            <w:vAlign w:val="bottom"/>
          </w:tcPr>
          <w:p>
            <w:pPr>
              <w:spacing w:after="0"/>
              <w:rPr>
                <w:sz w:val="20"/>
                <w:szCs w:val="20"/>
                <w:color w:val="auto"/>
              </w:rPr>
            </w:pPr>
            <w:r>
              <w:rPr>
                <w:rFonts w:ascii="Arial" w:cs="Arial" w:eastAsia="Arial" w:hAnsi="Arial"/>
                <w:sz w:val="18"/>
                <w:szCs w:val="18"/>
                <w:color w:val="auto"/>
              </w:rPr>
              <w:t>Gaming &amp; Resorts</w:t>
            </w:r>
          </w:p>
        </w:tc>
      </w:tr>
      <w:tr>
        <w:trPr>
          <w:trHeight w:val="216"/>
        </w:trPr>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i w:val="1"/>
                <w:iCs w:val="1"/>
                <w:color w:val="auto"/>
              </w:rPr>
              <w:t>51%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i w:val="1"/>
                <w:iCs w:val="1"/>
                <w:color w:val="auto"/>
              </w:rPr>
              <w:t>48%</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i w:val="1"/>
                <w:iCs w:val="1"/>
                <w:color w:val="auto"/>
              </w:rPr>
              <w:t>27%</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Wynn Resorts Percentile Rank</w:t>
            </w:r>
          </w:p>
        </w:tc>
        <w:tc>
          <w:tcPr>
            <w:tcW w:w="31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 data source: Standard &amp; Poors Capital IQ.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162(m) of the Internal Revenue Code of 1986, as amended (the “Code”) prevents publicly traded companies from receiving a tax deduction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certain compensation paid to the chief executive officer and three other highest-paid executive officers (other than the chief financial officer)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$1,000,000 in any taxable year, unless the compensation qualifies as “performance-based.” Wynn Resorts’ policy with respect to qualifying compensation paid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executive officers for tax deductibility purposes is that executive compensation plans will be designed and implemented to maximize tax deductibility when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the overall objectives of the compensation program. However, the Compensation Committee may elect to provide non-deductible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when it determines that to be advisable to achieve its compensation objectives of attracting or retaining key executives, or where achieving maximum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deductibility would be considered disadvantageous to the best interests of Wynn Resorts. Salaries over $1,000,000, perquisites, restricted stock grants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discretionary bonuses do not qualify as performance-based compensation under Section 162(m).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Resorts typically enters into employment agreements with its executives to advance its objectives of providing for a long-term commitment by and relationship with talented and experienced executives. Consistent with the extended vesting terms in equity awards, the terms and conditions of these agreements are described in the chart following the 2011 Summary Compensation table.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employment agreements for the named executive officers specify their base salary, provide for a discretionary bonus opportunity and provide that if the executive’s employment terminates for death, disability, good reason or without cause, (including after a change in control) the executive will receive a multiple (ranging from one to, in the case of Mr. Wynn, three times) of the sum of the executive’s salary and imputed bonus that would be payable during the remaining term of the contract, but not less than one year, except that Mr. Wynn’s and Ms. Chen’s payments are limited to 4 years’ salary and bonus in certain circumstances. The employment agreements and the terms of equity awards also provide that vesting of some or all of an executive’s equity awards will accelerate upon such event. If termination occurs after a change in control, the employment agreements also provide for a tax gross-up. The Compensation Committee has determined that these arrangements are appropriate compensation to its senior management and are necessary to retain talent in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highly competitive industry. Additional information regarding payments under these provisions is provided under the heading “Potential Payments Made Upon Termination or a Change of Control.”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to base salary, annual incentive compensation and long term equity incentives, Wynn Resorts also provides certain of its named executive officers with executive benefits. The primary executive benefits include certain health insurance coverage, life insurance premiums, discounts and complimentary privileges with respect to Wynn Resorts’ resorts which are described in the footnotes to the “2011 Summary Compensation Table.” In addition, Messrs. Wynn and Schorr have access to Wynn Resorts’ aircraft pursuant to time sharing agreements described in “Certain Relationships and Related Transactions—Aircraft Arrangements.” For security purposes, the Board of Directors requires Mr. Wynn to travel on Wynn Resorts’ aircraft for both personal and business travel, and Wynn Resorts provides cars and a driver (and security when necessary) for his personal use. Consistent with competitive practice in Macau, Ms. Chen receives a car and driver, certain housing and living expenses and assistance with tax preparation.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Mr. Wynn is employed by Wynn Resorts pursuant to an employment agreement dated October 4, 2002, which was last amended on February 24, 2011 solely to reflect the change in his salary and has a term expiring in 2020. Mr. Wynn, a holder of approximately 10.0% of Wynn Resorts’ common stock, has not received any equity awards as part of his compensation as Chief Executive Officer of Wynn Resorts. Effective February 24, 2011, Mr. Wynn receives a base salary of $4,000,000 per year, and participates in the Incentive Plan. Mr. Wynn is provided with company paid life insurance and disability policies. He also receives certain executive benefits described above.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SUMMARY COMPENSATION TABLE</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of Wynn Resorts for the fiscal years ended December 31, 2011, 2010 and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Non-Equity</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Incentive Plan</w:t>
            </w:r>
          </w:p>
        </w:tc>
        <w:tc>
          <w:tcPr>
            <w:tcW w:w="12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56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5"/>
              <w:spacing w:after="0" w:line="135" w:lineRule="exact"/>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Compensation</w:t>
            </w:r>
          </w:p>
        </w:tc>
        <w:tc>
          <w:tcPr>
            <w:tcW w:w="10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40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7"/>
              </w:rPr>
              <w:t>($)(1)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97"/>
              <w:spacing w:after="0" w:line="129" w:lineRule="exact"/>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Stephen A. Wynn</w:t>
            </w:r>
          </w:p>
        </w:tc>
        <w:tc>
          <w:tcPr>
            <w:tcW w:w="40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79"/>
              </w:rPr>
              <w:t>2011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3,878,846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2,000,000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9,062,500</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$ 1,533,361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16,474,707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Chairman and</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3,218,750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6,906,250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$ 1,540,779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14,615,779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Chief Executive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2,953,125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4,062,500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$ 1,370,206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8,385,831</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2,000,000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390,756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3,390,756</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Chief Financial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1,038,423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2,000,000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510,866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3,549,289</w:t>
            </w:r>
          </w:p>
        </w:tc>
        <w:tc>
          <w:tcPr>
            <w:tcW w:w="0" w:type="dxa"/>
            <w:vAlign w:val="bottom"/>
          </w:tcPr>
          <w:p>
            <w:pPr>
              <w:spacing w:after="0"/>
              <w:rPr>
                <w:sz w:val="1"/>
                <w:szCs w:val="1"/>
                <w:color w:val="auto"/>
              </w:rPr>
            </w:pPr>
          </w:p>
        </w:tc>
      </w:tr>
      <w:tr>
        <w:trPr>
          <w:trHeight w:val="216"/>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and Treasurer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779,988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5,650,000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8,348,244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248,067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15,026,299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4,000,000</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$ 2,117,573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8,117,573</w:t>
            </w:r>
          </w:p>
        </w:tc>
        <w:tc>
          <w:tcPr>
            <w:tcW w:w="0" w:type="dxa"/>
            <w:vAlign w:val="bottom"/>
          </w:tcPr>
          <w:p>
            <w:pPr>
              <w:spacing w:after="0"/>
              <w:rPr>
                <w:sz w:val="1"/>
                <w:szCs w:val="1"/>
                <w:color w:val="auto"/>
              </w:rPr>
            </w:pPr>
          </w:p>
        </w:tc>
      </w:tr>
      <w:tr>
        <w:trPr>
          <w:trHeight w:val="216"/>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Chief Operating Officer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1,838,462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3,400,000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$ 2,307,923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8,146,385</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1,817,308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13,913,740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$ 1,153,817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18,884,865</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3,000,000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$ 1,352,926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5,852,926</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President of Wynn</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1,417,308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2,000,000</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$ 1,788,762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6,206,070</w:t>
            </w:r>
          </w:p>
        </w:tc>
        <w:tc>
          <w:tcPr>
            <w:tcW w:w="0" w:type="dxa"/>
            <w:vAlign w:val="bottom"/>
          </w:tcPr>
          <w:p>
            <w:pPr>
              <w:spacing w:after="0"/>
              <w:rPr>
                <w:sz w:val="1"/>
                <w:szCs w:val="1"/>
                <w:color w:val="auto"/>
              </w:rPr>
            </w:pPr>
          </w:p>
        </w:tc>
      </w:tr>
      <w:tr>
        <w:trPr>
          <w:trHeight w:val="216"/>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International Marketing</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951,701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8,348,244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858,565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11,158,510</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2,137,076</w:t>
            </w:r>
          </w:p>
        </w:tc>
        <w:tc>
          <w:tcPr>
            <w:tcW w:w="0" w:type="dxa"/>
            <w:vAlign w:val="bottom"/>
          </w:tcPr>
          <w:p>
            <w:pPr>
              <w:spacing w:after="0"/>
              <w:rPr>
                <w:sz w:val="1"/>
                <w:szCs w:val="1"/>
                <w:color w:val="auto"/>
              </w:rPr>
            </w:pPr>
          </w:p>
        </w:tc>
      </w:tr>
      <w:tr>
        <w:trPr>
          <w:trHeight w:val="216"/>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General Counsel and</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595,940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1,105,000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426,500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2,127,440</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Secretary</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2,750,000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6,956,870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207,801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10,450,253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2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set forth in this column reflect the aggregate grant date fair value of stock option awards granted in the specified year, computed in accordance with accounting standards for stock based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80"/>
        <w:spacing w:after="0" w:line="253" w:lineRule="auto"/>
        <w:rPr>
          <w:sz w:val="20"/>
          <w:szCs w:val="20"/>
          <w:color w:val="auto"/>
        </w:rPr>
      </w:pPr>
      <w:r>
        <w:rPr>
          <w:rFonts w:ascii="Arial" w:cs="Arial" w:eastAsia="Arial" w:hAnsi="Arial"/>
          <w:sz w:val="18"/>
          <w:szCs w:val="18"/>
          <w:color w:val="auto"/>
        </w:rPr>
        <w:t>compensation. See Wynn Resorts’ Annual Report on Form 10-K for the year ended December 31, 2011, Note 14 to the Consolidated Financial Statements for assumptions used in computing fair value. The 2009 grants vest 10% per year beginning on the first anniversary of the grant until fully vested in May 2019.</w:t>
      </w:r>
    </w:p>
    <w:p>
      <w:pPr>
        <w:ind w:left="460" w:right="80" w:hanging="452"/>
        <w:spacing w:after="0" w:line="320"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For executives other than Mr. Wynn, amounts reported as “All Other Compensation” for 2011 consist primarily of accrued cash distributions related to unvested restricted stock. Dividends that are accrued on unvested restricted stock are reported as compensation pursuant to SEC rules because the value of the dividend was not previously reflected in the accounting expense for these awards when they were granted, as Wynn Resorts did not regularly pay dividends at that time. These dividend amounts are payable to the executive only if and to the extent the restricted stock vests and is not forfeited.</w:t>
      </w:r>
    </w:p>
    <w:p>
      <w:pPr>
        <w:spacing w:after="0" w:line="100"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 following amounts for 2011 are included in “All Other Compensation” for Mr. Wynn:</w:t>
      </w:r>
    </w:p>
    <w:p>
      <w:pPr>
        <w:spacing w:after="0" w:line="90" w:lineRule="exact"/>
        <w:rPr>
          <w:rFonts w:ascii="Arial" w:cs="Arial" w:eastAsia="Arial" w:hAnsi="Arial"/>
          <w:sz w:val="15"/>
          <w:szCs w:val="15"/>
          <w:color w:val="auto"/>
        </w:rPr>
      </w:pPr>
    </w:p>
    <w:p>
      <w:pPr>
        <w:ind w:left="900" w:right="26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personal use of company aircraft of $910,345 (Mr. Wynn receives no tax-gross ups relating to the value of aircraft usage that is imputed to him as compensation.);</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fair market value of a company-provided villa for 2011, under the Amended and Restated Agreement of Lease between Mr. Wynn and Wynn Las Vegas, LLC dated March 18, 2010, in the amount of $503,831;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compensation pursuant to the Wynn Resorts Executive Medical Plan of $14,054;</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executive life insurance premiums of $10,668;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9"/>
        </w:numPr>
        <w:rPr>
          <w:rFonts w:ascii="Arial" w:cs="Arial" w:eastAsia="Arial" w:hAnsi="Arial"/>
          <w:sz w:val="15"/>
          <w:szCs w:val="15"/>
          <w:color w:val="auto"/>
        </w:rPr>
      </w:pPr>
      <w:r>
        <w:rPr>
          <w:rFonts w:ascii="Arial" w:cs="Arial" w:eastAsia="Arial" w:hAnsi="Arial"/>
          <w:sz w:val="15"/>
          <w:szCs w:val="15"/>
          <w:color w:val="auto"/>
        </w:rPr>
        <w:t>allocated compensation and benefits for the personal use of a driver whom we employ for Mr. Wynn and the personal use of vehicles of $22,902;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merchandise discounts of $71,561.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2011 are included in “All Other Compensation” for Mr. Maddox:</w:t>
      </w:r>
    </w:p>
    <w:p>
      <w:pPr>
        <w:spacing w:after="0" w:line="9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executive life insurance premiums of $756;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accrued cash dividends related to unvested restricted stock of $390,000.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2011 are included in “All Other Compensation” for Mr. Schorr:</w:t>
      </w:r>
    </w:p>
    <w:p>
      <w:pPr>
        <w:spacing w:after="0" w:line="90" w:lineRule="exact"/>
        <w:rPr>
          <w:sz w:val="20"/>
          <w:szCs w:val="20"/>
          <w:color w:val="auto"/>
        </w:rPr>
      </w:pPr>
    </w:p>
    <w:p>
      <w:pPr>
        <w:ind w:left="900" w:right="20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personal use of company aircraft of $387,982 (Mr. Schorr receives no tax-gross ups relating to the value of aircraft usage that is imputed to him as compensation.);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life insurance premiums of $5,544;</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merchandise discounts of $99,047;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$1,625,000 of accrued cash dividends related to unvested restricted stock.</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6"/>
          <w:szCs w:val="16"/>
          <w:color w:val="auto"/>
        </w:rPr>
        <w:t>following amounts for 2011 are included in “All Other Compensation” for Ms. Chen:</w:t>
      </w:r>
    </w:p>
    <w:p>
      <w:pPr>
        <w:spacing w:after="0" w:line="90"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housing and other living expenses in Macau of $51,666;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executive life insurance premiums of $1,260;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accrued cash dividends on unvested restricted stock of $1,300,000.</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6"/>
          <w:szCs w:val="16"/>
          <w:color w:val="auto"/>
        </w:rPr>
        <w:t>following amounts for 2011 are included in “All Other Compensation” for Ms. Sinatra:</w:t>
      </w:r>
    </w:p>
    <w:p>
      <w:pPr>
        <w:spacing w:after="0" w:line="90"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life insurance premiums of $1,656;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accrued cash dividends on unvested restricted stock of $187,500.</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amounts shown as personal use of Wynn Resorts’ aircraft, incremental aircraft expenses were calculated by dividing the 2011 total direct (variable) flight expenses (consisting primarily of fuel, maintenance and landing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fees) by the total hours the aircraft was operated during the year. The executives’ hourly usage was multiplied by this annual hourly rate. Any reimbursement received from the executive was applied against this amount.</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Amounts shown as cash dividends accrued on unvested restricted stock are reported in the year such amounts accrue instead of the year paid, based on an SEC staff interpretation. These amounts are paid only if and when the restricted stock vests.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2011, each of the named executive officers received base salary in accordance with the terms of his or her employment agreement, as approved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4860" w:type="dxa"/>
            <w:vAlign w:val="bottom"/>
          </w:tcPr>
          <w:p>
            <w:pPr>
              <w:spacing w:after="0"/>
              <w:rPr>
                <w:sz w:val="14"/>
                <w:szCs w:val="14"/>
                <w:color w:val="auto"/>
              </w:rPr>
            </w:pPr>
          </w:p>
        </w:tc>
        <w:tc>
          <w:tcPr>
            <w:tcW w:w="740" w:type="dxa"/>
            <w:vAlign w:val="bottom"/>
          </w:tcPr>
          <w:p>
            <w:pPr>
              <w:jc w:val="right"/>
              <w:ind w:right="26"/>
              <w:spacing w:after="0"/>
              <w:rPr>
                <w:sz w:val="20"/>
                <w:szCs w:val="20"/>
                <w:color w:val="auto"/>
              </w:rPr>
            </w:pPr>
            <w:r>
              <w:rPr>
                <w:rFonts w:ascii="Arial" w:cs="Arial" w:eastAsia="Arial" w:hAnsi="Arial"/>
                <w:sz w:val="14"/>
                <w:szCs w:val="14"/>
                <w:b w:val="1"/>
                <w:bCs w:val="1"/>
                <w:color w:val="auto"/>
              </w:rPr>
              <w:t>Contract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4860" w:type="dxa"/>
            <w:vAlign w:val="bottom"/>
          </w:tcPr>
          <w:p>
            <w:pPr>
              <w:spacing w:after="0"/>
              <w:rPr>
                <w:sz w:val="14"/>
                <w:szCs w:val="14"/>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6"/>
              </w:rPr>
              <w:t>Expiration</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Wynn</w:t>
            </w:r>
          </w:p>
        </w:tc>
        <w:tc>
          <w:tcPr>
            <w:tcW w:w="48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10/24/20</w:t>
            </w: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11/30/13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2/24/20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July 2011, Ms. Chen was granted a $10 million retention award which vests in full on July 27, 2021, subject to certain provisions. This retention award was awarded to Ms. Chen for her current and expected future contributions to the success of Wynn Resorts and to provide an incentive to her to remain an employee of Wynn Resorts. If Ms. Chen’s employment is terminated without “Cause” (as such term is defined in the Agreement) prior to the vesting date by Wynn Resorts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shall be forfeited in full with no compensation paid under the award.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GRANTS OF PLAN-BASED AWARDS TABLE</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6220" w:type="dxa"/>
            <w:vAlign w:val="bottom"/>
            <w:gridSpan w:val="4"/>
          </w:tcPr>
          <w:p>
            <w:pPr>
              <w:ind w:left="4600"/>
              <w:spacing w:after="0"/>
              <w:rPr>
                <w:sz w:val="20"/>
                <w:szCs w:val="20"/>
                <w:color w:val="auto"/>
              </w:rPr>
            </w:pPr>
            <w:r>
              <w:rPr>
                <w:rFonts w:ascii="Arial" w:cs="Arial" w:eastAsia="Arial" w:hAnsi="Arial"/>
                <w:sz w:val="14"/>
                <w:szCs w:val="14"/>
                <w:b w:val="1"/>
                <w:bCs w:val="1"/>
                <w:color w:val="auto"/>
                <w:w w:val="92"/>
              </w:rPr>
              <w:t>Estimated Future Payouts</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Under Non-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 Incentive Plan</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2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4600" w:type="dxa"/>
            <w:vAlign w:val="bottom"/>
          </w:tcPr>
          <w:p>
            <w:pPr>
              <w:spacing w:after="0"/>
              <w:rPr>
                <w:sz w:val="11"/>
                <w:szCs w:val="11"/>
                <w:color w:val="auto"/>
              </w:rPr>
            </w:pPr>
          </w:p>
        </w:tc>
        <w:tc>
          <w:tcPr>
            <w:tcW w:w="15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Target/Maximum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5400" w:type="dxa"/>
            <w:vAlign w:val="bottom"/>
            <w:gridSpan w:val="2"/>
          </w:tcPr>
          <w:p>
            <w:pPr>
              <w:jc w:val="center"/>
              <w:ind w:left="5199"/>
              <w:spacing w:after="0" w:line="148" w:lineRule="exact"/>
              <w:rPr>
                <w:sz w:val="20"/>
                <w:szCs w:val="20"/>
                <w:color w:val="auto"/>
              </w:rPr>
            </w:pPr>
            <w:r>
              <w:rPr>
                <w:rFonts w:ascii="Arial" w:cs="Arial" w:eastAsia="Arial" w:hAnsi="Arial"/>
                <w:sz w:val="14"/>
                <w:szCs w:val="14"/>
                <w:b w:val="1"/>
                <w:bCs w:val="1"/>
                <w:color w:val="auto"/>
                <w:w w:val="96"/>
              </w:rPr>
              <w:t>($</w:t>
            </w:r>
          </w:p>
        </w:tc>
        <w:tc>
          <w:tcPr>
            <w:tcW w:w="720" w:type="dxa"/>
            <w:vAlign w:val="bottom"/>
          </w:tcPr>
          <w:p>
            <w:pPr>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Wynn</w:t>
            </w:r>
          </w:p>
        </w:tc>
        <w:tc>
          <w:tcPr>
            <w:tcW w:w="46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4"/>
              </w:rPr>
              <w:t>9,062,500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5400" w:type="dxa"/>
            <w:vAlign w:val="bottom"/>
            <w:gridSpan w:val="2"/>
          </w:tcPr>
          <w:p>
            <w:pPr>
              <w:ind w:left="4600"/>
              <w:spacing w:after="0"/>
              <w:rPr>
                <w:sz w:val="20"/>
                <w:szCs w:val="20"/>
                <w:color w:val="auto"/>
              </w:rPr>
            </w:pPr>
            <w:r>
              <w:rPr>
                <w:rFonts w:ascii="Arial" w:cs="Arial" w:eastAsia="Arial" w:hAnsi="Arial"/>
                <w:sz w:val="18"/>
                <w:szCs w:val="18"/>
                <w:color w:val="auto"/>
              </w:rPr>
              <w:t>$</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5400" w:type="dxa"/>
            <w:vAlign w:val="bottom"/>
            <w:gridSpan w:val="2"/>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5400" w:type="dxa"/>
            <w:vAlign w:val="bottom"/>
            <w:gridSpan w:val="2"/>
          </w:tcPr>
          <w:p>
            <w:pPr>
              <w:ind w:left="4600"/>
              <w:spacing w:after="0"/>
              <w:rPr>
                <w:sz w:val="20"/>
                <w:szCs w:val="20"/>
                <w:color w:val="auto"/>
              </w:rPr>
            </w:pPr>
            <w:r>
              <w:rPr>
                <w:rFonts w:ascii="Arial" w:cs="Arial" w:eastAsia="Arial" w:hAnsi="Arial"/>
                <w:sz w:val="18"/>
                <w:szCs w:val="18"/>
                <w:color w:val="auto"/>
              </w:rPr>
              <w:t>$</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3,000,000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5400" w:type="dxa"/>
            <w:vAlign w:val="bottom"/>
            <w:gridSpan w:val="2"/>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Plan Based Awards Table</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Wynn Resorts’ Incentive Plan rewards management for creation of superior return to stockholders, measured by the operating performance of Wynn Resorts’ resorts. The amounts shown in the table above reflect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possible payments based upon salaries in effect during the first quarter of 2011, when the performance criteria were established. Actual payouts were based upon achievement of the 2011 performance criteria of Adjusted Property EBITDA at Wynn Resorts’ Wynn Las Vegas and Wynn Macau resorts which resulted in the payment of maximum bonuses under the Incentive Plan to all named executive officers.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7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Number of</w:t>
            </w:r>
          </w:p>
        </w:tc>
        <w:tc>
          <w:tcPr>
            <w:tcW w:w="98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Securities</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Shares or</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Option</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That Have Not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Options</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9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Exercise</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20" w:type="dxa"/>
            <w:vAlign w:val="bottom"/>
            <w:vMerge w:val="restart"/>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Price</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2"/>
                <w:szCs w:val="12"/>
                <w:color w:val="auto"/>
              </w:rPr>
            </w:pPr>
          </w:p>
        </w:tc>
        <w:tc>
          <w:tcPr>
            <w:tcW w:w="8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20" w:type="dxa"/>
            <w:vAlign w:val="bottom"/>
            <w:vMerge w:val="continue"/>
          </w:tcPr>
          <w:p>
            <w:pPr>
              <w:spacing w:after="0"/>
              <w:rPr>
                <w:sz w:val="14"/>
                <w:szCs w:val="14"/>
                <w:color w:val="auto"/>
              </w:rPr>
            </w:pPr>
          </w:p>
        </w:tc>
        <w:tc>
          <w:tcPr>
            <w:tcW w:w="10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7"/>
              </w:rPr>
              <w:t>Exercisable</w:t>
            </w:r>
          </w:p>
        </w:tc>
        <w:tc>
          <w:tcPr>
            <w:tcW w:w="98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20"/>
              <w:spacing w:after="0" w:line="14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0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5"/>
              </w:rPr>
              <w:t>Date</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4"/>
              <w:spacing w:after="0" w:line="148" w:lineRule="exact"/>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A. Wynn</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3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w w:val="93"/>
              </w:rPr>
              <w:t>N/A</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Matt Maddox(1)</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175,000</w:t>
            </w:r>
          </w:p>
        </w:tc>
        <w:tc>
          <w:tcPr>
            <w:tcW w:w="160" w:type="dxa"/>
            <w:vAlign w:val="bottom"/>
          </w:tcPr>
          <w:p>
            <w:pPr>
              <w:spacing w:after="0"/>
              <w:rPr>
                <w:sz w:val="18"/>
                <w:szCs w:val="18"/>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8"/>
                <w:szCs w:val="18"/>
                <w:color w:val="auto"/>
              </w:rPr>
              <w:t>$ 107.95</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05/06/18</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6,629,400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47.12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05/06/19</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Marc D. Schorr(2)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47.12</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05/06/19</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250,000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$ 27,622,500</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Chen(3)</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$ 107.95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05/06/18</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$ 22,098,000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240,000</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47.12</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05/06/19</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$ 107.95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05/06/18</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2,762,250</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47.12</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05/06/19</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30,000 stock options will vest on May 6, 2012 and each anniversary thereafter until the 240,000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10,000 shares of restricted stock will vest on May 7, 2012 and 50,000 shares of restricted stock will vest on December 5,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50,000 stock options will vest on May 6, 2012 and each anniversary thereafter until the 400,000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250,000 shares of restricted stock will vest on December 5,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30,000 stock options will vest on May 6, 2012 and each anniversary thereafter until the 240,000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100,000 shares of restricted stock will vest on July 31, 2012 and 100,000 shares of restricted stock will vest on December 5,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Ms. Sinatra’s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75,000 stock options will vest on December 5, 2016;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25,000 stock options will vest on May 6, 2012 and each anniversary thereafter until the 200,000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5,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in this column are based upon the closing price of Wynn Resorts’ stock at year-end, which was $110.49 per share.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vesting is conditioned upon such named executive officer being an employee of Wynn Resorts on the vesting date, except as discussed below under “Potential Payments Upon Termination or Change in Control.”</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OPTION EXERCISES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700" w:type="dxa"/>
            <w:vAlign w:val="bottom"/>
            <w:gridSpan w:val="4"/>
          </w:tcPr>
          <w:p>
            <w:pPr>
              <w:ind w:left="620"/>
              <w:spacing w:after="0"/>
              <w:rPr>
                <w:sz w:val="20"/>
                <w:szCs w:val="20"/>
                <w:color w:val="auto"/>
              </w:rPr>
            </w:pPr>
            <w:r>
              <w:rPr>
                <w:rFonts w:ascii="Arial" w:cs="Arial" w:eastAsia="Arial" w:hAnsi="Arial"/>
                <w:sz w:val="14"/>
                <w:szCs w:val="14"/>
                <w:b w:val="1"/>
                <w:bCs w:val="1"/>
                <w:color w:val="auto"/>
              </w:rPr>
              <w:t>Option Awards</w:t>
            </w:r>
          </w:p>
        </w:tc>
        <w:tc>
          <w:tcPr>
            <w:tcW w:w="2200" w:type="dxa"/>
            <w:vAlign w:val="bottom"/>
            <w:gridSpan w:val="4"/>
          </w:tcPr>
          <w:p>
            <w:pPr>
              <w:ind w:lef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30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Shares</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Value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5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20" w:type="dxa"/>
            <w:vAlign w:val="bottom"/>
            <w:vMerge w:val="restart"/>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Exercise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Vesting</w:t>
            </w:r>
          </w:p>
        </w:tc>
        <w:tc>
          <w:tcPr>
            <w:tcW w:w="5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220" w:type="dxa"/>
            <w:vAlign w:val="bottom"/>
            <w:vMerge w:val="continue"/>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380" w:type="dxa"/>
            <w:vAlign w:val="bottom"/>
            <w:gridSpan w:val="2"/>
          </w:tcPr>
          <w:p>
            <w:pPr>
              <w:jc w:val="right"/>
              <w:ind w:right="241"/>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A. Wynn</w:t>
            </w:r>
          </w:p>
        </w:tc>
        <w:tc>
          <w:tcPr>
            <w:tcW w:w="720" w:type="dxa"/>
            <w:vAlign w:val="bottom"/>
            <w:tcBorders>
              <w:top w:val="single" w:sz="8" w:color="auto"/>
            </w:tcBorders>
            <w:shd w:val="clear" w:color="auto" w:fill="CCEEFF"/>
          </w:tcPr>
          <w:p>
            <w:pPr>
              <w:jc w:val="right"/>
              <w:ind w:right="23"/>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30,000</w:t>
            </w: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$2,823,900</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50,000</w:t>
            </w:r>
          </w:p>
        </w:tc>
        <w:tc>
          <w:tcPr>
            <w:tcW w:w="14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$4,894,145</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55,000</w:t>
            </w: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$3,333,500</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25,000</w:t>
            </w:r>
          </w:p>
        </w:tc>
        <w:tc>
          <w:tcPr>
            <w:tcW w:w="14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$2,350,250</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3"/>
              </w:rPr>
              <w:t>25,000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$3,855,250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amounts reported in the table above are based on the sales price of Wynn Resorts’ common stock on the date the stock options were exercised or the closing price of Wynn Resorts’ common stock on the date the stock award vested. Upon vesting of the stock award, the executive also was paid an amount equal to the dividends that had accrued on the shares prior to their vesting.</w:t>
      </w:r>
    </w:p>
    <w:p>
      <w:pPr>
        <w:spacing w:after="0" w:line="296"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Due to Death, Complete Disability or License Revocation</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Wynn Resorts’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accrued and unpaid base salary and accrued and unpaid vacation through the termination date. In addition, certain of the stock option agreements and restricted stock agreements held by the named executive officers provide that unvested options and shares will vest upon such termination.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Wynn Resorts without cause upon notice to the employee, so long as a “separation payment” is paid as provided for in such contracts. Cause is defined as (i) willful destruction of property of Wynn Resorts or an affiliate having a material value to Wynn Resorts or such affiliate; (ii) fraud, embezzlement, theft, or comparable dishonest activity;</w:t>
      </w:r>
    </w:p>
    <w:p>
      <w:pPr>
        <w:spacing w:after="0" w:line="1" w:lineRule="exact"/>
        <w:rPr>
          <w:sz w:val="20"/>
          <w:szCs w:val="20"/>
          <w:color w:val="auto"/>
        </w:rPr>
      </w:pPr>
    </w:p>
    <w:p>
      <w:pPr>
        <w:ind w:right="20" w:firstLine="8"/>
        <w:spacing w:after="0" w:line="252" w:lineRule="auto"/>
        <w:tabs>
          <w:tab w:leader="none" w:pos="3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Wynn Resorts, that is not cured within 15 days after written notice thereof; (v) willful and knowing material misrepresentation to Wynn Resorts’ or an affiliate’s board of directors; (vi) willful violation of a material policy of Wynn Resorts or an affiliate, which does or could result in material harm to Wynn Resorts or to Wynn Resorts’ reputation; or (vii) material violation of a statutory or common law duty of loyalty or fiduciary duty to Wynn Resorts or an affiliate.</w:t>
      </w:r>
    </w:p>
    <w:p>
      <w:pPr>
        <w:spacing w:after="0" w:line="14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“separation payment” consists of a multiple (ranging from one to, in the case of Mr. Wynn, three times) of the sum of (a) base salary through the end of the term of the agreement, but not less than 12 months (and in Mr. Wynn’s and Ms. Chen’s case, not more than 4 years); (b) bonus for all bonus periods based upon last bonus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paid pursuant to the employment agreement through the end of the term (and in Mr. Wynn’s and Ms. Chen’s case, this is limited to a maximum of 4 years); and</w:t>
      </w:r>
    </w:p>
    <w:p>
      <w:pPr>
        <w:spacing w:after="0" w:line="38" w:lineRule="exact"/>
        <w:rPr>
          <w:sz w:val="20"/>
          <w:szCs w:val="20"/>
          <w:color w:val="auto"/>
        </w:rPr>
      </w:pPr>
    </w:p>
    <w:p>
      <w:pPr>
        <w:ind w:right="160" w:firstLine="8"/>
        <w:spacing w:after="0" w:line="295" w:lineRule="auto"/>
        <w:tabs>
          <w:tab w:leader="none" w:pos="239"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some of the stock option agreements and restricted stock agreements held by the named executive officers provide that unvested options and shares will vest upon termination without cause.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the Wynn Resorts’ outstanding securities; or (b) the existing directors of Wynn Resorts (including those elected in the normal course and not including those elected as a result of an actual or threatened election contest) cease to constitute a majority of the Board of Directors of Wynn Resorts.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described under “Payments Made Upon Termination Without Cause at Employer’s Election During the Term” above. In addition, if an executive’s termination is deemed to occur in connection with a change in control under the Tax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Wynn Resorts without cause or upon termination by the employee for good reason after a change in control.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tables below reflect the amount of compensation that would become payable to each of the named executive officers under existing agreements and arrangements if the named executive’s employment had terminated on December 31, 2011 given the named executive’s compensation as of such date and, if applicable, based on Wynn Resorts’ closing stock price on that date. These benefits are in addition to benefits available prior to the occurrence of any termination of employment, including under then-exercisable stock options, and benefits generally available to all salaried employees, such as distributions under Wynn Resorts’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Wynn Resorts.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Wynn Resorts’ stock price.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case of Mr. Wynn, the payment to be made upon death or disability is the salary and bonus that would be payable during the remaining term of the contract with a limit at 4 years and upon “Termination Without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Cause at Employer’s Election During the Term” and “Termination by Employee for Good Reason After Change in Control for Good Reason” is three times the salary and bonus that would be payable during the remaining term of the contract with a limit of 4 years.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3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without Cause</w:t>
            </w:r>
          </w:p>
        </w:tc>
      </w:tr>
      <w:tr>
        <w:trPr>
          <w:trHeight w:val="149"/>
        </w:trPr>
        <w:tc>
          <w:tcPr>
            <w:tcW w:w="3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or for Good</w:t>
            </w:r>
          </w:p>
        </w:tc>
      </w:tr>
      <w:tr>
        <w:trPr>
          <w:trHeight w:val="149"/>
        </w:trPr>
        <w:tc>
          <w:tcPr>
            <w:tcW w:w="3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Termination Upon</w:t>
            </w:r>
          </w:p>
        </w:tc>
        <w:tc>
          <w:tcPr>
            <w:tcW w:w="80" w:type="dxa"/>
            <w:vAlign w:val="bottom"/>
          </w:tcPr>
          <w:p>
            <w:pPr>
              <w:spacing w:after="0"/>
              <w:rPr>
                <w:sz w:val="12"/>
                <w:szCs w:val="12"/>
                <w:color w:val="auto"/>
              </w:rPr>
            </w:pPr>
          </w:p>
        </w:tc>
        <w:tc>
          <w:tcPr>
            <w:tcW w:w="16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Election</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3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Death or Complete</w:t>
            </w:r>
          </w:p>
        </w:tc>
        <w:tc>
          <w:tcPr>
            <w:tcW w:w="80" w:type="dxa"/>
            <w:vAlign w:val="bottom"/>
          </w:tcPr>
          <w:p>
            <w:pPr>
              <w:spacing w:after="0"/>
              <w:rPr>
                <w:sz w:val="12"/>
                <w:szCs w:val="12"/>
                <w:color w:val="auto"/>
              </w:rPr>
            </w:pP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Disability</w:t>
            </w:r>
          </w:p>
        </w:tc>
        <w:tc>
          <w:tcPr>
            <w:tcW w:w="80" w:type="dxa"/>
            <w:vAlign w:val="bottom"/>
          </w:tcPr>
          <w:p>
            <w:pPr>
              <w:spacing w:after="0"/>
              <w:rPr>
                <w:sz w:val="14"/>
                <w:szCs w:val="14"/>
                <w:color w:val="auto"/>
              </w:rPr>
            </w:pPr>
          </w:p>
        </w:tc>
        <w:tc>
          <w:tcPr>
            <w:tcW w:w="16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Control</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1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16,000,000</w:t>
            </w:r>
          </w:p>
        </w:tc>
        <w:tc>
          <w:tcPr>
            <w:tcW w:w="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48,000,000</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4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w w:val="99"/>
              </w:rPr>
              <w:t>44,250,000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132,750,000</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132,750,000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4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4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77,226,044</w:t>
            </w:r>
          </w:p>
        </w:tc>
      </w:tr>
      <w:tr>
        <w:trPr>
          <w:trHeight w:val="228"/>
        </w:trPr>
        <w:tc>
          <w:tcPr>
            <w:tcW w:w="3600" w:type="dxa"/>
            <w:vAlign w:val="bottom"/>
          </w:tcPr>
          <w:p>
            <w:pPr>
              <w:spacing w:after="0"/>
              <w:rPr>
                <w:sz w:val="20"/>
                <w:szCs w:val="20"/>
                <w:color w:val="auto"/>
              </w:rPr>
            </w:pPr>
            <w:r>
              <w:rPr>
                <w:rFonts w:ascii="Arial" w:cs="Arial" w:eastAsia="Arial" w:hAnsi="Arial"/>
                <w:sz w:val="18"/>
                <w:szCs w:val="18"/>
                <w:b w:val="1"/>
                <w:bCs w:val="1"/>
                <w:color w:val="auto"/>
              </w:rPr>
              <w:t>Benefits(1)</w:t>
            </w:r>
          </w:p>
        </w:tc>
        <w:tc>
          <w:tcPr>
            <w:tcW w:w="14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286,759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286,759</w:t>
            </w: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418,451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8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including tax equalization for providing such benefits through the remainder of the term.</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Matt Maddox</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Termination</w:t>
            </w:r>
          </w:p>
        </w:tc>
        <w:tc>
          <w:tcPr>
            <w:tcW w:w="46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Termination</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without Cause</w:t>
            </w:r>
          </w:p>
        </w:tc>
        <w:tc>
          <w:tcPr>
            <w:tcW w:w="46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Employee</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 Employer’s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Election</w:t>
            </w:r>
          </w:p>
        </w:tc>
        <w:tc>
          <w:tcPr>
            <w:tcW w:w="46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During the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Disability</w:t>
            </w:r>
          </w:p>
        </w:tc>
        <w:tc>
          <w:tcPr>
            <w:tcW w:w="10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Term</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Control</w:t>
            </w:r>
          </w:p>
        </w:tc>
      </w:tr>
      <w:tr>
        <w:trPr>
          <w:trHeight w:val="201"/>
        </w:trPr>
        <w:tc>
          <w:tcPr>
            <w:tcW w:w="38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1,916,667</w:t>
            </w: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1,916,667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1"/>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8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9"/>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3,833,333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3,833,333</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22,127,800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4,158,996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6,919,000</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1,000,000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8"/>
        </w:trPr>
        <w:tc>
          <w:tcPr>
            <w:tcW w:w="388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126,042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126,042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line="302" w:lineRule="auto"/>
        <w:tabs>
          <w:tab w:leader="none" w:pos="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Upon death, complete disability or change of control, unvested stock options of 175,000 would vest in full immediately. Using the closing price on December 31, 2011, the value of such stock options upon exercise would have been $444,500. Upon termination without cause, 175,000 stock options would vest on a prorated basis based on the number of months since the grant date, so long as the employee’s employment agreement with the company has not terminated or expired. Using the closing price on December 31, 2011, the value of such 73,774 stock options upon exercise would have been $187,386.</w:t>
      </w:r>
    </w:p>
    <w:p>
      <w:pPr>
        <w:spacing w:after="0" w:line="2" w:lineRule="exact"/>
        <w:rPr>
          <w:rFonts w:ascii="Arial" w:cs="Arial" w:eastAsia="Arial" w:hAnsi="Arial"/>
          <w:sz w:val="15"/>
          <w:szCs w:val="15"/>
          <w:color w:val="auto"/>
        </w:rPr>
      </w:pPr>
    </w:p>
    <w:p>
      <w:pPr>
        <w:ind w:left="460" w:right="24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240,000 would vest in full immediately. Using the closing price on December 31, 2011, the value of such stock options upon exercise would have been $15,208,800.</w:t>
      </w:r>
    </w:p>
    <w:p>
      <w:pPr>
        <w:ind w:left="460" w:right="16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50,000 shares of restricted stock would vest in full immediately so long as the employee’s employment agreement with Wynn Resorts has not terminated or expired. Using the closing price on December 31, 2011, the value of such 50,000 shares would have been $5,524,500 plus accrued dividends of $950,000.</w:t>
      </w:r>
    </w:p>
    <w:p>
      <w:pPr>
        <w:spacing w:after="0" w:line="1" w:lineRule="exact"/>
        <w:rPr>
          <w:rFonts w:ascii="Arial" w:cs="Arial" w:eastAsia="Arial" w:hAnsi="Arial"/>
          <w:sz w:val="18"/>
          <w:szCs w:val="18"/>
          <w:color w:val="auto"/>
        </w:rPr>
      </w:pPr>
    </w:p>
    <w:p>
      <w:pPr>
        <w:ind w:left="460" w:right="120" w:hanging="452"/>
        <w:spacing w:after="0" w:line="30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Upon termination without cause, 50,000 shares of restricted stock would vest on a prorated basis based on the number of months since the grant date so long as the employee’s employment agreement with Wynn Resorts has not terminated or expired, and another 10,000 shares of restricted stock would vest prorated based on the number of months since the grant date regardless of the status of the employee’s employment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contract. Using the closing price on December 31, 2011, the value of such 30,246 shares would have been $3,341,928, plus accrued dividends of $629,682.</w:t>
      </w:r>
    </w:p>
    <w:p>
      <w:pPr>
        <w:spacing w:after="0" w:line="50" w:lineRule="exact"/>
        <w:rPr>
          <w:sz w:val="20"/>
          <w:szCs w:val="20"/>
          <w:color w:val="auto"/>
        </w:rPr>
      </w:pPr>
    </w:p>
    <w:p>
      <w:pPr>
        <w:ind w:left="460" w:right="160" w:hanging="452"/>
        <w:spacing w:after="0" w:line="261"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Election</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During the</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Disability</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Term</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Control</w:t>
            </w:r>
          </w:p>
        </w:tc>
      </w:tr>
      <w:tr>
        <w:trPr>
          <w:trHeight w:val="201"/>
        </w:trPr>
        <w:tc>
          <w:tcPr>
            <w:tcW w:w="37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2,000,000</w:t>
            </w: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unpaid through the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date of termination.</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4,000,000</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4,000,000</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57,720,500</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12,882,938</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32,372,500</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2,000,000</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8"/>
        </w:trPr>
        <w:tc>
          <w:tcPr>
            <w:tcW w:w="3780" w:type="dxa"/>
            <w:vAlign w:val="bottom"/>
          </w:tcPr>
          <w:p>
            <w:pPr>
              <w:spacing w:after="0"/>
              <w:rPr>
                <w:sz w:val="20"/>
                <w:szCs w:val="20"/>
                <w:color w:val="auto"/>
              </w:rPr>
            </w:pPr>
            <w:r>
              <w:rPr>
                <w:rFonts w:ascii="Arial" w:cs="Arial" w:eastAsia="Arial" w:hAnsi="Arial"/>
                <w:sz w:val="18"/>
                <w:szCs w:val="18"/>
                <w:b w:val="1"/>
                <w:bCs w:val="1"/>
                <w:color w:val="auto"/>
              </w:rPr>
              <w:t>Benefits(4)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63,357</w:t>
            </w:r>
          </w:p>
        </w:tc>
        <w:tc>
          <w:tcPr>
            <w:tcW w:w="8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63,357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5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400,000 would vest in full immediately. Using the closing price on December 31, 2011, the value of such stock options upon exercise would have been $25,348,000.</w:t>
      </w:r>
    </w:p>
    <w:p>
      <w:pPr>
        <w:ind w:left="460" w:right="16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250,000 shares of restricted stock would vest in full, so long as the employee’s employment agreement with the company has not terminated or expired. Using the closing price on December 31, 2011, the value of such restricted stock grants upon vesting would have been $27,622,500, plus accrued dividends of $4,750,000.</w:t>
      </w:r>
    </w:p>
    <w:p>
      <w:pPr>
        <w:spacing w:after="0" w:line="1" w:lineRule="exact"/>
        <w:rPr>
          <w:rFonts w:ascii="Arial" w:cs="Arial" w:eastAsia="Arial" w:hAnsi="Arial"/>
          <w:sz w:val="18"/>
          <w:szCs w:val="18"/>
          <w:color w:val="auto"/>
        </w:rPr>
      </w:pPr>
    </w:p>
    <w:p>
      <w:pPr>
        <w:jc w:val="both"/>
        <w:ind w:left="460" w:right="120" w:hanging="452"/>
        <w:spacing w:after="0" w:line="28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Upon termination without cause 250,000 shares of restricted stock would vest on a prorated basis based on the number of months since the grant date, so long as the employee’s employment agreement with the company has not terminated or expired. Using the closing price on December 31, 2011, the value of such 99,490 shares would have been $10,992,628 plus accrued dividends of $1,890,310.</w:t>
      </w:r>
    </w:p>
    <w:p>
      <w:pPr>
        <w:spacing w:after="0" w:line="2" w:lineRule="exact"/>
        <w:rPr>
          <w:rFonts w:ascii="Arial" w:cs="Arial" w:eastAsia="Arial" w:hAnsi="Arial"/>
          <w:sz w:val="16"/>
          <w:szCs w:val="16"/>
          <w:color w:val="auto"/>
        </w:rPr>
      </w:pPr>
    </w:p>
    <w:p>
      <w:pPr>
        <w:ind w:left="460" w:right="160" w:hanging="452"/>
        <w:spacing w:after="0" w:line="261"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Election</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During the</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3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Disability</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Term</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Control</w:t>
            </w:r>
          </w:p>
        </w:tc>
      </w:tr>
      <w:tr>
        <w:trPr>
          <w:trHeight w:val="201"/>
        </w:trPr>
        <w:tc>
          <w:tcPr>
            <w:tcW w:w="38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w w:val="85"/>
              </w:rPr>
              <w:t>Amount earned and</w:t>
            </w: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6,000,000</w:t>
            </w: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6,000,000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unpaid through the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8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date of termination.</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12,000,000</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12,000,000</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28,602,300</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18,420,722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13,393,500</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Macau Executive Residence(5)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8,312,316</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8,312,316</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Retention Plan Award(6)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1,500,000</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11,247,166</w:t>
            </w:r>
          </w:p>
        </w:tc>
        <w:tc>
          <w:tcPr>
            <w:tcW w:w="100" w:type="dxa"/>
            <w:vAlign w:val="bottom"/>
            <w:shd w:val="clear" w:color="auto" w:fill="CCEEFF"/>
          </w:tcPr>
          <w:p>
            <w:pPr>
              <w:spacing w:after="0"/>
              <w:rPr>
                <w:sz w:val="18"/>
                <w:szCs w:val="18"/>
                <w:color w:val="auto"/>
              </w:rPr>
            </w:pPr>
          </w:p>
        </w:tc>
      </w:tr>
      <w:tr>
        <w:trPr>
          <w:trHeight w:val="228"/>
        </w:trPr>
        <w:tc>
          <w:tcPr>
            <w:tcW w:w="3880" w:type="dxa"/>
            <w:vAlign w:val="bottom"/>
          </w:tcPr>
          <w:p>
            <w:pPr>
              <w:spacing w:after="0"/>
              <w:rPr>
                <w:sz w:val="20"/>
                <w:szCs w:val="20"/>
                <w:color w:val="auto"/>
              </w:rPr>
            </w:pPr>
            <w:r>
              <w:rPr>
                <w:rFonts w:ascii="Arial" w:cs="Arial" w:eastAsia="Arial" w:hAnsi="Arial"/>
                <w:sz w:val="18"/>
                <w:szCs w:val="18"/>
                <w:b w:val="1"/>
                <w:bCs w:val="1"/>
                <w:color w:val="auto"/>
              </w:rPr>
              <w:t>Benefits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350"/>
        </w:trPr>
        <w:tc>
          <w:tcPr>
            <w:tcW w:w="3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80" w:hanging="452"/>
        <w:spacing w:after="0" w:line="252"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Using the closing price on December 31, 2011, the value of such stock options upon exercise would have been $444,500. Upon termination without cause, 175,000 stock options would vest on a prorated basis based on the number of months since the grant date, so long as the employee’s employment agreement with Wynn Resorts has not terminated or expired. Using the closing price on December 31, 2011, the value of such 73,774 stock options upon exercise would have been $187,386.</w:t>
      </w:r>
    </w:p>
    <w:p>
      <w:pPr>
        <w:ind w:left="460" w:right="240" w:hanging="452"/>
        <w:spacing w:after="0" w:line="25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240,000 would vest in full immediately. Using the closing price on December 31, 2011, the value of such stock options upon exercise would have been $15,208,800.</w:t>
      </w:r>
    </w:p>
    <w:p>
      <w:pPr>
        <w:ind w:left="460" w:right="680" w:hanging="452"/>
        <w:spacing w:after="0" w:line="28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100,000 shares of restricted stock would vest in full immediately. Using the closing price on December 31, 2011, the value of such 100,000 shares would have been $11,049,000, plus accrued dividends of $1,900,000.</w:t>
      </w:r>
    </w:p>
    <w:p>
      <w:pPr>
        <w:spacing w:after="0" w:line="1" w:lineRule="exact"/>
        <w:rPr>
          <w:rFonts w:ascii="Arial" w:cs="Arial" w:eastAsia="Arial" w:hAnsi="Arial"/>
          <w:sz w:val="16"/>
          <w:szCs w:val="16"/>
          <w:color w:val="auto"/>
        </w:rPr>
      </w:pPr>
    </w:p>
    <w:p>
      <w:pPr>
        <w:jc w:val="both"/>
        <w:ind w:left="460" w:right="380" w:hanging="452"/>
        <w:spacing w:after="0" w:line="300"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Upon termination without cause 200,000 shares of restricted stock would vest on a prorated basis based on the number of months since the grant date. Using the closing price on December 31, 2011, the value of such 132,442 shares would have been $14,633,518, plus accrued dividends of $3,599,818.</w:t>
      </w:r>
    </w:p>
    <w:p>
      <w:pPr>
        <w:ind w:left="460" w:right="140" w:hanging="452"/>
        <w:spacing w:after="0" w:line="25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termination without Cause or a change of control, the Macau Executive Residence could be purchased by Ms. Chen for $1. The amount reflected in the table represents the fair market value of the residence at December 31, 2011.</w:t>
      </w:r>
    </w:p>
    <w:p>
      <w:pPr>
        <w:ind w:left="460" w:right="100" w:hanging="452"/>
        <w:spacing w:after="0" w:line="261"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the retention award will vest on a prorated basis equal to the number of full calendar months elapsed between the grant date and the date of such termination of employment divided by 120.</w:t>
      </w:r>
    </w:p>
    <w:p>
      <w:pPr>
        <w:spacing w:after="0" w:line="2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Kim Sinatra</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Termination</w:t>
            </w:r>
          </w:p>
        </w:tc>
        <w:tc>
          <w:tcPr>
            <w:tcW w:w="46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Termination</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without Cause</w:t>
            </w:r>
          </w:p>
        </w:tc>
        <w:tc>
          <w:tcPr>
            <w:tcW w:w="46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 Employer’s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Election</w:t>
            </w:r>
          </w:p>
        </w:tc>
        <w:tc>
          <w:tcPr>
            <w:tcW w:w="46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Reason After</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During the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Disability</w:t>
            </w:r>
          </w:p>
        </w:tc>
        <w:tc>
          <w:tcPr>
            <w:tcW w:w="10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Term</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Control</w:t>
            </w:r>
          </w:p>
        </w:tc>
      </w:tr>
      <w:tr>
        <w:trPr>
          <w:trHeight w:val="201"/>
        </w:trPr>
        <w:tc>
          <w:tcPr>
            <w:tcW w:w="38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1,516,667</w:t>
            </w: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1,516,667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1"/>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8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9"/>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1,300,000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1,300,000</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16,101,750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1,445,002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3,427,750</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650,000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8"/>
        </w:trPr>
        <w:tc>
          <w:tcPr>
            <w:tcW w:w="388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156,086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156,086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line="283"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unvested stock options of 75,000 would vest in full immediately. Using the closing price on December 31, 2011, the value of such stock options upon exercise would have been $190,500. Upon termination without cause, 75,000 stock options would vest on a prorated basis based on the number of months since the grant date, so long as the employee’s employment agreement with Wynn Resorts has not terminated or expired. Using the closing price on December 31, 2011, the value of such 31,617 stock options upon exercise would have been $80,307.</w:t>
      </w:r>
    </w:p>
    <w:p>
      <w:pPr>
        <w:spacing w:after="0" w:line="2"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200,000 would vest in full immediately. Using the closing price on December 31, 2011, the value of such stock options upon exercise would have been $12,674,000.</w:t>
      </w:r>
    </w:p>
    <w:p>
      <w:pPr>
        <w:ind w:left="460" w:right="20" w:hanging="452"/>
        <w:spacing w:after="0" w:line="255"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 shares of restricted stock would vest in full, so long as the employee’s employment agreement with the company has not terminated or expired. Using the closing price on December 31, 2011, the value of such restricted stock grants upon vesting would have been $2,762,250, plus accrued dividends of $475,000.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53"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termination without cause 25,000 shares of restricted stock would vest on a prorated basis based on the number of months since the grant date, so long as the employee’s employment agreement with the company has not terminated. Using the closing price on December 31, 2011, the value of such 10,539 shares would have been $1,164,454 plus accrued dividends of $200,241.</w:t>
      </w:r>
    </w:p>
    <w:p>
      <w:pPr>
        <w:ind w:left="460" w:right="20" w:hanging="452"/>
        <w:spacing w:after="0" w:line="261"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following table summarizes, as of December 31, 2011, compensation plans under which Wynn Resorts’ equity securities are authorized for issuance, aggregated as to: (i) all compensation plans previously approved by stockholders; and (ii) all compensation plans not previously approved by stockholders.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for Future Issuance</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94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Under Equity</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80" w:type="dxa"/>
            <w:vAlign w:val="bottom"/>
            <w:gridSpan w:val="2"/>
          </w:tcPr>
          <w:p>
            <w:pPr>
              <w:jc w:val="center"/>
              <w:ind w:left="439"/>
              <w:spacing w:after="0" w:line="149" w:lineRule="exact"/>
              <w:rPr>
                <w:sz w:val="20"/>
                <w:szCs w:val="20"/>
                <w:color w:val="auto"/>
              </w:rPr>
            </w:pPr>
            <w:r>
              <w:rPr>
                <w:rFonts w:ascii="Arial" w:cs="Arial" w:eastAsia="Arial" w:hAnsi="Arial"/>
                <w:sz w:val="14"/>
                <w:szCs w:val="14"/>
                <w:b w:val="1"/>
                <w:bCs w:val="1"/>
                <w:color w:val="auto"/>
                <w:w w:val="85"/>
              </w:rPr>
              <w:t>be Issued Upon Exercise of</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940" w:type="dxa"/>
            <w:vAlign w:val="bottom"/>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Compensation Plans</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200" w:type="dxa"/>
            <w:vAlign w:val="bottom"/>
            <w:gridSpan w:val="3"/>
          </w:tcPr>
          <w:p>
            <w:pPr>
              <w:jc w:val="center"/>
              <w:ind w:left="859"/>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94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(excluding securities</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Warrants and Rights(1)</w:t>
            </w:r>
          </w:p>
        </w:tc>
        <w:tc>
          <w:tcPr>
            <w:tcW w:w="94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2360" w:type="dxa"/>
            <w:vAlign w:val="bottom"/>
            <w:gridSpan w:val="3"/>
          </w:tcPr>
          <w:p>
            <w:pPr>
              <w:jc w:val="center"/>
              <w:ind w:left="759"/>
              <w:spacing w:after="0" w:line="149" w:lineRule="exact"/>
              <w:rPr>
                <w:sz w:val="20"/>
                <w:szCs w:val="20"/>
                <w:color w:val="auto"/>
              </w:rPr>
            </w:pPr>
            <w:r>
              <w:rPr>
                <w:rFonts w:ascii="Arial" w:cs="Arial" w:eastAsia="Arial" w:hAnsi="Arial"/>
                <w:sz w:val="14"/>
                <w:szCs w:val="14"/>
                <w:b w:val="1"/>
                <w:bCs w:val="1"/>
                <w:color w:val="auto"/>
                <w:w w:val="87"/>
              </w:rPr>
              <w:t>reflected in column(a))</w:t>
            </w:r>
          </w:p>
        </w:tc>
      </w:tr>
      <w:tr>
        <w:trPr>
          <w:trHeight w:val="161"/>
        </w:trPr>
        <w:tc>
          <w:tcPr>
            <w:tcW w:w="3640" w:type="dxa"/>
            <w:vAlign w:val="bottom"/>
            <w:gridSpan w:val="2"/>
          </w:tcPr>
          <w:p>
            <w:pPr>
              <w:ind w:left="1140"/>
              <w:spacing w:after="0"/>
              <w:rPr>
                <w:sz w:val="20"/>
                <w:szCs w:val="20"/>
                <w:color w:val="auto"/>
              </w:rPr>
            </w:pPr>
            <w:r>
              <w:rPr>
                <w:rFonts w:ascii="Arial" w:cs="Arial" w:eastAsia="Arial" w:hAnsi="Arial"/>
                <w:sz w:val="14"/>
                <w:szCs w:val="14"/>
                <w:b w:val="1"/>
                <w:bCs w:val="1"/>
                <w:color w:val="auto"/>
              </w:rPr>
              <w:t>Plan Category</w:t>
            </w:r>
          </w:p>
        </w:tc>
        <w:tc>
          <w:tcPr>
            <w:tcW w:w="5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w:t>
            </w:r>
          </w:p>
        </w:tc>
        <w:tc>
          <w:tcPr>
            <w:tcW w:w="94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r>
      <w:tr>
        <w:trPr>
          <w:trHeight w:val="188"/>
        </w:trPr>
        <w:tc>
          <w:tcPr>
            <w:tcW w:w="1160" w:type="dxa"/>
            <w:vAlign w:val="bottom"/>
          </w:tcPr>
          <w:p>
            <w:pPr>
              <w:spacing w:after="0"/>
              <w:rPr>
                <w:sz w:val="16"/>
                <w:szCs w:val="16"/>
                <w:color w:val="auto"/>
              </w:rPr>
            </w:pPr>
          </w:p>
        </w:tc>
        <w:tc>
          <w:tcPr>
            <w:tcW w:w="24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Equity compensation plans</w:t>
            </w:r>
          </w:p>
        </w:tc>
        <w:tc>
          <w:tcPr>
            <w:tcW w:w="5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approved by</w:t>
            </w:r>
          </w:p>
        </w:tc>
        <w:tc>
          <w:tcPr>
            <w:tcW w:w="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holders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2,729,124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4,098,336</w:t>
            </w:r>
          </w:p>
        </w:tc>
        <w:tc>
          <w:tcPr>
            <w:tcW w:w="80" w:type="dxa"/>
            <w:vAlign w:val="bottom"/>
            <w:shd w:val="clear" w:color="auto" w:fill="CCEEFF"/>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Equity compensation plans</w:t>
            </w:r>
          </w:p>
        </w:tc>
        <w:tc>
          <w:tcPr>
            <w:tcW w:w="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not approved by security</w:t>
            </w:r>
          </w:p>
        </w:tc>
        <w:tc>
          <w:tcPr>
            <w:tcW w:w="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1"/>
        </w:trPr>
        <w:tc>
          <w:tcPr>
            <w:tcW w:w="116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holders</w:t>
            </w:r>
          </w:p>
        </w:tc>
        <w:tc>
          <w:tcPr>
            <w:tcW w:w="520" w:type="dxa"/>
            <w:vAlign w:val="bottom"/>
          </w:tcPr>
          <w:p>
            <w:pPr>
              <w:spacing w:after="0"/>
              <w:rPr>
                <w:sz w:val="20"/>
                <w:szCs w:val="20"/>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2,729,124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4,098,336</w:t>
            </w:r>
          </w:p>
        </w:tc>
        <w:tc>
          <w:tcPr>
            <w:tcW w:w="8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794,500 shares of unvested restricted stock awards outstanding under the stockholder-approved plan.</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 own all of the issued and outstanding capital stock of Wynn Capital. Each of the other additional registrants is a wholly owned subsidiary of ours.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as of September 7, 2012 (unless otherwise indicated), certain information regarding the shares of Wynn Resorts’ common stock beneficially owned by: (i) each director and nominee for director; (ii) each stockholder who is known by Wynn Resorts to beneficially own in excess of 5% of the outstanding shares of Wynn Resorts’ common stock based on information reported on Form 13D or 13G filed with the SEC; (iii) each of the executive officers named in the Summary Compensation Table; and (iv) all executive officers, directors and director nominees as a group. There were 100,522,136 shares outstanding as of September 7, 2012.</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Beneficial Ownership Of</w:t>
            </w:r>
          </w:p>
        </w:tc>
        <w:tc>
          <w:tcPr>
            <w:tcW w:w="0" w:type="dxa"/>
            <w:vAlign w:val="bottom"/>
          </w:tcPr>
          <w:p>
            <w:pPr>
              <w:spacing w:after="0"/>
              <w:rPr>
                <w:sz w:val="1"/>
                <w:szCs w:val="1"/>
                <w:color w:val="auto"/>
              </w:rPr>
            </w:pPr>
          </w:p>
        </w:tc>
      </w:tr>
      <w:tr>
        <w:trPr>
          <w:trHeight w:val="16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Owner(2)</w:t>
            </w:r>
          </w:p>
        </w:tc>
        <w:tc>
          <w:tcPr>
            <w:tcW w:w="3700" w:type="dxa"/>
            <w:vAlign w:val="bottom"/>
            <w:vMerge w:val="restart"/>
          </w:tcPr>
          <w:p>
            <w:pPr>
              <w:spacing w:after="0"/>
              <w:rPr>
                <w:sz w:val="14"/>
                <w:szCs w:val="14"/>
                <w:color w:val="auto"/>
              </w:rPr>
            </w:pPr>
          </w:p>
        </w:tc>
        <w:tc>
          <w:tcPr>
            <w:tcW w:w="1580" w:type="dxa"/>
            <w:vAlign w:val="bottom"/>
            <w:tcBorders>
              <w:bottom w:val="single" w:sz="8" w:color="auto"/>
            </w:tcBorders>
            <w:gridSpan w:val="2"/>
          </w:tcPr>
          <w:p>
            <w:pPr>
              <w:jc w:val="center"/>
              <w:ind w:left="555"/>
              <w:spacing w:after="0"/>
              <w:rPr>
                <w:sz w:val="20"/>
                <w:szCs w:val="20"/>
                <w:color w:val="auto"/>
              </w:rPr>
            </w:pPr>
            <w:r>
              <w:rPr>
                <w:rFonts w:ascii="Arial" w:cs="Arial" w:eastAsia="Arial" w:hAnsi="Arial"/>
                <w:sz w:val="14"/>
                <w:szCs w:val="14"/>
                <w:b w:val="1"/>
                <w:bCs w:val="1"/>
                <w:color w:val="auto"/>
                <w:w w:val="84"/>
              </w:rPr>
              <w:t>Shares(1)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600" w:type="dxa"/>
            <w:vAlign w:val="bottom"/>
            <w:tcBorders>
              <w:bottom w:val="single" w:sz="8" w:color="auto"/>
            </w:tcBorders>
            <w:vMerge w:val="continue"/>
          </w:tcPr>
          <w:p>
            <w:pPr>
              <w:spacing w:after="0"/>
              <w:rPr>
                <w:sz w:val="11"/>
                <w:szCs w:val="11"/>
                <w:color w:val="auto"/>
              </w:rPr>
            </w:pPr>
          </w:p>
        </w:tc>
        <w:tc>
          <w:tcPr>
            <w:tcW w:w="3700" w:type="dxa"/>
            <w:vAlign w:val="bottom"/>
            <w:vMerge w:val="continue"/>
          </w:tcPr>
          <w:p>
            <w:pPr>
              <w:spacing w:after="0"/>
              <w:rPr>
                <w:sz w:val="11"/>
                <w:szCs w:val="11"/>
                <w:color w:val="auto"/>
              </w:rPr>
            </w:pPr>
          </w:p>
        </w:tc>
        <w:tc>
          <w:tcPr>
            <w:tcW w:w="158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Number</w:t>
            </w: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Percentage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Stephen A. Wynn(3)(9)</w:t>
            </w:r>
          </w:p>
        </w:tc>
        <w:tc>
          <w:tcPr>
            <w:tcW w:w="8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10,026,708</w:t>
            </w:r>
          </w:p>
        </w:tc>
        <w:tc>
          <w:tcPr>
            <w:tcW w:w="74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Elaine P. Wynn(3)(9)</w:t>
            </w:r>
          </w:p>
        </w:tc>
        <w:tc>
          <w:tcPr>
            <w:tcW w:w="840" w:type="dxa"/>
            <w:vAlign w:val="bottom"/>
          </w:tcPr>
          <w:p>
            <w:pPr>
              <w:jc w:val="right"/>
              <w:spacing w:after="0"/>
              <w:rPr>
                <w:sz w:val="20"/>
                <w:szCs w:val="20"/>
                <w:color w:val="auto"/>
              </w:rPr>
            </w:pPr>
            <w:r>
              <w:rPr>
                <w:rFonts w:ascii="Arial" w:cs="Arial" w:eastAsia="Arial" w:hAnsi="Arial"/>
                <w:sz w:val="18"/>
                <w:szCs w:val="18"/>
                <w:color w:val="auto"/>
              </w:rPr>
              <w:t>9,742,150</w:t>
            </w:r>
          </w:p>
        </w:tc>
        <w:tc>
          <w:tcPr>
            <w:tcW w:w="7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Waddell &amp; Reed Financial, Inc.(4)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18,066,873</w:t>
            </w:r>
          </w:p>
        </w:tc>
        <w:tc>
          <w:tcPr>
            <w:tcW w:w="7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8"/>
        </w:trPr>
        <w:tc>
          <w:tcPr>
            <w:tcW w:w="6300" w:type="dxa"/>
            <w:vAlign w:val="bottom"/>
            <w:gridSpan w:val="2"/>
          </w:tcPr>
          <w:p>
            <w:pPr>
              <w:ind w:left="440"/>
              <w:spacing w:after="0"/>
              <w:rPr>
                <w:sz w:val="20"/>
                <w:szCs w:val="20"/>
                <w:color w:val="auto"/>
              </w:rPr>
            </w:pPr>
            <w:r>
              <w:rPr>
                <w:rFonts w:ascii="Arial" w:cs="Arial" w:eastAsia="Arial" w:hAnsi="Arial"/>
                <w:sz w:val="18"/>
                <w:szCs w:val="18"/>
                <w:color w:val="auto"/>
              </w:rPr>
              <w:t>6300 Lamar Avenue</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ind w:left="440"/>
              <w:spacing w:after="0"/>
              <w:rPr>
                <w:sz w:val="20"/>
                <w:szCs w:val="20"/>
                <w:color w:val="auto"/>
              </w:rPr>
            </w:pPr>
            <w:r>
              <w:rPr>
                <w:rFonts w:ascii="Arial" w:cs="Arial" w:eastAsia="Arial" w:hAnsi="Arial"/>
                <w:sz w:val="18"/>
                <w:szCs w:val="18"/>
                <w:color w:val="auto"/>
              </w:rPr>
              <w:t>Overland Park, KS 66202</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Marsico Capital Management, LLC(5)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8,476,973</w:t>
            </w:r>
          </w:p>
        </w:tc>
        <w:tc>
          <w:tcPr>
            <w:tcW w:w="7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8"/>
        </w:trPr>
        <w:tc>
          <w:tcPr>
            <w:tcW w:w="6300" w:type="dxa"/>
            <w:vAlign w:val="bottom"/>
            <w:gridSpan w:val="2"/>
          </w:tcPr>
          <w:p>
            <w:pPr>
              <w:ind w:left="44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ind w:left="440"/>
              <w:spacing w:after="0"/>
              <w:rPr>
                <w:sz w:val="20"/>
                <w:szCs w:val="20"/>
                <w:color w:val="auto"/>
              </w:rPr>
            </w:pPr>
            <w:r>
              <w:rPr>
                <w:rFonts w:ascii="Arial" w:cs="Arial" w:eastAsia="Arial" w:hAnsi="Arial"/>
                <w:sz w:val="18"/>
                <w:szCs w:val="18"/>
                <w:color w:val="auto"/>
              </w:rPr>
              <w:t>Denver, Colorado 80202</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Russell Goldsmith(7)</w:t>
            </w:r>
          </w:p>
        </w:tc>
        <w:tc>
          <w:tcPr>
            <w:tcW w:w="840" w:type="dxa"/>
            <w:vAlign w:val="bottom"/>
          </w:tcPr>
          <w:p>
            <w:pPr>
              <w:jc w:val="right"/>
              <w:spacing w:after="0"/>
              <w:rPr>
                <w:sz w:val="20"/>
                <w:szCs w:val="20"/>
                <w:color w:val="auto"/>
              </w:rPr>
            </w:pPr>
            <w:r>
              <w:rPr>
                <w:rFonts w:ascii="Arial" w:cs="Arial" w:eastAsia="Arial" w:hAnsi="Arial"/>
                <w:sz w:val="18"/>
                <w:szCs w:val="18"/>
                <w:color w:val="auto"/>
              </w:rPr>
              <w:t>42,720</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Kazuo Okada(9)</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John A. Moran(11)(13)</w:t>
            </w:r>
          </w:p>
        </w:tc>
        <w:tc>
          <w:tcPr>
            <w:tcW w:w="840" w:type="dxa"/>
            <w:vAlign w:val="bottom"/>
          </w:tcPr>
          <w:p>
            <w:pPr>
              <w:jc w:val="right"/>
              <w:spacing w:after="0"/>
              <w:rPr>
                <w:sz w:val="20"/>
                <w:szCs w:val="20"/>
                <w:color w:val="auto"/>
              </w:rPr>
            </w:pPr>
            <w:r>
              <w:rPr>
                <w:rFonts w:ascii="Arial" w:cs="Arial" w:eastAsia="Arial" w:hAnsi="Arial"/>
                <w:sz w:val="18"/>
                <w:szCs w:val="18"/>
                <w:color w:val="auto"/>
              </w:rPr>
              <w:t>193,220</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Alvin V. Shoemaker(12)</w:t>
            </w:r>
          </w:p>
        </w:tc>
        <w:tc>
          <w:tcPr>
            <w:tcW w:w="840" w:type="dxa"/>
            <w:vAlign w:val="bottom"/>
          </w:tcPr>
          <w:p>
            <w:pPr>
              <w:jc w:val="right"/>
              <w:spacing w:after="0"/>
              <w:rPr>
                <w:sz w:val="20"/>
                <w:szCs w:val="20"/>
                <w:color w:val="auto"/>
              </w:rPr>
            </w:pPr>
            <w:r>
              <w:rPr>
                <w:rFonts w:ascii="Arial" w:cs="Arial" w:eastAsia="Arial" w:hAnsi="Arial"/>
                <w:sz w:val="18"/>
                <w:szCs w:val="18"/>
                <w:color w:val="auto"/>
              </w:rPr>
              <w:t>33,220</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Edward (Ted) Virtue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D. Boone Wayson(11)</w:t>
            </w:r>
          </w:p>
        </w:tc>
        <w:tc>
          <w:tcPr>
            <w:tcW w:w="840" w:type="dxa"/>
            <w:vAlign w:val="bottom"/>
          </w:tcPr>
          <w:p>
            <w:pPr>
              <w:jc w:val="right"/>
              <w:spacing w:after="0"/>
              <w:rPr>
                <w:sz w:val="20"/>
                <w:szCs w:val="20"/>
                <w:color w:val="auto"/>
              </w:rPr>
            </w:pPr>
            <w:r>
              <w:rPr>
                <w:rFonts w:ascii="Arial" w:cs="Arial" w:eastAsia="Arial" w:hAnsi="Arial"/>
                <w:sz w:val="18"/>
                <w:szCs w:val="18"/>
                <w:color w:val="auto"/>
              </w:rPr>
              <w:t>93,220</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Matt Maddox(15)</w:t>
            </w:r>
          </w:p>
        </w:tc>
        <w:tc>
          <w:tcPr>
            <w:tcW w:w="840" w:type="dxa"/>
            <w:vAlign w:val="bottom"/>
          </w:tcPr>
          <w:p>
            <w:pPr>
              <w:jc w:val="right"/>
              <w:spacing w:after="0"/>
              <w:rPr>
                <w:sz w:val="20"/>
                <w:szCs w:val="20"/>
                <w:color w:val="auto"/>
              </w:rPr>
            </w:pPr>
            <w:r>
              <w:rPr>
                <w:rFonts w:ascii="Arial" w:cs="Arial" w:eastAsia="Arial" w:hAnsi="Arial"/>
                <w:sz w:val="18"/>
                <w:szCs w:val="18"/>
                <w:color w:val="auto"/>
              </w:rPr>
              <w:t>86,355</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250,500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Kim Sinatra(17)</w:t>
            </w:r>
          </w:p>
        </w:tc>
        <w:tc>
          <w:tcPr>
            <w:tcW w:w="840" w:type="dxa"/>
            <w:vAlign w:val="bottom"/>
          </w:tcPr>
          <w:p>
            <w:pPr>
              <w:jc w:val="right"/>
              <w:spacing w:after="0"/>
              <w:rPr>
                <w:sz w:val="20"/>
                <w:szCs w:val="20"/>
                <w:color w:val="auto"/>
              </w:rPr>
            </w:pPr>
            <w:r>
              <w:rPr>
                <w:rFonts w:ascii="Arial" w:cs="Arial" w:eastAsia="Arial" w:hAnsi="Arial"/>
                <w:sz w:val="18"/>
                <w:szCs w:val="18"/>
                <w:color w:val="auto"/>
              </w:rPr>
              <w:t>65,887</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w:t>
            </w: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Group (16 persons)(18)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21,206,140</w:t>
            </w:r>
          </w:p>
        </w:tc>
        <w:tc>
          <w:tcPr>
            <w:tcW w:w="7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nominees for director, principal stockholders and Wynn Resorts’ transfer agent, and contained in Schedules 13D and 13G filed with the SEC. Unless otherwise indicated in the footnotes to this table and subject to community property laws, where applicable, Wynn Resorts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2" w:lineRule="exact"/>
        <w:rPr>
          <w:rFonts w:ascii="Arial" w:cs="Arial" w:eastAsia="Arial" w:hAnsi="Arial"/>
          <w:sz w:val="18"/>
          <w:szCs w:val="18"/>
          <w:color w:val="auto"/>
        </w:rPr>
      </w:pPr>
    </w:p>
    <w:p>
      <w:pPr>
        <w:ind w:left="580" w:right="28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660" w:hanging="572"/>
        <w:spacing w:after="0" w:line="261"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Does not include shares that may be deemed to be beneficially owned by virtue of the Amended and Restated Stockholders Agreement, to which Mr. Wynn and Elaine P. Wynn are parties and pursuant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160"/>
        <w:spacing w:after="0" w:line="286" w:lineRule="auto"/>
        <w:rPr>
          <w:sz w:val="20"/>
          <w:szCs w:val="20"/>
          <w:color w:val="auto"/>
        </w:rPr>
      </w:pPr>
      <w:r>
        <w:rPr>
          <w:rFonts w:ascii="Arial" w:cs="Arial" w:eastAsia="Arial" w:hAnsi="Arial"/>
          <w:sz w:val="16"/>
          <w:szCs w:val="16"/>
          <w:color w:val="auto"/>
        </w:rPr>
        <w:t>which they have shared voting and dispositive power with respect to shares thereto. Each disclaims beneficial ownership of shares held by the other. As noted above, Ms. Wynn has filed a cross-claim seeking to void the Amended and Restated Stockholders Agreement.</w:t>
      </w:r>
    </w:p>
    <w:p>
      <w:pPr>
        <w:ind w:left="580" w:hanging="572"/>
        <w:spacing w:after="0" w:line="281" w:lineRule="auto"/>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Waddell &amp; Reed Financial, Inc. (“Waddell”) has beneficial ownership of these shares as of December 31, 2011. The information provided is based upon a Schedule 13G/A filed on February 14, 2012, filed by Waddell indicating that Waddell has sole voting and dispositive power as to 18,066,873 shares. Waddell &amp; Reed Financial Services, Inc. a subsidiary of Waddell, has sole voting and dispositive power as to 4,518,938 shares. Waddell &amp; Reed, Inc., a subsidiary of Waddell &amp; Reed Financial Services, Inc. has sole voting and dispositive power as to 4,518,938 shares. Waddell &amp; Reed Investment Management Company, a subsidiary of Waddell &amp; Reed, Inc., has sole voting and dispositive power as to 4,518,938 shares; and Ivy Investment Management Company, a subsidiary of Waddell, has sole voting and dispositive power as to 13,547,935 shares. The number of common shares beneficially owned by Waddell may have changed since the filing of the Schedule 13G/A.</w:t>
      </w:r>
    </w:p>
    <w:p>
      <w:pPr>
        <w:spacing w:after="0" w:line="4" w:lineRule="exact"/>
        <w:rPr>
          <w:rFonts w:ascii="Arial" w:cs="Arial" w:eastAsia="Arial" w:hAnsi="Arial"/>
          <w:sz w:val="16"/>
          <w:szCs w:val="16"/>
          <w:color w:val="auto"/>
        </w:rPr>
      </w:pPr>
    </w:p>
    <w:p>
      <w:pPr>
        <w:ind w:left="580" w:right="40" w:hanging="572"/>
        <w:spacing w:after="0" w:line="281" w:lineRule="auto"/>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Marsico Capital Management LLC (“Marsico”) has beneficial ownership of these shares as of December 31, 2011. Marsico has sole dispositive power as to 8,476,973 shares and sole voting power as to 4,320,237 shares. The information provided is based upon a Schedule 13G/A, dated February 14, 2012, filed by Marsico. The number of common shares beneficially owned by Marisco may have changed since the filing of the Schedule 13G/A.</w:t>
      </w:r>
    </w:p>
    <w:p>
      <w:pPr>
        <w:spacing w:after="0" w:line="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100,000 shares of restricted stock granted pursuant to Wynn Resorts’ 2002 Stock Incentive Plan and subject to a Restricted Stock Agreement which provides such grant will vest on December 5, 2016; and (ii) 30,000 shares subject to immediately exercisable options to purchase Wynn Resorts’ common stock granted pursuant to Wynn Resorts’ 2002 Stock Incentive Plan.</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14,720 shares subject to an immediately exercisable option to purchase Wynn Resorts’ common stock granted pursuant to Wynn Resorts’ 2002 Stock Incentive Plan; (ii) 2,500 unvested shares of restricted stock of Wynn Resorts’ common stock granted pursuant to Wynn Resorts’ 2002 Stock Incentive Plan; (iii) 1,300 shares owned as Trustee for which Mr. Goldsmith disclaims beneficial ownership; and (iv) 1,500 shares through a company for which Mr. Goldsmith disclaims beneficial ownership of 1,470 shares.</w:t>
      </w:r>
    </w:p>
    <w:p>
      <w:pPr>
        <w:spacing w:after="0" w:line="1" w:lineRule="exact"/>
        <w:rPr>
          <w:rFonts w:ascii="Arial" w:cs="Arial" w:eastAsia="Arial" w:hAnsi="Arial"/>
          <w:sz w:val="18"/>
          <w:szCs w:val="18"/>
          <w:color w:val="auto"/>
        </w:rPr>
      </w:pPr>
    </w:p>
    <w:p>
      <w:pPr>
        <w:jc w:val="both"/>
        <w:ind w:left="580" w:right="22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15,720 shares subject to an immediately exercisable option to purchase Wynn Resorts’ common stock granted pursuant to Wynn Resorts’ 2002 Stock Incentive Plan; and (ii) 5,000 unvested shares of restricted stock of Wynn Resorts’ common stock granted pursuant to Wynn Resorts’ 2002 Stock Incentive Plan.</w:t>
      </w:r>
    </w:p>
    <w:p>
      <w:pPr>
        <w:spacing w:after="0" w:line="1"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February 18, 2012, Wynn Resorts redeemed the 24,549,222 shares then held by Aruze USA, Inc. (the “Aruze Shares”), pursuant to Article VII of Wynn Resorts’ articles of incorporation based on the determination of Wynn Resorts’ Board of Directors that Aruze USA, Inc., Universal Entertainment Corporation and Mr. Kazuo Okada are Unsuitable Persons under the provisions of Wynn Resorts’ articles of incorporation. As a result of the share redemption described below, the shares previously held by Aruze USA, Inc. are no longer issued and outstanding and neither Mr. Wynn nor Ms. Wynn has or shares the power to vote or dispose of the Aruze Shares formerly held by Aruze USA, Inc. Further, by virtue of that redemption, neither Mr. Wynn nor Ms. Wynn remains a member of any “group” with Aruze USA, Inc. nor is either of Mr. Wynn or Ms. Wynn otherwise a beneficial owner of the former Aruze Shares.</w:t>
      </w:r>
    </w:p>
    <w:p>
      <w:pPr>
        <w:spacing w:after="0" w:line="3"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15,720 shares subject to immediately exercisable options to purchase Wynn Resorts’ common stock granted pursuant to Wynn Resorts’ 2002 Stock Incentive Plan; and (ii) 2,500 unvested shares of restricted stock of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35,720 shares subject to immediately exercisable options to purchase Wynn Resorts’ common stock granted pursuant to Wynn Resorts’ 2002 Stock Incentive Plan; and (ii) 2,500 unvested shares of restricted stock of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25,720 shares subject to immediately exercisable options to purchase Wynn Resorts’ common stock granted pursuant to Wynn Resorts’ 2002 Stock Incentive Plan; and (ii) 2,500 unvested shares of restricted stock of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150,000 shares of Wynn Resorts’ common stock held by John A. Moran, as Trustee.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40" w:hanging="572"/>
        <w:spacing w:after="0" w:line="253"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(i) 250,000 shares of restricted stock granted pursuant to Wynn Resorts’ 2002 Stock Incentive Plan and subject to a Restricted Stock Agreement which provides such grant will vest on December 5, 2016, and (ii) 50,000 shares subject to immediately exercisable options to purchase Wynn Resorts’ common stock granted pursuant to Wynn Resorts’ 2002 Stock Incentive Plan.</w:t>
      </w:r>
    </w:p>
    <w:p>
      <w:pPr>
        <w:ind w:left="580" w:right="140" w:hanging="572"/>
        <w:spacing w:after="0" w:line="250"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(i) 50,000 shares of restricted stock granted pursuant to Wynn Resorts’ 2002 Stock Incentive Plan and subject to a Restricted Stock Agreement which provides such grant will vest on December 5, 2016; and (ii) 30,000 shares subject to immediately exercisable options to purchase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(i) 500 shares of Wynn Resorts’ common stock held by Mr. Strzemp’s mother, for which Mr. Strzemp disclaims beneficial ownership; and</w:t>
      </w:r>
    </w:p>
    <w:p>
      <w:pPr>
        <w:spacing w:after="0" w:line="32" w:lineRule="exact"/>
        <w:rPr>
          <w:rFonts w:ascii="Arial" w:cs="Arial" w:eastAsia="Arial" w:hAnsi="Arial"/>
          <w:sz w:val="16"/>
          <w:szCs w:val="16"/>
          <w:color w:val="auto"/>
        </w:rPr>
      </w:pPr>
    </w:p>
    <w:p>
      <w:pPr>
        <w:ind w:left="580" w:right="100"/>
        <w:spacing w:after="0" w:line="250" w:lineRule="auto"/>
        <w:rPr>
          <w:rFonts w:ascii="Arial" w:cs="Arial" w:eastAsia="Arial" w:hAnsi="Arial"/>
          <w:sz w:val="16"/>
          <w:szCs w:val="16"/>
          <w:color w:val="auto"/>
        </w:rPr>
      </w:pPr>
      <w:r>
        <w:rPr>
          <w:rFonts w:ascii="Arial" w:cs="Arial" w:eastAsia="Arial" w:hAnsi="Arial"/>
          <w:sz w:val="18"/>
          <w:szCs w:val="18"/>
          <w:color w:val="auto"/>
        </w:rPr>
        <w:t>(ii) 55,000 shares subject to immediately exercisable options to purchase Wynn Resorts Common Stock pursuant to Wynn Resorts’ 2002 Stock Incentive Plan.</w:t>
      </w:r>
    </w:p>
    <w:p>
      <w:pPr>
        <w:ind w:left="580" w:right="140" w:hanging="572"/>
        <w:spacing w:after="0" w:line="250"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(i) 25,000 shares of restricted stock granted pursuant to Wynn Resorts’ 2002 Stock Incentive Plan and subject to a Restricted Stock Agreement which provides such grant will vest on December 5, 2016, and (ii) 25,000 shares subject to immediately exercisable options to purchase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359,040 shares subject to immediately exercisable stock options.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Historically, the Audit Committee of the Board of Directors has reviewed for approval or ratification all transactions between Wynn Resorts and any related person, regardless of amount. In February 2012, Wynn Resorts’ Audit Committee updated its written policy. The policy applies to transactions with any related person, which SEC rules define to include directors, director nominees, executive officers, beneficial owners of in excess of 5% of the outstanding shares of Wynn Resorts’ common stock, and their respective immediate family members. The policy classifies as pre-approved (a) employment of executive officers and director compensation if the compensation is required to be reported under Item 402 of the SEC’s compensation disclosure requirements;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Wynn Resorts’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2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Wynn Resorts and related persons. Wynn Resorts’ Audit Committee has approved or ratified all of these transactions that occurred after the date of the adoption of the policy.</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Stockholders Agreement. </w:t>
      </w:r>
      <w:r>
        <w:rPr>
          <w:rFonts w:ascii="Arial" w:cs="Arial" w:eastAsia="Arial" w:hAnsi="Arial"/>
          <w:sz w:val="16"/>
          <w:szCs w:val="16"/>
          <w:color w:val="auto"/>
        </w:rPr>
        <w:t>On January 6, 2010, Mr. Wynn, the Chairman of the Board and Chief Executive Officer of Wynn Resorts, Elaine P. Wynn,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Wynn Resorts, and Aruze USA, Inc., each greater than 5% stockholders of Wynn Resorts, entered into the Amended and Restated Stockholders Agreement which amended and restated the Stockholders Agreement between Mr. Wynn and Aruze USA, Inc. (which had been entered into as of April 11, 2002, as amended as of November 8, 2006, and was subject to waivers and consents, dated July 31, 2009, and August 13, 2009). Pursuant to the Amended and Restated Stockholders Agreement, Elaine P. Wynn (a) became a party to the Amended and Restated Stockholders Agreement in connection with her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ownership of 11,076,709 shares of Wynn Resorts’ common stock that were transferred to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Elaine P. Wynn and Aruze USA, Inc. agree to vote all shares of Wynn Resorts held by them and subject to the terms of the Amended and Restated Stockholders Agreement in a manner so as to elect to Wynn Resorts’ Board of Directors each of the nominees contained on each and every slate of directors endorsed by Mr. Wynn, which slate will include, subject to certain conditions, Elaine P. Wynn and, so long as such slate results in a majority of directors at all times being candidates endorsed by Mr. Wynn, nominees approved by Aruze USA, Inc. As a result of the share redemption described below, the shares previously held by Aruze are no longer issued and outstanding and neither Mr. Wynn nor Ms. Wynn has or shares the power to vote or dispose of the Aruze Shares formerly held by Aruze USA, Inc. Further, by virtue of that redemption, neither Mr. Wynn nor Ms. Wynn remains a member of any “group” with Aruze USA, Inc. nor is either of Mr. Wynn or Ms. Wynn otherwise a beneficial owner of the former Aruze Shares.</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Share Redemption. </w:t>
      </w:r>
      <w:r>
        <w:rPr>
          <w:rFonts w:ascii="Arial" w:cs="Arial" w:eastAsia="Arial" w:hAnsi="Arial"/>
          <w:sz w:val="16"/>
          <w:szCs w:val="16"/>
          <w:color w:val="auto"/>
        </w:rPr>
        <w:t>On February 18, 2012, Wynn Resorts redeemed the Aruze Shares, pursuant to Article VII of Wynn Resorts’ articles of incorporation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determination of Wynn Resorts’ Board of Directors that Aruze USA, Inc., Universal Entertainment Corporation and Mr. Kazuo Okada are Unsuitable Persons under the provisions of Wynn Resorts’ articles of incorporation. Following a finding of “unsuitability,” Wynn Resorts’ articles authorize redemption at “fair value” of the shares held by Unsuitable Persons. Wynn Resorts engaged an independent financial advisor to assist in the fair value calculation and concluded that a discount to the current trading price was appropriate because of, among other things, restrictions on most of the shares which are subject to the terms of an existing stockholder agreement. Pursuant to Wynn Resorts’ articles of incorporation, Wynn Resorts issued the Redemption Price Promissory Note (the “Note”) to Aruze USA, Inc. in redemption of the shares.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Note has a principal amount of $1,936,442,631.36, matures on February 18, 2022 and bears interest at the rate of 2% per annum, payable annually in arrears on each anniversary of the date of the Note. Wynn Resorts may, in its sole and absolute discretion, at any time and from time to time, and without penalty or premium, prepay the whole or any portion of the principal or interest due under the Note. In no instance shall any payment obligation under the Note be accelerated except in the sole and absolute discretion of Wynn Resorts or as specifically mandated by law. The indebtedness evidenced by the Note is and shall be subordinated in right of payment, to the extent and in the manner provided in the Note, to the prior payment in full of all existing and future obligations of Wynn Resorts or any of its affiliates in respect of indebtedness for borrowed money of any kind or nature.</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Artwork. </w:t>
      </w:r>
      <w:r>
        <w:rPr>
          <w:rFonts w:ascii="Arial" w:cs="Arial" w:eastAsia="Arial" w:hAnsi="Arial"/>
          <w:sz w:val="18"/>
          <w:szCs w:val="18"/>
          <w:color w:val="auto"/>
        </w:rPr>
        <w:t>Since June 2006, Wynn Las Vegas, LLC has leased certain pieces of fine art from Mr. Wynn for an annual fee of one dollar ($1). Wynn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LLC is responsible for all expenses incurred in exhibiting and safeguarding those works that it exhibits under the lease, including the cost of insurance (including terrorism insurance) and taxes.</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Surname and Rights of Publicity Agreements. </w:t>
      </w:r>
      <w:r>
        <w:rPr>
          <w:rFonts w:ascii="Arial" w:cs="Arial" w:eastAsia="Arial" w:hAnsi="Arial"/>
          <w:sz w:val="16"/>
          <w:szCs w:val="16"/>
          <w:color w:val="auto"/>
        </w:rPr>
        <w:t>On August 6, 2004, Wynn Resorts Holdings, LLC entered into agreements with Mr. Wynn that confirm and</w:t>
      </w:r>
      <w:r>
        <w:rPr>
          <w:rFonts w:ascii="Arial" w:cs="Arial" w:eastAsia="Arial" w:hAnsi="Arial"/>
          <w:sz w:val="16"/>
          <w:szCs w:val="16"/>
          <w:i w:val="1"/>
          <w:iCs w:val="1"/>
          <w:color w:val="auto"/>
        </w:rPr>
        <w:t xml:space="preserve"> </w:t>
      </w:r>
      <w:r>
        <w:rPr>
          <w:rFonts w:ascii="Arial" w:cs="Arial" w:eastAsia="Arial" w:hAnsi="Arial"/>
          <w:sz w:val="16"/>
          <w:szCs w:val="16"/>
          <w:color w:val="auto"/>
        </w:rPr>
        <w:t>clarify Wynn Resorts Holdings’ rights to use the “Wynn” name and Mr. Wynn’s persona in connection with its casino resorts. Under the parties’ Surname Rights Agreement, Mr. Wynn granted Wynn Resorts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Resorts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18" w:lineRule="exact"/>
        <w:rPr>
          <w:sz w:val="20"/>
          <w:szCs w:val="20"/>
          <w:color w:val="auto"/>
        </w:rPr>
      </w:pPr>
    </w:p>
    <w:p>
      <w:pPr>
        <w:jc w:val="center"/>
        <w:ind w:left="580" w:right="120"/>
        <w:spacing w:after="0" w:line="440" w:lineRule="auto"/>
        <w:rPr>
          <w:sz w:val="20"/>
          <w:szCs w:val="20"/>
          <w:color w:val="auto"/>
        </w:rPr>
      </w:pPr>
      <w:r>
        <w:rPr>
          <w:rFonts w:ascii="Arial" w:cs="Arial" w:eastAsia="Arial" w:hAnsi="Arial"/>
          <w:sz w:val="18"/>
          <w:szCs w:val="18"/>
          <w:i w:val="1"/>
          <w:iCs w:val="1"/>
          <w:color w:val="auto"/>
        </w:rPr>
        <w:t xml:space="preserve">Villa Lease. </w:t>
      </w:r>
      <w:r>
        <w:rPr>
          <w:rFonts w:ascii="Arial" w:cs="Arial" w:eastAsia="Arial" w:hAnsi="Arial"/>
          <w:sz w:val="18"/>
          <w:szCs w:val="18"/>
          <w:color w:val="auto"/>
        </w:rPr>
        <w:t>Mr. Wynn currently leases a villa suite at Wynn Las Vegas. Until March 31, 2011, Elaine P. Wynn also leased a villa suite at Wynn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On March 18, 2010, Mr. Wynn and Wynn Las Vegas, LLC entered into an Amended and Restated Agreement of Lease (the “SW Lease”) for a villa suite to serve as Mr. Wynn’s personal residence. The SW Lease amends and restates the prior lease. The SW Lease was approved by the Audit Committee of the Board of Directors of Wynn Resorts. The term of the lease commenced as of March 1, 2010 and runs concurrent with Mr. Wynn’s employment agreement with Wynn Resorts; provided that either party may terminate on 90 days notice. Pursuant to the SW Lease, the rental value of the villa suite will be treated as imputed income to Mr. Wynn, and will be equal to the fair market value of the accommodations provided. Effective March 1, 2010 through February 29, 2012, the rental value was $503,831 per year as determined by the Audit Committee with the assistance of a third-party appraisal. Effective March 1, 2012, the rental value is $440,000 per year based on the current fair market value as established by an independent third-party appraisal and approved by the Audit Committee. As provided in the lease, the rental value for Mr. Wynn’s villa will be re-determined every two years during the term of the lease based upon an independent third-party appraisal. Certain services for, and maintenance of, the villa suite are included in the rental, as well as the use of minimal warehouse space at Wynn Las Vegas.</w:t>
      </w:r>
    </w:p>
    <w:p>
      <w:pPr>
        <w:spacing w:after="0" w:line="10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17, 2010, Elaine P. Wynn and Wynn Las Vegas, LLC entered into an Agreement of Lease (the “New EW Lease”) for the lease of a villa suite as Elaine P. Wynn’s personal residence. The New EW Lease was approved by the Audit Committee of the Board of Directors of Wynn Resorts. The term of the lease commenced as of March 1, 2010 and terminated December 31, 2010. In 2011, the lease continued on a month-to-month basis and was terminated effective March 31, 2011. Pursuant to the terms of the New EW Lease, Elaine P. Wynn paid annual rent equal to $350,000, which amount was determined based on a third-party appraisal. Certain services for, and maintenance of, the villa suite were included in the rental.</w:t>
      </w:r>
    </w:p>
    <w:p>
      <w:pPr>
        <w:spacing w:after="0" w:line="116"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i w:val="1"/>
          <w:iCs w:val="1"/>
          <w:color w:val="auto"/>
        </w:rPr>
        <w:t xml:space="preserve">Home Purchase. </w:t>
      </w:r>
      <w:r>
        <w:rPr>
          <w:rFonts w:ascii="Arial" w:cs="Arial" w:eastAsia="Arial" w:hAnsi="Arial"/>
          <w:sz w:val="15"/>
          <w:szCs w:val="15"/>
          <w:color w:val="auto"/>
        </w:rPr>
        <w:t>In May 2010, Wynn Resorts entered into a new employment agreement with Linda Chen, who is also a director. The term of the new</w:t>
      </w:r>
      <w:r>
        <w:rPr>
          <w:rFonts w:ascii="Arial" w:cs="Arial" w:eastAsia="Arial" w:hAnsi="Arial"/>
          <w:sz w:val="15"/>
          <w:szCs w:val="15"/>
          <w:i w:val="1"/>
          <w:iCs w:val="1"/>
          <w:color w:val="auto"/>
        </w:rPr>
        <w:t xml:space="preserve"> </w:t>
      </w:r>
      <w:r>
        <w:rPr>
          <w:rFonts w:ascii="Arial" w:cs="Arial" w:eastAsia="Arial" w:hAnsi="Arial"/>
          <w:sz w:val="15"/>
          <w:szCs w:val="15"/>
          <w:color w:val="auto"/>
        </w:rPr>
        <w:t>employment agreement is through February 24, 2020. Under the terms of the new employment agreement, Wynn Resorts purchased a home in Macau for use by Ms. Chen for approximately $5.4 million, and through December 31, 2011, had made improvements with costs totaling $2.1 million to renovate the home. The employment agreement also provides Ms. Chen the use of an automobile in Macau. Upon the occurrence of certain events set forth below, Ms. Chen shall have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and (c) at a price based on the applicable Discount Percentage in the event Ms. Chen terminates the agreement due to material breach by Wynn Resorts. Upon Ms. Chen’s termination for “cause,” Ms. Chen will be deemed to have elected to purchase the Macau home based on the applicable Discount Percentage unless Wynn Resorts determines to not require Ms. Chen to purchase the home. If Ms. Chen’s employment terminates for any other reason before the expiration of the term (e.g., because of her death or disability or due to revocation of gaming license), the option will terminate.</w:t>
      </w:r>
    </w:p>
    <w:p>
      <w:pPr>
        <w:spacing w:after="0" w:line="11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Aircraft Arrangements. </w:t>
      </w:r>
      <w:r>
        <w:rPr>
          <w:rFonts w:ascii="Arial" w:cs="Arial" w:eastAsia="Arial" w:hAnsi="Arial"/>
          <w:sz w:val="16"/>
          <w:szCs w:val="16"/>
          <w:color w:val="auto"/>
        </w:rPr>
        <w:t>Messrs. Wynn and Schorr, Wynn Resorts’ Chief Operating Officer, have time-sharing agreements with Las Vegas Jet, LLC, a</w:t>
      </w:r>
      <w:r>
        <w:rPr>
          <w:rFonts w:ascii="Arial" w:cs="Arial" w:eastAsia="Arial" w:hAnsi="Arial"/>
          <w:sz w:val="16"/>
          <w:szCs w:val="16"/>
          <w:i w:val="1"/>
          <w:iCs w:val="1"/>
          <w:color w:val="auto"/>
        </w:rPr>
        <w:t xml:space="preserve"> </w:t>
      </w:r>
      <w:r>
        <w:rPr>
          <w:rFonts w:ascii="Arial" w:cs="Arial" w:eastAsia="Arial" w:hAnsi="Arial"/>
          <w:sz w:val="16"/>
          <w:szCs w:val="16"/>
          <w:color w:val="auto"/>
        </w:rPr>
        <w:t>wholly owned indirect subsidiary of Wynn Resorts, covering their personal use of company-owned aircraft. These time-share agreements require Wynn Resorts to include as taxable compensation of such executive, the direct costs that Wynn Resorts incurs in operating the aircraft, up to an amount determined by using the Internal Revenue Service Standard Industry Fare Level (SIFL) tables for his personal use the aircraft. During 2011, the following amounts were included in the executives’ taxable compensation pursuant to these timesharing arrangements: Mr. Wynn $324,186 and Mr. Schorr $136,534. In the event that direct costs in operating the aircraft exceed the amounts determined by using the SIFL method, such additional costs are paid for by Wynn Resorts.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Reimbursable Costs. </w:t>
      </w:r>
      <w:r>
        <w:rPr>
          <w:rFonts w:ascii="Arial" w:cs="Arial" w:eastAsia="Arial" w:hAnsi="Arial"/>
          <w:sz w:val="18"/>
          <w:szCs w:val="18"/>
          <w:color w:val="auto"/>
        </w:rPr>
        <w:t>Wynn Resorts periodically provides services to certain of its executive officers and directors, including the personal use of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work and other personal services. These certain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officers and directors have deposits with Wynn Resorts to prepay any such items. These deposits are replenished on an ongoing basis as needed. At December 31, 2011, Mr. Wynn and Elaine P. Wynn had net deposit balances with Wynn Resorts of $156,989 and $209,396, respectively. In addition, Wynn Resorts provides facilities, catering and related goods and services to all full-time employees at a discount depending on the amount spent, and provides certain other goods and services to some of it executives at a discount. Mr. Wynn paid Wynn Resorts approximately $1.9 million in 2011 for such services in connection with a special event.</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Tax Indemnification Agreement. </w:t>
      </w:r>
      <w:r>
        <w:rPr>
          <w:rFonts w:ascii="Arial" w:cs="Arial" w:eastAsia="Arial" w:hAnsi="Arial"/>
          <w:sz w:val="18"/>
          <w:szCs w:val="18"/>
          <w:color w:val="auto"/>
        </w:rPr>
        <w:t>In 2002, Stephen A. Wynn, Aruze USA, Inc., Baron Asset Fund, and the Kenneth R. Wynn Family Trust (referred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as the “Valvino members”), Valvino and Wynn Resorts entered into a tax indemnification agreement relating to their respective income tax liabilities from the contribution of their Valvino membership interests to Wynn Resorts. The tax indemnification agreement generally provides that the Valvino members will be indemnified by Wynn Resorts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In addition to the above, Wynn Resorts (or its subsidiaries) employs (a) Eddie Tseng, the spouse of Ms. Chen, President of Wynn International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Marketing and a director of Wynn Resorts, as Senior Vice President of Customer Development of Worldwide Wynn, LLC; (b) Michael Pascal, the brother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Elaine P. Wynn, as a Senior Executive Host of Wynn Las Vegas, and (c) Mr. Michael Pascal’s wife, Mary Ann Pascal, as a Host at Wynn Las Vegas. The Audit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of Wynn Resorts approved each such employment arrangement in advance and determined that compensation was at (or below) levels paid to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family members. Total compensation paid to the above named individuals for 2011 included the following amounts calculated in the same manner as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Summary Compensation Table values presented for named executive officers: (a) to Eddie Tseng, base salary and bonus of $572,000, and other compensation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$668, (b) to Michael Pascal, base salary and bonus of $147,500, and other compensation of $2,762, and (c) to Mary Ann Pascal, base salary and bonus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$240,000, and other compensation of $464. Wynn Resorts anticipates that these individuals will continue to serve in their respective positions during 2012.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2012, Wynn Resorts entered into a consulting agreement for internet marketing services with the daughter of Russell Goldsmith, a member of Wynn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Resorts’ board, for a fee of $10,000 per month.</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EXCHANGE OFFER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terms and conditions detailed in this prospectus, we will accept for exchange old notes that are properly tendered prior to the expiration date</w:t>
      </w:r>
    </w:p>
    <w:p>
      <w:pPr>
        <w:spacing w:after="0" w:line="5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and not withdrawn as permitted below. When we refer to the term expiration date, we mean 5:00 p.m., New York City time, , 2012. We may, however, extend the period of time that the exchange offer is open. In such event, the term expiration date means the latest time and date to which the exchange offer is extended.</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the date of this prospectus, $900,000,000 aggregate principal amount of old notes are outstanding. We are sending this prospectus, together with the letter of transmittal, to all holders of old notes that we are aware of on the date of this prospectus.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Old notes tendered in the exchange offer must be in denominations of principal amount of $2,000 and integral multiples of $1,000 in excess of $2,000.</w:t>
      </w:r>
    </w:p>
    <w:p>
      <w:pPr>
        <w:spacing w:after="0" w:line="1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to the exchange offer specified under “—Conditions to the Exchange Offer.” In the event of a material change in the exchange offer, including the waiver of a material condition, we will extend the offer period if necessary so that at least five business days remain in the offer following notice of the material change.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prior to the expiration date. In addition:</w:t>
      </w:r>
    </w:p>
    <w:p>
      <w:pPr>
        <w:spacing w:after="0" w:line="35"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prior to the expiration date, along with the letter of transmittal, or</w:t>
      </w:r>
    </w:p>
    <w:p>
      <w:pPr>
        <w:spacing w:after="0" w:line="90" w:lineRule="exact"/>
        <w:rPr>
          <w:rFonts w:ascii="Arial" w:cs="Arial" w:eastAsia="Arial" w:hAnsi="Arial"/>
          <w:sz w:val="18"/>
          <w:szCs w:val="18"/>
          <w:color w:val="auto"/>
        </w:rPr>
      </w:pPr>
    </w:p>
    <w:p>
      <w:pPr>
        <w:ind w:left="900" w:right="100" w:hanging="325"/>
        <w:spacing w:after="0" w:line="335" w:lineRule="auto"/>
        <w:tabs>
          <w:tab w:leader="none" w:pos="9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97 must be received by the exchange agent prior to the expiration date, with the letter of transmittal or an agent’s message in place of the letter of transmittal, or</w:t>
      </w:r>
    </w:p>
    <w:p>
      <w:pPr>
        <w:spacing w:after="0" w:line="7" w:lineRule="exact"/>
        <w:rPr>
          <w:rFonts w:ascii="Arial" w:cs="Arial" w:eastAsia="Arial" w:hAnsi="Arial"/>
          <w:sz w:val="15"/>
          <w:szCs w:val="15"/>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51" w:lineRule="exact"/>
        <w:rPr>
          <w:sz w:val="20"/>
          <w:szCs w:val="20"/>
          <w:color w:val="auto"/>
        </w:rPr>
      </w:pPr>
    </w:p>
    <w:p>
      <w:pPr>
        <w:ind w:left="900" w:right="4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duly executed by the registered holders with the signature thereon guaranteed by an Eligible Institution.</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or the exchange agent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or our counsel’s judgment,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2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8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90"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holder is not our “affiliate,” as defined in Rule 405 under the Securities Act;</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such holder is not engaged in and does not intend to engage in a distribution of the new notes.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4"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offer, resale or other transfer of the new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notes issued in the exchange offer, including information with respect to any selling holder required by the Securities Act in connection with any resale of the new notes.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jc w:val="both"/>
        <w:ind w:left="900" w:right="40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 See “Plan of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notes. See “—Conditions to the Exchange Offer.” For purposes of the exchange offer, we will be deemed to have accepted properly tendered old notes for exchange if and when we give oral (confirmed in writing) or written notice to the exchange agent.</w:t>
      </w:r>
    </w:p>
    <w:p>
      <w:pPr>
        <w:spacing w:after="0" w:line="107"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notes. Accordingly, holders of new notes on the record date for the first interest payment date following the consummation of the exchange offer will receive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13"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entry procedures described below, the non-exchanged old notes will be credited to an account maintained with DTC, as promptly as practicable after the expiration or termination of the exchange offer.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 an agent’s message in lieu thereof, with any required signature guarantees and any other required documents, must, in any case, be transmitted to and received by the exchange agent at the address set forth under “—Exchange Agent” prior to the expiration date or the guaranteed delivery procedures described below must be complied with.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51" w:lineRule="exact"/>
        <w:rPr>
          <w:sz w:val="20"/>
          <w:szCs w:val="20"/>
          <w:color w:val="auto"/>
        </w:rPr>
      </w:pPr>
    </w:p>
    <w:p>
      <w:pPr>
        <w:ind w:left="900" w:hanging="325"/>
        <w:spacing w:after="0" w:line="290"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receives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37" w:lineRule="exact"/>
        <w:rPr>
          <w:rFonts w:ascii="Arial" w:cs="Arial" w:eastAsia="Arial" w:hAnsi="Arial"/>
          <w:sz w:val="16"/>
          <w:szCs w:val="16"/>
          <w:color w:val="auto"/>
        </w:rPr>
      </w:pPr>
    </w:p>
    <w:p>
      <w:pPr>
        <w:ind w:left="900" w:right="20" w:hanging="325"/>
        <w:spacing w:after="0" w:line="25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the address set forth under “—Exchange Agent.” This notice must specify:</w:t>
      </w:r>
    </w:p>
    <w:p>
      <w:pPr>
        <w:spacing w:after="0" w:line="51"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4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prior to the expiration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the expiration of the exchange offer:</w:t>
      </w:r>
    </w:p>
    <w:p>
      <w:pPr>
        <w:spacing w:after="0" w:line="4"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32"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conditions stated above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indenture is no longer qualified under the Trust Indenture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55107-1419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 Dept.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651-466-7372</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 expenses, including fees and expenses of the trustee under the indenture relating to the notes, filing fees, blue sky fees and printing and distribution expenses. We will not make any payment to brokers, dealers or others soliciting acceptances of the exchange offer.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record the new notes at the same carrying value as the old notes, as reflected in our accounting records on the date of the exchange. Accordingly, we will not recognize any gain or loss for accounting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you do not exchange your old notes for new notes in the exchange offer, your old notes will continue to be subject to the provisions of the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 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4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any purchaser of new notes who is one of our “affiliates” as defined in Rule 405 under the Securities Act or who intends to participate in the exchange offer for the purpose of distributing the new notes:</w:t>
      </w:r>
    </w:p>
    <w:p>
      <w:pPr>
        <w:spacing w:after="0" w:line="51"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NEW NOTES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 You can find the definitions of certain terms used in this description under the subheading “Certain Definitions.” The Issuers will issue the new notes under an indenture (as amended or supplemented from time to time, the “Indenture”), dated as of March 12, 2012, among the Issuers, as joint and several obligors, the Guarantors and U.S. Bank National Association, as trustee (the “trustee”). In September 2012, the Note Guarantees of the Guarantors were released. See “Summary—Recent Developments.” The Indenture is the same indenture under which the old notes were issued. The terms of the new notes will include those stated in the Indenture and those made part of the Indenture by reference to the Trust Indenture Act of 1939, as amended. The term “Notes” shall include the new notes and the old notes that remain outstanding following this exchange offer, and the term “Note Guarantees” shall include any future guarantees of the new notes.</w:t>
      </w:r>
    </w:p>
    <w:p>
      <w:pPr>
        <w:spacing w:after="0" w:line="12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It does not restate the Indenture in its entirety. We urge you to read the Indenture and the other agreements referred to under “—Additional Information” because such documents, and not this description, define your rights as holders of the Notes. Copies of the Indenture and such other agreements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Notes Versus the Old Notes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new notes are substantially identical to the old notes except that the transfer restrictions, registration rights and liquidated damages provisions relating to the old notes do not apply to the new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New Notes and the Note Guarantees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i w:val="1"/>
          <w:iCs w:val="1"/>
          <w:color w:val="auto"/>
        </w:rPr>
        <w:t xml:space="preserve">Issuers. </w:t>
      </w:r>
      <w:r>
        <w:rPr>
          <w:rFonts w:ascii="Arial" w:cs="Arial" w:eastAsia="Arial" w:hAnsi="Arial"/>
          <w:sz w:val="15"/>
          <w:szCs w:val="15"/>
          <w:color w:val="auto"/>
        </w:rPr>
        <w:t>Wynn Las Vegas owns and operates the Wynn Las Vegas hotel and casino resort. Wynn Capital is a Wholly Owned Subsidiary of Wynn Las Vegas,</w:t>
      </w:r>
      <w:r>
        <w:rPr>
          <w:rFonts w:ascii="Arial" w:cs="Arial" w:eastAsia="Arial" w:hAnsi="Arial"/>
          <w:sz w:val="15"/>
          <w:szCs w:val="15"/>
          <w:i w:val="1"/>
          <w:iCs w:val="1"/>
          <w:color w:val="auto"/>
        </w:rPr>
        <w:t xml:space="preserve"> </w:t>
      </w:r>
      <w:r>
        <w:rPr>
          <w:rFonts w:ascii="Arial" w:cs="Arial" w:eastAsia="Arial" w:hAnsi="Arial"/>
          <w:sz w:val="15"/>
          <w:szCs w:val="15"/>
          <w:color w:val="auto"/>
        </w:rPr>
        <w:t>and will serve as a corporate co-issuer of the new notes (and serves as a corporate co-issuer of the old notes). We believe that certain prospective investors in the new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notes should not expect Wynn Capital to participate in servicing principal, interest or other amounts required to be paid on the new notes.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notes:</w:t>
      </w:r>
    </w:p>
    <w:p>
      <w:pPr>
        <w:spacing w:after="0" w:line="90"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will be issued in an original aggregate principal amount of up to $900,000,000;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will mature on March 15, 2022;</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will bear interest at the rate of 5.375% per annum (based on a 360-day year of twelve 30-day months), payable in arrears each March 15 and September 15;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March 15, 2017, at a premium declining ratably to par;</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proceeds upon the occurrence of an Asset Sale or, in some circumstances, an Event of Loss and will not have any provision for sinking funds; and</w:t>
      </w:r>
    </w:p>
    <w:p>
      <w:pPr>
        <w:spacing w:after="0" w:line="113" w:lineRule="exact"/>
        <w:rPr>
          <w:sz w:val="20"/>
          <w:szCs w:val="20"/>
          <w:color w:val="auto"/>
        </w:rPr>
      </w:pPr>
    </w:p>
    <w:p>
      <w:pPr>
        <w:ind w:left="900" w:right="220" w:hanging="325"/>
        <w:spacing w:after="0" w:line="306"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i w:val="1"/>
          <w:iCs w:val="1"/>
          <w:color w:val="auto"/>
        </w:rPr>
        <w:t>Guarantors</w:t>
      </w:r>
      <w:r>
        <w:rPr>
          <w:rFonts w:ascii="Arial" w:cs="Arial" w:eastAsia="Arial" w:hAnsi="Arial"/>
          <w:sz w:val="16"/>
          <w:szCs w:val="16"/>
          <w:color w:val="auto"/>
        </w:rPr>
        <w:t>. The new notes are not guaranteed; however, under the circumstances described below under “—Release and Reinstatement of Liens and</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certain of our Subsidiaries may be required to provide Note Guarantees of the notes in the future.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Ranking</w:t>
      </w:r>
      <w:r>
        <w:rPr>
          <w:rFonts w:ascii="Arial" w:cs="Arial" w:eastAsia="Arial" w:hAnsi="Arial"/>
          <w:sz w:val="18"/>
          <w:szCs w:val="18"/>
          <w:color w:val="auto"/>
        </w:rPr>
        <w:t>. The new notes offered in this exchange offer:</w:t>
      </w:r>
    </w:p>
    <w:p>
      <w:pPr>
        <w:spacing w:after="0" w:line="90"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will be general obligations of the Issuers;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will be unsecured (except by a pledge by Wynn Resorts Holdings of its Equity Interests in Wynn Las Vegas (the “Holdings Pledge”), which pledge also secures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senior Indebtedness of the Issuers, including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 without giving effect to collateral arrangements;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will be effectively subordinated to any secured Indebtedness of the Issuers to the extent of the value of the Issuers’ assets securing such Indebtedness;</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will rank senior in right of payment to the obligations of the Issuers with respect to any Indebtedness subordinated to the new notes;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will be structurally subordinated to any Indebtedness and other liabilities, including preferred stock, of any of our subsidiaries.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As of June 30, 2012, the Issuers’ subsidiaries had approximately $34.7 million of indebtedness and other liabilities, to which the new notes will be structurally subordinated. As of the date of this prospectus, the Issuers have no secured indebtedness (other than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Notes, each of which is secured only by the Holdings Pledge, and capital leases).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 and Reinstatement of Liens and Guarantees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As described under “Summary—Recent Developments,” in September 2012, we terminated the Credit Agreement and, in accordance with the Indenture and the indentures governing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w:t>
      </w:r>
    </w:p>
    <w:p>
      <w:pPr>
        <w:spacing w:after="0" w:line="51" w:lineRule="exact"/>
        <w:rPr>
          <w:sz w:val="20"/>
          <w:szCs w:val="20"/>
          <w:color w:val="auto"/>
        </w:rPr>
      </w:pPr>
    </w:p>
    <w:p>
      <w:pPr>
        <w:ind w:left="900" w:right="26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Liens (other than the Holdings Pledge) on the Collateral securing, and the subsidiary guarantees of,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 were released and a Collateral Release Period commenced; and</w:t>
      </w:r>
    </w:p>
    <w:p>
      <w:pPr>
        <w:spacing w:after="0" w:line="50"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terminated the Golf Course Lease and the Access Easement Agreement and distributed to Wynn Holdings (which distributed to Wynn Resorts) as Released Assets (i) all of the Equity Interests in Wynn Golf (which owns the Golf Course Land (including the Home Site Land and the Wynn Home Site Land), the related Water Rights and certain other Water Rights related to ancillary uses), and (ii) $700 million in cash.</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Accordingly, in this “Description of the New Notes” (i) all references to the Golf Course Land, the Home Site Land, the Wynn Home Site Land, the related Water Rights, the Golf Course Lease and the Access Easement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Agreement are no longer applicable, (ii) all references to Collateral (including Events of Loss) and similar references apply only to the Holdings Pledge, as applicable, unless the Notes are again secured by other Collateral, (iii) all references to Note Guarantees and similar references apply only in the circumstances in which the Notes again have the benefit of Note Guarantees as described below, and (iv) all assets (other than the Equity Interests held by Wynn Resorts Holdings in Wynn Las Vegas) that were Collateral before such release now constitute Released Assets. In addition, as of the date of this prospectus, we do not currently have a Credit Agreement.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Reinstatement of Liens and Guarantees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Under certain circumstances, as further described below, we may be required in the future to grant Liens to again secure the Notes or certain of our Restricted Subsidiaries may be required to provide Note Guarantees of the Notes. There can be no assurances that the Notes will be so secured or will have the benefit of any Note Guarantees in the future.</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that the Issuers or any such future Guarantors grant Liens (other than Liens to secure up to $100.0 million of secured Indebtedness pursuant to the first paragraph of “Certain Covenants—Incurrence of Indebtedness and Issuance of Disqualified Stock” or clause (1) of “Permitted Debt”) to secure any other Indebtedness (other than pursuant to clause (7) of “Permitted Debt”):</w:t>
      </w:r>
    </w:p>
    <w:p>
      <w:pPr>
        <w:spacing w:after="0" w:line="59" w:lineRule="exact"/>
        <w:rPr>
          <w:sz w:val="20"/>
          <w:szCs w:val="20"/>
          <w:color w:val="auto"/>
        </w:rPr>
      </w:pPr>
    </w:p>
    <w:p>
      <w:pPr>
        <w:ind w:left="900" w:right="4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Issuers or such future Guarantors, as the case may be, shall be required to grant security interests on the same assets to secure the Issuers’ obligations under the Notes and such Guarantors’ obligations under the Note Guarantees on an equal and ratable basis with such other Indebtedness, so long as such other Indebtedness is so secured;</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 and the Collateral Agent shall be authorized, on behalf of the Holders, to enter into an intercreditor agreement substantially similar to the Intercreditor Agreement; and</w:t>
      </w:r>
    </w:p>
    <w:p>
      <w:pPr>
        <w:spacing w:after="0" w:line="50" w:lineRule="exact"/>
        <w:rPr>
          <w:rFonts w:ascii="Arial" w:cs="Arial" w:eastAsia="Arial" w:hAnsi="Arial"/>
          <w:sz w:val="18"/>
          <w:szCs w:val="18"/>
          <w:color w:val="auto"/>
        </w:rPr>
      </w:pPr>
    </w:p>
    <w:p>
      <w:pPr>
        <w:ind w:left="900" w:right="240" w:hanging="325"/>
        <w:spacing w:after="0" w:line="335" w:lineRule="auto"/>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 xml:space="preserve">concurrently with the formation or acquisition of certain Restricted Subsidiaries of Wynn Las Vegas, Wynn Las Vegas shall cause such Restricted Subsidiary to guarantee all of the obligations of the Issuers under the Indenture and the Notes (which event also will require such Subsidiary to guarantee all of the obligations of the Issuers under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and the related indentures).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Issuers will issue up to $900,000,000 in aggregate principal amount of new notes in this exchange offer. The Issuers may issue additional Notes under the Indenture from time to time after this exchange offer. Any issuance of additional Notes is subject to all of the covenants in the Indenture, including the covenant described below under the caption “—Certain Covenants—Incurrence of Indebtedness and Issuance of Disqualified Stock.” The Notes and any additional Notes subsequently issued under the Indenture will be treated as a single class for all purposes under the Indenture, including, without limitation, waivers, amendments, redemptions and offers to purchase. It is possible, however, that any such additional Notes will not be treated as part of the same issue for United States federal income tax purposes. The Issuers will issue new notes in denominations of $2,000 and integral multiples of $1,000 in excess of $2,000. The new notes will mature on March 15, 2022.</w:t>
      </w:r>
    </w:p>
    <w:p>
      <w:pPr>
        <w:spacing w:after="0" w:line="11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Interest on the new notes will accrue at the rate of 5.375% per annum and is payable semiannually in arrears on March 15 and September 15, with the first interest payment date being September 15, 2012. Interest on overdue principal and interest will accrue at a rate that is 1% higher than the then applicable interest rate on the new notes. The Issuers will make each interest payment to the holders of record on the immediately preceding March 1 and September 1.</w:t>
      </w:r>
    </w:p>
    <w:p>
      <w:pPr>
        <w:spacing w:after="0" w:line="107"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Interest on the new notes accrues from the date of original issuance of the old notes or, if interest has already been paid, from the date it was most recently paid on the new notes (or the old notes surrendered 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exchange for the new notes). Interest will be computed on the basis of a 360-day year comprised of twelve 30-day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All payments on the Notes will be made at the office or agency of the paying agent and registrar within the City and State of New York unless the Issuers elect to make interest payments by check mailed to the holders of the Notes at their addresses set forth in the register of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Notes, and either or both of the Issuers or any of their respective Subsidiaries may act as paying agent or registrar.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due on transfer. The Issuers will not be required to transfer or exchange any Note selected for redemption. Also, the Issuers will not be required to transfer or exchange any Note for a period of 15 days before a selection of Notes to be redeemed.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the event that the Notes have the benefit of any future Note Guarantees, the Note Guarantees would be joint and several obligations of the Guarantors and the obligations of each Guarantor under its Note Guarantee would be limited as necessary to prevent such Note Guarantee from constituting a fraudulent conveyance under applicable law. Federal and state statutes allow courts, under specific circumstances, to void the guarantees, and require holders of the Notes to return payments received from us or the Guarantors. There can be no assurances that the Notes will have the benefit of any Note Guarantees in the future.</w:t>
      </w:r>
    </w:p>
    <w:p>
      <w:pPr>
        <w:spacing w:after="0" w:line="9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Guarantor (if any) may not sell or otherwise dispose of all or substantially all of its assets to, or consolidate with or merge with or into (whether or not such Guarantor is the surviving Person), another Person, other than either of the Issuers or another Guarantor, unless:</w:t>
      </w:r>
    </w:p>
    <w:p>
      <w:pPr>
        <w:spacing w:after="0" w:line="51"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jc w:val="both"/>
        <w:ind w:left="900" w:right="140" w:hanging="446"/>
        <w:spacing w:after="0" w:line="259"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Net Proceeds of such sale or other disposition are applied in accordance with the applicable provisions of the Indenture.</w:t>
      </w:r>
    </w:p>
    <w:p>
      <w:pPr>
        <w:spacing w:after="0" w:line="171" w:lineRule="exact"/>
        <w:rPr>
          <w:sz w:val="20"/>
          <w:szCs w:val="20"/>
          <w:color w:val="auto"/>
        </w:rPr>
      </w:pPr>
    </w:p>
    <w:p>
      <w:pPr>
        <w:jc w:val="center"/>
        <w:ind w:right="420"/>
        <w:spacing w:after="0" w:line="440" w:lineRule="auto"/>
        <w:rPr>
          <w:sz w:val="20"/>
          <w:szCs w:val="20"/>
          <w:color w:val="auto"/>
        </w:rPr>
      </w:pPr>
      <w:r>
        <w:rPr>
          <w:rFonts w:ascii="Arial" w:cs="Arial" w:eastAsia="Arial" w:hAnsi="Arial"/>
          <w:sz w:val="18"/>
          <w:szCs w:val="18"/>
          <w:color w:val="auto"/>
        </w:rPr>
        <w:t>Notwithstanding the foregoing, each Guarantor (if any) is permitted to reorganize as a corporation pursuant to a Permitted C-Corp. Conversion. 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Release of Note Guarantees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compliance with the provisions described above under the caption “—Note Guarantees— General,” the Note Guarantee of a Guarantor (if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the security interests granted by that Guarantor to secure its Note Guarantees (if any) will be released:</w:t>
      </w:r>
    </w:p>
    <w:p>
      <w:pPr>
        <w:spacing w:after="0" w:line="84" w:lineRule="exact"/>
        <w:rPr>
          <w:sz w:val="20"/>
          <w:szCs w:val="20"/>
          <w:color w:val="auto"/>
        </w:rPr>
      </w:pPr>
    </w:p>
    <w:p>
      <w:pPr>
        <w:ind w:left="460" w:right="20" w:hanging="452"/>
        <w:spacing w:after="0" w:line="254"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lenders under the Credit Agreement release the guarantees by such Guarantor under the Credit Agreement (provided that it will not be deemed to be a release of the first priority security interest requiring the automatic release by the holders of the Notes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3"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Guarantor (including by way of merger or consolidation) to a Person that is not (either before or after giving 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62"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Sales” provisions of the Indenture;</w:t>
      </w:r>
    </w:p>
    <w:p>
      <w:pPr>
        <w:spacing w:after="0" w:line="59"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Wynn Las Vegas designates such Guarantor, if a Restricted Subsidiary,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See “—Repurchase at the Option of Holders—Asset Sales” and “—Certain Covenants—Designation of Restricted and Unrestricted Subsidiaries.”</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the Collateral is released under the circumstances described above under the caption “—Release and Reinstatement of Liens and Guarantees—Subsequent Releases of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At any time prior to March 15, 2015, the Issuers may, on any one or more occasions, redeem up to 35% of the aggregate principal amount of Notes issued under the Indenture at a redemption price of 105.375%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Notes issued under the Indenture remains outstanding immediately after the occurrence of such redemption and that the redemption occurs within 60 days of the date of the closing of such Qualified Equity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Notes will not be redeemable at the Issuers’ option prior to March 15, 2017.</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or after March 15, 2017,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redemption date, if redeemed during the twelve-month period beginning on March 15 of the years indicated below, subject to the rights of holders of Notes on the relevant record date to receive interest on the relevant interest payment date:</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66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6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2017</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102.688%</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101.792%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100.896%</w:t>
            </w: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2020 and thereafter</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Notes or portions thereof called for redemption on the applicable redemption date.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62" w:lineRule="exact"/>
        <w:rPr>
          <w:sz w:val="20"/>
          <w:szCs w:val="20"/>
          <w:color w:val="auto"/>
        </w:rPr>
      </w:pPr>
    </w:p>
    <w:p>
      <w:pPr>
        <w:ind w:left="460" w:right="36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90" w:lineRule="exact"/>
        <w:rPr>
          <w:rFonts w:ascii="Arial" w:cs="Arial" w:eastAsia="Arial" w:hAnsi="Arial"/>
          <w:sz w:val="18"/>
          <w:szCs w:val="18"/>
          <w:color w:val="auto"/>
        </w:rPr>
      </w:pPr>
    </w:p>
    <w:p>
      <w:pPr>
        <w:jc w:val="both"/>
        <w:ind w:left="1480" w:right="420" w:hanging="567"/>
        <w:spacing w:after="0" w:line="305" w:lineRule="auto"/>
        <w:tabs>
          <w:tab w:leader="none" w:pos="1480" w:val="left"/>
        </w:tabs>
        <w:numPr>
          <w:ilvl w:val="2"/>
          <w:numId w:val="76"/>
        </w:numPr>
        <w:rPr>
          <w:rFonts w:ascii="Arial" w:cs="Arial" w:eastAsia="Arial" w:hAnsi="Arial"/>
          <w:sz w:val="15"/>
          <w:szCs w:val="15"/>
          <w:color w:val="auto"/>
        </w:rPr>
      </w:pPr>
      <w:r>
        <w:rPr>
          <w:rFonts w:ascii="Arial" w:cs="Arial" w:eastAsia="Arial" w:hAnsi="Arial"/>
          <w:sz w:val="15"/>
          <w:szCs w:val="15"/>
          <w:color w:val="auto"/>
        </w:rPr>
        <w:t>the price that the holder or beneficial owner paid for the Notes in either case, together with accrued and unpaid interest and Liquidated Damages, if any, on the Notes to the earlier of (1) the date of redemption or such earlier date as is required by the Gaming Authority or</w:t>
      </w:r>
    </w:p>
    <w:p>
      <w:pPr>
        <w:ind w:left="1480"/>
        <w:spacing w:after="0"/>
        <w:rPr>
          <w:rFonts w:ascii="Arial" w:cs="Arial" w:eastAsia="Arial" w:hAnsi="Arial"/>
          <w:sz w:val="15"/>
          <w:szCs w:val="15"/>
          <w:color w:val="auto"/>
        </w:rPr>
      </w:pPr>
      <w:r>
        <w:rPr>
          <w:rFonts w:ascii="Arial" w:cs="Arial" w:eastAsia="Arial" w:hAnsi="Arial"/>
          <w:sz w:val="16"/>
          <w:szCs w:val="16"/>
          <w:color w:val="auto"/>
        </w:rPr>
        <w:t>(2) the date of the finding of unsuitability by the Gaming Authority, which may be less than 30 days following the notice of redemption.</w:t>
      </w:r>
    </w:p>
    <w:p>
      <w:pPr>
        <w:spacing w:after="0" w:line="1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51"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 described in this section.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of Control</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a Change of Control occurs, each holder of Notes will have the right to require the Issuers to repurchase all or any part (equal to $2,000 or an integral multiple of $1,000 in excess of $2,000) of that holder’s Notes pursuant to a Change of Control Offer on the terms set forth in the Indenture. In the Change of Control Offer, the Issuers will offer a payment (the “Change of Control Payment”) in cash equal to 101% of the aggregate principal amount of Notes repurchased plus accrued and unpaid interest and Liquidated Damages, if any, on the Notes repurchased to the date of purchase. Within 10 days following any Change of Control, the Issuers will mail a notice to each holder describing the transaction or transactions that constitute the Change of Control and offering to repurchase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113"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paying agent will promptly mail to each holder of Notes properly tendered the Change of Control Payment for such Notes, and the trustee will promptly authenticate and mail (or cause to be transferred by book-entry) to each holder a Note equal in principal amount to any unpurchased portion of the Notes surrendered, if any. The Issuers will publicly announce the results of the Change of Control Offer on or as soon as practicable after the Change of Control Payment Date.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described above with respect to a Change of Control, the Indenture does not contain provisions that permit the holders of the Notes to require that the Issuers repurchase or redeem the Notes in the event of a takeover, recapitalization or similar transaction.</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 The definition of “Change of Control” includes a phrase relating to the direct or indirect sale, lease, transfer, conveyance or other disposition of “all or substantially all” of the properties or assets of Wynn Las Vegas and its Restricted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and its Restricted Subsidiaries, taken as a whole, to another Person or group may be uncertain.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ind w:left="460" w:right="20" w:hanging="452"/>
        <w:spacing w:after="0" w:line="25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any liabilities, as shown on Wynn Las Vegas’ most recent consolidated balance sheet, of Wynn Las Vegas or any Restricted Subsidiary (other than contingent liabilities and liabilities that are by their terms subordinated to the Notes or any Note Guarantee) that are assumed by the transferee of any such assets pursuant to a customary novation agreement that releases Wynn Las Vegas or such Restricted Subsidiary from further liability; and</w:t>
      </w:r>
    </w:p>
    <w:p>
      <w:pPr>
        <w:spacing w:after="0" w:line="25" w:lineRule="exact"/>
        <w:rPr>
          <w:rFonts w:ascii="Arial" w:cs="Arial" w:eastAsia="Arial" w:hAnsi="Arial"/>
          <w:sz w:val="16"/>
          <w:szCs w:val="16"/>
          <w:color w:val="auto"/>
        </w:rPr>
      </w:pPr>
    </w:p>
    <w:p>
      <w:pPr>
        <w:ind w:left="900" w:right="360" w:hanging="446"/>
        <w:spacing w:after="0" w:line="370" w:lineRule="auto"/>
        <w:tabs>
          <w:tab w:leader="none" w:pos="900" w:val="left"/>
        </w:tabs>
        <w:numPr>
          <w:ilvl w:val="1"/>
          <w:numId w:val="79"/>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subject to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subject to other Permitted Liens and the terms of the Intercreditor Agreement) in favor of the trustee, on behalf of the holders of Notes, as security for the Notes.</w:t>
      </w:r>
    </w:p>
    <w:p>
      <w:pPr>
        <w:spacing w:after="0" w:line="12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Net Proceeds from Asset Sales that are not applied or invested as provided in the preceding paragraph will constitute “Excess Net Proceeds.” Within 10 days following the earlier of (i) the date on which the aggregate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 xml:space="preserve">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“Excess Proceeds”), Wynn Las Vegas will allocate a portion of such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“Asset Sale Offer Amount”), to make an offer (an “Asset Sale Offer”)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will be payable in cash. The amount of any such Excess Proceeds less the Asset Sale Offer Amount (the “Asset Sale Repayment Amount”) will concurrently be applied to repay any term Indebtedness outstanding under the Credit Agreement in accordance with the requirements of the Credit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will select the Notes and such other Pari Passu Debt to be purchased as described below under the caption “—Selection and Notice” and in accordance with the Indenture. Upon completion of each Asset Sale Offer, the amount of Excess Proceeds will be reset at zero.</w:t>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Events of Loss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After any Event of Loss with respect to Collateral,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$500.0 million:</w:t>
      </w:r>
    </w:p>
    <w:p>
      <w:pPr>
        <w:spacing w:after="0" w:line="26" w:lineRule="exact"/>
        <w:rPr>
          <w:sz w:val="20"/>
          <w:szCs w:val="20"/>
          <w:color w:val="auto"/>
        </w:rPr>
      </w:pPr>
    </w:p>
    <w:p>
      <w:pPr>
        <w:ind w:left="460" w:right="20" w:hanging="452"/>
        <w:spacing w:after="0" w:line="332"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4" w:lineRule="exact"/>
        <w:rPr>
          <w:rFonts w:ascii="Arial" w:cs="Arial" w:eastAsia="Arial" w:hAnsi="Arial"/>
          <w:sz w:val="16"/>
          <w:szCs w:val="16"/>
          <w:color w:val="auto"/>
        </w:rPr>
      </w:pPr>
    </w:p>
    <w:p>
      <w:pPr>
        <w:ind w:left="460" w:right="200" w:hanging="452"/>
        <w:spacing w:after="0" w:line="294"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34"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Wynn Las Vegas Resort or Encore at Wynn Las Vegas,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 Certain Covenants—Line of Business.”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Any Net Loss Proceeds that are (1) not reinvested as provided in the first sentence of this covenant or (2) otherwise required, pursuant to the Credit Agreement, to be applied to reduce Indebtedness of Wynn Las Vegas, in each case, will be deemed “Excess Loss Proceeds.”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“Event of Loss Offer Amount”), to make an offer (an “Event of Loss Offer”)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will be payable in cash. The amount of any such Excess Loss Proceeds less the Event of Loss Offer Amount (the “Event of Loss Repayment Amount”) will concurrently be applied to repay any Indebtedness outstanding under the Credit Agreement in accordance with the requirements of the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the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the Notes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 Loss Offer Amount that may be applied to the Event of Loss Offer, the trustee will select the Notes and such other Pari Passu Debt to be purchased as described below under the caption “—Selection and Notice” and in accordance with the Indenture. Upon completion of each Event of Loss Offer, the amount of Excess Loss Proceeds will be reset at zero. Any Event of Loss Offer made pursuant to the terms of the indenture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or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shall be required to be made to the holders of the Notes, as holders of Pari Passu Debt (as defined in those indentures).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Event of Loss Offer Amount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Pending their application, all Net Loss Proceeds will either be (1) applied to temporarily reduce amounts outstanding under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subject to other Permitted Liens and the terms of the Intercreditor Agreement). These funds and securities will be released to Wynn Las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$500.0 million, Wynn Las Vegas (or the applicable Restricted Subsidiary, as the case may be) will be required to receive consideration:</w:t>
      </w:r>
    </w:p>
    <w:p>
      <w:pPr>
        <w:spacing w:after="0" w:line="59" w:lineRule="exact"/>
        <w:rPr>
          <w:sz w:val="20"/>
          <w:szCs w:val="20"/>
          <w:color w:val="auto"/>
        </w:rPr>
      </w:pPr>
    </w:p>
    <w:p>
      <w:pPr>
        <w:ind w:left="460" w:right="14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460" w:right="6380" w:hanging="452"/>
        <w:spacing w:after="0" w:line="438" w:lineRule="auto"/>
        <w:tabs>
          <w:tab w:leader="none" w:pos="4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at least 80% of which is in the form of cash or Cash Equivalents. </w:t>
      </w:r>
      <w:r>
        <w:rPr>
          <w:rFonts w:ascii="Arial" w:cs="Arial" w:eastAsia="Arial" w:hAnsi="Arial"/>
          <w:sz w:val="18"/>
          <w:szCs w:val="18"/>
          <w:i w:val="1"/>
          <w:iCs w:val="1"/>
          <w:color w:val="auto"/>
        </w:rPr>
        <w:t>Restrictions on Repurchase of Notes</w:t>
      </w:r>
    </w:p>
    <w:p>
      <w:pPr>
        <w:spacing w:after="0" w:line="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agreements governing our other Indebtedness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(if any)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an Asset Sale Offer or Event of Loss Offer may be limited by Wynn Las Vegas’ then existing financial resources. See “Risk Factors—Risks Related to the Notes—We may not be able to fulfill our repurchase obligations with respect to the Notes upon a change of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Securities 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If less than all of the Notes are to be redeemed at any time, the trustee will select Notes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any other method the trustee deems fair and appropriate, unless otherwise required by law or applicable stock exchange requirements. No Notes of $1,000 or less can be redeemed or purchased in part. However, if all of the Notes of a holder are to be redeemed or purchased, the entire outstanding amount of Notes held by such holder, even if not a multiple of $1,000, will be redeemed or purchased. Notices of redemption or purchase will be mailed by first class mail at least 30 but not more than 60 days before the redemption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purchase date to each holder of Notes to be redeemed or purchased at its registered address, except that redemption or purchase notices may be mailed more than 60 days prior to a redemption or purchase date if the notice is issued in connection with a defeasance of the Notes or a satisfaction and discharge of the Indenture. Notices of redemption may not be conditional.</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300" w:hanging="452"/>
        <w:spacing w:after="0" w:line="284"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in Wynn Las Vegas or any of its Restricted Subsidiaries or to the direct or indirect holders of any Equity Interests in Wynn Las Vegas or any of its Restricted Subsidiaries in their capacity as such, other than (a) dividends or distributions by Wynn Las Vegas payable in Equity Interests (other than Disqualified Stock) in Wynn Las Vegas, and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 dividends or distributions payable to Wynn Las Vegas or any of its Restricted Subsidiaries;</w:t>
      </w:r>
    </w:p>
    <w:p>
      <w:pPr>
        <w:spacing w:after="0" w:line="83" w:lineRule="exact"/>
        <w:rPr>
          <w:rFonts w:ascii="Arial" w:cs="Arial" w:eastAsia="Arial" w:hAnsi="Arial"/>
          <w:sz w:val="16"/>
          <w:szCs w:val="16"/>
          <w:color w:val="auto"/>
        </w:rPr>
      </w:pPr>
    </w:p>
    <w:p>
      <w:pPr>
        <w:ind w:left="460" w:right="640" w:hanging="452"/>
        <w:spacing w:after="0" w:line="268"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in Wynn Las Vegas, any direct or indirect parent of Wynn Las Vegas (including, without limitation, Wynn Resorts) or any other direct or indirect Subsidiary of Wynn Resorts;</w:t>
      </w:r>
    </w:p>
    <w:p>
      <w:pPr>
        <w:spacing w:after="0" w:line="50"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Notes or the Guarantees or that is expressly subordinated in right of payment to the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“Restricted Payments”), unless, at the time of and after giving effect to such Restricted Payment:</w:t>
      </w:r>
    </w:p>
    <w:p>
      <w:pPr>
        <w:spacing w:after="0" w:line="51"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Wynn Las Vegas would, at the time of such Restricted Payment and after giving pro forma effect thereto, have been permitted to incur at least $1.00 of additional Indebtedness pursuant to the Fixed Charge Coverage Ratio test set forth in the first paragraph of the covenant described below under the caption “—Incurrence of Indebtedness and Issuance of Disqualified Stock”; and</w:t>
      </w:r>
    </w:p>
    <w:p>
      <w:pPr>
        <w:spacing w:after="0" w:line="59" w:lineRule="exact"/>
        <w:rPr>
          <w:rFonts w:ascii="Arial" w:cs="Arial" w:eastAsia="Arial" w:hAnsi="Arial"/>
          <w:sz w:val="18"/>
          <w:szCs w:val="18"/>
          <w:color w:val="auto"/>
        </w:rPr>
      </w:pPr>
    </w:p>
    <w:p>
      <w:pPr>
        <w:jc w:val="both"/>
        <w:ind w:left="460" w:right="280" w:hanging="452"/>
        <w:spacing w:after="0" w:line="305" w:lineRule="auto"/>
        <w:tabs>
          <w:tab w:leader="none" w:pos="4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w:t>
      </w:r>
    </w:p>
    <w:p>
      <w:pPr>
        <w:ind w:left="460" w:right="140"/>
        <w:spacing w:after="0" w:line="261" w:lineRule="auto"/>
        <w:rPr>
          <w:rFonts w:ascii="Arial" w:cs="Arial" w:eastAsia="Arial" w:hAnsi="Arial"/>
          <w:sz w:val="15"/>
          <w:szCs w:val="15"/>
          <w:color w:val="auto"/>
        </w:rPr>
      </w:pPr>
      <w:r>
        <w:rPr>
          <w:rFonts w:ascii="Arial" w:cs="Arial" w:eastAsia="Arial" w:hAnsi="Arial"/>
          <w:sz w:val="18"/>
          <w:szCs w:val="18"/>
          <w:color w:val="auto"/>
        </w:rPr>
        <w:t>(5) to the extent such Restricted Payments were already deducted from Consolidated Net Income) of the next succeeding paragraph), is less than the sum, without duplication, of:</w:t>
      </w:r>
    </w:p>
    <w:p>
      <w:pPr>
        <w:spacing w:after="0" w:line="57" w:lineRule="exact"/>
        <w:rPr>
          <w:sz w:val="20"/>
          <w:szCs w:val="20"/>
          <w:color w:val="auto"/>
        </w:rPr>
      </w:pPr>
    </w:p>
    <w:p>
      <w:pPr>
        <w:ind w:left="900" w:right="24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100% of the Consolidated Cash Flow of Wynn Las Vegas and its Restricted Subsidiaries less 1.4 times Fixed Charges for the period (taken as one accounting period) from the beginning of January 1, 2012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the end of Wynn Las Vegas’ most recently ended fiscal quarter for which internal financial statements are available at the time of such Restricted Payment (or, if such Consolidated Cash Flow for such period is a deficit, less 100% of such deficit); plus</w:t>
      </w:r>
    </w:p>
    <w:p>
      <w:pPr>
        <w:spacing w:after="0" w:line="51" w:lineRule="exact"/>
        <w:rPr>
          <w:sz w:val="20"/>
          <w:szCs w:val="20"/>
          <w:color w:val="auto"/>
        </w:rPr>
      </w:pPr>
    </w:p>
    <w:p>
      <w:pPr>
        <w:ind w:left="900" w:right="80" w:hanging="446"/>
        <w:spacing w:after="0" w:line="294"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100% of the aggregate net cash proceeds received by Wynn Las Vegas subsequent to January 1, 2012 as a contribution to its common equity capital, excluding (i) any such net cash proceeds received by Wynn Las Vegas subsequent to January 1, 2012 to the extent consisting of capital contributions made to Wynn Las Vegas for the purpose of satisfying the “in-balance” requirements of the Disbursement Agreement and (ii) any such net cash proceeds received by Wynn Las Vegas to the extent used to incur Indebtedness pursuant to clause (16) of the covenant described below under the caption “—Incurrence of Indebtedness and Issuance of Disqualified Stock”; plus</w:t>
      </w:r>
    </w:p>
    <w:p>
      <w:pPr>
        <w:spacing w:after="0" w:line="34"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 to the extent that any Restricted Investment that was made after January 1, 2012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39" w:lineRule="exact"/>
        <w:rPr>
          <w:rFonts w:ascii="Arial" w:cs="Arial" w:eastAsia="Arial" w:hAnsi="Arial"/>
          <w:sz w:val="16"/>
          <w:szCs w:val="16"/>
          <w:color w:val="auto"/>
        </w:rPr>
      </w:pPr>
    </w:p>
    <w:p>
      <w:pPr>
        <w:ind w:left="900" w:right="60" w:hanging="446"/>
        <w:spacing w:after="0" w:line="306"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100% of any cash dividends or cash distributions received by Wynn Las Vegas or any of its Restricted Subsidiaries after January 1, 2012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25"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January 1, 2012 (other than the Completion Guarantor) is redesignated as a Restricted Subsidiary after January 1, 2012, the lesser of (i) the Fair Market Value of Wynn Las Vegas’ Investment in such Subsidiary as of the date of such redesignation or (ii) such Fair Market Value as of the date on which such Subsidiary was originally designated as an Unrestricted Subsidiary.</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140" w:hanging="452"/>
        <w:spacing w:after="0" w:line="306"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25"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ind w:left="460" w:right="560" w:hanging="452"/>
        <w:spacing w:after="0" w:line="259"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59" w:lineRule="exact"/>
        <w:rPr>
          <w:rFonts w:ascii="Arial" w:cs="Arial" w:eastAsia="Arial" w:hAnsi="Arial"/>
          <w:sz w:val="18"/>
          <w:szCs w:val="18"/>
          <w:color w:val="auto"/>
        </w:rPr>
      </w:pPr>
    </w:p>
    <w:p>
      <w:pPr>
        <w:ind w:left="460" w:right="160" w:hanging="452"/>
        <w:spacing w:after="0" w:line="298"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in or Indebtedness of Wynn Resorts (other than Equity Interests held by or Indebtedness owed to the Specified Holders) to the extent required by any Gaming Authority having jurisdiction over Wynn Las Vegas or any of its Restricted Subsidiaries for not more than the Fair Market Value thereof in order to avoid the suspension, revocation or denial of a Gaming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26" w:lineRule="exact"/>
        <w:rPr>
          <w:sz w:val="20"/>
          <w:szCs w:val="20"/>
          <w:color w:val="auto"/>
        </w:rPr>
      </w:pPr>
    </w:p>
    <w:p>
      <w:pPr>
        <w:ind w:left="460" w:right="60" w:hanging="452"/>
        <w:spacing w:after="0" w:line="259"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the repurchase, redemption or other acquisition or retirement for value of any Equity Interests in Wynn Resorts, or (b) the distribution to Wynn Resorts, directly or through any intermediate Wholly Owned Subsidiaries of Wynn Resorts, of amounts necessary to repurchase, redeem or otherwise acquire or retire for value Equity Interests in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$25.0 million in any calendar year;</w:t>
      </w:r>
    </w:p>
    <w:p>
      <w:pPr>
        <w:spacing w:after="0" w:line="39" w:lineRule="exact"/>
        <w:rPr>
          <w:rFonts w:ascii="Arial" w:cs="Arial" w:eastAsia="Arial" w:hAnsi="Arial"/>
          <w:sz w:val="16"/>
          <w:szCs w:val="16"/>
          <w:color w:val="auto"/>
        </w:rPr>
      </w:pPr>
    </w:p>
    <w:p>
      <w:pPr>
        <w:ind w:left="460" w:right="140" w:hanging="452"/>
        <w:spacing w:after="0" w:line="332"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$75.0 million; and</w:t>
      </w:r>
    </w:p>
    <w:p>
      <w:pPr>
        <w:spacing w:after="0" w:line="113"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9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“incur”) any Indebtedness (including Acquired Debt), or</w:t>
      </w:r>
    </w:p>
    <w:p>
      <w:pPr>
        <w:ind w:right="80" w:firstLine="8"/>
        <w:spacing w:after="0" w:line="315" w:lineRule="auto"/>
        <w:tabs>
          <w:tab w:leader="none" w:pos="249"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w:t>
      </w:r>
      <w:r>
        <w:rPr>
          <w:rFonts w:ascii="Arial" w:cs="Arial" w:eastAsia="Arial" w:hAnsi="Arial"/>
          <w:sz w:val="15"/>
          <w:szCs w:val="15"/>
          <w:i w:val="1"/>
          <w:iCs w:val="1"/>
          <w:color w:val="auto"/>
        </w:rPr>
        <w:t>pro forma</w:t>
      </w:r>
      <w:r>
        <w:rPr>
          <w:rFonts w:ascii="Arial" w:cs="Arial" w:eastAsia="Arial" w:hAnsi="Arial"/>
          <w:sz w:val="15"/>
          <w:szCs w:val="15"/>
          <w:color w:val="auto"/>
        </w:rPr>
        <w:t xml:space="preserve"> basis, including a </w:t>
      </w:r>
      <w:r>
        <w:rPr>
          <w:rFonts w:ascii="Arial" w:cs="Arial" w:eastAsia="Arial" w:hAnsi="Arial"/>
          <w:sz w:val="15"/>
          <w:szCs w:val="15"/>
          <w:i w:val="1"/>
          <w:iCs w:val="1"/>
          <w:color w:val="auto"/>
        </w:rPr>
        <w:t>pro forma</w:t>
      </w:r>
      <w:r>
        <w:rPr>
          <w:rFonts w:ascii="Arial" w:cs="Arial" w:eastAsia="Arial" w:hAnsi="Arial"/>
          <w:sz w:val="15"/>
          <w:szCs w:val="15"/>
          <w:color w:val="auto"/>
        </w:rPr>
        <w:t xml:space="preserve"> application of the net proceeds therefrom, as if the additional Indebtedness had been incurred or the Disqualified Stock had been issued, as the case may be, at the beginning of such four-quarter period.</w:t>
      </w:r>
    </w:p>
    <w:p>
      <w:pPr>
        <w:spacing w:after="0" w:line="104"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“Permitted Debt”):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90"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 (ii) 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380" w:hanging="452"/>
        <w:spacing w:after="0" w:line="306"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(12), (13), (14) or (15) of this paragraph or under this clause (3);</w:t>
      </w:r>
    </w:p>
    <w:p>
      <w:pPr>
        <w:spacing w:after="0" w:line="25"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intercompany Indebtedness between or among Wynn Las Vegas and any of its Restricted Subsidiaries; provided, however, that:</w:t>
      </w:r>
    </w:p>
    <w:p>
      <w:pPr>
        <w:spacing w:after="0" w:line="50" w:lineRule="exact"/>
        <w:rPr>
          <w:rFonts w:ascii="Arial" w:cs="Arial" w:eastAsia="Arial" w:hAnsi="Arial"/>
          <w:sz w:val="18"/>
          <w:szCs w:val="18"/>
          <w:color w:val="auto"/>
        </w:rPr>
      </w:pPr>
    </w:p>
    <w:p>
      <w:pPr>
        <w:ind w:left="900" w:right="100" w:hanging="446"/>
        <w:spacing w:after="0" w:line="255"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1" w:lineRule="exact"/>
        <w:rPr>
          <w:rFonts w:ascii="Arial" w:cs="Arial" w:eastAsia="Arial" w:hAnsi="Arial"/>
          <w:sz w:val="18"/>
          <w:szCs w:val="18"/>
          <w:color w:val="auto"/>
        </w:rPr>
      </w:pPr>
    </w:p>
    <w:p>
      <w:pPr>
        <w:ind w:left="900" w:right="20" w:hanging="446"/>
        <w:spacing w:after="0" w:line="298" w:lineRule="auto"/>
        <w:tabs>
          <w:tab w:leader="none" w:pos="9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Hedging Obligations in the ordinary course of business;</w:t>
      </w:r>
    </w:p>
    <w:p>
      <w:pPr>
        <w:spacing w:after="0" w:line="9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$60.0 million at any time outstanding;</w:t>
      </w:r>
    </w:p>
    <w:p>
      <w:pPr>
        <w:spacing w:after="0" w:line="59"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9" w:lineRule="exact"/>
        <w:rPr>
          <w:rFonts w:ascii="Arial" w:cs="Arial" w:eastAsia="Arial" w:hAnsi="Arial"/>
          <w:sz w:val="16"/>
          <w:szCs w:val="16"/>
          <w:color w:val="auto"/>
        </w:rPr>
      </w:pPr>
    </w:p>
    <w:p>
      <w:pPr>
        <w:ind w:left="460" w:right="66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a principal amount, including all Permitted Refinancing Indebtedness incurred to renew, refund, refinance, replace,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defease or discharge any Indebtedness incurred pursuant to this clause (8), not to exceed, at any time, 75% of the aggregate cost of the Phase III Project to pay the costs and expenses of designing, developing and constructing the Phase III Project, so long as the holders of the Notes continue to have a perfected first priority security interest in the Golf Course Land;</w:t>
      </w:r>
    </w:p>
    <w:p>
      <w:pPr>
        <w:spacing w:after="0" w:line="59" w:lineRule="exact"/>
        <w:rPr>
          <w:sz w:val="20"/>
          <w:szCs w:val="20"/>
          <w:color w:val="auto"/>
        </w:rPr>
      </w:pPr>
    </w:p>
    <w:p>
      <w:pPr>
        <w:jc w:val="both"/>
        <w:ind w:left="460" w:right="100" w:hanging="452"/>
        <w:spacing w:after="0" w:line="259"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in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88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$100.0 million;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2017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incurrence by the Issuers of the Notes issued on the date of the Indenture and the Note Guarantees;</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50" w:lineRule="exact"/>
        <w:rPr>
          <w:rFonts w:ascii="Arial" w:cs="Arial" w:eastAsia="Arial" w:hAnsi="Arial"/>
          <w:sz w:val="18"/>
          <w:szCs w:val="18"/>
          <w:color w:val="auto"/>
        </w:rPr>
      </w:pPr>
    </w:p>
    <w:p>
      <w:pPr>
        <w:ind w:left="460" w:right="260" w:hanging="452"/>
        <w:spacing w:after="0" w:line="289"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additional Indebtedness (so long as such Indebtedness is incurred under the Credit Agreement, through the issuance of additional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662/3% of the aggregate cost of such Additional Entertainment Facility and/or Retail Facility; provided that, subsequent to the date of the Indenture and on or prior to the date of the incurrence of such Indebtedness, net cash proceeds have been received by Wynn Las Vegas as a contribution to its common equity capital in an amount equal to at least 331/3%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incurrence by Wynn Capital, as co-obligor, of any Indebtedness which Wynn Las Vegas is permitted to incur pursuant to the foregoing provisions.</w:t>
      </w:r>
    </w:p>
    <w:p>
      <w:pPr>
        <w:spacing w:after="0" w:line="19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(17)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Notes under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Liens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320" w:hanging="452"/>
        <w:spacing w:after="0" w:line="332"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 (3) sell, lease or transfer any of its properties or assets to Wynn Las Vegas or any of its Restricted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460" w:right="36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Notes, the Indenture, the 2017 Notes, the 2017 Notes indenture,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indenture,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indenture, any Guarantees of such notes or the Collateral Documents;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9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48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acquisition of the Capital Stock of any Person, or property or assets of any Person by Wynn Las Vegas or any of its Restricted Subsidiaries, if the encumbrances or restrictions (a) existed at the time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51" w:lineRule="exact"/>
        <w:rPr>
          <w:sz w:val="20"/>
          <w:szCs w:val="20"/>
          <w:color w:val="auto"/>
        </w:rPr>
      </w:pPr>
    </w:p>
    <w:p>
      <w:pPr>
        <w:jc w:val="both"/>
        <w:ind w:left="460" w:right="220" w:hanging="452"/>
        <w:spacing w:after="0" w:line="259"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right="60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under the Indenture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400" w:hanging="452"/>
        <w:spacing w:after="0" w:line="306"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300" w:hanging="452"/>
        <w:spacing w:after="0" w:line="259"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jc w:val="both"/>
        <w:ind w:left="460" w:right="460" w:hanging="452"/>
        <w:spacing w:after="0" w:line="306"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jc w:val="both"/>
        <w:ind w:left="900" w:right="140" w:hanging="446"/>
        <w:spacing w:after="0" w:line="259"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00" w:hanging="446"/>
        <w:spacing w:after="0" w:line="256"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will, on the date of such transaction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transaction, at the time it is undertaken, would not require any holder or beneficial owner of Notes to obtain a Gaming License or be qualified or found suitable under the law of any applicable gaming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jurisdiction; provided that such holder or beneficial owner would not have been required to obtain a Gaming License or be qualified or found suitable under the laws of any applicable gaming jurisdiction in the absence of such transaction.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provided that such designation 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if such designation had occurred at the beginning of the four-quarter reference period; and (2) no Default or Event of Default would be in existence following such designation.</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Transactions with Affiliates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6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00" w:right="180" w:hanging="446"/>
        <w:spacing w:after="0" w:line="298" w:lineRule="auto"/>
        <w:tabs>
          <w:tab w:leader="none" w:pos="9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Boards of Directors; and</w:t>
      </w:r>
    </w:p>
    <w:p>
      <w:pPr>
        <w:spacing w:after="0" w:line="31" w:lineRule="exact"/>
        <w:rPr>
          <w:rFonts w:ascii="Arial" w:cs="Arial" w:eastAsia="Arial" w:hAnsi="Arial"/>
          <w:sz w:val="16"/>
          <w:szCs w:val="16"/>
          <w:color w:val="auto"/>
        </w:rPr>
      </w:pPr>
    </w:p>
    <w:p>
      <w:pPr>
        <w:ind w:left="900" w:right="140" w:hanging="446"/>
        <w:spacing w:after="0" w:line="306" w:lineRule="auto"/>
        <w:tabs>
          <w:tab w:leader="none" w:pos="9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60" w:hanging="452"/>
        <w:spacing w:after="0" w:line="256"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10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right="720" w:hanging="452"/>
        <w:spacing w:after="0" w:line="332"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Restricted Payments that are made in compliance with the provisions of the Indenture described above under the caption “—Restricted Payments”;</w:t>
      </w:r>
    </w:p>
    <w:p>
      <w:pPr>
        <w:spacing w:after="0" w:line="113" w:lineRule="exact"/>
        <w:rPr>
          <w:rFonts w:ascii="Arial" w:cs="Arial" w:eastAsia="Arial" w:hAnsi="Arial"/>
          <w:sz w:val="16"/>
          <w:szCs w:val="16"/>
          <w:color w:val="auto"/>
        </w:rPr>
      </w:pPr>
    </w:p>
    <w:p>
      <w:pPr>
        <w:ind w:left="460" w:right="80" w:hanging="452"/>
        <w:spacing w:after="0" w:line="357" w:lineRule="auto"/>
        <w:tabs>
          <w:tab w:leader="none" w:pos="4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ind w:left="460" w:hanging="452"/>
        <w:spacing w:after="0"/>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 the payment of Allocable Overhead to Wynn Resorts in respect of each Qualifying Project of Wynn Las Vegas and its Restricted Subsidiaries and</w:t>
      </w:r>
    </w:p>
    <w:p>
      <w:pPr>
        <w:spacing w:after="0" w:line="38" w:lineRule="exact"/>
        <w:rPr>
          <w:rFonts w:ascii="Arial" w:cs="Arial" w:eastAsia="Arial" w:hAnsi="Arial"/>
          <w:sz w:val="16"/>
          <w:szCs w:val="16"/>
          <w:color w:val="auto"/>
        </w:rPr>
      </w:pPr>
    </w:p>
    <w:p>
      <w:pPr>
        <w:jc w:val="both"/>
        <w:ind w:left="460" w:right="200"/>
        <w:spacing w:after="0" w:line="255" w:lineRule="auto"/>
        <w:rPr>
          <w:rFonts w:ascii="Arial" w:cs="Arial" w:eastAsia="Arial" w:hAnsi="Arial"/>
          <w:sz w:val="16"/>
          <w:szCs w:val="16"/>
          <w:color w:val="auto"/>
        </w:rPr>
      </w:pPr>
      <w:r>
        <w:rPr>
          <w:rFonts w:ascii="Arial" w:cs="Arial" w:eastAsia="Arial" w:hAnsi="Arial"/>
          <w:sz w:val="18"/>
          <w:szCs w:val="18"/>
          <w:color w:val="auto"/>
        </w:rPr>
        <w:t>(ii)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3" w:lineRule="exact"/>
        <w:rPr>
          <w:rFonts w:ascii="Arial" w:cs="Arial" w:eastAsia="Arial" w:hAnsi="Arial"/>
          <w:sz w:val="16"/>
          <w:szCs w:val="16"/>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(12), (13) or (14) of the definition thereof; and</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Additional Note Guarantees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Wynn Las Vegas or any of its Restricted Subsidiaries acquires or creates another Domestic Subsidiary after the date of the Indenture, then that newly acquired or created Domestic Subsidiary will become a Guarantor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and execute a supplemental indenture within 10 business days of the date on which it was acquired or created; provided that any Domestic Subsidiary that constitutes an Immaterial Subsidiary need not become a Guarantor until such time as it ceases to be an Immaterial Subsidiary.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59" w:lineRule="exact"/>
        <w:rPr>
          <w:sz w:val="20"/>
          <w:szCs w:val="20"/>
          <w:color w:val="auto"/>
        </w:rPr>
      </w:pPr>
    </w:p>
    <w:p>
      <w:pPr>
        <w:jc w:val="both"/>
        <w:ind w:left="460" w:right="160" w:hanging="452"/>
        <w:spacing w:after="0" w:line="298"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right="120" w:hanging="452"/>
        <w:spacing w:after="0" w:line="259"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60" w:hanging="452"/>
        <w:spacing w:after="0" w:line="332"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6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Line of Business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Notes would be required to be licensed as a result thereof, except that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90"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(1) pay Management Fees if, at the time of payment of such Management Fees, a Default or an Event of Default has occurred and is continuing or shall occur as a result thereof, or (2) prepay any Management Fees.</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Under the Management Fees Subordination Agreement, the right to receive payment of the Management Fees will be subordinated in right of payment to the right of the holders of Notes to receive payments pursuant to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the Notes and the Guarantees. Under this agreement, Management Fees will be payable semiannually in arrears on the tenth business day following the date on which interest payments are payable on the Notes. Management Fees may be paid only if, among other things, the interest payable on the Notes through the applicable interest payment date and the interest payable on the loans under the Credit Agreement through such interest payment date has been paid in full.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such transfer, conveyance, sale, lease or other disposition is of all the Equity Interests in such Wholly Owned Restricted Subsidiary; and</w:t>
      </w:r>
    </w:p>
    <w:p>
      <w:pPr>
        <w:spacing w:after="0" w:line="9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Amendments to Certain Agreements</w:t>
      </w:r>
    </w:p>
    <w:p>
      <w:pPr>
        <w:spacing w:after="0" w:line="90"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00" w:hanging="452"/>
        <w:spacing w:after="0" w:line="268"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change the dates on which such amounts are to be paid to dates earlier than those set forth in such agreement, as in effect on the date of the Indenture;</w:t>
      </w:r>
    </w:p>
    <w:p>
      <w:pPr>
        <w:spacing w:after="0" w:line="113"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under the Indenture or the Collateral Documents;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2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224"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1080" w:right="20" w:hanging="1072"/>
        <w:spacing w:after="0" w:line="259" w:lineRule="auto"/>
        <w:tabs>
          <w:tab w:leader="none" w:pos="43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(a)cause such Restricted Subsidiary or subchapter “C” corporation (if such subchapter “C” corporation is not an Issuer) to guarantee all obligations of the Issuers under the Indenture and the Notes by executing and delivering to the trustee a supplemental indenture in the form of an exhibit to the Indenture; or</w:t>
      </w:r>
    </w:p>
    <w:p>
      <w:pPr>
        <w:spacing w:after="0" w:line="59" w:lineRule="exact"/>
        <w:rPr>
          <w:rFonts w:ascii="Arial" w:cs="Arial" w:eastAsia="Arial" w:hAnsi="Arial"/>
          <w:sz w:val="18"/>
          <w:szCs w:val="18"/>
          <w:color w:val="auto"/>
        </w:rPr>
      </w:pPr>
    </w:p>
    <w:p>
      <w:pPr>
        <w:ind w:left="900" w:right="220" w:hanging="446"/>
        <w:spacing w:after="0" w:line="254"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such Issuer that was so reorganized as a “C” corporation;</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such Uniform Commercial Code financing statements as are necessary to perfect the trustee’s security interest in such assets;</w:t>
      </w:r>
    </w:p>
    <w:p>
      <w:pPr>
        <w:spacing w:after="0" w:line="90" w:lineRule="exact"/>
        <w:rPr>
          <w:rFonts w:ascii="Arial" w:cs="Arial" w:eastAsia="Arial" w:hAnsi="Arial"/>
          <w:sz w:val="18"/>
          <w:szCs w:val="18"/>
          <w:color w:val="auto"/>
        </w:rPr>
      </w:pPr>
    </w:p>
    <w:p>
      <w:pPr>
        <w:ind w:left="460" w:right="700" w:hanging="452"/>
        <w:spacing w:after="0" w:line="268"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(ii) has a Fair Market Value in excess of $50.0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million in the aggregate or $25.0 million individually or (iii) is required pursuant to the terms of the Credit Agreement to be included in the Collateral, cause such Restricted Subsidiary or subchapter “C” corporation to execute and deliver to the trustee:</w:t>
      </w:r>
    </w:p>
    <w:p>
      <w:pPr>
        <w:spacing w:after="0" w:line="51" w:lineRule="exact"/>
        <w:rPr>
          <w:sz w:val="20"/>
          <w:szCs w:val="20"/>
          <w:color w:val="auto"/>
        </w:rPr>
      </w:pPr>
    </w:p>
    <w:p>
      <w:pPr>
        <w:ind w:left="900" w:hanging="446"/>
        <w:spacing w:after="0" w:line="332" w:lineRule="auto"/>
        <w:tabs>
          <w:tab w:leader="none" w:pos="9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00" w:right="160" w:hanging="446"/>
        <w:spacing w:after="0" w:line="259"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59"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jc w:val="both"/>
        <w:ind w:left="460" w:right="140" w:hanging="452"/>
        <w:spacing w:after="0" w:line="259"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Notwithstanding the foregoing, no Restricted Subsidiary shall be required to take the actions specified in clauses (2) through (6) above during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Collateral Release Period.</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hanging="452"/>
        <w:spacing w:after="0" w:line="306" w:lineRule="auto"/>
        <w:tabs>
          <w:tab w:leader="none" w:pos="4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25"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306" w:lineRule="auto"/>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Further Assurances</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requested by the Trustee from time to time in order to:</w:t>
      </w:r>
    </w:p>
    <w:p>
      <w:pPr>
        <w:spacing w:after="0" w:line="4"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90" w:lineRule="exact"/>
        <w:rPr>
          <w:rFonts w:ascii="Arial" w:cs="Arial" w:eastAsia="Arial" w:hAnsi="Arial"/>
          <w:sz w:val="18"/>
          <w:szCs w:val="18"/>
          <w:color w:val="auto"/>
        </w:rPr>
      </w:pPr>
    </w:p>
    <w:p>
      <w:pPr>
        <w:jc w:val="both"/>
        <w:ind w:left="460" w:right="60" w:hanging="452"/>
        <w:spacing w:after="0" w:line="259"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superior to the rights of all third Persons, in each case, equal and ratable with the Liens securing the obligations under the Credit Agreement and subject to Permitted Liens; and</w:t>
      </w:r>
    </w:p>
    <w:p>
      <w:pPr>
        <w:spacing w:after="0" w:line="59" w:lineRule="exact"/>
        <w:rPr>
          <w:rFonts w:ascii="Arial" w:cs="Arial" w:eastAsia="Arial" w:hAnsi="Arial"/>
          <w:sz w:val="18"/>
          <w:szCs w:val="18"/>
          <w:color w:val="auto"/>
        </w:rPr>
      </w:pPr>
    </w:p>
    <w:p>
      <w:pPr>
        <w:jc w:val="both"/>
        <w:ind w:left="460" w:right="260" w:hanging="452"/>
        <w:spacing w:after="0" w:line="259"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Payments for Consent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 Notwithstanding the foregoing, in any offer or payment of consideration for, or as an inducement to, any consent, waiver or amendment of any of the terms or provisions of the Indenture or the Notes in connection with an exchange offer, Wynn Las Vegas may exclude (i) holders or beneficial owners of the Notes that are not institutional “accredited investors” as defined in subparagraphs (a)(1), (2), (3) or (7) of Rule 501 under the Securities Act, and (ii) holders or beneficial owners of the Notes in any jurisdiction where the inclusion of such holders or beneficial owners would require Wynn Las Vegas to comply with the registration requirements or other similar requirements under any securities laws of such jurisdiction, or the solicitation of such consent, waiver or amendment from, or the granting of such consent or waiver, or the approval of such amendment by, holders or beneficial owners in such jurisdiction would be unlawful, in each case as determined by Wynn Las Vegas in its sole discretion.</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Wynn Capital will not hold any material assets, hold any Equity Interests, incur any Indebtedness, become liable for any obligations, engage in any business activities or have any Subsidiaries. However, Wynn Capital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Reports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Whether or not required by the rules and regulations of the SEC, so long as any Notes are outstanding, the Issuers will furnish to the holders of Notes or cause the trustee to furnish to the holders of Notes, within the time periods specified in the SEC’s rules and regulations:</w:t>
      </w:r>
    </w:p>
    <w:p>
      <w:pPr>
        <w:spacing w:after="0" w:line="51" w:lineRule="exact"/>
        <w:rPr>
          <w:sz w:val="20"/>
          <w:szCs w:val="20"/>
          <w:color w:val="auto"/>
        </w:rPr>
      </w:pPr>
    </w:p>
    <w:p>
      <w:pPr>
        <w:ind w:left="460" w:right="40" w:hanging="452"/>
        <w:spacing w:after="0" w:line="259"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addition, the Issuers and the Guarantors agree that, for so long as any Notes remain outstanding, if at any time they are not required to file with the SEC the reports required by the preceding paragraphs, they will furnish to the holders of Notes and to securities analysts and prospective investors, upon their request, the information required to be delivered pursuant to Rule 144A(d)(4) under the Securities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Notes;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Change of Control,” “—Repurchase at the Option of Holders—Asset Sales” or “—Repurchase at the Option of Holders—Events of Loss,”; or</w:t>
      </w:r>
    </w:p>
    <w:p>
      <w:pPr>
        <w:spacing w:after="0" w:line="113" w:lineRule="exact"/>
        <w:rPr>
          <w:sz w:val="20"/>
          <w:szCs w:val="20"/>
          <w:color w:val="auto"/>
        </w:rPr>
      </w:pPr>
    </w:p>
    <w:p>
      <w:pPr>
        <w:ind w:left="900" w:right="300" w:hanging="446"/>
        <w:spacing w:after="0" w:line="332" w:lineRule="auto"/>
        <w:tabs>
          <w:tab w:leader="none" w:pos="9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Covenants—Incurrence of Indebtedness and Issuance of Disqualified Stock” or “—Certain Covenants—Merger, Consolidation or Sale of Assets”;</w:t>
      </w:r>
    </w:p>
    <w:p>
      <w:pPr>
        <w:spacing w:after="0" w:line="4"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220" w:hanging="452"/>
        <w:spacing w:after="0" w:line="256"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Notes then outstanding voting as a single class to comply with any of its agreements, as applicable, in any Collateral Document;</w:t>
      </w:r>
    </w:p>
    <w:p>
      <w:pPr>
        <w:spacing w:after="0" w:line="62"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120" w:hanging="452"/>
        <w:spacing w:after="0" w:line="294"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Guarantor or any Restricted Subsidiary of Wynn Las Vegas, or any Person acting on behalf of any such Person, shall deny or disaffirm its obligations under its Note Guarantee;</w:t>
      </w:r>
    </w:p>
    <w:p>
      <w:pPr>
        <w:spacing w:after="0" w:line="51" w:lineRule="exact"/>
        <w:rPr>
          <w:sz w:val="20"/>
          <w:szCs w:val="20"/>
          <w:color w:val="auto"/>
        </w:rPr>
      </w:pPr>
    </w:p>
    <w:p>
      <w:pPr>
        <w:ind w:left="460" w:hanging="452"/>
        <w:spacing w:after="0" w:line="259"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59"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in Wynn Capital.</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113"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Holders of the Notes may not enforce the Indenture or the Notes except as provided in the Indenture, the Intercreditor Agreement and the other Collateral Documents. Subject to certain limitations, holders of a majority in aggregate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Notes unless such holders have offered to the trustee reasonable indemnity or security against any loss, liability or expense. Except to enforce the right to receive payment of principal, interest or premium, if any, or Liquidated Damages, if any, when due, no holder of a Note may pursue any remedy with respect to the Indenture or the Notes unless:</w:t>
      </w:r>
    </w:p>
    <w:p>
      <w:pPr>
        <w:spacing w:after="0" w:line="32"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then outstanding Notes have requested the trustee to pursue the remedy;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of the request and the offer of security or indemnity; and</w:t>
      </w:r>
    </w:p>
    <w:p>
      <w:pPr>
        <w:spacing w:after="0" w:line="9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have not given the trustee a direction inconsistent with such request within such 60-day period.</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by notice to the trustee may, on behalf of the holders of all of the Notes, rescind an acceleration or waive any existing Default or Event of Default and its consequences under the Indenture, except a continuing Default or Event of Default in the payment of interest or premium, if any, or Liquidated Damages, if any, on, or the principal of, the Notes.</w:t>
      </w:r>
    </w:p>
    <w:p>
      <w:pPr>
        <w:spacing w:after="0" w:line="107"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Remedies upon Default Under the Notes</w:t>
      </w:r>
    </w:p>
    <w:p>
      <w:pPr>
        <w:spacing w:after="0" w:line="9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Enforcement of Collateral Documents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Generally, if an Event of Default occurs, subject to the provisions of the Intercreditor Agreement and the Indenture,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All proceeds of the Collateral must be shared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lenders under our Credit Agreement, the holders of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the holders of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 Notes, the holders of the 2017 Notes and any other Pari Passu Debt in accordance with the sharing provisions of the Indenture and the Intercreditor Agreement. In addition, legal and procedural restrictions may impair the exercise by the trustee of its rights and remedies. See “—Gaming Law Limitations on Foreclosure,” “— Bankruptcy Limitations on Foreclosure” and “—Real Property Collateral.”</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40" w:hanging="452"/>
        <w:spacing w:after="0" w:line="332" w:lineRule="auto"/>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spacing w:after="0" w:line="4"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100" w:hanging="452"/>
        <w:spacing w:after="0" w:line="332" w:lineRule="auto"/>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Intercreditor Agreement would impose restrictions on the exercise of rights and remedies by the holders of the Notes with respect to the Collateral, including the ability to amend or modify the Collateral Documents and the ability to release the Collateral.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Notes—In the event that a bankruptcy court orders the substantive consolidation of us with certain affiliated parties, payments on the Notes could be delayed or reduced.”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Collateral or whether or to what extent holders would be compensated for any delay in payment or loss of value of the Collateral.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Notes, the Indenture, the Note Guarantees, the Collateral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Note Guarantees, and all obligations of the Issuers and the Guarantors discharged with respect to the Collateral Documents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59" w:lineRule="exact"/>
        <w:rPr>
          <w:sz w:val="20"/>
          <w:szCs w:val="20"/>
          <w:color w:val="auto"/>
        </w:rPr>
      </w:pPr>
    </w:p>
    <w:p>
      <w:pPr>
        <w:ind w:left="460" w:right="320" w:hanging="452"/>
        <w:spacing w:after="0" w:line="268"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68"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the Issuers’ and the Guarantors’ obligations in connection therewith;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w:t>
      </w:r>
      <w:r>
        <w:rPr>
          <w:rFonts w:ascii="Arial" w:cs="Arial" w:eastAsia="Arial" w:hAnsi="Arial"/>
          <w:sz w:val="15"/>
          <w:szCs w:val="15"/>
          <w:i w:val="1"/>
          <w:iCs w:val="1"/>
          <w:color w:val="auto"/>
        </w:rPr>
        <w:t>Covenant Defeasance</w:t>
      </w:r>
      <w:r>
        <w:rPr>
          <w:rFonts w:ascii="Arial" w:cs="Arial" w:eastAsia="Arial" w:hAnsi="Arial"/>
          <w:sz w:val="15"/>
          <w:szCs w:val="15"/>
          <w:color w:val="auto"/>
        </w:rPr>
        <w:t>”)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the caption “—Events of Default and Remedies” will no longer constitute an Event of Default with respect to the Notes.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100" w:hanging="452"/>
        <w:spacing w:after="0" w:line="252"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Issuers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Notes on the stated date for</w:t>
      </w:r>
    </w:p>
    <w:p>
      <w:pPr>
        <w:spacing w:after="0" w:line="1" w:lineRule="exact"/>
        <w:rPr>
          <w:rFonts w:ascii="Arial" w:cs="Arial" w:eastAsia="Arial" w:hAnsi="Arial"/>
          <w:sz w:val="18"/>
          <w:szCs w:val="18"/>
          <w:color w:val="auto"/>
        </w:rPr>
      </w:pPr>
    </w:p>
    <w:p>
      <w:pPr>
        <w:ind w:left="460" w:right="60"/>
        <w:spacing w:after="0" w:line="261" w:lineRule="auto"/>
        <w:rPr>
          <w:rFonts w:ascii="Arial" w:cs="Arial" w:eastAsia="Arial" w:hAnsi="Arial"/>
          <w:sz w:val="18"/>
          <w:szCs w:val="18"/>
          <w:color w:val="auto"/>
        </w:rPr>
      </w:pPr>
      <w:r>
        <w:rPr>
          <w:rFonts w:ascii="Arial" w:cs="Arial" w:eastAsia="Arial" w:hAnsi="Arial"/>
          <w:sz w:val="18"/>
          <w:szCs w:val="18"/>
          <w:color w:val="auto"/>
        </w:rPr>
        <w:t>payment thereof or on the applicable redemption date, as the case may be, and the Issuers must specify whether the Notes are being defeased to such stated date for payment or to a particular redemption date;</w:t>
      </w:r>
    </w:p>
    <w:p>
      <w:pPr>
        <w:spacing w:after="0" w:line="56"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the case of Legal Defeasance, the Issuers must deliver to the trustee an opinion of counsel reasonably acceptable to the trustee confirming that (a) the Issuers have received from, or there has been published by, the Internal Revenue Service a ruling or (b) since the date of the Indenture, there has been a change in the applicable United States federal income tax law, in either case to the effect that, and based thereon such opinion of counsel shall confirm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9" w:lineRule="exact"/>
        <w:rPr>
          <w:rFonts w:ascii="Arial" w:cs="Arial" w:eastAsia="Arial" w:hAnsi="Arial"/>
          <w:sz w:val="16"/>
          <w:szCs w:val="16"/>
          <w:color w:val="auto"/>
        </w:rPr>
      </w:pPr>
    </w:p>
    <w:p>
      <w:pPr>
        <w:ind w:left="460" w:right="40" w:hanging="452"/>
        <w:spacing w:after="0" w:line="256"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80" w:hanging="452"/>
        <w:spacing w:after="0" w:line="256"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62"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jc w:val="both"/>
        <w:ind w:left="460" w:right="180" w:hanging="452"/>
        <w:spacing w:after="0" w:line="259"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Legal Defeasance,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40"/>
        <w:spacing w:after="0" w:line="268" w:lineRule="auto"/>
        <w:rPr>
          <w:sz w:val="20"/>
          <w:szCs w:val="20"/>
          <w:color w:val="auto"/>
        </w:rPr>
      </w:pPr>
      <w:r>
        <w:rPr>
          <w:rFonts w:ascii="Arial" w:cs="Arial" w:eastAsia="Arial" w:hAnsi="Arial"/>
          <w:sz w:val="18"/>
          <w:szCs w:val="18"/>
          <w:color w:val="auto"/>
        </w:rPr>
        <w:t>bankruptcy law, after the 91st day following the deposit, the trust funds will not be subject to the effect of any applicable bankruptcy, insolvency, reorganization or similar laws affecting creditors’ rights generally;</w:t>
      </w:r>
    </w:p>
    <w:p>
      <w:pPr>
        <w:spacing w:after="0" w:line="51" w:lineRule="exact"/>
        <w:rPr>
          <w:sz w:val="20"/>
          <w:szCs w:val="20"/>
          <w:color w:val="auto"/>
        </w:rPr>
      </w:pPr>
    </w:p>
    <w:p>
      <w:pPr>
        <w:ind w:left="460" w:right="80" w:hanging="452"/>
        <w:spacing w:after="0" w:line="332"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any creditors of the Issuers or others; and</w:t>
      </w:r>
    </w:p>
    <w:p>
      <w:pPr>
        <w:spacing w:after="0" w:line="4"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and the Indenture,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Subject to the provisions of the Intercreditor Agreement and the Indenture, the trustee will release the Liens in favor of the trustee (at the sole cost and expense of the Issuers) on:</w:t>
      </w:r>
    </w:p>
    <w:p>
      <w:pPr>
        <w:spacing w:after="0" w:line="51" w:lineRule="exact"/>
        <w:rPr>
          <w:sz w:val="20"/>
          <w:szCs w:val="20"/>
          <w:color w:val="auto"/>
        </w:rPr>
      </w:pPr>
    </w:p>
    <w:p>
      <w:pPr>
        <w:ind w:left="460" w:right="80" w:hanging="452"/>
        <w:spacing w:after="0" w:line="306" w:lineRule="auto"/>
        <w:tabs>
          <w:tab w:leader="none" w:pos="4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 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25"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Collateral that is condemned, seized or taken by the power of eminent domain or otherwise confiscated pursuant to an Event of Loss; provided that the Net Loss Proceeds, if any, from the Event of Loss are or will be applied in accordance with the covenant described above under the caption “—Repurchase at the Option of Holders—Events of Loss”;</w:t>
      </w:r>
    </w:p>
    <w:p>
      <w:pPr>
        <w:spacing w:after="0" w:line="59" w:lineRule="exact"/>
        <w:rPr>
          <w:rFonts w:ascii="Arial" w:cs="Arial" w:eastAsia="Arial" w:hAnsi="Arial"/>
          <w:sz w:val="18"/>
          <w:szCs w:val="18"/>
          <w:color w:val="auto"/>
        </w:rPr>
      </w:pPr>
    </w:p>
    <w:p>
      <w:pPr>
        <w:jc w:val="both"/>
        <w:ind w:left="460" w:right="180" w:hanging="452"/>
        <w:spacing w:after="0" w:line="259"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the Note Guarantees and the Collateral Documents;</w:t>
      </w:r>
    </w:p>
    <w:p>
      <w:pPr>
        <w:spacing w:after="0" w:line="5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62"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provided in the next three succeeding paragraphs, the Indenture, the Notes, the Note Guarantees or, subject to the terms of the Intercreditor Agreement and the Indenture, the Collateral Documents may be amended or supplemented with the consent of the holders of at least a majority in aggregate principal amount of the Notes then outstanding (including, without limitation, consents obtained in connection with a purchase of, or tender offer or exchange offer for, Notes), and any existing Default or Event of Default or compliance with any provision of the Indenture, the Notes, the Note Guarantees or, subject to the terms of the Intercreditor Agreement, the Collateral Documents may be waived with the consent of the holders of a majority in aggregate principal amount of the then outstanding Notes (including, without limitation, consents obtained in connection with a purchase of, or tender offer or exchange offer for, Notes).</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Indenture provides that any amendment or modification to the definition of “Excluded Assets” in the Security Agreements or the definition of “Excluded Property” in the Deeds of Trust shall require the consent of the trustee if as a result of such amendment or modification the Notes will not be secured by substantially all of our and the guarantors’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Under the Intercreditor Agreement and the Indenture,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Notes. In addition, the Indenture authorizes the trustee to enter into amendments, restatements and modifications of the Collateral Documents from time to time in connection with the grant of any Permitted Liens;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such amended, restated or modified Collateral Documents contain terms no less favorable to the trustee or the holders of the Notes than the terms contained in the Collateral Documents being amended, restated or modified (except as expressly provided for in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amendment, restatement or modification does not otherwise adversely affect the rights or remedies of the trustee or the holders of the Notes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w:t>
      </w:r>
    </w:p>
    <w:p>
      <w:pPr>
        <w:spacing w:after="0" w:line="12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Without the consent of each holder of Notes affected or, in the case of clauses (8), (9) and (10) below only, without the consent of the holders of at least 95% in the aggregate principal amount of the Notes then outstanding, an amendment, supplement or waiver may not (with respect to any Notes held by a non-consenting holder):</w:t>
      </w:r>
    </w:p>
    <w:p>
      <w:pPr>
        <w:spacing w:after="0" w:line="59"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90" w:lineRule="exact"/>
        <w:rPr>
          <w:rFonts w:ascii="Arial" w:cs="Arial" w:eastAsia="Arial" w:hAnsi="Arial"/>
          <w:sz w:val="18"/>
          <w:szCs w:val="18"/>
          <w:color w:val="auto"/>
        </w:rPr>
      </w:pPr>
    </w:p>
    <w:p>
      <w:pPr>
        <w:jc w:val="both"/>
        <w:ind w:left="460" w:right="120" w:hanging="452"/>
        <w:spacing w:after="0" w:line="259"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premium or Liquidated Damages, if any, on, the Notes;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20" w:hanging="452"/>
        <w:spacing w:after="0" w:line="268"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 Repurchase at the Option of Holders”);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 (a) constitute all or substantially all of the Collateral or (b) include Material Project Assets, except in accordance with the terms of the Indenture;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amend certain provisions of the Indenture with respect to release of Collateral;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260" w:firstLine="456"/>
        <w:spacing w:after="0" w:line="357" w:lineRule="auto"/>
        <w:rPr>
          <w:sz w:val="20"/>
          <w:szCs w:val="20"/>
          <w:color w:val="auto"/>
        </w:rPr>
      </w:pPr>
      <w:r>
        <w:rPr>
          <w:rFonts w:ascii="Arial" w:cs="Arial" w:eastAsia="Arial" w:hAnsi="Arial"/>
          <w:sz w:val="15"/>
          <w:szCs w:val="15"/>
          <w:color w:val="auto"/>
        </w:rPr>
        <w:t>Notwithstanding the preceding, without the consent of any holder of Notes, the Issuers, the Restricted Subsidiaries, the Guarantors and the trustee may amend or supplement the Indenture, the Notes or the Note Guarantees or, subject to the terms of the Intercreditor Agreement, the Collateral Documents:</w:t>
      </w: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460" w:right="840" w:hanging="452"/>
        <w:spacing w:after="0" w:line="332" w:lineRule="auto"/>
        <w:tabs>
          <w:tab w:leader="none" w:pos="4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provide for the assumption of either Issuers’ or a Guarantor’s obligations to holders of Notes and Note Guarantees in the case of a merger or consolidation or sale of all or substantially all of Wynn Las Vegas’ or such Guarantor’s assets, as applicable;</w:t>
      </w:r>
    </w:p>
    <w:p>
      <w:pPr>
        <w:spacing w:after="0" w:line="4"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the Indenture of any such holder;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the Indenture as of the date of the Indenture;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Notes;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thereunder, when:</w:t>
      </w:r>
    </w:p>
    <w:p>
      <w:pPr>
        <w:spacing w:after="0" w:line="113"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00" w:right="20" w:hanging="446"/>
        <w:spacing w:after="0" w:line="294" w:lineRule="auto"/>
        <w:tabs>
          <w:tab w:leader="none" w:pos="9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20"/>
          </w:cols>
          <w:pgMar w:left="24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cancellation for principal, premium and Liquidated Damages, if any, and accrued interest to the date of maturity or redemption;</w:t>
      </w:r>
    </w:p>
    <w:p>
      <w:pPr>
        <w:spacing w:after="0" w:line="90" w:lineRule="exact"/>
        <w:rPr>
          <w:sz w:val="20"/>
          <w:szCs w:val="20"/>
          <w:color w:val="auto"/>
        </w:rPr>
      </w:pPr>
    </w:p>
    <w:p>
      <w:pPr>
        <w:ind w:left="460" w:right="40" w:hanging="452"/>
        <w:spacing w:after="0" w:line="306" w:lineRule="auto"/>
        <w:tabs>
          <w:tab w:leader="none" w:pos="4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on the redemption date, as the case may be.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 in the conduct of his/her own affairs.</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the Note Guarantees and the Collateral Documents provide, with certain exceptions, for the application of the internal laws of the State of New York. There is no certainty regarding whether New York or Nevada law would be applied by any court with respect to the enforcement of remedies under the Notes, the Indenture, the Note Guarantees or the Collateral Documents.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Anyone who receives this prospectus may obtain a copy of the Indenture, the Security Agreement with respect to the Holdings Pledge and the registration rights agreement without charge by writing to Wynn Las Vegas, LLC, 3131 Las Vegas Boulevard South, Las Vegas, NV 89109, Attention: Legal Department.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1020" w:firstLine="456"/>
        <w:spacing w:after="0" w:line="268" w:lineRule="auto"/>
        <w:rPr>
          <w:sz w:val="20"/>
          <w:szCs w:val="20"/>
          <w:color w:val="auto"/>
        </w:rPr>
      </w:pPr>
      <w:r>
        <w:rPr>
          <w:rFonts w:ascii="Arial" w:cs="Arial" w:eastAsia="Arial" w:hAnsi="Arial"/>
          <w:sz w:val="18"/>
          <w:szCs w:val="18"/>
          <w:color w:val="auto"/>
        </w:rPr>
        <w:t>The new notes will be issued in the form of one or more notes in global form (the “Global Notes”). The new notes will be issued in minimum denominations of $2,000 and integral multiples of $1,000 in excess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Global Notes will be deposited upon issuance with the trustee as custodian for DTC in New York, New York, and registered in the name of DTC or its nominee (such nominee being referred to as the “Global Note Holder”), in each case, for credit to an account of a direct or indirect participant in DTC as described below.</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new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Depository Procedures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urges investors to contact the system or their participants directly to discuss these matters.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hanging="452"/>
        <w:spacing w:after="0" w:line="268"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Global Note to pledge such interests to Persons that do not participate in the DTC system, or otherwise take actions in respect of such interests, may be affected by the lack of a physical certificate evidencing such interests.</w:t>
      </w:r>
    </w:p>
    <w:p>
      <w:pPr>
        <w:spacing w:after="0" w:line="126" w:lineRule="exact"/>
        <w:rPr>
          <w:sz w:val="20"/>
          <w:szCs w:val="20"/>
          <w:color w:val="auto"/>
        </w:rPr>
      </w:pPr>
    </w:p>
    <w:p>
      <w:pPr>
        <w:ind w:right="260" w:firstLine="456"/>
        <w:spacing w:after="0" w:line="378" w:lineRule="auto"/>
        <w:rPr>
          <w:sz w:val="20"/>
          <w:szCs w:val="20"/>
          <w:color w:val="auto"/>
        </w:rPr>
      </w:pPr>
      <w:r>
        <w:rPr>
          <w:rFonts w:ascii="Arial" w:cs="Arial" w:eastAsia="Arial" w:hAnsi="Arial"/>
          <w:sz w:val="15"/>
          <w:szCs w:val="15"/>
          <w:b w:val="1"/>
          <w:bCs w:val="1"/>
          <w:color w:val="auto"/>
        </w:rPr>
        <w:t>Except as described below, owners of interests in the Global Notes will not have new notes registered in their names, will not receive physical delivery of new notes in certificated form and will not be considered the registered owners or “holders” thereof under the Indenture for any purpose.</w:t>
      </w:r>
    </w:p>
    <w:p>
      <w:pPr>
        <w:spacing w:after="0" w:line="5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17" w:lineRule="exact"/>
        <w:rPr>
          <w:sz w:val="20"/>
          <w:szCs w:val="20"/>
          <w:color w:val="auto"/>
        </w:rPr>
      </w:pPr>
    </w:p>
    <w:p>
      <w:pPr>
        <w:jc w:val="both"/>
        <w:ind w:left="460" w:right="100" w:hanging="452"/>
        <w:spacing w:after="0" w:line="259"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Notes, and the Issuers and the trustee may conclusively rely on and will be protected in relying on instructions from DTC or its nominee for all purposes.</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of Global Notes for Certificated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80" w:hanging="452"/>
        <w:spacing w:after="0" w:line="268"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7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of Certificated Notes for Global Notes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Same Day Settlement and Payment</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Issuers will make payments in respect of the new notes represented by the Global Notes (including principal, premium, if any, and interest), by wire transfer of immediately available funds to the accounts specified by DTC or its nominee. The Issuers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Notes</w:t>
      </w:r>
      <w:r>
        <w:rPr>
          <w:rFonts w:ascii="Arial" w:cs="Arial" w:eastAsia="Arial" w:hAnsi="Arial"/>
          <w:sz w:val="18"/>
          <w:szCs w:val="18"/>
          <w:color w:val="auto"/>
        </w:rPr>
        <w:t>” means the 7.875% First Mortgage Notes due 2017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7</w:t>
      </w:r>
      <w:r>
        <w:rPr>
          <w:rFonts w:ascii="Arial" w:cs="Arial" w:eastAsia="Arial" w:hAnsi="Arial"/>
          <w:sz w:val="18"/>
          <w:szCs w:val="18"/>
          <w:color w:val="auto"/>
        </w:rPr>
        <w:t xml:space="preserve">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2020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2020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7</w:t>
      </w:r>
      <w:r>
        <w:rPr>
          <w:rFonts w:ascii="Arial" w:cs="Arial" w:eastAsia="Arial" w:hAnsi="Arial"/>
          <w:sz w:val="18"/>
          <w:szCs w:val="18"/>
          <w:color w:val="auto"/>
        </w:rPr>
        <w:t xml:space="preserve">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2020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2020 issued by the Issuers.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December 14, 2004,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40" w:hanging="452"/>
        <w:spacing w:after="0" w:line="259"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 Person.</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Art Rental and Licensing Agreement,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90" w:lineRule="exact"/>
        <w:rPr>
          <w:rFonts w:ascii="Arial" w:cs="Arial" w:eastAsia="Arial" w:hAnsi="Arial"/>
          <w:sz w:val="18"/>
          <w:szCs w:val="18"/>
          <w:color w:val="auto"/>
        </w:rPr>
      </w:pPr>
    </w:p>
    <w:p>
      <w:pPr>
        <w:ind w:left="460" w:right="700" w:hanging="452"/>
        <w:spacing w:after="0" w:line="268"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51"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 issuance of Equity Interests by Wynn Las Vegas or any of the Restricted Subsidiaries to Wynn Las Vegas or any of its Restricted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Covenants—Restricted Payments”;</w:t>
      </w:r>
    </w:p>
    <w:p>
      <w:pPr>
        <w:spacing w:after="0" w:line="50"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dedication of space within the Projects as necessary for the development of the Projects and as permitted by the Collateral Documents;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50" w:lineRule="exact"/>
        <w:rPr>
          <w:rFonts w:ascii="Arial" w:cs="Arial" w:eastAsia="Arial" w:hAnsi="Arial"/>
          <w:sz w:val="18"/>
          <w:szCs w:val="18"/>
          <w:color w:val="auto"/>
        </w:rPr>
      </w:pPr>
    </w:p>
    <w:p>
      <w:pPr>
        <w:ind w:left="460" w:right="340" w:hanging="452"/>
        <w:spacing w:after="0" w:line="298" w:lineRule="auto"/>
        <w:tabs>
          <w:tab w:leader="none" w:pos="4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the transfer or sale or disposition of any Released Assets or Aircraft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revenues in excess of $10.0 million (in the aggregate) generated by sales, leases or other dispositions of any assets in connection with (i) any timeshare, interval ownership or similar development or (ii) 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100" w:hanging="452"/>
        <w:spacing w:after="0" w:line="323" w:lineRule="auto"/>
        <w:tabs>
          <w:tab w:leader="none" w:pos="46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Holders—Asset Sales”;</w:t>
      </w:r>
    </w:p>
    <w:p>
      <w:pPr>
        <w:spacing w:after="0" w:line="16" w:lineRule="exact"/>
        <w:rPr>
          <w:rFonts w:ascii="Arial" w:cs="Arial" w:eastAsia="Arial" w:hAnsi="Arial"/>
          <w:sz w:val="15"/>
          <w:szCs w:val="15"/>
          <w:color w:val="auto"/>
        </w:rPr>
      </w:pPr>
    </w:p>
    <w:p>
      <w:pPr>
        <w:ind w:left="460" w:right="20" w:hanging="452"/>
        <w:spacing w:after="0" w:line="335" w:lineRule="auto"/>
        <w:tabs>
          <w:tab w:leader="none" w:pos="46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7" w:lineRule="exact"/>
        <w:rPr>
          <w:rFonts w:ascii="Arial" w:cs="Arial" w:eastAsia="Arial" w:hAnsi="Arial"/>
          <w:sz w:val="15"/>
          <w:szCs w:val="15"/>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xml:space="preserve">”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such sale and leaseback transaction results in a Capital Lease Obligation, the amount of Indebtedness represented thereby will be determined in accordance with the definition of “Capital Lease Obligation.”</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jc w:val="both"/>
        <w:ind w:left="460" w:right="160" w:hanging="452"/>
        <w:spacing w:after="0" w:line="259" w:lineRule="auto"/>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right="380" w:hanging="452"/>
        <w:spacing w:after="0" w:line="259" w:lineRule="auto"/>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59" w:lineRule="exact"/>
        <w:rPr>
          <w:rFonts w:ascii="Arial" w:cs="Arial" w:eastAsia="Arial" w:hAnsi="Arial"/>
          <w:sz w:val="18"/>
          <w:szCs w:val="18"/>
          <w:color w:val="auto"/>
        </w:rPr>
      </w:pPr>
    </w:p>
    <w:p>
      <w:pPr>
        <w:jc w:val="both"/>
        <w:ind w:left="460" w:right="100" w:hanging="452"/>
        <w:spacing w:after="0" w:line="306" w:lineRule="auto"/>
        <w:tabs>
          <w:tab w:leader="none" w:pos="4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268" w:lineRule="auto"/>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money market funds at least 95% of the assets of which constitute Cash Equivalents of the kinds described in clauses (1) through (5) of this definition;</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ind w:left="460" w:hanging="452"/>
        <w:spacing w:after="0" w:line="306" w:lineRule="auto"/>
        <w:tabs>
          <w:tab w:leader="none" w:pos="4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consummation of any transaction (including, without limitation, any merger or consolidation) as a result of which any “person” (as defined in clause</w:t>
      </w:r>
    </w:p>
    <w:p>
      <w:pPr>
        <w:spacing w:after="0" w:line="38" w:lineRule="exact"/>
        <w:rPr>
          <w:rFonts w:ascii="Arial" w:cs="Arial" w:eastAsia="Arial" w:hAnsi="Arial"/>
          <w:sz w:val="16"/>
          <w:szCs w:val="16"/>
          <w:color w:val="auto"/>
        </w:rPr>
      </w:pPr>
    </w:p>
    <w:p>
      <w:pPr>
        <w:ind w:left="460" w:right="820"/>
        <w:spacing w:after="0" w:line="261" w:lineRule="auto"/>
        <w:rPr>
          <w:rFonts w:ascii="Arial" w:cs="Arial" w:eastAsia="Arial" w:hAnsi="Arial"/>
          <w:sz w:val="16"/>
          <w:szCs w:val="16"/>
          <w:color w:val="auto"/>
        </w:rPr>
      </w:pPr>
      <w:r>
        <w:rPr>
          <w:rFonts w:ascii="Arial" w:cs="Arial" w:eastAsia="Arial" w:hAnsi="Arial"/>
          <w:sz w:val="18"/>
          <w:szCs w:val="18"/>
          <w:color w:val="auto"/>
        </w:rPr>
        <w:t>(1)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56" w:lineRule="exact"/>
        <w:rPr>
          <w:rFonts w:ascii="Arial" w:cs="Arial" w:eastAsia="Arial" w:hAnsi="Arial"/>
          <w:sz w:val="16"/>
          <w:szCs w:val="16"/>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the Board of Directors of Wynn Resorts or Wynn Capital are not Continuing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first day on which Wynn Resorts ceases to own, directly or indirectly, 100% of the outstanding Equity Interests in Wynn Las Vegas;</w:t>
      </w:r>
    </w:p>
    <w:p>
      <w:pPr>
        <w:spacing w:after="0" w:line="90"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9" w:lineRule="exact"/>
        <w:rPr>
          <w:rFonts w:ascii="Arial" w:cs="Arial" w:eastAsia="Arial" w:hAnsi="Arial"/>
          <w:sz w:val="16"/>
          <w:szCs w:val="16"/>
          <w:color w:val="auto"/>
        </w:rPr>
      </w:pPr>
    </w:p>
    <w:p>
      <w:pPr>
        <w:ind w:left="460" w:hanging="452"/>
        <w:spacing w:after="0"/>
        <w:tabs>
          <w:tab w:leader="none" w:pos="4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 event constituting a “change of control” under the indenture governing the 2017 Notes to the extent any of the 2017 Notes are then outstanding;</w:t>
      </w:r>
    </w:p>
    <w:p>
      <w:pPr>
        <w:spacing w:after="0" w:line="113" w:lineRule="exact"/>
        <w:rPr>
          <w:rFonts w:ascii="Arial" w:cs="Arial" w:eastAsia="Arial" w:hAnsi="Arial"/>
          <w:sz w:val="16"/>
          <w:szCs w:val="16"/>
          <w:color w:val="auto"/>
        </w:rPr>
      </w:pPr>
    </w:p>
    <w:p>
      <w:pPr>
        <w:ind w:left="460" w:right="600" w:hanging="452"/>
        <w:spacing w:after="0" w:line="268" w:lineRule="auto"/>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an event constituting a “change of control” under the indenture governing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to the extent any of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are then outstanding; or</w:t>
      </w:r>
    </w:p>
    <w:p>
      <w:pPr>
        <w:spacing w:after="0" w:line="50" w:lineRule="exact"/>
        <w:rPr>
          <w:rFonts w:ascii="Arial" w:cs="Arial" w:eastAsia="Arial" w:hAnsi="Arial"/>
          <w:sz w:val="18"/>
          <w:szCs w:val="18"/>
          <w:color w:val="auto"/>
        </w:rPr>
      </w:pPr>
    </w:p>
    <w:p>
      <w:pPr>
        <w:ind w:left="460" w:right="600" w:hanging="452"/>
        <w:spacing w:after="0" w:line="268" w:lineRule="auto"/>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an event constituting a “change of control” under the indenture governing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to the extent any of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are then outstanding.</w:t>
      </w:r>
    </w:p>
    <w:p>
      <w:pPr>
        <w:spacing w:after="0" w:line="131" w:lineRule="exact"/>
        <w:rPr>
          <w:rFonts w:ascii="Arial" w:cs="Arial" w:eastAsia="Arial" w:hAnsi="Arial"/>
          <w:sz w:val="18"/>
          <w:szCs w:val="18"/>
          <w:color w:val="auto"/>
        </w:rPr>
      </w:pPr>
    </w:p>
    <w:p>
      <w:pPr>
        <w:ind w:left="460" w:right="2760"/>
        <w:spacing w:after="0" w:line="493" w:lineRule="auto"/>
        <w:rPr>
          <w:rFonts w:ascii="Arial" w:cs="Arial" w:eastAsia="Arial" w:hAnsi="Arial"/>
          <w:sz w:val="18"/>
          <w:szCs w:val="18"/>
          <w:color w:val="auto"/>
        </w:rPr>
      </w:pPr>
      <w:r>
        <w:rPr>
          <w:rFonts w:ascii="Arial" w:cs="Arial" w:eastAsia="Arial" w:hAnsi="Arial"/>
          <w:sz w:val="16"/>
          <w:szCs w:val="16"/>
          <w:color w:val="auto"/>
        </w:rPr>
        <w:t>Notwithstanding the above, a Change of Control will not occur solely by reason of a Permitted C-Corp. Conversion. “</w:t>
      </w:r>
      <w:r>
        <w:rPr>
          <w:rFonts w:ascii="Arial" w:cs="Arial" w:eastAsia="Arial" w:hAnsi="Arial"/>
          <w:sz w:val="16"/>
          <w:szCs w:val="16"/>
          <w:i w:val="1"/>
          <w:iCs w:val="1"/>
          <w:color w:val="auto"/>
        </w:rPr>
        <w:t>Change of Control Offer</w:t>
      </w:r>
      <w:r>
        <w:rPr>
          <w:rFonts w:ascii="Arial" w:cs="Arial" w:eastAsia="Arial" w:hAnsi="Arial"/>
          <w:sz w:val="16"/>
          <w:szCs w:val="16"/>
          <w:color w:val="auto"/>
        </w:rPr>
        <w:t>” has the meaning assigned to that term in the Indenture governing the Notes.</w:t>
      </w: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 in each case, as amended, modified or otherwise supplemented from time to time in accordance with their respective terms and with the Indenture and the Collateral Documents.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Release Period</w:t>
      </w:r>
      <w:r>
        <w:rPr>
          <w:rFonts w:ascii="Arial" w:cs="Arial" w:eastAsia="Arial" w:hAnsi="Arial"/>
          <w:sz w:val="18"/>
          <w:szCs w:val="18"/>
          <w:color w:val="auto"/>
        </w:rPr>
        <w:t>” means any period of the time while the Notes remain outstanding during which the holders’ security interest in all of the Collateral is released in accordance with the conditions set forth in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means Wynn Completion Guarantor, LLC, a Nevada limited liability company.</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51" w:lineRule="exact"/>
        <w:rPr>
          <w:sz w:val="20"/>
          <w:szCs w:val="20"/>
          <w:color w:val="auto"/>
        </w:rPr>
      </w:pPr>
    </w:p>
    <w:p>
      <w:pPr>
        <w:ind w:left="460" w:right="160" w:hanging="452"/>
        <w:spacing w:after="0" w:line="268"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50"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63"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Subsidiaries for such period to the extent that such depreciation, amortization and other non-cash expenses were deducted in computing such Consolidated Net Income; plus</w:t>
      </w:r>
    </w:p>
    <w:p>
      <w:pPr>
        <w:spacing w:after="0" w:line="51"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any pre-opening expenses, to the extent such pre-opening expenses were deducted in calculating Consolidated Net Income on a consolidated basis; plus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non-cash items reducing Consolidated Net Income for such period; minus</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1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287" w:lineRule="auto"/>
        <w:tabs>
          <w:tab w:leader="none" w:pos="23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jc w:val="both"/>
        <w:ind w:left="460" w:right="60" w:hanging="452"/>
        <w:spacing w:after="0" w:line="357" w:lineRule="auto"/>
        <w:tabs>
          <w:tab w:leader="none" w:pos="46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ind w:left="460" w:right="420" w:hanging="452"/>
        <w:spacing w:after="0" w:line="268" w:lineRule="auto"/>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59"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Net Income (loss) of any Unrestricted Subsidiary will be excluded, whether or not distributed to the specified Person or one of its Subsidiaries;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Subsidiaries as of such date; plus</w:t>
      </w:r>
    </w:p>
    <w:p>
      <w:pPr>
        <w:spacing w:after="0" w:line="90"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 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Wynn Las Vegas, the securities intermediary named therein and the collateral agent, (3) the Control Agreement, dated as of December 14, 2004, among Las Vegas Jet, LLC, the securities intermediary named therein and the collateral agent, each as amended, modified or otherwise supplemented from time to time in accordance with its terms, the Indenture and the other Collateral Documents and (4) the Collateral Account Control Agreement, dated as of September 18, 2008, among Wynn Las Vegas, the securities intermediary named therein and the collateral agent.</w:t>
      </w:r>
    </w:p>
    <w:p>
      <w:pPr>
        <w:spacing w:after="0" w:line="14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to secure the obligations under the Indenture and the Notes in accordance with the provisions of the Indenture and the Collateral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hotel and casino resort and connected directly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hotel.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w:t>
      </w:r>
    </w:p>
    <w:p>
      <w:pPr>
        <w:spacing w:after="0" w:line="13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necessity of either party, determined in good faith by (1) an appropriate officer of Wynn Las Vegas, in the case of any value equal to or less than $10.0 million or</w:t>
      </w:r>
    </w:p>
    <w:p>
      <w:pPr>
        <w:spacing w:after="0" w:line="44" w:lineRule="exact"/>
        <w:rPr>
          <w:sz w:val="20"/>
          <w:szCs w:val="20"/>
          <w:color w:val="auto"/>
        </w:rPr>
      </w:pPr>
    </w:p>
    <w:p>
      <w:pPr>
        <w:ind w:right="180" w:firstLine="8"/>
        <w:spacing w:after="0" w:line="255" w:lineRule="auto"/>
        <w:tabs>
          <w:tab w:leader="none" w:pos="24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xml:space="preserve">”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hanging="452"/>
        <w:spacing w:after="0" w:line="255"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 quarter reference period or subsequent to such reference period and on or prior to the Calculation Date will be given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(in accordance with Regulation S-X under the Securities Act) as if they had occurred on the first day of the four-quarter reference period;</w:t>
      </w:r>
    </w:p>
    <w:p>
      <w:pPr>
        <w:spacing w:after="0" w:line="61"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(and ownership interests therein) disposed of prior to the Calculation Date, will 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excluded, but only to the extent that the obligations giving rise to such Fixed Charges will not be obligations of the specified Person or any of its Restricted Subsidiaries following the Calculation Date;</w:t>
      </w:r>
    </w:p>
    <w:p>
      <w:pPr>
        <w:spacing w:after="0" w:line="51" w:lineRule="exact"/>
        <w:rPr>
          <w:sz w:val="20"/>
          <w:szCs w:val="20"/>
          <w:color w:val="auto"/>
        </w:rPr>
      </w:pPr>
    </w:p>
    <w:p>
      <w:pPr>
        <w:ind w:left="460" w:right="60" w:hanging="452"/>
        <w:spacing w:after="0" w:line="268"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50" w:lineRule="exact"/>
        <w:rPr>
          <w:rFonts w:ascii="Arial" w:cs="Arial" w:eastAsia="Arial" w:hAnsi="Arial"/>
          <w:sz w:val="18"/>
          <w:szCs w:val="18"/>
          <w:color w:val="auto"/>
        </w:rPr>
      </w:pPr>
    </w:p>
    <w:p>
      <w:pPr>
        <w:ind w:left="460" w:right="260" w:hanging="452"/>
        <w:spacing w:after="0" w:line="259"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w:t>
      </w:r>
    </w:p>
    <w:p>
      <w:pPr>
        <w:spacing w:after="0" w:line="90" w:lineRule="exact"/>
        <w:rPr>
          <w:sz w:val="20"/>
          <w:szCs w:val="20"/>
          <w:color w:val="auto"/>
        </w:rPr>
      </w:pPr>
    </w:p>
    <w:p>
      <w:pPr>
        <w:ind w:left="460" w:hanging="452"/>
        <w:spacing w:after="0" w:line="294" w:lineRule="auto"/>
        <w:tabs>
          <w:tab w:leader="none" w:pos="4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interest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50"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in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subject.</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the Restricted Subsidiaries or Guarantors.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120" w:hanging="452"/>
        <w:spacing w:after="0" w:line="268"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right="140" w:hanging="452"/>
        <w:spacing w:after="0" w:line="255"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other Person that provides a Guarantee by executing a supplemental indenture in accordance with the provisions of the Indenture,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Note Guarantees,” their respective successors and assigns (other than the Issuers). A Person shall cease to be a Guarantor following the release of its Note Guarantee as described above under the caption “—Note Guarantees—Release of Note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interest rate swap agreements (whether from fixed to floating or from floating to fixed), interest rate cap agreements and interest rate collar agreements;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w:t>
      </w:r>
      <w:r>
        <w:rPr>
          <w:rFonts w:ascii="Arial" w:cs="Arial" w:eastAsia="Arial" w:hAnsi="Arial"/>
          <w:sz w:val="16"/>
          <w:szCs w:val="16"/>
          <w:i w:val="1"/>
          <w:iCs w:val="1"/>
          <w:color w:val="auto"/>
        </w:rPr>
        <w:t>holder</w:t>
      </w:r>
      <w:r>
        <w:rPr>
          <w:rFonts w:ascii="Arial" w:cs="Arial" w:eastAsia="Arial" w:hAnsi="Arial"/>
          <w:sz w:val="16"/>
          <w:szCs w:val="16"/>
          <w:color w:val="auto"/>
        </w:rPr>
        <w:t>” means any registered holder, from time to time, of the Notes. Only registered holders will have any rights under the Indenture.</w:t>
      </w:r>
    </w:p>
    <w:p>
      <w:pPr>
        <w:spacing w:after="0" w:line="19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Home Site Land</w:t>
      </w:r>
      <w:r>
        <w:rPr>
          <w:rFonts w:ascii="Arial" w:cs="Arial" w:eastAsia="Arial" w:hAnsi="Arial"/>
          <w:sz w:val="16"/>
          <w:szCs w:val="16"/>
          <w:color w:val="auto"/>
        </w:rPr>
        <w:t>” means a tract of land (not to exceed 20 acres) located on the Golf Course Land where residential and non-gaming related developments may be built, after the release of the trustee’s Liens (for the benefit of the holders) thereon in accordance with the Indenture.</w:t>
      </w:r>
    </w:p>
    <w:p>
      <w:pPr>
        <w:spacing w:after="0" w:line="85"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$500,000 and whose total revenues for the most recent 12-month period do not exceed $500,000;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40"/>
          </w:cols>
          <w:pgMar w:left="240" w:top="459" w:right="3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620" w:hanging="452"/>
        <w:spacing w:after="0" w:line="268"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Intercreditor Agreement</w:t>
      </w:r>
      <w:r>
        <w:rPr>
          <w:rFonts w:ascii="Arial" w:cs="Arial" w:eastAsia="Arial" w:hAnsi="Arial"/>
          <w:sz w:val="15"/>
          <w:szCs w:val="15"/>
          <w:color w:val="auto"/>
        </w:rPr>
        <w:t xml:space="preserve">” means the Intercreditor Agreement, dated as of December 14, 2004, among the trustee for the 2017 Notes, the trustee for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the trustee for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the trustee for the Notes, the administrative agent under the Credit Agreement, the collateral agent and the other parties thereto from time to time, as such agreement may be amended, modified, restated or supplemented in accordance with the terms of the Indenture.</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in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 entered into in connection with the exchange offering.</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Macau Project</w:t>
      </w:r>
      <w:r>
        <w:rPr>
          <w:rFonts w:ascii="Arial" w:cs="Arial" w:eastAsia="Arial" w:hAnsi="Arial"/>
          <w:sz w:val="18"/>
          <w:szCs w:val="18"/>
          <w:color w:val="auto"/>
        </w:rPr>
        <w:t>” means the hotel tower, casino facility and retail and convention space that is operated by Wynn Resorts (Macau), S.A., in the Macau Special Administrative Region of the People’s Republic of China, together with the Encore hotel tower, casino facility and retail and convention space adjacent thereto.</w:t>
      </w:r>
    </w:p>
    <w:p>
      <w:pPr>
        <w:spacing w:after="0" w:line="14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December 14, 2004,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ind w:left="460" w:right="100" w:hanging="452"/>
        <w:spacing w:after="0" w:line="259"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460" w:hanging="452"/>
        <w:spacing w:after="0" w:line="268"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jc w:val="both"/>
        <w:ind w:left="460" w:hanging="452"/>
        <w:spacing w:after="0" w:line="253"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amounts required to be and actually applied to the repayment of Indebtedness (other than Indebtedness that is subordinated in right of payment to the Notes or the Note Guarantees) permitted under the Indenture that is secured by a Permitted Lien on the asset or assets that were the subject of such Event of Loss that ranks</w:t>
      </w:r>
    </w:p>
    <w:p>
      <w:pPr>
        <w:ind w:left="460" w:right="60"/>
        <w:spacing w:after="0" w:line="261" w:lineRule="auto"/>
        <w:rPr>
          <w:rFonts w:ascii="Arial" w:cs="Arial" w:eastAsia="Arial" w:hAnsi="Arial"/>
          <w:sz w:val="18"/>
          <w:szCs w:val="18"/>
          <w:color w:val="auto"/>
        </w:rPr>
      </w:pPr>
      <w:r>
        <w:rPr>
          <w:rFonts w:ascii="Arial" w:cs="Arial" w:eastAsia="Arial" w:hAnsi="Arial"/>
          <w:sz w:val="18"/>
          <w:szCs w:val="18"/>
          <w:color w:val="auto"/>
        </w:rPr>
        <w:t>prior to the security interest of the trustee in those assets, after giving effect to any provisions in the Collateral Documents and the Intercreditor Agreement as to the relative ranking of security interests, and</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taxes or Tax Amount paid or payable as a result of the receipt of such cash proceeds.</w:t>
      </w:r>
    </w:p>
    <w:p>
      <w:pPr>
        <w:spacing w:after="0" w:line="171" w:lineRule="exact"/>
        <w:rPr>
          <w:sz w:val="20"/>
          <w:szCs w:val="20"/>
          <w:color w:val="auto"/>
        </w:rPr>
      </w:pPr>
    </w:p>
    <w:p>
      <w:pPr>
        <w:ind w:right="66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jc w:val="both"/>
        <w:ind w:left="460" w:right="200" w:hanging="452"/>
        <w:spacing w:after="0" w:line="306" w:lineRule="auto"/>
        <w:tabs>
          <w:tab w:leader="none" w:pos="4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40" w:hanging="452"/>
        <w:spacing w:after="0" w:line="306" w:lineRule="auto"/>
        <w:tabs>
          <w:tab w:leader="none" w:pos="4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in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62"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Subsidiary pledged by Wynn Las Vegas of one of its Restricted Subsidiaries to secure Indebtedness of the Unrestricted Subsidiary).</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Notes, executed pursuant to the provisions of the Indenture.</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43"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 (ii) 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31" w:lineRule="exact"/>
        <w:rPr>
          <w:rFonts w:ascii="Arial" w:cs="Arial" w:eastAsia="Arial" w:hAnsi="Arial"/>
          <w:sz w:val="16"/>
          <w:szCs w:val="16"/>
          <w:color w:val="auto"/>
        </w:rPr>
      </w:pPr>
    </w:p>
    <w:p>
      <w:pPr>
        <w:ind w:left="460" w:right="400" w:hanging="452"/>
        <w:spacing w:after="0" w:line="268" w:lineRule="auto"/>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right="80" w:hanging="452"/>
        <w:spacing w:after="0" w:line="306" w:lineRule="auto"/>
        <w:tabs>
          <w:tab w:leader="none" w:pos="4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in the subchapter “C” corporation shall be the same, and shall be in the same percentages, as the Beneficial Owners of Equity Interests in the applicable entity immediately prior to such transaction;</w:t>
      </w:r>
    </w:p>
    <w:p>
      <w:pPr>
        <w:spacing w:after="0" w:line="25" w:lineRule="exact"/>
        <w:rPr>
          <w:rFonts w:ascii="Arial" w:cs="Arial" w:eastAsia="Arial" w:hAnsi="Arial"/>
          <w:sz w:val="16"/>
          <w:szCs w:val="16"/>
          <w:color w:val="auto"/>
        </w:rPr>
      </w:pPr>
    </w:p>
    <w:p>
      <w:pPr>
        <w:ind w:left="460" w:right="220" w:hanging="452"/>
        <w:spacing w:after="0" w:line="256"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assumes in writing all of the obligations, if any, of the applicable entity under (a) the Indenture, the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60"/>
          </w:cols>
          <w:pgMar w:left="240" w:top="460" w:right="3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9"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 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a satisfactory opinion of counsel) regarding the maintenance of the perfection and priority of liens granted, or intended to be granted, in favor of the trustee in the Collateral following such transaction;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 certificate of the chief financial officer of Wynn Las Vegas confirming that the conditions in clauses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 through (8) have been satisfied.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00" w:right="140" w:hanging="446"/>
        <w:spacing w:after="0" w:line="306" w:lineRule="auto"/>
        <w:tabs>
          <w:tab w:leader="none" w:pos="90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in Wynn Resorts;</w:t>
      </w:r>
    </w:p>
    <w:p>
      <w:pPr>
        <w:spacing w:after="0" w:line="90" w:lineRule="exact"/>
        <w:rPr>
          <w:rFonts w:ascii="Arial" w:cs="Arial" w:eastAsia="Arial" w:hAnsi="Arial"/>
          <w:sz w:val="18"/>
          <w:szCs w:val="18"/>
          <w:color w:val="auto"/>
        </w:rPr>
      </w:pPr>
    </w:p>
    <w:p>
      <w:pPr>
        <w:ind w:left="460" w:right="500" w:hanging="452"/>
        <w:spacing w:after="0" w:line="306" w:lineRule="auto"/>
        <w:tabs>
          <w:tab w:leader="none" w:pos="4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440" w:hanging="452"/>
        <w:spacing w:after="0" w:line="259"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280" w:hanging="452"/>
        <w:spacing w:after="0" w:line="332" w:lineRule="auto"/>
        <w:tabs>
          <w:tab w:leader="none" w:pos="4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360" w:hanging="452"/>
        <w:spacing w:after="0" w:line="268"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50"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the assignment of gaming debts evidenced by a credit instrument, including what are commonly referred to as “markers,” to an Affiliate of Wynn Las Vegas for the purpose of collecting amounts outstanding under such gaming debts or “markers” due to Wynn Las Vegas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Affiliate receiving any such assignment enters into a binding agreement to pay all amounts so collected back to Wynn Las Vegas within 30 days of receipt of payment of such collected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220" w:hanging="452"/>
        <w:spacing w:after="0" w:line="306" w:lineRule="auto"/>
        <w:tabs>
          <w:tab w:leader="none" w:pos="4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Liens in favor of Wynn Las Vegas or any of the Restricted Subsidiaries, provided if any such Liens are on any or all of the Collateral, such Liens are either: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Notes, or</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collateral agent for the benefit of the trustee for the benefit of the holders of the Notes securing the obligations under the Notes, the Note Guarantees and the Credit Agreement;</w:t>
      </w:r>
    </w:p>
    <w:p>
      <w:pPr>
        <w:spacing w:after="0" w:line="50" w:lineRule="exact"/>
        <w:rPr>
          <w:rFonts w:ascii="Arial" w:cs="Arial" w:eastAsia="Arial" w:hAnsi="Arial"/>
          <w:sz w:val="18"/>
          <w:szCs w:val="18"/>
          <w:color w:val="auto"/>
        </w:rPr>
      </w:pPr>
    </w:p>
    <w:p>
      <w:pPr>
        <w:ind w:left="460" w:right="440" w:hanging="452"/>
        <w:spacing w:after="0" w:line="259"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w:t>
      </w:r>
    </w:p>
    <w:p>
      <w:pPr>
        <w:spacing w:after="0" w:line="9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4"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90" w:lineRule="exact"/>
        <w:rPr>
          <w:rFonts w:ascii="Arial" w:cs="Arial" w:eastAsia="Arial" w:hAnsi="Arial"/>
          <w:sz w:val="18"/>
          <w:szCs w:val="18"/>
          <w:color w:val="auto"/>
        </w:rPr>
      </w:pPr>
    </w:p>
    <w:p>
      <w:pPr>
        <w:ind w:left="460" w:right="380" w:hanging="452"/>
        <w:spacing w:after="0" w:line="259"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60" w:hanging="452"/>
        <w:spacing w:after="0" w:line="253"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Liens on the Collateral created by the Indenture and the Collateral Documents securing the Indebtedness and other Obligations under the Indenture and the Collateral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(8) shall not be deemed to permit the extension of the liens on the Collateral created by the Indenture</w:t>
      </w: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and the Collateral Documents with respect to any Indebtedness incurred after the date of the Indenture as the result of the issuance of additional Notes under the Indenture in compliance with the covenant described above under the caption “—Certain Covenants—Incurrence of Indebtedness and Issuance of Disqualified Stock”;</w:t>
      </w:r>
    </w:p>
    <w:p>
      <w:pPr>
        <w:spacing w:after="0" w:line="63"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right="20" w:hanging="452"/>
        <w:spacing w:after="0" w:line="283" w:lineRule="auto"/>
        <w:tabs>
          <w:tab w:leader="none" w:pos="4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Liens on property or assets to secure Indebtedness permitted by clause (7) of the second paragraph of the covenant described above under the caption “—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so long as such Indebtedness is not incurred under the Credit Agreement or through the issuance of additional Notes under the Indenture, such Liens do not at any time encumber any assets or property other than the assets or property financed by such Indebtedness, and the proceeds (including insurance proceeds), products, rents, profits, accessions and replacements thereof or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to the extent that the Indebtedness permitted by clause (7) of the second paragraph of the covenant described above under the caption “—Certain Covenants—Incurrence of</w:t>
      </w:r>
    </w:p>
    <w:p>
      <w:pPr>
        <w:spacing w:after="0" w:line="1" w:lineRule="exact"/>
        <w:rPr>
          <w:rFonts w:ascii="Arial" w:cs="Arial" w:eastAsia="Arial" w:hAnsi="Arial"/>
          <w:sz w:val="16"/>
          <w:szCs w:val="16"/>
          <w:color w:val="auto"/>
        </w:rPr>
      </w:pPr>
    </w:p>
    <w:p>
      <w:pPr>
        <w:ind w:left="460" w:right="180"/>
        <w:spacing w:after="0" w:line="352" w:lineRule="auto"/>
        <w:rPr>
          <w:rFonts w:ascii="Arial" w:cs="Arial" w:eastAsia="Arial" w:hAnsi="Arial"/>
          <w:sz w:val="16"/>
          <w:szCs w:val="16"/>
          <w:color w:val="auto"/>
        </w:rPr>
      </w:pPr>
      <w:r>
        <w:rPr>
          <w:rFonts w:ascii="Arial" w:cs="Arial" w:eastAsia="Arial" w:hAnsi="Arial"/>
          <w:sz w:val="15"/>
          <w:szCs w:val="15"/>
          <w:color w:val="auto"/>
        </w:rPr>
        <w:t>Indebtedness and Issuance of Disqualified Stock” is incurred under the Credit Agreement or through the issuance of additional Notes under the Indenture and the property or assets acquired with such Indebtedness becomes part of the Collateral, such Indebtedness may be secured by the Collateral;</w:t>
      </w:r>
    </w:p>
    <w:p>
      <w:pPr>
        <w:ind w:left="460" w:right="180" w:hanging="452"/>
        <w:spacing w:after="0" w:line="259"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59"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 GAAP;</w:t>
      </w:r>
    </w:p>
    <w:p>
      <w:pPr>
        <w:spacing w:after="0" w:line="113" w:lineRule="exact"/>
        <w:rPr>
          <w:rFonts w:ascii="Arial" w:cs="Arial" w:eastAsia="Arial" w:hAnsi="Arial"/>
          <w:sz w:val="16"/>
          <w:szCs w:val="16"/>
          <w:color w:val="auto"/>
        </w:rPr>
      </w:pPr>
    </w:p>
    <w:p>
      <w:pPr>
        <w:ind w:left="460" w:right="280" w:hanging="452"/>
        <w:spacing w:after="0" w:line="259"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lessee’s leasehold interest in the underlying real property in favor of any party financing the lessee under any such lease or sublease, so long as:</w:t>
      </w:r>
    </w:p>
    <w:p>
      <w:pPr>
        <w:spacing w:after="0" w:line="113" w:lineRule="exact"/>
        <w:rPr>
          <w:sz w:val="20"/>
          <w:szCs w:val="20"/>
          <w:color w:val="auto"/>
        </w:rPr>
      </w:pPr>
    </w:p>
    <w:p>
      <w:pPr>
        <w:ind w:left="900" w:hanging="446"/>
        <w:spacing w:after="0"/>
        <w:tabs>
          <w:tab w:leader="none" w:pos="90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neither Issuer nor any of the Restricted Subsidiaries is liable for the payment of any principal of, or interest, premiums or fees on, such financing, and</w:t>
      </w:r>
    </w:p>
    <w:p>
      <w:pPr>
        <w:spacing w:after="0" w:line="124" w:lineRule="exact"/>
        <w:rPr>
          <w:rFonts w:ascii="Arial" w:cs="Arial" w:eastAsia="Arial" w:hAnsi="Arial"/>
          <w:sz w:val="15"/>
          <w:szCs w:val="15"/>
          <w:color w:val="auto"/>
        </w:rPr>
      </w:pPr>
    </w:p>
    <w:p>
      <w:pPr>
        <w:ind w:left="900" w:right="80" w:hanging="446"/>
        <w:spacing w:after="0" w:line="268" w:lineRule="auto"/>
        <w:tabs>
          <w:tab w:leader="none" w:pos="9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Note Guarantee, as the case may be;</w:t>
      </w:r>
    </w:p>
    <w:p>
      <w:pPr>
        <w:spacing w:after="0" w:line="50" w:lineRule="exact"/>
        <w:rPr>
          <w:rFonts w:ascii="Arial" w:cs="Arial" w:eastAsia="Arial" w:hAnsi="Arial"/>
          <w:sz w:val="18"/>
          <w:szCs w:val="18"/>
          <w:color w:val="auto"/>
        </w:rPr>
      </w:pPr>
    </w:p>
    <w:p>
      <w:pPr>
        <w:jc w:val="both"/>
        <w:ind w:left="460" w:right="100" w:hanging="452"/>
        <w:spacing w:after="0" w:line="306" w:lineRule="auto"/>
        <w:tabs>
          <w:tab w:leader="none" w:pos="4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200" w:hanging="452"/>
        <w:spacing w:after="0" w:line="268"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 Incurrence of Indebtedness and Issuance of Disqualified Stock,” so long as:</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Permitted Refinancing Indebtedness being incurred is secured by a Lien of equivalent or lesser priority than the Indebtedness being refinanced, and</w:t>
      </w:r>
    </w:p>
    <w:p>
      <w:pPr>
        <w:spacing w:after="0" w:line="5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Liens securing Indebtedness incurred in accordance with clause (17)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jc w:val="both"/>
        <w:ind w:left="460" w:right="80" w:hanging="452"/>
        <w:spacing w:after="0" w:line="306" w:lineRule="auto"/>
        <w:tabs>
          <w:tab w:leader="none" w:pos="4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Covenants—Incurrence of Indebtedness and Issuance of Disqualified Stock” which liens may be of equal or lesser priority as the liens securing the Notes;</w:t>
      </w:r>
    </w:p>
    <w:p>
      <w:pPr>
        <w:spacing w:after="0" w:line="25" w:lineRule="exact"/>
        <w:rPr>
          <w:rFonts w:ascii="Arial" w:cs="Arial" w:eastAsia="Arial" w:hAnsi="Arial"/>
          <w:sz w:val="16"/>
          <w:szCs w:val="16"/>
          <w:color w:val="auto"/>
        </w:rPr>
      </w:pPr>
    </w:p>
    <w:p>
      <w:pPr>
        <w:ind w:left="460" w:right="420" w:hanging="452"/>
        <w:spacing w:after="0" w:line="259"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Disqualified Stock,” provided that the aggregate amount of such secured Indebtedness at the time of incurrence does not exceed $100.0 million at any one time (collectively for all assets and property subject to such Liens);</w:t>
      </w:r>
    </w:p>
    <w:p>
      <w:pPr>
        <w:spacing w:after="0" w:line="51" w:lineRule="exact"/>
        <w:rPr>
          <w:sz w:val="20"/>
          <w:szCs w:val="20"/>
          <w:color w:val="auto"/>
        </w:rPr>
      </w:pPr>
    </w:p>
    <w:p>
      <w:pPr>
        <w:ind w:left="460" w:right="360" w:hanging="452"/>
        <w:spacing w:after="0" w:line="357" w:lineRule="auto"/>
        <w:tabs>
          <w:tab w:leader="none" w:pos="46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Liens on the Aircraft Assets to secure Indebtedness of World Travel, LLC, which is permitted to be incurred pursuant to clause (16) of the second paragraph of the covenant described above under the caption “—Certain Covenants—Incurrence of Indebtedness and Issuance of Disqualified Stock;”</w:t>
      </w:r>
    </w:p>
    <w:p>
      <w:pPr>
        <w:ind w:left="460" w:right="20" w:hanging="452"/>
        <w:spacing w:after="0" w:line="254"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Liens not specified in clauses (1) through (26) above and not otherwise permitted by the covenant described above under the caption “—Certain Covenants —Liens,” so long as the aggregate outstanding</w:t>
      </w:r>
    </w:p>
    <w:p>
      <w:pPr>
        <w:ind w:left="460" w:right="60"/>
        <w:spacing w:after="0" w:line="261" w:lineRule="auto"/>
        <w:rPr>
          <w:rFonts w:ascii="Arial" w:cs="Arial" w:eastAsia="Arial" w:hAnsi="Arial"/>
          <w:sz w:val="18"/>
          <w:szCs w:val="18"/>
          <w:color w:val="auto"/>
        </w:rPr>
      </w:pPr>
      <w:r>
        <w:rPr>
          <w:rFonts w:ascii="Arial" w:cs="Arial" w:eastAsia="Arial" w:hAnsi="Arial"/>
          <w:sz w:val="18"/>
          <w:szCs w:val="18"/>
          <w:color w:val="auto"/>
        </w:rPr>
        <w:t>principal amount of the obligations secured by all such Liens in the aggregate does not exceed $10.0 million at any one time (collectively for all assets and property subject to such Liens);</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90"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85"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6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hanging="452"/>
        <w:spacing w:after="0" w:line="323" w:lineRule="auto"/>
        <w:tabs>
          <w:tab w:leader="none" w:pos="46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16" w:lineRule="exact"/>
        <w:rPr>
          <w:rFonts w:ascii="Arial" w:cs="Arial" w:eastAsia="Arial" w:hAnsi="Arial"/>
          <w:sz w:val="15"/>
          <w:szCs w:val="15"/>
          <w:color w:val="auto"/>
        </w:rPr>
      </w:pPr>
    </w:p>
    <w:p>
      <w:pPr>
        <w:ind w:left="460" w:right="100" w:hanging="452"/>
        <w:spacing w:after="0" w:line="357" w:lineRule="auto"/>
        <w:tabs>
          <w:tab w:leader="none" w:pos="46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ind w:left="460" w:right="60" w:hanging="452"/>
        <w:spacing w:after="0" w:line="298" w:lineRule="auto"/>
        <w:tabs>
          <w:tab w:leader="none" w:pos="4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Notes or the Note Guarantees, such Permitted Refinancing Indebtedness has a final maturity date later than the final maturity date of, and is subordinated in right of payment to, the Notes or the Note Guarantees, as applicable, on terms at least as favorable, taken as a whole, to the holders of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such Indebtedness is incurred by the Person that is the obligor on the Indebtedness being extended, refinanced, renewed, replaced, defeased or refunded.</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20" w:hanging="452"/>
        <w:spacing w:after="0" w:line="268"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50"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w:t>
      </w:r>
      <w:r>
        <w:rPr>
          <w:rFonts w:ascii="Arial" w:cs="Arial" w:eastAsia="Arial" w:hAnsi="Arial"/>
          <w:sz w:val="16"/>
          <w:szCs w:val="16"/>
          <w:i w:val="1"/>
          <w:iCs w:val="1"/>
          <w:color w:val="auto"/>
        </w:rPr>
        <w:t>e.g.</w:t>
      </w:r>
      <w:r>
        <w:rPr>
          <w:rFonts w:ascii="Arial" w:cs="Arial" w:eastAsia="Arial" w:hAnsi="Arial"/>
          <w:sz w:val="16"/>
          <w:szCs w:val="16"/>
          <w:color w:val="auto"/>
        </w:rPr>
        <w:t xml:space="preserve">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Golf Course Lease,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Encore at Wynn Las Vegas.</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capital contribution to Wynn Las Vegas.</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obtained. For purposes of this definition, each of the Wynn Las Vegas Resort, Encore at Wynn Las Vegas and the Macau Project shall count as separate projects.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460" w:right="640" w:hanging="452"/>
        <w:spacing w:after="0" w:line="268"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controlling stockholder, 80% (or more) owned Subsidiary, or immediate family member or former spouse (in the case of an individual) of any Principal; or</w:t>
      </w:r>
    </w:p>
    <w:p>
      <w:pPr>
        <w:spacing w:after="0" w:line="50" w:lineRule="exact"/>
        <w:rPr>
          <w:rFonts w:ascii="Arial" w:cs="Arial" w:eastAsia="Arial" w:hAnsi="Arial"/>
          <w:sz w:val="18"/>
          <w:szCs w:val="18"/>
          <w:color w:val="auto"/>
        </w:rPr>
      </w:pPr>
    </w:p>
    <w:p>
      <w:pPr>
        <w:jc w:val="both"/>
        <w:ind w:left="460" w:right="640" w:hanging="452"/>
        <w:spacing w:after="0" w:line="259"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Notes or a Note Guarantee pursuant to the Indenture.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180" w:hanging="452"/>
        <w:spacing w:after="0" w:line="357" w:lineRule="auto"/>
        <w:tabs>
          <w:tab w:leader="none" w:pos="46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the Pledge and Security Agreement, dated as of the date of the Indenture, among the Issuers, the Restricted Subsidiaries, Wynn Resorts Holdings and the collateral agent to secure the obligations of the Issuers, the Restricted Subsidiaries and Wynn Resorts Holdings under the Indenture and the Notes, and</w:t>
      </w:r>
    </w:p>
    <w:p>
      <w:pPr>
        <w:ind w:left="460" w:right="20" w:hanging="452"/>
        <w:spacing w:after="0" w:line="268"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December 14, 2004,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Holders</w:t>
      </w:r>
      <w:r>
        <w:rPr>
          <w:rFonts w:ascii="Arial" w:cs="Arial" w:eastAsia="Arial" w:hAnsi="Arial"/>
          <w:sz w:val="18"/>
          <w:szCs w:val="18"/>
          <w:color w:val="auto"/>
        </w:rPr>
        <w:t>” means Stephen A. Wynn and Aruze, USA, Inc.</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installment of interest or principal on any series of Indebtedness, the date on which the payment of interest or principal was scheduled to be paid in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360"/>
          </w:cols>
          <w:pgMar w:left="240" w:top="459" w:right="2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Stockholders Agreement</w:t>
      </w:r>
      <w:r>
        <w:rPr>
          <w:rFonts w:ascii="Arial" w:cs="Arial" w:eastAsia="Arial" w:hAnsi="Arial"/>
          <w:sz w:val="16"/>
          <w:szCs w:val="16"/>
          <w:color w:val="auto"/>
        </w:rPr>
        <w:t>” means that certain Amended and Restated Stockholders Agreement, dated as of January 6, 2010, by and among Stephen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Elaine P. Wynn and Aruze USA, as in effect on the date of the Indenture.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20" w:hanging="452"/>
        <w:spacing w:after="0" w:line="298" w:lineRule="auto"/>
        <w:tabs>
          <w:tab w:leader="none" w:pos="4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right="160" w:hanging="452"/>
        <w:spacing w:after="0" w:line="268" w:lineRule="auto"/>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5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UEC</w:t>
      </w:r>
      <w:r>
        <w:rPr>
          <w:rFonts w:ascii="Arial" w:cs="Arial" w:eastAsia="Arial" w:hAnsi="Arial"/>
          <w:sz w:val="18"/>
          <w:szCs w:val="18"/>
          <w:color w:val="auto"/>
        </w:rPr>
        <w:t>” means Universal Entertainment Corporation, a Japanese public corporation.</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the Completion Guarantor and any other Subsidiary of Wynn Las Vegas, other than Wynn Capital, that is designated by the Board of Directors of Wynn Capital as an Unrestricted Subsidiary pursuant to a resolution of the Board of Directors (and any Subsidiary of each such Unrestricted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Subsidiary), but only to the extent that such Subsidiary of Wynn Las Vegas (other than the Completion Guarantor):</w:t>
      </w:r>
    </w:p>
    <w:p>
      <w:pPr>
        <w:spacing w:after="0" w:line="90"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 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if such designation had occurred at the beginning of the four-quarter reference period and (2) no Default or Event of Default would be in existence following such designation.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ind w:left="460" w:hanging="452"/>
        <w:spacing w:after="0" w:line="259" w:lineRule="auto"/>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 “</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Home Site Land</w:t>
      </w:r>
      <w:r>
        <w:rPr>
          <w:rFonts w:ascii="Arial" w:cs="Arial" w:eastAsia="Arial" w:hAnsi="Arial"/>
          <w:sz w:val="16"/>
          <w:szCs w:val="16"/>
          <w:color w:val="auto"/>
        </w:rPr>
        <w:t>” means an approximately two-acre tract of land located on the Golf Course Land where a personal residence for Stephen A. Wynn may be built, after the release of the Trustee’s Liens (for the benefit of the holders) thereon in accordance with the Indenture.</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Resorts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7.875% First Mortgage Notes due 2017</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On October 19, 2009, we issued $500,000,000 aggregate principal amount of 2017 notes at a price of 97.823% of the principal amount. The 2017 notes mature on November 1, 2017 and bear interest at the rate of 7.875% per year. We pay interest on the 2017 notes on May 1st and November 1st of each year. Commencing November 1, 2013, the 2017 notes will become redeemable at our option at a price equal to 103.938% of the principal amount redeemed and declining ratably on November 1st of each year thereafter to 100.000% on or after November 1, 2015.</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indenture governing the 2017 notes contains covenants limiting our ability to incur additional debt, make distributions, investments and restricted payments, create liens, enter into transactions with affiliates, sell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The 2017 notes are unsecured (except by the Holdings pledge). Our obligations under the 2017 notes rank equal in right of payment with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notes. The 2017 notes are not guaranteed by any of our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1"/>
          <w:szCs w:val="11"/>
          <w:b w:val="1"/>
          <w:bCs w:val="1"/>
          <w:color w:val="auto"/>
        </w:rPr>
        <w:t>8</w:t>
      </w:r>
      <w:r>
        <w:rPr>
          <w:rFonts w:ascii="Arial" w:cs="Arial" w:eastAsia="Arial" w:hAnsi="Arial"/>
          <w:sz w:val="18"/>
          <w:szCs w:val="18"/>
          <w:b w:val="1"/>
          <w:bCs w:val="1"/>
          <w:color w:val="auto"/>
        </w:rPr>
        <w:t>% First Mortgage Notes due 2020</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On April 28, 2010, we issued $382,010,000 aggregate principal amount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in exchange for a like aggregate principal amount of our previously outstanding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2014. The existing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mature on May 1, 2020 and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per year. We pay interest on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on May 1st and November 1st of each year. Commencing May 1, 2015,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will become redeemable at our option at a price equal to 103.938% of the principal amount redeemed and declining ratably on May 1st of each year thereafter to 100.000% on or after May 1, 2018.</w:t>
      </w:r>
    </w:p>
    <w:p>
      <w:pPr>
        <w:spacing w:after="0" w:line="14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 xml:space="preserve">The indenture governing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2020 notes contains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are unsecured (except by the Holdings pledge). Our obligations under the 7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rank equal in right of payment with the 2017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and the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are not guaranteed by any of our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r>
        <w:rPr>
          <w:rFonts w:ascii="Arial" w:cs="Arial" w:eastAsia="Arial" w:hAnsi="Arial"/>
          <w:sz w:val="11"/>
          <w:szCs w:val="11"/>
          <w:b w:val="1"/>
          <w:bCs w:val="1"/>
          <w:color w:val="auto"/>
        </w:rPr>
        <w:t>4</w:t>
      </w:r>
      <w:r>
        <w:rPr>
          <w:rFonts w:ascii="Arial" w:cs="Arial" w:eastAsia="Arial" w:hAnsi="Arial"/>
          <w:sz w:val="18"/>
          <w:szCs w:val="18"/>
          <w:b w:val="1"/>
          <w:bCs w:val="1"/>
          <w:color w:val="auto"/>
        </w:rPr>
        <w:t>% First Mortgage Notes due 2020</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On August 4, 2010, we issued $1,320,000,000 aggregate principal amount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at a price of 100% of the principal amount.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mature on August 15, 2020 and bear interest at the rate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per year. We pay interest on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on February 15 and August 15 of each year. Commencing August 15, 2015,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will become redeemable at our option at a price equal to 103.875% of the principal amount redeemed and declining ratably on August 15 of each year thereafter to 100.000% on or after August 15, 2018.</w:t>
      </w:r>
    </w:p>
    <w:p>
      <w:pPr>
        <w:spacing w:after="0" w:line="11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 xml:space="preserve">The indenture governing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contains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are unsecured (except by the Holdings pledge). Our obligations under the 7¾% 2020 notes rank equal in right of payment with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are not guaranteed by any of our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5.375% First Mortgage Notes due 2022</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March 12, 2012, we issued $900,000,000 aggregate principal amount of old notes. The old notes mature on March 15, 2022 and bear interest at the rate of 5.375% per year. We pay interest on the old notes on March 15 and September 15 of each year. Commencing March 15, 2017, the old notes will become redeemable at our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option at a price equal to 102.688% of the principal amount redeemed and declining ratably on March 15 of each year thereafter to 100.000% on or after March 15, 2020.</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indenture governing the old notes contains covenants limiting our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designate restricted and unrestricted subsidiaries and other specified types of transactions.</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The old notes are unsecured (except by the Holdings pledge). Our obligations under the old notes rank equal in right of payment with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The old notes are not guaranteed by any of our subsidiaries.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77"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United States federal income tax law in effect on the date of this prospectus, which is subject to differing interpretations or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banks and other financial institutions, insurance companies, broker-dealers, partnerships and their partners, and tax-exempt organizations (including private foundations)) or to persons that will hold the new notes as part of a straddle, hedge, conversion, constructive sale, or other integrated security transaction for United States federal income tax purposes, all of whom may be subject to tax rules that differ significantly from those summarized below. This summary does not discuss any</w:t>
      </w:r>
    </w:p>
    <w:p>
      <w:pPr>
        <w:ind w:left="220" w:hanging="212"/>
        <w:spacing w:after="0"/>
        <w:tabs>
          <w:tab w:leader="none" w:pos="22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United States federal income tax consequences to a Non-U.S. Holder (as defined below) that (A) is engaged in the conduct of a United States trade or business,</w:t>
      </w:r>
    </w:p>
    <w:p>
      <w:pPr>
        <w:spacing w:after="0" w:line="43" w:lineRule="exact"/>
        <w:rPr>
          <w:rFonts w:ascii="Arial" w:cs="Arial" w:eastAsia="Arial" w:hAnsi="Arial"/>
          <w:sz w:val="15"/>
          <w:szCs w:val="15"/>
          <w:color w:val="auto"/>
        </w:rPr>
      </w:pPr>
    </w:p>
    <w:p>
      <w:pPr>
        <w:ind w:right="200"/>
        <w:spacing w:after="0" w:line="295" w:lineRule="auto"/>
        <w:rPr>
          <w:rFonts w:ascii="Arial" w:cs="Arial" w:eastAsia="Arial" w:hAnsi="Arial"/>
          <w:sz w:val="15"/>
          <w:szCs w:val="15"/>
          <w:color w:val="auto"/>
        </w:rPr>
      </w:pPr>
      <w:r>
        <w:rPr>
          <w:rFonts w:ascii="Arial" w:cs="Arial" w:eastAsia="Arial" w:hAnsi="Arial"/>
          <w:sz w:val="16"/>
          <w:szCs w:val="16"/>
          <w:color w:val="auto"/>
        </w:rPr>
        <w:t>(B) is a nonresident alien individual and such holder is present in the United States for 183 or more days during the taxable year, or (C) is a corporation which operates through a United States branch, and (ii) state, local or non-United States tax considerations. This summary addresses investors who will hold the new notes as “capital assets” (generally, property held for investment) under Code. Each prospective investor is urged to consult its tax advisor regarding the United States federal, state, local, and non-United States income and other tax considerations of the purchase, ownership, and disposition of the new notes.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purposes of this summary, a “Non-U.S. Holder” means any beneficial owner of a note that is not, for United States federal income tax purposes,</w:t>
      </w:r>
    </w:p>
    <w:p>
      <w:pPr>
        <w:spacing w:after="0" w:line="38" w:lineRule="exact"/>
        <w:rPr>
          <w:sz w:val="20"/>
          <w:szCs w:val="20"/>
          <w:color w:val="auto"/>
        </w:rPr>
      </w:pPr>
    </w:p>
    <w:p>
      <w:pPr>
        <w:ind w:firstLine="8"/>
        <w:spacing w:after="0" w:line="253" w:lineRule="auto"/>
        <w:tabs>
          <w:tab w:leader="none" w:pos="21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(ii) a corporation or other entity taxable as a corporation created in, or organized under the laws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 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holder who does not exchange its old notes for new notes pursuant to the exchange offer will not recognize any gain or loss, for United States federal income tax purposes, upon consummation of the exchange offer.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the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as amended or</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supplemented, available to any broker-dealer for use in connection with any such resale. In addition, until , 2012, all dealers effecting transactions in the new notes may be required to deliver a prospectus.</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51" w:lineRule="exact"/>
        <w:rPr>
          <w:sz w:val="20"/>
          <w:szCs w:val="20"/>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who holds old notes acquired for its own account as a result of market-making activities, and who receives new notes in exchange for old notes pursuant to the exchange offer, and any broker or dealer that participates in a distribution of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and any profit of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90" w:lineRule="exact"/>
        <w:rPr>
          <w:sz w:val="20"/>
          <w:szCs w:val="20"/>
          <w:color w:val="auto"/>
        </w:rPr>
      </w:pPr>
    </w:p>
    <w:p>
      <w:pPr>
        <w:jc w:val="both"/>
        <w:ind w:left="900" w:right="380" w:hanging="325"/>
        <w:spacing w:after="0" w:line="259"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a period of up to the later of (i) 180 days following the 30</w:t>
      </w:r>
      <w:r>
        <w:rPr>
          <w:rFonts w:ascii="Arial" w:cs="Arial" w:eastAsia="Arial" w:hAnsi="Arial"/>
          <w:sz w:val="11"/>
          <w:szCs w:val="11"/>
          <w:color w:val="auto"/>
        </w:rPr>
        <w:t>th</w:t>
      </w:r>
      <w:r>
        <w:rPr>
          <w:rFonts w:ascii="Arial" w:cs="Arial" w:eastAsia="Arial" w:hAnsi="Arial"/>
          <w:sz w:val="18"/>
          <w:szCs w:val="18"/>
          <w:color w:val="auto"/>
        </w:rPr>
        <w:t xml:space="preserve"> business day after the registration statement containing this prospectus is declared effective, and (ii) 180 days following the 10</w:t>
      </w:r>
      <w:r>
        <w:rPr>
          <w:rFonts w:ascii="Arial" w:cs="Arial" w:eastAsia="Arial" w:hAnsi="Arial"/>
          <w:sz w:val="11"/>
          <w:szCs w:val="11"/>
          <w:color w:val="auto"/>
        </w:rPr>
        <w:t>th</w:t>
      </w:r>
      <w:r>
        <w:rPr>
          <w:rFonts w:ascii="Arial" w:cs="Arial" w:eastAsia="Arial" w:hAnsi="Arial"/>
          <w:sz w:val="18"/>
          <w:szCs w:val="18"/>
          <w:color w:val="auto"/>
        </w:rPr>
        <w:t xml:space="preserve"> business day after the exchange offer expires, we will promptly send additional copies of this prospectus and any amendment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Certain legal matters in connection with this exchange offer will be passed upon for us by Skadden, Arps, Slate, Meagher &amp; Flom LLP, New York, New York. Certain matters of Nevada law will be passed upon for us by Brownstein Hyatt Farber Schreck, LLP, Las Vegas, Nevada.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consolidated financial statements and schedule of Wynn Las Vegas, LLC at December 31, 2011 and 2010, and for each of the three years in the period ended December 31, 2011,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indenture governing the notes requires that we file reports under the Exchange Act with the SEC (unless the SEC will not accept such filings) and furnish information to the trustee and holders of the notes. See “Description of the New Notes—Certain Covenants—Reports.” In addition, we are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100 F Street, NE, Washington, D.C. 20549 and through the SEC’s Internet site at http://www.sec.gov. You may obtain information on the operation of the Public Reference Room by calling the SEC at 1-800-SEC-0330.</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78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Consolidated Financial Statements as of and for the three months ended June 30, 2012 and 2011</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780" w:type="dxa"/>
            <w:vAlign w:val="bottom"/>
            <w:gridSpan w:val="13"/>
            <w:vMerge w:val="continue"/>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340" w:type="dxa"/>
            <w:vAlign w:val="bottom"/>
            <w:gridSpan w:val="12"/>
          </w:tcPr>
          <w:p>
            <w:pPr>
              <w:spacing w:after="0" w:line="184" w:lineRule="exact"/>
              <w:rPr>
                <w:rFonts w:ascii="Arial" w:cs="Arial" w:eastAsia="Arial" w:hAnsi="Arial"/>
                <w:sz w:val="18"/>
                <w:szCs w:val="18"/>
                <w:color w:val="0000EE"/>
              </w:rPr>
            </w:pPr>
            <w:hyperlink w:anchor="page176">
              <w:r>
                <w:rPr>
                  <w:rFonts w:ascii="Arial" w:cs="Arial" w:eastAsia="Arial" w:hAnsi="Arial"/>
                  <w:sz w:val="18"/>
                  <w:szCs w:val="18"/>
                  <w:color w:val="0000EE"/>
                </w:rPr>
                <w:t>Condensed Consolidated Balance Sheets – June 30, 2012 (unaudited) and December 31, 2011</w:t>
              </w:r>
            </w:hyperlink>
          </w:p>
        </w:tc>
        <w:tc>
          <w:tcPr>
            <w:tcW w:w="54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340" w:type="dxa"/>
            <w:vAlign w:val="bottom"/>
            <w:gridSpan w:val="12"/>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Condensed Consolidated Statements of Operations (unaudited) – Three months ended June 30, 2012 and 2011</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740" w:type="dxa"/>
            <w:vAlign w:val="bottom"/>
            <w:tcBorders>
              <w:top w:val="single" w:sz="8" w:color="0000EE"/>
            </w:tcBorders>
            <w:gridSpan w:val="11"/>
          </w:tcPr>
          <w:p>
            <w:pPr>
              <w:spacing w:after="0" w:line="196"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Condensed Consolidated Statements of Cash Flows (unaudited) – Six months ended June 30, 2012 and 2011</w:t>
              </w:r>
            </w:hyperlink>
          </w:p>
        </w:tc>
        <w:tc>
          <w:tcPr>
            <w:tcW w:w="26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179">
              <w:r>
                <w:rPr>
                  <w:rFonts w:ascii="Arial" w:cs="Arial" w:eastAsia="Arial" w:hAnsi="Arial"/>
                  <w:sz w:val="18"/>
                  <w:szCs w:val="18"/>
                  <w:color w:val="0000EE"/>
                  <w:w w:val="87"/>
                </w:rPr>
                <w:t>Notes to Condensed Consolidated Financial Statements (unaudited)</w:t>
              </w:r>
            </w:hyperlink>
          </w:p>
        </w:tc>
        <w:tc>
          <w:tcPr>
            <w:tcW w:w="2860" w:type="dxa"/>
            <w:vAlign w:val="bottom"/>
            <w:tcBorders>
              <w:top w:val="single" w:sz="8" w:color="0000EE"/>
            </w:tcBorders>
            <w:gridSpan w:val="2"/>
          </w:tcPr>
          <w:p>
            <w:pPr>
              <w:spacing w:after="0"/>
              <w:rPr>
                <w:sz w:val="17"/>
                <w:szCs w:val="17"/>
                <w:color w:val="auto"/>
              </w:rPr>
            </w:pPr>
          </w:p>
        </w:tc>
        <w:tc>
          <w:tcPr>
            <w:tcW w:w="272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30"/>
        </w:trPr>
        <w:tc>
          <w:tcPr>
            <w:tcW w:w="10780" w:type="dxa"/>
            <w:vAlign w:val="bottom"/>
            <w:gridSpan w:val="13"/>
          </w:tcPr>
          <w:p>
            <w:pPr>
              <w:spacing w:after="0"/>
              <w:rPr>
                <w:sz w:val="20"/>
                <w:szCs w:val="20"/>
                <w:color w:val="auto"/>
              </w:rPr>
            </w:pPr>
            <w:r>
              <w:rPr>
                <w:rFonts w:ascii="Arial" w:cs="Arial" w:eastAsia="Arial" w:hAnsi="Arial"/>
                <w:sz w:val="18"/>
                <w:szCs w:val="18"/>
                <w:b w:val="1"/>
                <w:bCs w:val="1"/>
                <w:color w:val="auto"/>
                <w:w w:val="89"/>
              </w:rPr>
              <w:t>Audited Consolidated Financial Statements at December 31, 2011 and 2010, and for each of the three years in the period ended December 31,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80" w:type="dxa"/>
            <w:vAlign w:val="bottom"/>
            <w:gridSpan w:val="2"/>
          </w:tcPr>
          <w:p>
            <w:pPr>
              <w:jc w:val="right"/>
              <w:ind w:right="1832"/>
              <w:spacing w:after="0"/>
              <w:rPr>
                <w:sz w:val="20"/>
                <w:szCs w:val="20"/>
                <w:color w:val="auto"/>
              </w:rPr>
            </w:pPr>
            <w:r>
              <w:rPr>
                <w:rFonts w:ascii="Arial" w:cs="Arial" w:eastAsia="Arial" w:hAnsi="Arial"/>
                <w:sz w:val="18"/>
                <w:szCs w:val="18"/>
                <w:b w:val="1"/>
                <w:bCs w:val="1"/>
                <w:color w:val="auto"/>
              </w:rPr>
              <w:t>2011</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7"/>
          </w:tcPr>
          <w:p>
            <w:pPr>
              <w:spacing w:after="0" w:line="184" w:lineRule="exact"/>
              <w:rPr>
                <w:rFonts w:ascii="Arial" w:cs="Arial" w:eastAsia="Arial" w:hAnsi="Arial"/>
                <w:sz w:val="18"/>
                <w:szCs w:val="18"/>
                <w:color w:val="0000EE"/>
                <w:w w:val="89"/>
              </w:rPr>
            </w:pPr>
            <w:hyperlink w:anchor="page198">
              <w:r>
                <w:rPr>
                  <w:rFonts w:ascii="Arial" w:cs="Arial" w:eastAsia="Arial" w:hAnsi="Arial"/>
                  <w:sz w:val="18"/>
                  <w:szCs w:val="18"/>
                  <w:color w:val="0000EE"/>
                  <w:w w:val="89"/>
                </w:rPr>
                <w:t>Report of Independent Registered Public Accounting Firm</w:t>
              </w:r>
            </w:hyperlink>
          </w:p>
        </w:tc>
        <w:tc>
          <w:tcPr>
            <w:tcW w:w="6220" w:type="dxa"/>
            <w:vAlign w:val="bottom"/>
            <w:gridSpan w:val="5"/>
          </w:tcPr>
          <w:p>
            <w:pPr>
              <w:spacing w:after="0"/>
              <w:rPr>
                <w:sz w:val="15"/>
                <w:szCs w:val="15"/>
                <w:color w:val="auto"/>
              </w:rPr>
            </w:pPr>
          </w:p>
        </w:tc>
        <w:tc>
          <w:tcPr>
            <w:tcW w:w="540" w:type="dxa"/>
            <w:vAlign w:val="bottom"/>
          </w:tcPr>
          <w:p>
            <w:pPr>
              <w:jc w:val="right"/>
              <w:spacing w:after="0" w:line="184" w:lineRule="exact"/>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199">
              <w:r>
                <w:rPr>
                  <w:rFonts w:ascii="Arial" w:cs="Arial" w:eastAsia="Arial" w:hAnsi="Arial"/>
                  <w:sz w:val="18"/>
                  <w:szCs w:val="18"/>
                  <w:color w:val="0000EE"/>
                  <w:w w:val="85"/>
                </w:rPr>
                <w:t>Consolidated Balance Sheets</w:t>
              </w:r>
            </w:hyperlink>
          </w:p>
        </w:tc>
        <w:tc>
          <w:tcPr>
            <w:tcW w:w="830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340" w:type="dxa"/>
            <w:vAlign w:val="bottom"/>
            <w:gridSpan w:val="12"/>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Consolidated Statements of Operations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4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340" w:type="dxa"/>
            <w:vAlign w:val="bottom"/>
            <w:gridSpan w:val="12"/>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Consolidated Statements of Member’s Equity</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202">
              <w:r>
                <w:rPr>
                  <w:rFonts w:ascii="Arial" w:cs="Arial" w:eastAsia="Arial" w:hAnsi="Arial"/>
                  <w:sz w:val="18"/>
                  <w:szCs w:val="18"/>
                  <w:color w:val="0000EE"/>
                  <w:w w:val="86"/>
                </w:rPr>
                <w:t>Consolidated Statements of Cash Flows</w:t>
              </w:r>
            </w:hyperlink>
          </w:p>
        </w:tc>
        <w:tc>
          <w:tcPr>
            <w:tcW w:w="400" w:type="dxa"/>
            <w:vAlign w:val="bottom"/>
            <w:tcBorders>
              <w:top w:val="single" w:sz="8" w:color="0000EE"/>
            </w:tcBorders>
            <w:gridSpan w:val="2"/>
          </w:tcPr>
          <w:p>
            <w:pPr>
              <w:spacing w:after="0"/>
              <w:rPr>
                <w:sz w:val="17"/>
                <w:szCs w:val="17"/>
                <w:color w:val="auto"/>
              </w:rPr>
            </w:pPr>
          </w:p>
        </w:tc>
        <w:tc>
          <w:tcPr>
            <w:tcW w:w="714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03">
              <w:r>
                <w:rPr>
                  <w:rFonts w:ascii="Arial" w:cs="Arial" w:eastAsia="Arial" w:hAnsi="Arial"/>
                  <w:sz w:val="18"/>
                  <w:szCs w:val="18"/>
                  <w:color w:val="0000EE"/>
                  <w:w w:val="87"/>
                </w:rPr>
                <w:t>Notes to Consolidated Financial Statements</w:t>
              </w:r>
            </w:hyperlink>
          </w:p>
        </w:tc>
        <w:tc>
          <w:tcPr>
            <w:tcW w:w="726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10340" w:type="dxa"/>
            <w:vAlign w:val="bottom"/>
            <w:gridSpan w:val="12"/>
          </w:tcPr>
          <w:p>
            <w:pPr>
              <w:spacing w:after="0"/>
              <w:rPr>
                <w:sz w:val="20"/>
                <w:szCs w:val="20"/>
                <w:color w:val="auto"/>
              </w:rPr>
            </w:pPr>
            <w:r>
              <w:rPr>
                <w:rFonts w:ascii="Arial" w:cs="Arial" w:eastAsia="Arial" w:hAnsi="Arial"/>
                <w:sz w:val="18"/>
                <w:szCs w:val="18"/>
                <w:color w:val="auto"/>
              </w:rPr>
              <w:t>Financial Statement Schedules</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3600" w:type="dxa"/>
            <w:vAlign w:val="bottom"/>
            <w:tcBorders>
              <w:bottom w:val="single" w:sz="8" w:color="0000EE"/>
            </w:tcBorders>
            <w:gridSpan w:val="6"/>
          </w:tcPr>
          <w:p>
            <w:pPr>
              <w:spacing w:after="0" w:line="184" w:lineRule="exact"/>
              <w:rPr>
                <w:rFonts w:ascii="Arial" w:cs="Arial" w:eastAsia="Arial" w:hAnsi="Arial"/>
                <w:sz w:val="18"/>
                <w:szCs w:val="18"/>
                <w:color w:val="0000EE"/>
                <w:w w:val="90"/>
              </w:rPr>
            </w:pPr>
            <w:hyperlink w:anchor="page228">
              <w:r>
                <w:rPr>
                  <w:rFonts w:ascii="Arial" w:cs="Arial" w:eastAsia="Arial" w:hAnsi="Arial"/>
                  <w:sz w:val="18"/>
                  <w:szCs w:val="18"/>
                  <w:color w:val="0000EE"/>
                  <w:w w:val="90"/>
                </w:rPr>
                <w:t>* Schedule II – Valuation and Qualifying Accounts</w:t>
              </w:r>
            </w:hyperlink>
          </w:p>
        </w:tc>
        <w:tc>
          <w:tcPr>
            <w:tcW w:w="6740" w:type="dxa"/>
            <w:vAlign w:val="bottom"/>
            <w:gridSpan w:val="6"/>
          </w:tcPr>
          <w:p>
            <w:pPr>
              <w:spacing w:after="0"/>
              <w:rPr>
                <w:sz w:val="15"/>
                <w:szCs w:val="15"/>
                <w:color w:val="auto"/>
              </w:rPr>
            </w:pPr>
          </w:p>
        </w:tc>
        <w:tc>
          <w:tcPr>
            <w:tcW w:w="540" w:type="dxa"/>
            <w:vAlign w:val="bottom"/>
          </w:tcPr>
          <w:p>
            <w:pPr>
              <w:jc w:val="right"/>
              <w:spacing w:after="0" w:line="184" w:lineRule="exact"/>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20" w:right="240" w:hanging="212"/>
        <w:spacing w:after="0" w:line="268" w:lineRule="auto"/>
        <w:tabs>
          <w:tab w:leader="none" w:pos="2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We have omitted all other financial statements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20"/>
          </w:cols>
          <w:pgMar w:left="240" w:top="460"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72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771,928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139,350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45,990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24,146</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981,414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3,419,780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3,529,376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44,944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32,371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3,825</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4,492,031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68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32,308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64,848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49,638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20,849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87,878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39,304</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307,023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3,125,412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2,507,921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134,667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3,567,655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3,025,091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1,983,560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(1,059,184)</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(970,554)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924,376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1,010,307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4,492,031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-3870960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-3870960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-3870960</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-3870960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-3870960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-3870960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0" w:type="dxa"/>
            <w:vAlign w:val="bottom"/>
            <w:gridSpan w:val="7"/>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98,572</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158,270</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256,265</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352,515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96,169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183,543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179,011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138,373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125,994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247,319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232,134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58,689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112,650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114,086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389,449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434,008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799,777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877,746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w w:val="92"/>
              </w:rPr>
              <w:t>(43,732)</w:t>
            </w:r>
          </w:p>
        </w:tc>
        <w:tc>
          <w:tcPr>
            <w:tcW w:w="100" w:type="dxa"/>
            <w:vAlign w:val="bottom"/>
          </w:tcPr>
          <w:p>
            <w:pPr>
              <w:spacing w:after="0"/>
              <w:rPr>
                <w:sz w:val="19"/>
                <w:szCs w:val="19"/>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w w:val="92"/>
              </w:rPr>
              <w:t>(42,994)</w:t>
            </w:r>
          </w:p>
        </w:tc>
        <w:tc>
          <w:tcPr>
            <w:tcW w:w="100" w:type="dxa"/>
            <w:vAlign w:val="bottom"/>
          </w:tcPr>
          <w:p>
            <w:pPr>
              <w:spacing w:after="0"/>
              <w:rPr>
                <w:sz w:val="19"/>
                <w:szCs w:val="19"/>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(90,913)</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(91,695)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345,717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391,014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708,864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786,051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67,326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69,712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146,256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154,184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79,699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70,399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145,024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131,507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58,289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55,714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113,506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110,008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5,189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5,867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10,640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126,194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132,049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2,174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2,560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5,892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342,179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342,405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684,900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688,268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(58,493)</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(50,317)</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8"/>
              </w:rPr>
              <w:t>(110,640)</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(100,627)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1,291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2,260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(4,828)</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(56,738)</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(50,126)</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8"/>
              </w:rPr>
              <w:t>(112,594)</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(98,866)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(53,200)</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(88,630)</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9"/>
                <w:szCs w:val="19"/>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(53,200)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(88,630)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60325</wp:posOffset>
            </wp:positionV>
            <wp:extent cx="12433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(88,630)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126,194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132,049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Loss on retirement of debt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4,828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5,042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(13,882)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8,135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137,623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(23,439)</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(34,758)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6,863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(18,010)</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(30,875)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900,000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8"/>
              </w:rPr>
              <w:t>(371,567)</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(20,755)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Interest rate swap transactions</w:t>
            </w: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(11,268)</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514,797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(20,813)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570,529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85,935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201,399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771,928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138,475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vMerge w:val="restart"/>
          </w:tcPr>
          <w:p>
            <w:pPr>
              <w:ind w:left="224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340" w:type="dxa"/>
            <w:vAlign w:val="bottom"/>
          </w:tcPr>
          <w:p>
            <w:pPr>
              <w:ind w:left="5580"/>
              <w:spacing w:after="0"/>
              <w:rPr>
                <w:sz w:val="20"/>
                <w:szCs w:val="20"/>
                <w:color w:val="auto"/>
              </w:rPr>
            </w:pPr>
            <w:r>
              <w:rPr>
                <w:rFonts w:ascii="Arial" w:cs="Arial" w:eastAsia="Arial" w:hAnsi="Arial"/>
                <w:sz w:val="18"/>
                <w:szCs w:val="18"/>
                <w:color w:val="auto"/>
              </w:rPr>
              <w:t>F-4</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-557530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-557530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-557530</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-557530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-557530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60" w:hanging="232"/>
        <w:spacing w:after="0" w:line="332" w:lineRule="auto"/>
        <w:tabs>
          <w:tab w:leader="none" w:pos="187"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expanded Wynn Las Vegas with the opening of Encore at Wynn Las Vegas (“Encore”).</w:t>
      </w:r>
    </w:p>
    <w:p>
      <w:pPr>
        <w:spacing w:after="0" w:line="10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June 30, 2012,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 Certain amounts in the consolidated financial statements for the previous periods have been reclassified to be consistent with the current period presentation. These reclassifications had no effect on the previously reported net loss.</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2012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2011.</w:t>
      </w:r>
    </w:p>
    <w:p>
      <w:pPr>
        <w:spacing w:after="0" w:line="99" w:lineRule="exact"/>
        <w:rPr>
          <w:sz w:val="20"/>
          <w:szCs w:val="20"/>
          <w:color w:val="auto"/>
        </w:rPr>
      </w:pPr>
    </w:p>
    <w:p>
      <w:pPr>
        <w:ind w:left="240" w:right="7900" w:hanging="232"/>
        <w:spacing w:after="0" w:line="398" w:lineRule="auto"/>
        <w:tabs>
          <w:tab w:leader="none" w:pos="187" w:val="left"/>
        </w:tabs>
        <w:numPr>
          <w:ilvl w:val="0"/>
          <w:numId w:val="18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2012 and December 31, 2011, approximately 70% and 75%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40" w:top="460" w:right="2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 During the quarter ended June 30, 2012, the Company recorded an adjustment to its reserve estimates for casino accounts receivable based on the results of historical collection patterns and current collection trends. This adjustment benefitted operating income and net loss by $9.6 million for the three and six months ended June 30, 2012. This change in estimate was the primary factor that resulted in a $0.3 million credit to the provision for doubtful accounts for the quarter ended June 30, 2012.</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deferred revenues until services are provided to the customer.</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the players club loyalty program.</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6"/>
          </w:tcPr>
          <w:p>
            <w:pPr>
              <w:jc w:val="right"/>
              <w:ind w:right="76"/>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61"/>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2011</w:t>
            </w:r>
          </w:p>
        </w:tc>
        <w:tc>
          <w:tcPr>
            <w:tcW w:w="100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$17,588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$18,526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13,775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13,262</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29,189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29,079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25,157</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25,349</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$53,373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$55,144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and Comprehensive Loss. These taxes totaled $7.4 million and $11.3 million for the three months ended June 30, 2012 and 2011, respectively. For the six months ended June 30, 2012 and 2011, these taxes totaled $18.4 million and $25.1 million,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and such costs are included in general and administrative expenses. Advertising costs totaled $5.8 million and $3.3 million, for the three months ended June 30, 2012 and 2011, respectively. Advertising costs totaled $9.7 million and $6.2 million, for the six months ended June 30, 2012 and 2011,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Company accounts for stock-based compensation related to equity shares of Wynn Resorts granted to its employees by recognizing the costs of the employee services received in exchange for the equity award instrument based on the grant date fair value of the awards over the service period. For the six months ended June 30, 2012 and 2011, the Company recorded $2.7 million and $4.4 million, respectively, in share based compensation with a corresponding credit to contributed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8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Interest paid for the six months ended June 30, 2012 and 2011 totaled $92.4 million and $99.8 million, respectively. There was no interest capitalized during the six months ended June 30, 2012 or 2011.</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six months ended June 30, 2012 and 2011, capital expenditures include a decrease of $6.2 million and $6.7 million respectively, in construction payables and retention recorded through amounts due to affiliates.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December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6"/>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June 30,</w:t>
            </w:r>
          </w:p>
        </w:tc>
        <w:tc>
          <w:tcPr>
            <w:tcW w:w="1060" w:type="dxa"/>
            <w:vAlign w:val="bottom"/>
            <w:gridSpan w:val="3"/>
          </w:tcPr>
          <w:p>
            <w:pPr>
              <w:jc w:val="right"/>
              <w:ind w:right="192"/>
              <w:spacing w:after="0" w:line="149" w:lineRule="exact"/>
              <w:rPr>
                <w:sz w:val="20"/>
                <w:szCs w:val="20"/>
                <w:color w:val="auto"/>
              </w:rPr>
            </w:pPr>
            <w:r>
              <w:rPr>
                <w:rFonts w:ascii="Arial" w:cs="Arial" w:eastAsia="Arial" w:hAnsi="Arial"/>
                <w:sz w:val="14"/>
                <w:szCs w:val="14"/>
                <w:b w:val="1"/>
                <w:bCs w:val="1"/>
                <w:color w:val="auto"/>
              </w:rPr>
              <w:t>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$156,414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$156,469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Hotel</w:t>
            </w:r>
          </w:p>
        </w:tc>
        <w:tc>
          <w:tcPr>
            <w:tcW w:w="2220" w:type="dxa"/>
            <w:vAlign w:val="bottom"/>
            <w:gridSpan w:val="6"/>
          </w:tcPr>
          <w:p>
            <w:pPr>
              <w:jc w:val="right"/>
              <w:spacing w:after="0"/>
              <w:rPr>
                <w:sz w:val="20"/>
                <w:szCs w:val="20"/>
                <w:color w:val="auto"/>
              </w:rPr>
            </w:pPr>
            <w:r>
              <w:rPr>
                <w:rFonts w:ascii="Arial" w:cs="Arial" w:eastAsia="Arial" w:hAnsi="Arial"/>
                <w:sz w:val="18"/>
                <w:szCs w:val="18"/>
                <w:color w:val="auto"/>
              </w:rPr>
              <w:t>17,225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19,738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2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20,443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20,799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194,082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197,006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460" w:type="dxa"/>
            <w:vAlign w:val="bottom"/>
            <w:gridSpan w:val="9"/>
          </w:tcPr>
          <w:p>
            <w:pPr>
              <w:jc w:val="right"/>
              <w:ind w:right="180"/>
              <w:spacing w:after="0"/>
              <w:rPr>
                <w:sz w:val="20"/>
                <w:szCs w:val="20"/>
                <w:color w:val="auto"/>
              </w:rPr>
            </w:pPr>
            <w:r>
              <w:rPr>
                <w:rFonts w:ascii="Arial" w:cs="Arial" w:eastAsia="Arial" w:hAnsi="Arial"/>
                <w:sz w:val="18"/>
                <w:szCs w:val="18"/>
                <w:color w:val="auto"/>
              </w:rPr>
              <w:t>(54,732)</w:t>
            </w: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(56,777)</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$139,350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$140,229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22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4"/>
                <w:szCs w:val="2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04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60" w:type="dxa"/>
            <w:vAlign w:val="bottom"/>
            <w:tcBorders>
              <w:bottom w:val="single" w:sz="8" w:color="808080"/>
            </w:tcBorders>
            <w:gridSpan w:val="3"/>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808080"/>
            </w:tcBorders>
            <w:gridSpan w:val="2"/>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718,953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717,156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2,622,449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2,617,523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1,348,354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1,350,525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60" w:type="dxa"/>
            <w:vAlign w:val="bottom"/>
            <w:tcBorders>
              <w:bottom w:val="single" w:sz="8" w:color="808080"/>
            </w:tcBorders>
            <w:gridSpan w:val="3"/>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4,738,348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4,735,936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20" w:type="dxa"/>
            <w:vAlign w:val="bottom"/>
            <w:gridSpan w:val="6"/>
          </w:tcPr>
          <w:p>
            <w:pPr>
              <w:jc w:val="right"/>
              <w:ind w:right="120"/>
              <w:spacing w:after="0"/>
              <w:rPr>
                <w:sz w:val="20"/>
                <w:szCs w:val="20"/>
                <w:color w:val="auto"/>
              </w:rPr>
            </w:pPr>
            <w:r>
              <w:rPr>
                <w:rFonts w:ascii="Arial" w:cs="Arial" w:eastAsia="Arial" w:hAnsi="Arial"/>
                <w:sz w:val="18"/>
                <w:szCs w:val="18"/>
                <w:color w:val="auto"/>
              </w:rPr>
              <w:t>(1,318,568)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(1,206,560)</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60" w:type="dxa"/>
            <w:vAlign w:val="bottom"/>
            <w:tcBorders>
              <w:bottom w:val="single" w:sz="8" w:color="808080"/>
            </w:tcBorders>
            <w:gridSpan w:val="3"/>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$ 3,419,780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$ 3,529,376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640" w:type="dxa"/>
            <w:vAlign w:val="bottom"/>
            <w:vMerge w:val="restart"/>
          </w:tcPr>
          <w:p>
            <w:pPr>
              <w:ind w:left="5020"/>
              <w:spacing w:after="0"/>
              <w:rPr>
                <w:sz w:val="20"/>
                <w:szCs w:val="20"/>
                <w:color w:val="auto"/>
              </w:rPr>
            </w:pPr>
            <w:r>
              <w:rPr>
                <w:rFonts w:ascii="Arial" w:cs="Arial" w:eastAsia="Arial" w:hAnsi="Arial"/>
                <w:sz w:val="18"/>
                <w:szCs w:val="18"/>
                <w:color w:val="auto"/>
              </w:rPr>
              <w:t>F-7</w:t>
            </w:r>
          </w:p>
        </w:tc>
        <w:tc>
          <w:tcPr>
            <w:tcW w:w="118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80" w:type="dxa"/>
            <w:vAlign w:val="bottom"/>
          </w:tcPr>
          <w:p>
            <w:pPr>
              <w:spacing w:after="0"/>
              <w:rPr>
                <w:sz w:val="24"/>
                <w:szCs w:val="24"/>
                <w:color w:val="auto"/>
              </w:rPr>
            </w:pPr>
          </w:p>
        </w:tc>
        <w:tc>
          <w:tcPr>
            <w:tcW w:w="66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-2718435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-2718435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-2718435</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-2718435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-2718435</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-2718435</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-325755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-325755</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-325755</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7</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7/8% First Mortgage Notes, due November 1, 2017, net of original issue discount of $7,993 at June 30, 2012 and $8,578 at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492,007</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491,422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7</w:t>
            </w:r>
          </w:p>
        </w:tc>
        <w:tc>
          <w:tcPr>
            <w:tcW w:w="9120" w:type="dxa"/>
            <w:vAlign w:val="bottom"/>
          </w:tcPr>
          <w:p>
            <w:pPr>
              <w:ind w:left="20"/>
              <w:spacing w:after="0"/>
              <w:rPr>
                <w:sz w:val="20"/>
                <w:szCs w:val="20"/>
                <w:color w:val="auto"/>
              </w:rPr>
            </w:pPr>
            <w:r>
              <w:rPr>
                <w:rFonts w:ascii="Arial" w:cs="Arial" w:eastAsia="Arial" w:hAnsi="Arial"/>
                <w:sz w:val="18"/>
                <w:szCs w:val="18"/>
                <w:color w:val="auto"/>
                <w:w w:val="97"/>
              </w:rPr>
              <w:t>7/8% First Mortgage Notes, due May 1, 2020, net of original issue discount of $2,205 at June 30, 2012 and $2,303 at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Arial" w:cs="Arial" w:eastAsia="Arial" w:hAnsi="Arial"/>
                <w:sz w:val="18"/>
                <w:szCs w:val="18"/>
                <w:color w:val="auto"/>
              </w:rPr>
              <w:t>December 31, 2011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349,805</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349,707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7</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First Mortgage Notes, due August 15, 2020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5</w:t>
            </w:r>
          </w:p>
        </w:tc>
        <w:tc>
          <w:tcPr>
            <w:tcW w:w="9120" w:type="dxa"/>
            <w:vAlign w:val="bottom"/>
          </w:tcPr>
          <w:p>
            <w:pPr>
              <w:ind w:left="20"/>
              <w:spacing w:after="0"/>
              <w:rPr>
                <w:sz w:val="20"/>
                <w:szCs w:val="20"/>
                <w:color w:val="auto"/>
              </w:rPr>
            </w:pPr>
            <w:r>
              <w:rPr>
                <w:rFonts w:ascii="Arial" w:cs="Arial" w:eastAsia="Arial" w:hAnsi="Arial"/>
                <w:sz w:val="18"/>
                <w:szCs w:val="18"/>
                <w:color w:val="auto"/>
              </w:rPr>
              <w:t>3/8% First Mortgage Notes, due March 15, 2022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Revolving Credit Facility, due July 17, 2015; interest at LIBOR plus 3.0%</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330,605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Payable to Affiliate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3,126,462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2,597,346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(89,425)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3,125,412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2,507,921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5 3/8% Wynn Las Vegas First Mortgage Notes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On March 12, 2012, the Issuers issued $900 million aggregate principal amount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2022 (the “2022 Notes”) pursuant to an Indenture, dated as of March 12, 2012 (the “2022” Indenture). A portion of the proceeds were used to repay all amounts outstanding under the Wynn Las Vegas term loan facilities.</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2022 Notes will mature on March 15, 2022 and bear interest at the rate of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If the Issuers undergo a change of control, they must offer to repurchase the 2022 Notes at 101% of the principal amount, plus accrued and unpaid interest. If the Issuers sell certain assets or suffer an event of loss, and the Issuers do not use the sale or insurance proceeds for specified purposes, they must offer to repurchase the 2022 Notes at 100% of the principal amount, plus accrued and unpaid interest. The 2022 Notes are also subject to mandatory redemption requirements imposed by gaming laws and regulations of gaming authorities in Nevada.</w:t>
      </w:r>
    </w:p>
    <w:p>
      <w:pPr>
        <w:spacing w:after="0" w:line="10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The 2022 Notes are the Issuers’ senior secured obligations and rank pari passu in right of payment with borrowings under the Wynn Las Vegas credit facilities and the Issuers’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due 2017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due 2020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First Mortgage Notes due 2020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together with the 2017 Notes and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 Notes, the “Existing Notes”). The 2022 Notes are secured on an equal and ratable basis (with certain exceptions) by a first priority lien on substantially all of the Issuers’ existing and future assets, and, subject to gaming approval, a first priority pledge of the Company’s equity interests, all of which is the same collateral that secures borrowings under the Wynn Las Vegas, LLC Credit Facilities and the Existing Notes. The first priority lien securing the 2022 Notes may be released in whole, or in part, under certain circumstances without the consent of the holders of the 2022 Notes, including if the liens on any such collateral are released either upon a termination of the credit facilities or otherwise.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2022 Notes are jointly and severally guaranteed by all of the Issuers’ subsidiaries except Wynn Completion Guarantor, LLC (the “Guarantors”). The guarantees of the 2022 Notes are secured on an equal and ratable basis by a first priority lien on substantially all of the Guarantors’ assets, the same collateral that secures the guarantees under the Company’s credit facilities and the Existing Notes. The guarantees of the 2022 Notes will be released if the guarantees of our credit facilities are released.</w:t>
      </w:r>
    </w:p>
    <w:p>
      <w:pPr>
        <w:spacing w:after="0" w:line="13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2022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Revolving Credit Facilities</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March 12, 2012, Wynn Las Vegas, LLC entered into an eighth amendment (“Amendment No. 8”) to its Amended and Restated Credit Agreement (the “Wynn Las Vegas Credit Agreement”). Amendment No. 8 amends the Wynn Las Vegas Credit Agreement to, among other things, permit the issuance of the 2022 Notes. Concurrently with the issuance of the 2022 Notes, the Company has prepaid all term loans under the Wynn Las Vegas Credit Agreement, has terminated all of its revolving credit commitments that were due to expire in 2013, and has terminated all but $100 million of its revolving credit commitments expiring in 2015. In connection with this transaction, the Company expensed deferred financing fees of $4.8 million; all related to the Wynn Las Vegas term loan and revolving credit facilities.</w:t>
      </w:r>
    </w:p>
    <w:p>
      <w:pPr>
        <w:spacing w:after="0" w:line="13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June 30, 2012, no amounts had been borrowed under the Wynn Las Vegas Credit Agreement. Wynn Las Vegas, LLC had $15.8 million of outstanding letters of credit that reduce availability for borrowing under the Wynn Las Vegas Credit Agreement. Wynn Las Vegas, LLC had availability of $84.2 million under the Wynn Las Vegas Credit Agreement as of June 30, 2012.</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management believes the Company was in compliance with all debt covenants.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net book value of the Company’s outstanding first mortgage notes was approximately $3.1 billion and $2.2 billion at June 30, 2012 and December 31, 2011, respectively. The estimated fair value of the Company’s outstanding first mortgage notes, based upon the most recent trades (using level 2 inputs), was approximately $3.3 billion and $2.4 billion at June 30, 2012 and December 31, 2011, respectively. The net book value of the Company’s other debt instruments was approximately $34.7 million and $406.2 million at June 30, 2012 and December 31, 2011, respectively. The estimated fair value of the Company’s other debt instruments was approximately $34.7 million and $400 million at June 30, 2012 and December 31, 2011,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June 2012, the Company terminated its only outstanding interest rate swap for a payment of $2.4 million. The Company had entered into floating-for-fixed interest rate swap arrangements in order to manage interest rate risk relating to certain of its debt facilities. These interest rate swap agreements modified the Company’s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exposure to interest rate risk by converting a portion of the Company’s floating-rate debt to a fixed rate. These interest rate swaps essentially fixed the interest rate at the percentages noted below; however, changes in the fair value of the interest rate swaps for each reporting period have been recorded as an increase (decrease) in swap fair value in the accompanying Condensed Consolidated Statements of Operations and Comprehensive Loss, as the interest rate swaps do not qualify for hedge accounting.</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measured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interest rate swap agreement intended to hedge a portion of the underlying interest rate risk on borrowings under the Wynn Las Vegas credit facilities. Under this swap agreement, the Company paid a fixed interest rate of 2.485% on borrowings of $250 million incurred under the Wynn Las Vegas credit facilities in exchange for receipts on the same amount at a variable interest rate based on the applicable LIBOR at the time of payment. This interest rate swap fixed the interest rate on $250 million of borrowings at approximately 5.485%. As of December 31, 2011, the fair value of this interest rate swap was a current liability of $4.6 million.</w:t>
      </w:r>
    </w:p>
    <w:p>
      <w:pPr>
        <w:spacing w:after="0" w:line="123" w:lineRule="exact"/>
        <w:rPr>
          <w:sz w:val="20"/>
          <w:szCs w:val="20"/>
          <w:color w:val="auto"/>
        </w:rPr>
      </w:pPr>
    </w:p>
    <w:p>
      <w:pPr>
        <w:ind w:left="240" w:right="9080" w:hanging="232"/>
        <w:spacing w:after="0" w:line="398" w:lineRule="auto"/>
        <w:tabs>
          <w:tab w:leader="none" w:pos="187" w:val="left"/>
        </w:tabs>
        <w:numPr>
          <w:ilvl w:val="0"/>
          <w:numId w:val="18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June 30, 2012, the Company’s current Due to affiliates was primarily comprised of construction payables of approximately $3.4 million, construction retention of approximately $0.6 million and other net amounts due to affiliates totaling $35.3 million (including corporate allocations discussed below). The long-term Due to affiliates is management fees of $134.7 million (equal to 1.5% of net revenues and payable upon meeting certain leverage ratios as specified in the documents governing the Company’s credit facilities and the first mortgage notes indentures).</w:t>
      </w:r>
    </w:p>
    <w:p>
      <w:pPr>
        <w:spacing w:after="0" w:line="99"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As of December 31, 2011, the Company’s current Due to affiliates was primarily comprised of construction payables of approximately $8.4 million, construction retention of approximately $1.7 million and other net amounts due to affiliates totaling $31 million (including corporate allocations discussed below). The long-term Due to affiliates is management fees of $124 million.</w:t>
      </w:r>
    </w:p>
    <w:p>
      <w:pPr>
        <w:spacing w:after="0" w:line="12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accompanying Condensed Consolidated Statements of Operations and Comprehensive Loss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 “Amounts Due to Affiliates, net” above. For the three months ended June 30, 2012 and 2011, $7.1 million and $8 million, respectively, were charged to the Company for such corporate allocations. For the six months ended June 30, 2012 and 2011, $13.8 million and $14.4 million, respectively, were charged to the Company for such corporate allocations.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Due to Officers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is treated as imputed income to Mr. Wynn, and is equal to the fair market value of the accommodations provided. Effective March 1, 2010, and for the first two years of the term of the SW Lease, the rental value was $503,831 per year. Effective March 1, 2012, the rental value is $440,000 per year based on the current fair market value as established by the Audit Committee of the Company with the assistance of an independent third-party appraisal. The rental value for the villa suite will be re-determined every two years during the term of the lease by the Audit Committee, with the assistance of an independent third-party appraisal. Certain services for, and maintenance of, the villa suite, as well as minimal warehouse space are included in the rental.</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Property charges and other for the three months ended June 30, 2012 and 2011, were $2.2 million and $2.6 million, respectively. Property charges and other for the six months ended June 30, 2012 and 2011, were $5.9 million and $4.6 million, respectively. Property charges generally include costs related to the retirement of assets for remodels and asset abandonments. Property charges and other for the six months ended June 30, 2012 and 2011, related to miscellaneous renovations and abandonments at Wynn Las Vegas.</w:t>
      </w:r>
    </w:p>
    <w:p>
      <w:pPr>
        <w:spacing w:after="0" w:line="124" w:lineRule="exact"/>
        <w:rPr>
          <w:sz w:val="20"/>
          <w:szCs w:val="20"/>
          <w:color w:val="auto"/>
        </w:rPr>
      </w:pPr>
    </w:p>
    <w:p>
      <w:pPr>
        <w:ind w:right="8660" w:firstLine="8"/>
        <w:spacing w:after="0" w:line="332" w:lineRule="auto"/>
        <w:tabs>
          <w:tab w:leader="none" w:pos="263"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Company and its affiliates are involved in litigation in addition to the actions noted below, arising in the normal course of business. In the opinion of management, such litigation will not have a material effect on the Company’s financial condition, results of operations or cash flows.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Related to Wynn Resorts, Limited</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 and Related Matters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18, 2012, Wynn Resorts’ Gaming Compliance Committee concluded a year-long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Mr. Okada has refused to acknowledge or abide by Wynn Resorts’ anti-bribery policies.</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Based on the Freeh Report, the Board of Directors of Wynn Resorts determined that Aruze USA, Inc., Universal Entertainment Corporation and Mr. Okada are “unsuitable” under Article VII of the Wynn Resorts articles of incorporation. The Board of Directors was unanimous (other than Mr. Okada) in its determination. The Board of Directors also requested that Mr. Okada resign as a director of Wynn Resorts and recommended that Mr. Okada be removed as a member of the board of directors of Wynn Macau, Limited. In addition, on February 18, 2012, Mr. Okada was removed from the board of directors of Wynn Las Vegas Capital Corp., a wholly owned subsidiary of Wynn Resorts.</w:t>
      </w:r>
    </w:p>
    <w:p>
      <w:pPr>
        <w:spacing w:after="0" w:line="10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 USA, Inc.’s 24,549,222 shares of Wynn Resorts’ common stock. Following a finding of “unsuitability,” Wynn Resorts’ articles of incorporation authorize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the articles of incorporation, Wynn Resorts issued the Redemption Price Promissory Note to Aruze USA, Inc. in redemption of the shares. The Redemption Price Promissory Note has a principal amount of $1.94 billion, matures on February 18, 2022 and bears interest at the rate of 2% per annum, payable annually in arrears on each anniversary of the date of the Redemption Price Promissory Note. Wynn Resorts may, in its sole and absolute discretion, at any time and from time to time, and without penalty or premium, prepay the whole or any portion of the principal or interest due under the Redemption Price Promissory Note. In no instance shall any payment obligation under the Redemption Price Promissory Note be accelerated except in the sole and absolute discretion of Wynn Resorts or as specifically mandated by law. The indebtedness evidenced by the Redemption Price Promissory Note is and shall be subordinated in right of payment, to the extent and in the manner provided in the Redemption Price Promissory Note, to the prior payment in full of all existing and future obligations of Wynn Resorts or any of its affiliates in respect of indebtedness for borrowed money of any kind or nature.</w:t>
      </w:r>
    </w:p>
    <w:p>
      <w:pPr>
        <w:spacing w:after="0" w:line="11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On February 19, 2012, Wynn Resorts filed a complaint in the District Court of Clark County, Nevada against Mr. Okada, Aruze USA, Inc. and Universal Entertainment Corporation, companies controlled by Mr. Okada (the “Okada Parties”), alleging breaches of fiduciary duty and related claims. Wynn Resorts is seeking compensatory and special damages as well as a declaration that it acted lawfully and in full compliance with its articles of incorporation, bylaws and other governing documents. On March 12,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Wynn Resorts, each of the members of Wynn Resorts’ Board of Directors (other than Mr. Okada) and a senior executive of Wynn Resorts. Among other relief, the counterclaim seeks a declaration that the redemption of Aruze USA, Inc.’s shares was void, 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injunction restoring Aruze USA, Inc.’s share ownership, damages in an unspecified amount and rescission of the Stockholders Agreement. Wynn Resorts’ claim of February 19, 2012, was removed to federal court by the Okada Parties. On March 29, 2012, Wynn Resorts filed a motion to remand the action to state court and to request an extension to answer. The motion to remand was granted and Wynn Resorts’ request for related attorneys’ fees is fully briefed and pending. When the Court rules on the pending fee motion, the case will be sent back to the state court, which has determined that this action will be coordinated with Mr. Okada’s inspection action (discussed below). The Okada Parties have filed a notice of intent to commence a separate federal securities action for the securities counterclaims previously asserted.</w:t>
      </w:r>
    </w:p>
    <w:p>
      <w:pPr>
        <w:spacing w:after="0" w:line="13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June 19, 2012, Elaine Wynn responded to Aruze USA’s Counterclaim and asserted a cross claim against Steve Wynn and Kazuo Okada seeking a declaration that (1) any and all of Elaine Wynn’s duties under the January 2010 Stockholders Agreement (the “Stockholders Agreement”) by and among Aruze USA, Steve Wynn, and Elaine Wynn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By agreement of the parties, Mr. Wynn’s response to the cross claim is due within 14 days once the final order of remand is entered. The indentures for the Wynn Las Vegas, LLC 2022 Notes and Existing Notes (the “Indentures”) and the Credit Agreement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 Under the Wynn Las Vegas Credit Agreement, the occurrence of these same events would constitute a change of control, which would be an event of default and would give the lenders the right to accelerate repayment, and would prevent Wynn Las Vegas from borrowing additional amounts. In addition, if more than $20,000,000 in borrowings are accelerated under the Credit Agreement, that would trigger an event of default under the Indentures.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Kazuo Okada from the board.</w:t>
      </w:r>
    </w:p>
    <w:p>
      <w:pPr>
        <w:spacing w:after="0" w:line="158"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Wynn Resorts provided the Freeh Report to applicable regulators and law enforcement agencies and intends to cooperate with any related investigation that such regulators or agencies may undertake.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Relatedly, as described below the Salt Lake Regional Office of the U.S. Securities</w:t>
      </w:r>
    </w:p>
    <w:p>
      <w:pPr>
        <w:spacing w:after="0" w:line="2"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color w:val="auto"/>
        </w:rPr>
        <w:t>and Exchange Commission (“SEC”) has commenced an informal inquiry into, and other regulators could pursue separate investigations into, Wynn Resorts’ compliance with applicable laws arising from the allegations in the matters described above and in response to litigation filed by Mr. Okada suggesting improprieties in connection with Wynn Resorts’ donation to the University of Macau. While Wynn Resorts believes that it is in full compliance with all applicable laws, any such investigations could result in actions by regulators against Wynn Resorts.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 and Related Matters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On January 11, 2012, Mr. Okada commenced litigation in the District Court of Clark County, Nevada seeking to compel Wynn Resorts to produce information relating to a donation to the University of Macau, among other things.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2011, Wynn Macau,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Limited and approved by 15 of the 16 directors who serve on those boards. The sole dissenting vote was cast by Mr. Kazuo Okada whose stated objection was to the length of time over which the donation would occur, not its propriety.</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8, 2012, following Mr. Okada’s lawsuit, Wynn Resorts received a letter from the Salt Lake Regional Office of the SEC requesting that, in connection with an informal inquiry by the SEC, Wynn Resorts preserve information relating to the donation to the University of Macau, any donations by Wynn Resorts to any other educational charitable institutions, including the University of Macau Development Foundation, and Wynn Resorts’ casino or concession gaming licenses or renewals in Macau. Wynn Resorts is cooperating with the Salt Lake Regional Office staff and intends to fully comply with the SEC’s request.</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a hearing on February 9, 2012, the Nevada state court held that, as a director of Wynn Resorts, Mr. Okada had the right to make a reasonable inspection of Wynn Resorts’ corporate books and records. Following the hearing, Wynn Resorts released certain documents to Mr. Okada for his inspection. At a subsequent hearing on March 8, 2012, the court considered Mr. Okada’s request that Wynn Resorts’ Board of Directors make additional documents available to him, and ruled that Mr. Okada was entitled to inspect two additional pages of documents. Wynn Resorts promptly complied with the court’s ruling.</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May 25, 2012, Mr. Okada amended his petition to request inspection of additional records. The Nevada state court ordered Mr. Okada to file a supplemental brief addressing how his requests relate to his duties as a director of Wynn Resorts, and Wynn Resorts was to respond by filing a supplemental brief on the reasonableness of Mr. Okada’s requests. After Mr. Okada filed his supplemental brief, Wynn Resorts moved to depose Mr. Okada prior to having to file its supplemental brief. At a hearing on June 28, 2012, the state court ordered Mr. Okada to appear for a deposition in Las Vegas, Nevada. The parties are currently scheduling the deposition for a September 2012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litigation</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Six derivative actions have been commenced against Wynn Resorts and all members of its Board of Directors: four in the United States District Court, District of Nevada, and two in the Eighth Judicial District Court of Clark County, Nevada.</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four pending federal actions have been consolidated: (1) The Louisiana Municipal Police Employees’ Retirement System (“LMPERS”), (2) Maryanne Solak, (3) Excavators Union Local 731 Welfare Fund; and (4) Boilermakers Lodge No. 154 Retirement Fund.</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plaintiffs in the federal derivative actions filed a consolidated complaint on August 6, 2012, asserting claims for (1) breach of fiduciary duty; (2) waste of corporate assets; (3) injunctive relief; and (4) unjust enrichment. The claims are against all Wynn Resorts’ directors, including Mr. Okada. The federal derivative plaintiffs claim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and (c) redeeming Aruze USA’s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fees (attorneys, accountants, and experts) and costs. Per the court’s July 5, 2012 Case Management Order, the parties are to confer regarding a deadline for Wynn Resorts and the directors to respond.</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two state court actions have also been consolidated: (1) IBEW Local 98 Pension Fund; and (2) Danny Hinson. Through a coordination of efforts by all parties, the directors and Wynn Resorts (a nominal defendant) have been served in all of the actions.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plaintiffs in the state derivative actions filed a consolidated complaint on July 20, 2012 asserting claims for (1) breach of fiduciary duty; (2) abuse of control; (3) gross mismanagement; and (4) unjust enrichment. The claims are against all Wynn Resorts directors, including Okada, as well as Wynn Resorts’ Chief Financial Officer, who signs financial disclosures filed with the SEC. The state derivative plaintiffs claim that the individual defendants failed to disclose to its shareholders the investigation into, and the dispute with director Okada as well as the potential violations of the FCPA related to, the University of Macau Development Foundation donation. Plaintiffs seek monetary damages (compensatory and punitive), disgorgement, reformation of corporate governance procedures, an order directing Wynn Resorts to internally investigate the donation, as well as attorneys’ fees and costs. Wynn Resorts and individual defendants will respond to the consolidated complaint by August 31, 2012.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8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June 30, 2012 and December 31, 2011, and for the three and six months ended June 30, 2012 and 2011.</w:t>
      </w:r>
    </w:p>
    <w:p>
      <w:pPr>
        <w:spacing w:after="0" w:line="9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guarantor subsidiaries are wholly owned subsidiaries of Wynn Las Vegas, LLC (an issuer of the First Mortgage Notes), and (ii) the guarantee is joint and several, however the guarantee is not full and unconditional as the guarantees may be released under certain circumstances customary for such arrangements.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2012</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Guarantor</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5"/>
                <w:szCs w:val="15"/>
                <w:color w:val="auto"/>
              </w:rPr>
            </w:pPr>
          </w:p>
        </w:tc>
        <w:tc>
          <w:tcPr>
            <w:tcW w:w="1160" w:type="dxa"/>
            <w:vAlign w:val="bottom"/>
            <w:gridSpan w:val="4"/>
          </w:tcPr>
          <w:p>
            <w:pPr>
              <w:ind w:left="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9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771,928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139,350</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139,350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24,096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981,364</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3,225,525</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194,255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3,419,780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44,944</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973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(24,223)</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3,825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4,262,561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204,274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4,492,031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32,308</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48,883</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49,638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20,821</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(154,733)</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200,950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(7,886)</w:t>
            </w: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973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39,304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111,153</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202,783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973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3,091,812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33,600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3,125,412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134,667</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3,338,185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236,383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973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3,567,655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0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1,983,560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2"/>
              </w:rPr>
              <w:t>(12,530)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1,983,560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Reatined earnings (deficit)</w:t>
            </w:r>
          </w:p>
        </w:tc>
        <w:tc>
          <w:tcPr>
            <w:tcW w:w="100" w:type="dxa"/>
            <w:vAlign w:val="bottom"/>
          </w:tcPr>
          <w:p>
            <w:pPr>
              <w:spacing w:after="0"/>
              <w:rPr>
                <w:sz w:val="19"/>
                <w:szCs w:val="19"/>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w w:val="86"/>
              </w:rPr>
              <w:t>(1,059,184)</w:t>
            </w:r>
          </w:p>
        </w:tc>
        <w:tc>
          <w:tcPr>
            <w:tcW w:w="120" w:type="dxa"/>
            <w:vAlign w:val="bottom"/>
          </w:tcPr>
          <w:p>
            <w:pPr>
              <w:spacing w:after="0"/>
              <w:rPr>
                <w:sz w:val="19"/>
                <w:szCs w:val="19"/>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(44,639)</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7,886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36,753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(1,059,184)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924,376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(32,109)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4,262,561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204,274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4,492,031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F-16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-4168140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-4168140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-4168140</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-4168140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-4168140</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-4168140</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-4168140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-4168140</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-4168140</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-4168140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-4168140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-4168140</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-4168140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-4168140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-4168140</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-325755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-325755</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-325755</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-325755</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-325755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-325755</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-325755</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22,870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413,400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3,336,516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192,860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3,529,376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(22,717)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22,717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3,808,957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203,162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42,135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23,737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(148,662)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197,050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200,786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199,465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2,473,621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34,300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2,507,921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2,798,650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233,765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3,025,091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Reatined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(970,554)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(43,133)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35,247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(970,554)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1,010,307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(30,603)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1,010,307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3,808,957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203,162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ind w:left="340"/>
              <w:spacing w:after="0"/>
              <w:rPr>
                <w:sz w:val="20"/>
                <w:szCs w:val="20"/>
                <w:color w:val="auto"/>
              </w:rPr>
            </w:pPr>
            <w:r>
              <w:rPr>
                <w:rFonts w:ascii="Arial" w:cs="Arial" w:eastAsia="Arial" w:hAnsi="Arial"/>
                <w:sz w:val="18"/>
                <w:szCs w:val="18"/>
                <w:color w:val="auto"/>
              </w:rPr>
              <w:t>F-17</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-4168140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-4168140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-4168140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-4168140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-4168140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-4168140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-4168140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-4168140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-4168140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-4168140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-4168140</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-4168140</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-4168140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-4168140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-4168140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98,572</w:t>
            </w:r>
          </w:p>
        </w:tc>
        <w:tc>
          <w:tcPr>
            <w:tcW w:w="5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4"/>
          </w:tcPr>
          <w:p>
            <w:pPr>
              <w:ind w:left="62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96,169</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138,373</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138,373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56,440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389,554</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389,449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w w:val="92"/>
              </w:rPr>
              <w:t>(43,732)</w:t>
            </w:r>
          </w:p>
        </w:tc>
        <w:tc>
          <w:tcPr>
            <w:tcW w:w="240" w:type="dxa"/>
            <w:vAlign w:val="bottom"/>
          </w:tcPr>
          <w:p>
            <w:pPr>
              <w:spacing w:after="0"/>
              <w:rPr>
                <w:sz w:val="19"/>
                <w:szCs w:val="19"/>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(43,732)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345,822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345,717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67,326</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67,326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32,615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79,699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79,699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34,456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58,608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5,189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5,189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61,831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945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2,174</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341,553</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731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342,179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4,269</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(58,344)</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(58,493)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1,291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9"/>
                <w:szCs w:val="19"/>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w w:val="93"/>
              </w:rPr>
              <w:t>105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w w:val="93"/>
              </w:rPr>
              <w:t>775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(57,469)</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775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(56,738)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(53,200)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775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(53,200)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gridSpan w:val="2"/>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8"/>
                <w:szCs w:val="18"/>
                <w:color w:val="auto"/>
              </w:rPr>
              <w:t>F-18</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-325755</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-325755</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3873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158,270</w:t>
            </w:r>
          </w:p>
        </w:tc>
        <w:tc>
          <w:tcPr>
            <w:tcW w:w="5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4"/>
          </w:tcPr>
          <w:p>
            <w:pPr>
              <w:ind w:left="62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158,270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91,055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125,994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125,994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58,787</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434,106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434,008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w w:val="92"/>
              </w:rPr>
              <w:t>(42,994)</w:t>
            </w:r>
          </w:p>
        </w:tc>
        <w:tc>
          <w:tcPr>
            <w:tcW w:w="240" w:type="dxa"/>
            <w:vAlign w:val="bottom"/>
          </w:tcPr>
          <w:p>
            <w:pPr>
              <w:spacing w:after="0"/>
              <w:rPr>
                <w:sz w:val="19"/>
                <w:szCs w:val="19"/>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(42,994)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391,112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391,014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69,712</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31,225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70,399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70,399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36,903</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56,008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55,714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5,867</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65,325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928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2,560</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341,771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732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342,405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49,341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(50,166)</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(50,317)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(785)</w:t>
            </w:r>
          </w:p>
        </w:tc>
        <w:tc>
          <w:tcPr>
            <w:tcW w:w="2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w w:val="93"/>
              </w:rPr>
              <w:t>785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(50,858)</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785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(50,126)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(1,517)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785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gridSpan w:val="2"/>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8"/>
                <w:szCs w:val="18"/>
                <w:color w:val="auto"/>
              </w:rPr>
              <w:t>F-19</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-325755</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-325755</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3873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3873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9"/>
              </w:rPr>
              <w:t>Issuers</w:t>
            </w:r>
          </w:p>
        </w:tc>
        <w:tc>
          <w:tcPr>
            <w:tcW w:w="2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256,265</w:t>
            </w:r>
          </w:p>
        </w:tc>
        <w:tc>
          <w:tcPr>
            <w:tcW w:w="52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256,265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183,543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183,543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247,319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247,319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112,868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112,650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799,995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799,777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(90,913)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(90,913)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709,082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708,864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146,256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146,256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61,840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145,024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145,024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71,530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114,165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113,506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10,640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124,333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126,194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5,892</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683,698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684,900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25,384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5"/>
              </w:rPr>
              <w:t>(110,336)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(110,640)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2,260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(4,828)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218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1,506</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5"/>
              </w:rPr>
              <w:t>(114,014)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(112,594)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8"/>
              </w:rPr>
              <w:t>(88,630)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(88,630)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right"/>
              <w:ind w:right="760"/>
              <w:spacing w:after="0"/>
              <w:rPr>
                <w:sz w:val="20"/>
                <w:szCs w:val="20"/>
                <w:color w:val="auto"/>
              </w:rPr>
            </w:pPr>
            <w:r>
              <w:rPr>
                <w:rFonts w:ascii="Arial" w:cs="Arial" w:eastAsia="Arial" w:hAnsi="Arial"/>
                <w:sz w:val="18"/>
                <w:szCs w:val="18"/>
                <w:color w:val="auto"/>
              </w:rPr>
              <w:t>F-20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-325755</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-325755</wp:posOffset>
            </wp:positionV>
            <wp:extent cx="2159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-325755</wp:posOffset>
            </wp:positionV>
            <wp:extent cx="3873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-325755</wp:posOffset>
            </wp:positionV>
            <wp:extent cx="2159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-325755</wp:posOffset>
            </wp:positionV>
            <wp:extent cx="3873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-325755</wp:posOffset>
            </wp:positionV>
            <wp:extent cx="3873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-325755</wp:posOffset>
            </wp:positionV>
            <wp:extent cx="3873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9"/>
              </w:rPr>
              <w:t>Issuers</w:t>
            </w:r>
          </w:p>
        </w:tc>
        <w:tc>
          <w:tcPr>
            <w:tcW w:w="2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352,515</w:t>
            </w:r>
          </w:p>
        </w:tc>
        <w:tc>
          <w:tcPr>
            <w:tcW w:w="52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352,515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179,011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179,011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232,134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232,134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114,340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114,086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878,000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877,746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(91,695)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(91,695)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786,305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786,051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154,184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154,184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61,023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131,507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131,507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74,588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110,594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110,008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11,795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130,193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132,049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4,590</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686,998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688,268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99,307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5"/>
              </w:rPr>
              <w:t>(100,327)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(100,627)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1,368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(1,570)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254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1,570</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5"/>
              </w:rPr>
              <w:t>(100,390)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(98,866)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(1,083)</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right"/>
              <w:ind w:right="760"/>
              <w:spacing w:after="0"/>
              <w:rPr>
                <w:sz w:val="20"/>
                <w:szCs w:val="20"/>
                <w:color w:val="auto"/>
              </w:rPr>
            </w:pPr>
            <w:r>
              <w:rPr>
                <w:rFonts w:ascii="Arial" w:cs="Arial" w:eastAsia="Arial" w:hAnsi="Arial"/>
                <w:sz w:val="18"/>
                <w:szCs w:val="18"/>
                <w:color w:val="auto"/>
              </w:rPr>
              <w:t>F-21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-325755</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-325755</wp:posOffset>
            </wp:positionV>
            <wp:extent cx="2159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-325755</wp:posOffset>
            </wp:positionV>
            <wp:extent cx="3873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-325755</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-325755</wp:posOffset>
            </wp:positionV>
            <wp:extent cx="3873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-325755</wp:posOffset>
            </wp:positionV>
            <wp:extent cx="3873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2159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-325755</wp:posOffset>
            </wp:positionV>
            <wp:extent cx="3873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7"/>
              </w:rPr>
              <w:t>Guarantor</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9"/>
              </w:rPr>
              <w:t>Issuers</w:t>
            </w: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4"/>
              </w:rPr>
              <w:t>Subsidiaries</w:t>
            </w:r>
          </w:p>
        </w:tc>
        <w:tc>
          <w:tcPr>
            <w:tcW w:w="120" w:type="dxa"/>
            <w:vAlign w:val="bottom"/>
          </w:tcPr>
          <w:p>
            <w:pPr>
              <w:spacing w:after="0"/>
              <w:rPr>
                <w:sz w:val="15"/>
                <w:szCs w:val="15"/>
                <w:color w:val="auto"/>
              </w:rPr>
            </w:pPr>
          </w:p>
        </w:tc>
        <w:tc>
          <w:tcPr>
            <w:tcW w:w="11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(88,630)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(88,630)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124,333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1,861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126,194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Loss from retirement of debt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4,828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64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1,506</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151</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4"/>
          </w:tcPr>
          <w:p>
            <w:pPr>
              <w:jc w:val="right"/>
              <w:ind w:right="50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5,042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(2,260)</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(3,139)</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1,691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132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8,837</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9"/>
                <w:szCs w:val="19"/>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74,388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w:t>
            </w:r>
          </w:p>
        </w:tc>
        <w:tc>
          <w:tcPr>
            <w:tcW w:w="10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(20,183)</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(3,256)</w:t>
            </w: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(1,747)</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2,266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4,602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(19,351)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85"/>
              </w:rPr>
              <w:t>(370,867)</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(371,567)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900,000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900,000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Interest rate swap transactions</w:t>
            </w:r>
          </w:p>
        </w:tc>
        <w:tc>
          <w:tcPr>
            <w:tcW w:w="10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(2,368)</w:t>
            </w:r>
          </w:p>
        </w:tc>
        <w:tc>
          <w:tcPr>
            <w:tcW w:w="180" w:type="dxa"/>
            <w:vAlign w:val="bottom"/>
          </w:tcPr>
          <w:p>
            <w:pPr>
              <w:spacing w:after="0"/>
              <w:rPr>
                <w:sz w:val="18"/>
                <w:szCs w:val="18"/>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(11,268)</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515,497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514,797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570,534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570,529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201,394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771,928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771,928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gridSpan w:val="2"/>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ind w:right="780"/>
              <w:spacing w:after="0"/>
              <w:rPr>
                <w:sz w:val="20"/>
                <w:szCs w:val="20"/>
                <w:color w:val="auto"/>
              </w:rPr>
            </w:pPr>
            <w:r>
              <w:rPr>
                <w:rFonts w:ascii="Arial" w:cs="Arial" w:eastAsia="Arial" w:hAnsi="Arial"/>
                <w:sz w:val="18"/>
                <w:szCs w:val="18"/>
                <w:color w:val="auto"/>
                <w:w w:val="97"/>
              </w:rPr>
              <w:t>F-22</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-325755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-325755</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-325755</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2159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3873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Non-guarantor</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5"/>
              </w:rPr>
              <w:t>Issuers</w:t>
            </w: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Subsidiaries</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(1,083)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52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1,570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130,193</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1,856</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132,049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6,592</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136</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8,524</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(1,368)</w:t>
            </w: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(4,372)</w:t>
            </w: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413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w w:val="92"/>
              </w:rPr>
              <w:t>(14,079)</w:t>
            </w: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197</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(4,135)</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138,048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137,623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w:t>
            </w: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w w:val="92"/>
              </w:rPr>
              <w:t>(34,758)</w:t>
            </w: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(34,758)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(1,603)</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4,307</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2"/>
              </w:rPr>
              <w:t>(32,000)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(30,875)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w w:val="92"/>
              </w:rPr>
              <w:t>(20,055)</w:t>
            </w:r>
          </w:p>
        </w:tc>
        <w:tc>
          <w:tcPr>
            <w:tcW w:w="18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(20,755)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100" w:type="dxa"/>
            <w:vAlign w:val="bottom"/>
          </w:tcPr>
          <w:p>
            <w:pPr>
              <w:spacing w:after="0"/>
              <w:rPr>
                <w:sz w:val="19"/>
                <w:szCs w:val="19"/>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2"/>
              </w:rPr>
              <w:t>(20,113)</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(20,813)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85,935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85,935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52,535</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138,470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138,475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780"/>
              <w:spacing w:after="0"/>
              <w:rPr>
                <w:sz w:val="20"/>
                <w:szCs w:val="20"/>
                <w:color w:val="auto"/>
              </w:rPr>
            </w:pPr>
            <w:r>
              <w:rPr>
                <w:rFonts w:ascii="Arial" w:cs="Arial" w:eastAsia="Arial" w:hAnsi="Arial"/>
                <w:sz w:val="18"/>
                <w:szCs w:val="18"/>
                <w:color w:val="auto"/>
                <w:w w:val="91"/>
              </w:rPr>
              <w:t>F-23</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-325755</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-325755</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-325755</wp:posOffset>
            </wp:positionV>
            <wp:extent cx="3873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2159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-325755</wp:posOffset>
            </wp:positionV>
            <wp:extent cx="3873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2159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37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Member of Wynn Las Vegas, LLC and subsidiaries:</w:t>
      </w:r>
    </w:p>
    <w:p>
      <w:pPr>
        <w:spacing w:after="0" w:line="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2011 and 2010, and the related consolidated statements of operations, member’s equity, and cash flows for each of the three years in the period ended December 31, 2011.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Wynn Las Vegas, LLC and subsidiaries at December 31, 2011 and 2010, and the consolidated results of their operations and their cash flows for each of the three years in the period ended December 31, 2011,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29,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201,399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140,229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124,814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23,052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413,587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263,062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3,529,376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3,731,211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41,256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3,976</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4,035,398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4,108,516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29,535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35,837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43,468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23,769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104,204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41,064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392,927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2,507,921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2,620,484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124,027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3,025,091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3,010,014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1,980,861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1,973,424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(970,554)</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(874,922)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1,010,307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1,098,502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4,035,398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4,108,516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20"/>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20" w:type="dxa"/>
            <w:vAlign w:val="bottom"/>
          </w:tcPr>
          <w:p>
            <w:pPr>
              <w:ind w:left="5520"/>
              <w:spacing w:after="0"/>
              <w:rPr>
                <w:sz w:val="20"/>
                <w:szCs w:val="20"/>
                <w:color w:val="auto"/>
              </w:rPr>
            </w:pPr>
            <w:r>
              <w:rPr>
                <w:rFonts w:ascii="Arial" w:cs="Arial" w:eastAsia="Arial" w:hAnsi="Arial"/>
                <w:sz w:val="18"/>
                <w:szCs w:val="18"/>
                <w:color w:val="auto"/>
              </w:rPr>
              <w:t>F-25</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-4467860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-4467860</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-4467860</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-4467860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-4467860</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-4467860</wp:posOffset>
            </wp:positionV>
            <wp:extent cx="387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-557530</wp:posOffset>
            </wp:positionV>
            <wp:extent cx="3873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625,207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534,286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308,410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454,712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417,240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1,663,545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1,473,939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1,416,102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(181,650)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(177,383)</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1,481,895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1,296,556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298,229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288,263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275,341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119,422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264,878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256,234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239,767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146,989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225,457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237,678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263,639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274,305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1,380,576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1,377,870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(81,314)</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(201,339)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(193,444)</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(4,233)</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(70,055)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(196,951)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(267,015)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(95,632)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(348,329)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$ 1,257,563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Contributions from Wynn Resorts, Limited</w:t>
            </w:r>
          </w:p>
        </w:tc>
        <w:tc>
          <w:tcPr>
            <w:tcW w:w="900" w:type="dxa"/>
            <w:vAlign w:val="bottom"/>
          </w:tcPr>
          <w:p>
            <w:pPr>
              <w:jc w:val="right"/>
              <w:spacing w:after="0"/>
              <w:rPr>
                <w:sz w:val="20"/>
                <w:szCs w:val="20"/>
                <w:color w:val="auto"/>
              </w:rPr>
            </w:pPr>
            <w:r>
              <w:rPr>
                <w:rFonts w:ascii="Arial" w:cs="Arial" w:eastAsia="Arial" w:hAnsi="Arial"/>
                <w:sz w:val="18"/>
                <w:szCs w:val="18"/>
                <w:color w:val="auto"/>
              </w:rPr>
              <w:t>429,490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Contributions from Wynn Resorts, Limited</w:t>
            </w: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(95,632)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$ 1,010,307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40" w:type="dxa"/>
            <w:vAlign w:val="bottom"/>
            <w:vMerge w:val="restart"/>
          </w:tcPr>
          <w:p>
            <w:pPr>
              <w:jc w:val="center"/>
              <w:ind w:left="85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9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4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40" w:type="dxa"/>
            <w:vAlign w:val="bottom"/>
          </w:tcPr>
          <w:p>
            <w:pPr>
              <w:jc w:val="center"/>
              <w:ind w:left="852"/>
              <w:spacing w:after="0"/>
              <w:rPr>
                <w:sz w:val="20"/>
                <w:szCs w:val="20"/>
                <w:color w:val="auto"/>
              </w:rPr>
            </w:pPr>
            <w:r>
              <w:rPr>
                <w:rFonts w:ascii="Arial" w:cs="Arial" w:eastAsia="Arial" w:hAnsi="Arial"/>
                <w:sz w:val="18"/>
                <w:szCs w:val="18"/>
                <w:color w:val="auto"/>
                <w:w w:val="91"/>
              </w:rPr>
              <w:t>F-27</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-557530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-557530</wp:posOffset>
            </wp:positionV>
            <wp:extent cx="2159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20" w:type="dxa"/>
            <w:vAlign w:val="bottom"/>
          </w:tcPr>
          <w:p>
            <w:pPr>
              <w:spacing w:after="0"/>
              <w:rPr>
                <w:sz w:val="22"/>
                <w:szCs w:val="22"/>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w w:val="87"/>
              </w:rPr>
              <w:t>$ (95,632)</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(348,329)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(309,870)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263,639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274,305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2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64,673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 net of distributions</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14,689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(3,829)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(35,747)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(29,683)</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 assets</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13,237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19,452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24,242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31,746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227,962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(65,207)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(157,080)</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(2,348)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(4,796)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13,728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(53,572)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(158,061)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(25,473)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(1,933,238)</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(929,909)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1,995,686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2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(72,846)</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financing activities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(25,531)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148,859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(13,814)</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$201,399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$197,949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147,542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138,787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construction payables and retention</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(3,479)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(9,599)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(183,842)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Parent</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-781685</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-781685</wp:posOffset>
            </wp:positionV>
            <wp:extent cx="2159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-781685</wp:posOffset>
            </wp:positionV>
            <wp:extent cx="3873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-781685</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-781685</wp:posOffset>
            </wp:positionV>
            <wp:extent cx="2159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-781685</wp:posOffset>
            </wp:positionV>
            <wp:extent cx="3873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-781685</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-781685</wp:posOffset>
            </wp:positionV>
            <wp:extent cx="2159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-781685</wp:posOffset>
            </wp:positionV>
            <wp:extent cx="3873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expanded Wynn Las Vegas with the opening of Encore at Wynn Las Vegas (“Encore”).</w:t>
      </w:r>
    </w:p>
    <w:p>
      <w:pPr>
        <w:spacing w:after="0" w:line="10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2011,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3" w:lineRule="exact"/>
        <w:rPr>
          <w:sz w:val="20"/>
          <w:szCs w:val="20"/>
          <w:color w:val="auto"/>
        </w:rPr>
      </w:pPr>
    </w:p>
    <w:p>
      <w:pPr>
        <w:ind w:left="240" w:right="7920" w:hanging="232"/>
        <w:spacing w:after="0" w:line="332" w:lineRule="auto"/>
        <w:tabs>
          <w:tab w:leader="none" w:pos="187"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2011 and 2010, approximately 76% and 75%,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2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Land improvements</w:t>
            </w:r>
          </w:p>
        </w:tc>
        <w:tc>
          <w:tcPr>
            <w:tcW w:w="382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Airplane</w:t>
            </w:r>
          </w:p>
        </w:tc>
        <w:tc>
          <w:tcPr>
            <w:tcW w:w="382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2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(loss).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No interest was capitalized for the years ended December 31, 2011 and 2009. Interest of $0.6 million was capitalized for the year ended December 31, 2010.</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Company’s indefinite-lived intangible assets consist primarily of water rights acquired as part of the overall purchase price of the land on which Wynn Las Vegas is located, and trademarks. Indefinite-lived intangible assets are not amortized, but are reviewed annually for impairment. The Company’s finite-lived intangible assets consist of show production rights. Finite-lived intangible assets are amortized over the shorter of their contractual terms or estimated useful lives.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$6.1 million, $7.7 million and $9.3 million, was amortized to interest expense during the years ended December 31, 2011, 2010 and 2009, respectively. Debt discounts incurred in connection with the issuance of debt have been capitalized and are being amortized to interest expense using the effective interest method.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do not qualify for hedge accounting. Accordingly, changes in the fair value of the interest rate swaps are presented as an increase (decrease) in fair value of swaps in the accompanying Consolidated Statements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 rental income which is recognized on a time proportion basis over the lease terms.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0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revenues; consequently, the Company’s casino revenues are reduced by discounts and points earned in the player’s club loyalty program.</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6"/>
          </w:tcPr>
          <w:p>
            <w:pPr>
              <w:ind w:left="40"/>
              <w:spacing w:after="0"/>
              <w:rPr>
                <w:sz w:val="20"/>
                <w:szCs w:val="20"/>
                <w:color w:val="auto"/>
              </w:rPr>
            </w:pPr>
            <w:r>
              <w:rPr>
                <w:rFonts w:ascii="Arial" w:cs="Arial" w:eastAsia="Arial" w:hAnsi="Arial"/>
                <w:sz w:val="14"/>
                <w:szCs w:val="14"/>
                <w:b w:val="1"/>
                <w:bCs w:val="1"/>
                <w:color w:val="auto"/>
                <w:w w:val="87"/>
              </w:rPr>
              <w:t>Years Ended 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36,160</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40,911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45,890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Food and beverage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57,420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59,111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60,550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15,231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108,811</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119,537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118,454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0" w:type="dxa"/>
            <w:vAlign w:val="bottom"/>
            <w:gridSpan w:val="2"/>
          </w:tcPr>
          <w:p>
            <w:pPr>
              <w:jc w:val="right"/>
              <w:ind w:right="1340"/>
              <w:spacing w:after="0"/>
              <w:rPr>
                <w:sz w:val="20"/>
                <w:szCs w:val="20"/>
                <w:color w:val="auto"/>
              </w:rPr>
            </w:pPr>
            <w:r>
              <w:rPr>
                <w:rFonts w:ascii="Arial" w:cs="Arial" w:eastAsia="Arial" w:hAnsi="Arial"/>
                <w:sz w:val="18"/>
                <w:szCs w:val="18"/>
                <w:color w:val="auto"/>
              </w:rPr>
              <w:t>F-31</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-325755</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-325755</wp:posOffset>
            </wp:positionV>
            <wp:extent cx="2159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-325755</wp:posOffset>
            </wp:positionV>
            <wp:extent cx="3873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-325755</wp:posOffset>
            </wp:positionV>
            <wp:extent cx="2159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3873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2159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 Reserves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is self-insured up to certain limits for costs of employee health coverage (fully insured for employee health coverage beginning January 1, 2012), workers’ compensation and general liability claims. Insurance claims and reserves include accruals of estimated settlements for known claims, as well as accruals of estimates for claims incurred but not yet reported. In estimating these accruals, the Company considers historical loss experience and makes judgments about the expected level of costs per claim. Management believes the estimates of future liability are reasonable based upon its methodology; however, changes in health care costs, accident frequency and severity could materially affect the estimate for these liabilities.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Customer Loyalty Program</w:t>
      </w:r>
    </w:p>
    <w:p>
      <w:pPr>
        <w:spacing w:after="0" w:line="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offers a slot club program whereby customers may earn points based on their level of play that may be redeemed for free credit that must be replayed in the slot machine. The Company accrues a liability based on the points earned times the redemption value, less an estimate for breakage, and records a related reduction in casino revenue.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Slot Machine Jackpots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With respect to base and progressive jackpots, the Company does not accrue a liability when it has the ability to avoid payment of the base jackpot because the machine can legally be removed from the gaming floor without payment of the base amount. Conversely, if the Company is unable to avoid payment of the jackpot (i.e. the incremental amount on a progressive machine) due to legal requirements, the jackpot is accrued as the obligation becomes unavoidable. This liability is accrued over the time period in which the incremental progressive jackpot amount is generated with a related reduction in casino revenue. No liability is accrued with respect to the base jackpot.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Operations. These taxes totaled $43.9 million, $37.7 million and $36.5 million for the years ended December 31, 2011, 2010 and 2009,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$16.3 million, $14.7 million and $17.3 million for the years ended December 31, 2011, 2010 and 2009,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Pre-opening costs, consisting primarily of direct salaries and wages, legal and consulting fees, insurance, utilities and advertising,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incurred pre-opening costs in connection with the Encore Beach Club and Surrender Nightclub prior to their opening in May 2010.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is organized as a limited liability company with one member. As a limited liability company, the Company is considered a flow-through entity for U.S. income tax purposes resulting in its owner being obligated for any taxes resulting from its operations. Accordingly, no provision has been made for federal income taxes as such taxes are the responsibility of its owner.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Accounting standards require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30" w:lineRule="exact"/>
        <w:rPr>
          <w:sz w:val="20"/>
          <w:szCs w:val="20"/>
          <w:color w:val="auto"/>
        </w:rPr>
      </w:pPr>
    </w:p>
    <w:p>
      <w:pPr>
        <w:ind w:left="240" w:right="460" w:firstLine="228"/>
        <w:spacing w:after="0" w:line="375" w:lineRule="auto"/>
        <w:rPr>
          <w:sz w:val="20"/>
          <w:szCs w:val="20"/>
          <w:color w:val="auto"/>
        </w:rPr>
      </w:pPr>
      <w:r>
        <w:rPr>
          <w:rFonts w:ascii="Arial" w:cs="Arial" w:eastAsia="Arial" w:hAnsi="Arial"/>
          <w:sz w:val="18"/>
          <w:szCs w:val="18"/>
          <w:color w:val="auto"/>
        </w:rPr>
        <w:t xml:space="preserve">Further information on the Company’s stock-based compensation arrangements is included in Note 11 “Benefit Plans—Stock-Based Compensation”. </w:t>
      </w:r>
      <w:r>
        <w:rPr>
          <w:rFonts w:ascii="Arial" w:cs="Arial" w:eastAsia="Arial" w:hAnsi="Arial"/>
          <w:sz w:val="18"/>
          <w:szCs w:val="18"/>
          <w:i w:val="1"/>
          <w:iCs w:val="1"/>
          <w:color w:val="auto"/>
        </w:rPr>
        <w:t>Recently Issued Accounting Standards</w:t>
      </w:r>
    </w:p>
    <w:p>
      <w:pPr>
        <w:spacing w:after="0" w:line="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May 2011, the Financial Accounting Standards Board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This update is not expected to have a material impact on the Company’s financial statements.</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June 2011, the FASB issued an accounting standards update that will require items of net income, items of other comprehensive income (“OCI”) and total comprehensive income to be presented in one continuous statement or two separate but consecutive statements. This will make the presentation of items within OCI more prominent. Companies will no longer be allowed to present OCI in the statement of stockholders’ equity. The effective date for this update is for years, and the interim periods within those years, beginning after December 15, 2011.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9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60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6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$175,984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$166,701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Hotel</w:t>
            </w:r>
          </w:p>
        </w:tc>
        <w:tc>
          <w:tcPr>
            <w:tcW w:w="6120" w:type="dxa"/>
            <w:vAlign w:val="bottom"/>
            <w:gridSpan w:val="3"/>
          </w:tcPr>
          <w:p>
            <w:pPr>
              <w:jc w:val="right"/>
              <w:ind w:right="40"/>
              <w:spacing w:after="0"/>
              <w:rPr>
                <w:sz w:val="20"/>
                <w:szCs w:val="20"/>
                <w:color w:val="auto"/>
              </w:rPr>
            </w:pPr>
            <w:r>
              <w:rPr>
                <w:rFonts w:ascii="Arial" w:cs="Arial" w:eastAsia="Arial" w:hAnsi="Arial"/>
                <w:sz w:val="18"/>
                <w:szCs w:val="18"/>
                <w:color w:val="auto"/>
              </w:rPr>
              <w:t>19,738</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6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20,799</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5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6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216,521</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6520" w:type="dxa"/>
            <w:vAlign w:val="bottom"/>
            <w:gridSpan w:val="4"/>
          </w:tcPr>
          <w:p>
            <w:pPr>
              <w:jc w:val="right"/>
              <w:ind w:right="400"/>
              <w:spacing w:after="0"/>
              <w:rPr>
                <w:sz w:val="20"/>
                <w:szCs w:val="20"/>
                <w:color w:val="auto"/>
              </w:rPr>
            </w:pPr>
            <w:r>
              <w:rPr>
                <w:rFonts w:ascii="Arial" w:cs="Arial" w:eastAsia="Arial" w:hAnsi="Arial"/>
                <w:sz w:val="18"/>
                <w:szCs w:val="18"/>
                <w:color w:val="auto"/>
              </w:rPr>
              <w:t>(76,292)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(71,076)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6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$140,229</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$124,814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520" w:type="dxa"/>
            <w:vAlign w:val="bottom"/>
            <w:gridSpan w:val="4"/>
          </w:tcPr>
          <w:p>
            <w:pPr>
              <w:jc w:val="right"/>
              <w:ind w:right="4760"/>
              <w:spacing w:after="0"/>
              <w:rPr>
                <w:sz w:val="20"/>
                <w:szCs w:val="20"/>
                <w:color w:val="auto"/>
              </w:rPr>
            </w:pPr>
            <w:r>
              <w:rPr>
                <w:rFonts w:ascii="Arial" w:cs="Arial" w:eastAsia="Arial" w:hAnsi="Arial"/>
                <w:sz w:val="18"/>
                <w:szCs w:val="18"/>
                <w:color w:val="auto"/>
              </w:rPr>
              <w:t>F-33</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-325755</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2159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717,156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2,617,523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2,591,246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1,350,525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1,347,601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4,735,936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4,722,230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220" w:type="dxa"/>
            <w:vAlign w:val="bottom"/>
            <w:gridSpan w:val="4"/>
          </w:tcPr>
          <w:p>
            <w:pPr>
              <w:jc w:val="right"/>
              <w:ind w:right="400"/>
              <w:spacing w:after="0"/>
              <w:rPr>
                <w:sz w:val="20"/>
                <w:szCs w:val="20"/>
                <w:color w:val="auto"/>
              </w:rPr>
            </w:pPr>
            <w:r>
              <w:rPr>
                <w:rFonts w:ascii="Arial" w:cs="Arial" w:eastAsia="Arial" w:hAnsi="Arial"/>
                <w:sz w:val="18"/>
                <w:szCs w:val="18"/>
                <w:color w:val="auto"/>
                <w:w w:val="86"/>
              </w:rPr>
              <w:t>(1,206,560)</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(991,019)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3,529,376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3,731,211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2159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Depreciation expense for the years ended December 31, 2011, 2010 and 2009 was $257.8 million, $266 million and $300.8 million, respectively. The decrease from 2009 to 2010 is primarily due to assets with a 5-year life at Wynn Las Vegas being fully depreciated as of April 2010.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0"/>
              </w:rPr>
              <w:t>Show</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040" w:type="dxa"/>
            <w:vAlign w:val="bottom"/>
            <w:gridSpan w:val="5"/>
          </w:tcPr>
          <w:p>
            <w:pPr>
              <w:ind w:left="2040"/>
              <w:spacing w:after="0" w:line="149" w:lineRule="exact"/>
              <w:rPr>
                <w:sz w:val="20"/>
                <w:szCs w:val="20"/>
                <w:color w:val="auto"/>
              </w:rPr>
            </w:pPr>
            <w:r>
              <w:rPr>
                <w:rFonts w:ascii="Arial" w:cs="Arial" w:eastAsia="Arial" w:hAnsi="Arial"/>
                <w:sz w:val="14"/>
                <w:szCs w:val="14"/>
                <w:b w:val="1"/>
                <w:bCs w:val="1"/>
                <w:color w:val="auto"/>
              </w:rPr>
              <w:t>Production</w:t>
            </w:r>
          </w:p>
        </w:tc>
        <w:tc>
          <w:tcPr>
            <w:tcW w:w="300" w:type="dxa"/>
            <w:vAlign w:val="bottom"/>
          </w:tcPr>
          <w:p>
            <w:pPr>
              <w:spacing w:after="0"/>
              <w:rPr>
                <w:sz w:val="12"/>
                <w:szCs w:val="12"/>
                <w:color w:val="auto"/>
              </w:rPr>
            </w:pPr>
          </w:p>
        </w:tc>
        <w:tc>
          <w:tcPr>
            <w:tcW w:w="50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rPr>
              <w:t>Water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7"/>
              </w:rPr>
              <w:t>Rights</w:t>
            </w: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Rights</w:t>
            </w:r>
          </w:p>
        </w:tc>
        <w:tc>
          <w:tcPr>
            <w:tcW w:w="40" w:type="dxa"/>
            <w:vAlign w:val="bottom"/>
          </w:tcPr>
          <w:p>
            <w:pPr>
              <w:spacing w:after="0"/>
              <w:rPr>
                <w:sz w:val="15"/>
                <w:szCs w:val="15"/>
                <w:color w:val="auto"/>
              </w:rPr>
            </w:pPr>
          </w:p>
        </w:tc>
        <w:tc>
          <w:tcPr>
            <w:tcW w:w="1400" w:type="dxa"/>
            <w:vAlign w:val="bottom"/>
            <w:gridSpan w:val="4"/>
          </w:tcPr>
          <w:p>
            <w:pPr>
              <w:ind w:left="680"/>
              <w:spacing w:after="0"/>
              <w:rPr>
                <w:sz w:val="20"/>
                <w:szCs w:val="20"/>
                <w:color w:val="auto"/>
              </w:rPr>
            </w:pPr>
            <w:r>
              <w:rPr>
                <w:rFonts w:ascii="Arial" w:cs="Arial" w:eastAsia="Arial" w:hAnsi="Arial"/>
                <w:sz w:val="14"/>
                <w:szCs w:val="14"/>
                <w:b w:val="1"/>
                <w:bCs w:val="1"/>
                <w:color w:val="auto"/>
                <w:w w:val="88"/>
              </w:rPr>
              <w:t>Trademarks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2010</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9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1,399</w:t>
            </w:r>
          </w:p>
        </w:tc>
        <w:tc>
          <w:tcPr>
            <w:tcW w:w="8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Amortization</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(2,071)</w:t>
            </w:r>
          </w:p>
        </w:tc>
        <w:tc>
          <w:tcPr>
            <w:tcW w:w="30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center"/>
              <w:ind w:left="9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1,399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Amortization</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(2,071)</w:t>
            </w:r>
          </w:p>
        </w:tc>
        <w:tc>
          <w:tcPr>
            <w:tcW w:w="30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center"/>
              <w:ind w:left="9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9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1,399</w:t>
            </w:r>
          </w:p>
        </w:tc>
        <w:tc>
          <w:tcPr>
            <w:tcW w:w="8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2159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3873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2159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3873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2159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3873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Show production rights represent the amounts paid to purchase the rights to present the “Le Rêve” production show. The Company expects that amortization of show production rights will be $2.1 million for 2012, and $0.8 million for 2013.</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7"/>
          </w:tcPr>
          <w:p>
            <w:pPr>
              <w:ind w:left="1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9"/>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Base stock</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17,705</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16,569</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23,139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36,470</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50,070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2159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420"/>
          </w:cols>
          <w:pgMar w:left="240" w:top="460" w:right="239" w:bottom="1440" w:gutter="0" w:footer="0" w:header="0"/>
          <w:type w:val="continuous"/>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1"/>
                <w:szCs w:val="11"/>
                <w:color w:val="auto"/>
                <w:w w:val="96"/>
              </w:rPr>
              <w:t>8</w:t>
            </w:r>
            <w:r>
              <w:rPr>
                <w:rFonts w:ascii="Arial" w:cs="Arial" w:eastAsia="Arial" w:hAnsi="Arial"/>
                <w:sz w:val="18"/>
                <w:szCs w:val="18"/>
                <w:color w:val="auto"/>
                <w:w w:val="96"/>
              </w:rPr>
              <w:t>% First Mortgage Notes, due November 1, 2017, net of original issue discount of $8,578 at December 31, 2011 and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$9,678 at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491,422</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 xml:space="preserve">7 </w:t>
            </w:r>
            <w:r>
              <w:rPr>
                <w:rFonts w:ascii="Arial" w:cs="Arial" w:eastAsia="Arial" w:hAnsi="Arial"/>
                <w:sz w:val="11"/>
                <w:szCs w:val="11"/>
                <w:color w:val="auto"/>
                <w:w w:val="93"/>
              </w:rPr>
              <w:t>7</w:t>
            </w:r>
            <w:r>
              <w:rPr>
                <w:rFonts w:ascii="Arial" w:cs="Arial" w:eastAsia="Arial" w:hAnsi="Arial"/>
                <w:sz w:val="18"/>
                <w:szCs w:val="18"/>
                <w:color w:val="auto"/>
                <w:w w:val="93"/>
              </w:rPr>
              <w:t>/</w:t>
            </w:r>
            <w:r>
              <w:rPr>
                <w:rFonts w:ascii="Arial" w:cs="Arial" w:eastAsia="Arial" w:hAnsi="Arial"/>
                <w:sz w:val="11"/>
                <w:szCs w:val="11"/>
                <w:color w:val="auto"/>
                <w:w w:val="93"/>
              </w:rPr>
              <w:t>8</w:t>
            </w:r>
            <w:r>
              <w:rPr>
                <w:rFonts w:ascii="Arial" w:cs="Arial" w:eastAsia="Arial" w:hAnsi="Arial"/>
                <w:sz w:val="18"/>
                <w:szCs w:val="18"/>
                <w:color w:val="auto"/>
                <w:w w:val="93"/>
              </w:rPr>
              <w:t>% First Mortgage Notes, due May 1, 2020, net of original issue discount of $2,303 at December 31, 2011 and $2,489 at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December 31, 2010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349,707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349,521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First Mortgage Notes, due August 15, 2020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due July 17, 2015; interest at LIBOR plus 3.0%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40,262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35,350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2,597,346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2,621,534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(89,425)</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2,507,921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2,620,484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First Mortgage Notes due 2017</w:t>
      </w:r>
    </w:p>
    <w:p>
      <w:pPr>
        <w:spacing w:after="0" w:line="77"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 xml:space="preserve">In October 2009,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first mortgage notes due November 1, 2017 (the “2017 Notes”) at a price of 97.823% of the principal amount. The Company pays interest on the 2017 Notes on May 1st and November 1st of each year. Commencing November 1, 2013, the 2017 Notes are redeemable at the Company’s option at a price equal to 103.938% of the principal amount redeemed and the premium over the principal amount declines ratably on November 1st of each year thereafter to zero on or after November 1, 2015. The 2017 Notes are senior secured obligations of the Issuers, guaranteed by certain of Wynn Las Vegas, LLC’s subsidiaries and secured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The indenture governing the 2017 Notes contains customary negative covenants and financial covenants, including, but not limited to, negative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First Mortgage Notes due 2020</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In April 2010, the, the Issuers issued, in a private offering, $352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May 1, 2020 (the “2020 Notes”). The 2020 Notes were issued pursuant to an exchange offer for previously issued notes that were to mature in December 2014. The Company pays interest on the 2020 Notes on May 1st and November 1st of each year. Commencing May 1, 2015, the 2020 Notes are redeemable at the Company’s option at a price equal to 103.938% of the principal amount redeemed and the premium over the principal amount declines ratably on May 1st of each year thereafter to zero on or after May 1, 2018. The 2020 Notes rank pari passu in right of payment with borrowings under Wynn Las Vegas, LLC’s credit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facilities and 2017 Notes. The 2020 Notes are senior secured obligations of the Issuers, guaranteed by certain of Wynn Las Vegas, LLC’s subsidiaries and secured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and the 2017 Notes. The indenture governing the 2020 Notes contains customary negative covenants and financial covenants, including, but not limited to, negative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1"/>
          <w:szCs w:val="11"/>
          <w:i w:val="1"/>
          <w:iCs w:val="1"/>
          <w:color w:val="auto"/>
        </w:rPr>
        <w:t>4</w:t>
      </w:r>
      <w:r>
        <w:rPr>
          <w:rFonts w:ascii="Arial" w:cs="Arial" w:eastAsia="Arial" w:hAnsi="Arial"/>
          <w:sz w:val="18"/>
          <w:szCs w:val="18"/>
          <w:i w:val="1"/>
          <w:iCs w:val="1"/>
          <w:color w:val="auto"/>
        </w:rPr>
        <w:t>% First Mortgage Notes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August 2010, the Issuers issued $1.32 billion aggregate principal amount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first mortgage notes due August 15, 2020 (the “New 2020 Notes”). The New 2020 Notes were issued at par. The New 2020 Notes refinanced the Company’s previous note issue that was to mature in December 2014. The Company pays interest on the New 2020 Notes on February 15th and August 15th of each year. Commencing August 15, 2015, the New 2020 Notes are redeemable at the Company’s option at a price equal to 103.875% of the principal amount redeemed and the premium over the principal amount declines ratably on August 15th of each year thereafter to zero on or after August 15, 2018. The New 2020 Notes rank pari passu in right of payment with borrowings under Wynn Las Vegas, LLC’s credit facilities, the 2017 Notes and the 2020 Notes. The New 2020 Notes are senior secured obligations of the Issuers, guaranteed by certain of Wynn Las Vegas, LLC’s subsidiaries and secured on an equal and ratable basis (with certain exceptions)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the 2017 Notes and the 2020 Notes. The indenture governing the New 2020 Notes contains customary negative covenants and financial covenants, including, but not limited to, negative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Facilities</w:t>
      </w:r>
    </w:p>
    <w:p>
      <w:pPr>
        <w:spacing w:after="0" w:line="77"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As of December 31, 2011, the Wynn Las Vegas Amended and Restated Credit Agreement consisted of a $108.5 million revolving credit facility due July 2013, a $258.4 million revolving credit facility due July 2015 (together the “Revolver”), a fully drawn $40.3 million term loan facility due August 2013 and a fully drawn $330.6 million term loan facility due August 2015 (together the “Term Loan”). The Revolver and the Term Loan are together referred to as the “Credit Facilities.” During the year ended December 31, 2011, the Company repaid $20.1 million of borrowings under the Revolver and $4 million under the Term Loan. As of December 31, 2011, the Term Loan was fully drawn and we had no borrowings outstanding under the Revolver. The Company also had $15.8 million of outstanding letters of credit that reduce its availability under the Revolver. The Company had availability of $351.1 million under the Revolver as of December 31, 2011.</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Loans under the Credit Facilities bear interest at fluctuating rates, based on LIBOR or an alternative base rate, plus an applicable margin.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the applicable margin for LIBOR loans under the Revolver and the Term Loan due August 17, 2015 was 3.0%, and the applicable margin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LIBOR loans under the Term Loan due August 15, 2013 was 1.875%. Base Rate Loans bear interest at (a) the greatest of (i) the rate most recently announced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as its “prime rate,” (ii) the Federal Funds Rate plus 1/2 of 1% per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annum, and (iii) in the case of a Revolver loan the one month Eurodollar rate; plus (b) a borrowing margin of 2.0% for Revolver loans and 0.875% for Term Loans. Interest on Base Rate Loans will be payable quarterly in arrears. Wynn Las Vegas, LLC also pays, quarterly in arrears, 1.0% per annum on the daily average of unborrowed amounts under the Revolver.</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Credit Facilities are secured by: (1) a first priority pledge of all member’s interests owned by Wynn Las Vegas, LLC in its subsidiaries (other than Wynn Completion Guarantor, LLC) and Wynn Resorts Holdings, LLC’s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Credit Facilities rank equal in right of payment with their existing and future senior indebtedness, including indebtedness with respect to the 2017 Notes the 2020 Notes and the New 2020 Notes and ranks senior in right of payment to all of their existing and future subordinated indebtedness.</w:t>
      </w:r>
    </w:p>
    <w:p>
      <w:pPr>
        <w:spacing w:after="0" w:line="12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Credit Facilities from the net proceeds of all debt offerings (other than those constituting certain permitted debt). Wynn Las Vegas, LLC is also required to make mandatory repayments of indebtedness under the Credit Facilities from specified percentages of excess cash flow, which percentages may decrease and/or be eliminated based on Wynn Las Vegas, LLC’s leverage ratio. For 2012, the Company expects to make a mandatory repayment of approximately $88 million in March pursuant to this provision of the Credit Facilities. Wynn Las Vegas, LLC has the option to prepay all or any portion of the indebtedness under the Credit Facilities at any time without premium or penalty.</w:t>
      </w:r>
    </w:p>
    <w:p>
      <w:pPr>
        <w:spacing w:after="0" w:line="10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Credit Facilities contain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1.00 to 1 as of December 31, 2011. Management believes that the Company was in compliance with all covenants at December 31, 2011. The Consolidated Interest Coverage Ratio remains at 1.00 to 1 through June 2013.</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$42 Million Note Payable for Aircraft</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the Company’s aircraft. Principal payments of $350,000 plus interest are made quarterly with a balloon payment of $28 million due at maturity, April 1, 2017. Interest is calculated at 90-day LIBOR plus 125 basis points.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net book value of the first mortgage notes was $2.2 billion at both December 31, 2011 and 2010. The estimated fair value of the first mortgage notes based upon most recent trades at December 31, 2011 and 2010 was approximately $2.4 billion and $2.3 billion, respectively. The net book value of the Company’s other debt instruments was $406.2 million and the fair value of such debt was approximately $400 million as of December 31, 2011.</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including the accretion of debt discounts of $10.9 million are as follows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2013</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2015</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Thereafter</w:t>
            </w:r>
          </w:p>
        </w:tc>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2,230,710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2,608,227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Operations, as the interest rate swaps do not qualify for hedge accounting.</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its swap contract as Level 2.</w:t>
      </w:r>
    </w:p>
    <w:p>
      <w:pPr>
        <w:spacing w:after="0" w:line="129"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Company currently has one interest rate swap agreement to hedge a portion of the underlying interest rate risk on borrowings under the Credit Facilities. Under this swap agreement, the Company pays a fixed interest rate of 2.485% on borrowings of $250 million incurred under the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December 31, 2011, the fair value of this interest rate swap was a liability of $4.6 million and is recorded in current other accrued liabilities. As of December 31, 2010, the fair value of this interest rate swap was $8.5 million.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8860" w:hanging="232"/>
        <w:spacing w:after="0" w:line="398" w:lineRule="auto"/>
        <w:tabs>
          <w:tab w:leader="none" w:pos="187" w:val="left"/>
        </w:tabs>
        <w:numPr>
          <w:ilvl w:val="0"/>
          <w:numId w:val="19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of December 31, 2011, the Company’s current Due to Affiliates, net was comprised of construction payables of $8.4 million, construction retention of $1.7 million and other net amounts due to affiliates totaling $31 million (including corporate allocations discussed below). The long-term Due to Affiliates is management fees of $124 million (equal to 1.5% of net revenues and payable upon meeting certain leverage ratios as specified in the documents governing the Credit Facilities and the First Mortgage Notes indentures).</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December 31, 2010, the Company’s current Due to Affiliates, net was comprised of construction payables of $10.3 million, construction retention of $3.3 million and other net amounts due to affiliates totaling $14.7 million (including corporate allocations discussed below). The long-term Due to Affiliates is management fees of $101.8 million (equal to 1.5% of net revenues and payable upon meeting certain leverage ratios as specified in the documents governing the Credit Facilities and the First Mortgage Notes indentures).</w:t>
      </w:r>
    </w:p>
    <w:p>
      <w:pPr>
        <w:spacing w:after="0" w:line="13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Credit Facilities and the First Mortgage Notes indenture.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and ending with the third quarter of 2009, the Company was unable to and did not intend to settle this corporate allocation and accordingly, such allocations were recorded as a contribution to equity from Wynn Resorts. During the years ended December 31, 2011, 2010 and 2009, $28.6 million, $25.9 million, and $25 million, respectively, was charged to the Company for such corporate allocations.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March 17, 2010, Elaine P. Wynn, a director of Wynn Resorts,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terminated December 31, 2010. The lease was on a month-to-month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basis. Pursuant to the terms of the EW Lease, Elaine P. Wynn paid annual rent equal to $350,000 which amount was determined by the Audit Committee with the assistance of a third-party appraisal. Certain services for, and maintenance of, the villa suite were included in the rental. The lease was extended on a month-to-month basis after December 31, 2010 until terminated effective March 31, 2011.</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will be treated as imputed income to Mr. Wynn, and will be equal to the fair market value of the accommodations provided. Effective March 1, 2010, and for the first two years of the term of the SW Lease, the rental value will be $503,831 per year. Effective March 1, 2012, the rental value will be $440,000 per year based on the current fair market value as established by the Audit Committee of the Company with the assistance of an independent third-party appraisal. The rental value for the villa suite will be re-determined every two years during the term of the lease by the Audit Committee, with the assistance of an independent third-party appraisal. Certain services for, and maintenance of, the villa suite are included in the rental.</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Property charges and other for the years ended December 31, 2011, 2010 and 2009, were $16.6 million, $19 million and $24.5 million, respectively. In response to the Company’s evaluation of its resort and the reactions of its guests, the Company makes enhancements and refinements to the resort. Costs relating to assets retired as a result of these enhancement and remodel efforts have been expensed as property charges.</w:t>
      </w:r>
    </w:p>
    <w:p>
      <w:pPr>
        <w:spacing w:after="0" w:line="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2011 include the write off of certain off-site golf memberships by Wynn Las Vegas, miscellaneous renovations and abandonments, including modifications of the Encore retail esplanade, closure of the Blush nightclub and the write off of certain costs related to a show that ended its run in Las Vegas in April 2011.</w:t>
      </w:r>
    </w:p>
    <w:p>
      <w:pPr>
        <w:spacing w:after="0" w:line="127"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Property charges and other for the year ended December 31, 2010 include a contract termination payment of $14.9 million related to a management contract for certain of the nightclubs at Wynn Las Vegas as well as miscellaneous renovations, abandonments and gain/loss on sale of equipment .</w:t>
      </w:r>
    </w:p>
    <w:p>
      <w:pPr>
        <w:spacing w:after="0" w:line="4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2009 include a $16.7 million charge for the abandonment of the front porte-cochere at Encore to make way for the Encore Beach Club, a $5.3 million charge for the write-off of two aircraft deposits, and $2.5 million related to miscellaneous remodels, abandonments and loss on sale of equipment.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9520" w:hanging="232"/>
        <w:spacing w:after="0" w:line="398" w:lineRule="auto"/>
        <w:tabs>
          <w:tab w:leader="none" w:pos="266" w:val="left"/>
        </w:tabs>
        <w:numPr>
          <w:ilvl w:val="0"/>
          <w:numId w:val="1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matched the contributions, within prescribed limits, with an amount equal to 100% of the participant’s initial 2% tax deferred contribution and 50% of the tax deferred contribution between 2% and 4% of the participant’s compensation. Effective March 16, 2009, the Company suspended matching contributions to this plan. No amounts were expensed during the years ended December 31, 2011 and 2010. The Company recorded an expense for matching contributions of $1.2 million for the year ended December 31, 2009.</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Multi-employer pension plan</w:t>
      </w:r>
    </w:p>
    <w:p>
      <w:pPr>
        <w:spacing w:after="0" w:line="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Wynn Las Vegas contributes to a multi-employer defined benefit pension plan for certain of its union employees under the terms of the Southern Nevada Culinary and Bartenders Union collective-bargaining agreement. The collective-bargaining agreement that covers these union-represented employees expires in 2016. The legal name of the multi-employer pension plan is the Southern Nevada Culinary and Bartenders Pension Plan (the “Plan”) (EIN: 88-6016617 Plan Number: 001). The Company recorded an expense of $7.6 million, $6.8 million and $6.2 million for contributions to the Plan for the years ended December 31, 2011, 2010 and 2009, respectively. For the 2010 plan year, the most recent for which plan data is available, the Company’s contributions were identified by the Plan to exceed 5% of total contributions for that year. Based on the information we received from the Plan, it was certified to be in neither endangered nor critical status for the 2010 plan year. Risks of participating in a multi-employer plan differs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and (3) if a participating employer stops participating, it may be required to pay those plans an amount based on the underfunded status of the plan, referred to as a withdrawal liability.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2011, 2010 and 2009 is allocated as follows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6"/>
          </w:tcPr>
          <w:p>
            <w:pPr>
              <w:ind w:left="40"/>
              <w:spacing w:after="0"/>
              <w:rPr>
                <w:sz w:val="20"/>
                <w:szCs w:val="20"/>
                <w:color w:val="auto"/>
              </w:rPr>
            </w:pPr>
            <w:r>
              <w:rPr>
                <w:rFonts w:ascii="Arial" w:cs="Arial" w:eastAsia="Arial" w:hAnsi="Arial"/>
                <w:sz w:val="14"/>
                <w:szCs w:val="14"/>
                <w:b w:val="1"/>
                <w:bCs w:val="1"/>
                <w:color w:val="auto"/>
                <w:w w:val="85"/>
              </w:rPr>
              <w:t>Years Ended December 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2010</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$4,347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Rooms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3,327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11,278</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$8,370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60" w:type="dxa"/>
            <w:vAlign w:val="bottom"/>
            <w:gridSpan w:val="2"/>
          </w:tcPr>
          <w:p>
            <w:pPr>
              <w:jc w:val="right"/>
              <w:ind w:right="2180"/>
              <w:spacing w:after="0"/>
              <w:rPr>
                <w:sz w:val="20"/>
                <w:szCs w:val="20"/>
                <w:color w:val="auto"/>
              </w:rPr>
            </w:pPr>
            <w:r>
              <w:rPr>
                <w:rFonts w:ascii="Arial" w:cs="Arial" w:eastAsia="Arial" w:hAnsi="Arial"/>
                <w:sz w:val="18"/>
                <w:szCs w:val="18"/>
                <w:color w:val="auto"/>
              </w:rPr>
              <w:t>F-41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-325755</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2159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-325755</wp:posOffset>
            </wp:positionV>
            <wp:extent cx="3873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2159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3873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-325755</wp:posOffset>
            </wp:positionV>
            <wp:extent cx="2159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8540" w:hanging="232"/>
        <w:spacing w:after="0" w:line="398" w:lineRule="auto"/>
        <w:tabs>
          <w:tab w:leader="none" w:pos="275" w:val="left"/>
        </w:tabs>
        <w:numPr>
          <w:ilvl w:val="0"/>
          <w:numId w:val="19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Leases and other arrangements</w:t>
      </w:r>
    </w:p>
    <w:p>
      <w:pPr>
        <w:spacing w:after="0" w:line="1"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2013</w:t>
            </w: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2015</w:t>
            </w: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Thereafter</w:t>
            </w:r>
          </w:p>
        </w:tc>
        <w:tc>
          <w:tcPr>
            <w:tcW w:w="5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2011, the Company was obligated under non-cancellable operating leases, to make future minimum lease payments as follows (amounts in thousands):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2013</w:t>
            </w: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2015</w:t>
            </w: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Thereafter</w:t>
            </w:r>
          </w:p>
        </w:tc>
        <w:tc>
          <w:tcPr>
            <w:tcW w:w="5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right="1460" w:firstLine="228"/>
        <w:spacing w:after="0" w:line="375" w:lineRule="auto"/>
        <w:rPr>
          <w:sz w:val="20"/>
          <w:szCs w:val="20"/>
          <w:color w:val="auto"/>
        </w:rPr>
      </w:pPr>
      <w:r>
        <w:rPr>
          <w:rFonts w:ascii="Arial" w:cs="Arial" w:eastAsia="Arial" w:hAnsi="Arial"/>
          <w:sz w:val="18"/>
          <w:szCs w:val="18"/>
          <w:color w:val="auto"/>
        </w:rPr>
        <w:t xml:space="preserve">Rent expense for the years ended December 31, 2011, 2010 and 2009 was $16.2 million, $16.1 million and $8.0 million, respectively. </w:t>
      </w:r>
      <w:r>
        <w:rPr>
          <w:rFonts w:ascii="Arial" w:cs="Arial" w:eastAsia="Arial" w:hAnsi="Arial"/>
          <w:sz w:val="18"/>
          <w:szCs w:val="18"/>
          <w:i w:val="1"/>
          <w:iCs w:val="1"/>
          <w:color w:val="auto"/>
        </w:rPr>
        <w:t>Self-insurance</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 Beginning January 2012, the medical plan covering employees of the Company’s domestic subsidiaries will be fully insured.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three-to five-year terms and typically indicate a base salary and often contain provisions for discretionary bonuses. Certain of the executives are also</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300"/>
          </w:cols>
          <w:pgMar w:left="240" w:top="459" w:right="3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entitled to a separation payment if terminated without “cause” or upon voluntary termination of employment for “good reason” following a “change of control” (as these terms are defined in the employment contracts).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2011.</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paid use tax on these items and has filed for refunds for the periods from April 2005 to April 2008. The amount subject to these refunds is $5.4 million.</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January 2012, the Nevada Tax Commission upheld the decision of an Administrative Law Judge (“ALJ”) who ruled that complimentary meals provided to patrons and employees of a Nevada casino operator were retail sales subject to sales tax. The ruling of the ALJ further held that the use tax already paid on such items and sought as refunds should be credited against the sales tax due. Furthermore, the ALJ held that the Nevada Department of Taxation could not assess additional taxes, penalties or interest because its regulations and policies at the time only required the payment of use tax on such complimentary meals. The Company expects that the Nevada Tax Commission ruling will be appealed through the Nevada courts. As of December 31, 2011, the Company has neither recorded a receivable associated with its $5.4 million refund claim nor any sales tax liability for complimentary meals provided to customers and employees.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Member’s Equity</w:t>
      </w:r>
    </w:p>
    <w:p>
      <w:pPr>
        <w:spacing w:after="0" w:line="83" w:lineRule="exact"/>
        <w:rPr>
          <w:sz w:val="20"/>
          <w:szCs w:val="20"/>
          <w:color w:val="auto"/>
        </w:rPr>
      </w:pPr>
    </w:p>
    <w:p>
      <w:pPr>
        <w:jc w:val="both"/>
        <w:ind w:right="540" w:firstLine="456"/>
        <w:spacing w:after="0" w:line="370" w:lineRule="auto"/>
        <w:rPr>
          <w:sz w:val="20"/>
          <w:szCs w:val="20"/>
          <w:color w:val="auto"/>
        </w:rPr>
      </w:pPr>
      <w:r>
        <w:rPr>
          <w:rFonts w:ascii="Arial" w:cs="Arial" w:eastAsia="Arial" w:hAnsi="Arial"/>
          <w:sz w:val="15"/>
          <w:szCs w:val="15"/>
          <w:color w:val="auto"/>
        </w:rPr>
        <w:t>During the years ended December 31, 2010 and 2009, Wynn Resorts made cash capital contributions to the Company totaling $50 million and $413 million, respectively. The proceeds from these contributions were used to fund construction costs of Encore and to fund paydowns of the Company’s debt.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 of Guarantors and Issuers</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2011 and 2010, and for each of the three years in the period ended December 31, 2011.</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guarantor subsidiaries are wholly owned subsidiaries of Wynn Las Vegas, LLC (an issuer of the First Mortgage Notes), and (ii) the guarantee is joint and several; however the guarantee is not full and unconditional as the guarantees may be released under certain circumstances customary for such arrangements.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(iii).</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22,870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413,400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3,336,516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192,860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3,529,376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(22,717)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22,717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3,808,957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203,162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42,135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23,737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(148,662)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197,050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200,786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199,465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2,473,621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34,300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2,507,921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2,798,650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233,765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3,025,091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(970,554)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(43,133)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35,247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(970,554)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1,010,307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(30,603)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1,010,307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3,808,957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203,162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ind w:left="340"/>
              <w:spacing w:after="0"/>
              <w:rPr>
                <w:sz w:val="20"/>
                <w:szCs w:val="20"/>
                <w:color w:val="auto"/>
              </w:rPr>
            </w:pPr>
            <w:r>
              <w:rPr>
                <w:rFonts w:ascii="Arial" w:cs="Arial" w:eastAsia="Arial" w:hAnsi="Arial"/>
                <w:sz w:val="18"/>
                <w:szCs w:val="18"/>
                <w:color w:val="auto"/>
              </w:rPr>
              <w:t>F-44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-4099560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-4099560</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-4099560</wp:posOffset>
            </wp:positionV>
            <wp:extent cx="3873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-4099560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-4099560</wp:posOffset>
            </wp:positionV>
            <wp:extent cx="2159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-4099560</wp:posOffset>
            </wp:positionV>
            <wp:extent cx="3873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-4099560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-4099560</wp:posOffset>
            </wp:positionV>
            <wp:extent cx="2159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-4099560</wp:posOffset>
            </wp:positionV>
            <wp:extent cx="3873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-4099560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-4099560</wp:posOffset>
            </wp:positionV>
            <wp:extent cx="2159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-4099560</wp:posOffset>
            </wp:positionV>
            <wp:extent cx="38735"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-4099560</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-4099560</wp:posOffset>
            </wp:positionV>
            <wp:extent cx="2159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-4099560</wp:posOffset>
            </wp:positionV>
            <wp:extent cx="3873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4"/>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52,535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124,814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64,520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20,778</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262,647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3,537,264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193,947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3,731,211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47,300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47,437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(19,685)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4,069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19,685</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3,881,623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204,573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4,108,516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35,837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38,219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1,086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17,361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(160,735)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194,277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196,444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2,584,784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35,700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2,620,484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101,797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8,457</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8,457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2,783,121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3,010,014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1,973,424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1,973,424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(874,922)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(40,101)</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32,215</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(874,922)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1,098,502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(27,571)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1,098,502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3,881,623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204,573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4,108,516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F-45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-4099560</wp:posOffset>
            </wp:positionV>
            <wp:extent cx="1270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-4099560</wp:posOffset>
            </wp:positionV>
            <wp:extent cx="2159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-4099560</wp:posOffset>
            </wp:positionV>
            <wp:extent cx="38735"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-4099560</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-4099560</wp:posOffset>
            </wp:positionV>
            <wp:extent cx="2159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-4099560</wp:posOffset>
            </wp:positionV>
            <wp:extent cx="3873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-4099560</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-4099560</wp:posOffset>
            </wp:positionV>
            <wp:extent cx="2159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-4099560</wp:posOffset>
            </wp:positionV>
            <wp:extent cx="3873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-4099560</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-4099560</wp:posOffset>
            </wp:positionV>
            <wp:extent cx="2159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-4099560</wp:posOffset>
            </wp:positionV>
            <wp:extent cx="38735"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-4099560</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-4099560</wp:posOffset>
            </wp:positionV>
            <wp:extent cx="2159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-4099560</wp:posOffset>
            </wp:positionV>
            <wp:extent cx="3873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Issuers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625,207</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640"/>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625,207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354,040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454,712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454,712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229,882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1,663,841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1,663,545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80" w:type="dxa"/>
            <w:vAlign w:val="bottom"/>
          </w:tcPr>
          <w:p>
            <w:pPr>
              <w:spacing w:after="0"/>
              <w:rPr>
                <w:sz w:val="19"/>
                <w:szCs w:val="19"/>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w w:val="98"/>
              </w:rPr>
              <w:t>(181,650)</w:t>
            </w:r>
          </w:p>
        </w:tc>
        <w:tc>
          <w:tcPr>
            <w:tcW w:w="180" w:type="dxa"/>
            <w:vAlign w:val="bottom"/>
          </w:tcPr>
          <w:p>
            <w:pPr>
              <w:spacing w:after="0"/>
              <w:rPr>
                <w:sz w:val="19"/>
                <w:szCs w:val="19"/>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(181,650)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1,482,191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1,481,895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298,229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298,229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264,878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264,878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146,989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226,715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225,457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22,229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259,929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263,639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1,378,124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1,380,576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104,067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8"/>
              </w:rPr>
              <w:t>(200,759)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(201,339)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(3,032)</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296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8"/>
              </w:rPr>
              <w:t>(199,699)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(196,951)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(95,632)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(95,632)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F-46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-325755</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-325755</wp:posOffset>
            </wp:positionV>
            <wp:extent cx="2159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-325755</wp:posOffset>
            </wp:positionV>
            <wp:extent cx="3873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-325755</wp:posOffset>
            </wp:positionV>
            <wp:extent cx="2159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-325755</wp:posOffset>
            </wp:positionV>
            <wp:extent cx="38735"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-325755</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-325755</wp:posOffset>
            </wp:positionV>
            <wp:extent cx="2159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-325755</wp:posOffset>
            </wp:positionV>
            <wp:extent cx="3873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534,286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534,286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308,368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417,240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417,240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214,312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1,474,206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1,473,939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w w:val="95"/>
              </w:rPr>
              <w:t>(177,383)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(177,383)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1,296,823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1,296,556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288,263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288,263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119,381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256,234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256,234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145,284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239,105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24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19,459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270,280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4,025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274,305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19,017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1,375,231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1,377,870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(78,408)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(81,314)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(192,806)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(193,444)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(4,233)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debt/exchange offer</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(70,055)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(3,235)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309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(269,921)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(267,015)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(348,329)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(348,329)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ind w:left="240"/>
              <w:spacing w:after="0"/>
              <w:rPr>
                <w:sz w:val="20"/>
                <w:szCs w:val="20"/>
                <w:color w:val="auto"/>
              </w:rPr>
            </w:pPr>
            <w:r>
              <w:rPr>
                <w:rFonts w:ascii="Arial" w:cs="Arial" w:eastAsia="Arial" w:hAnsi="Arial"/>
                <w:sz w:val="18"/>
                <w:szCs w:val="18"/>
                <w:color w:val="auto"/>
              </w:rPr>
              <w:t>F-47</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-325755</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-325755</wp:posOffset>
            </wp:positionV>
            <wp:extent cx="2159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-325755</wp:posOffset>
            </wp:positionV>
            <wp:extent cx="2159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-325755</wp:posOffset>
            </wp:positionV>
            <wp:extent cx="3873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2159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3873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321,075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202,972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1,415,600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1,416,102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w w:val="95"/>
              </w:rPr>
              <w:t>(185,982)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1,229,618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275,341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275,341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109,171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239,767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239,767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133,824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248,566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309,012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1,366,105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(136,487)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(156,262)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(4,224)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(9,164)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(173,383)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(309,870)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ind w:left="240"/>
              <w:spacing w:after="0"/>
              <w:rPr>
                <w:sz w:val="20"/>
                <w:szCs w:val="20"/>
                <w:color w:val="auto"/>
              </w:rPr>
            </w:pPr>
            <w:r>
              <w:rPr>
                <w:rFonts w:ascii="Arial" w:cs="Arial" w:eastAsia="Arial" w:hAnsi="Arial"/>
                <w:sz w:val="18"/>
                <w:szCs w:val="18"/>
                <w:color w:val="auto"/>
              </w:rPr>
              <w:t>F-48</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-325755</wp:posOffset>
            </wp:positionV>
            <wp:extent cx="1270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-325755</wp:posOffset>
            </wp:positionV>
            <wp:extent cx="2159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1270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-325755</wp:posOffset>
            </wp:positionV>
            <wp:extent cx="2159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-325755</wp:posOffset>
            </wp:positionV>
            <wp:extent cx="3873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2159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38735"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4"/>
              </w:rPr>
              <w:t>Guarantor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2"/>
              </w:rPr>
              <w:t>Non-guarantor</w:t>
            </w:r>
          </w:p>
        </w:tc>
        <w:tc>
          <w:tcPr>
            <w:tcW w:w="4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Issuers</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Subsidiaries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(loss) income</w:t>
            </w:r>
          </w:p>
        </w:tc>
        <w:tc>
          <w:tcPr>
            <w:tcW w:w="1480" w:type="dxa"/>
            <w:vAlign w:val="bottom"/>
            <w:gridSpan w:val="4"/>
          </w:tcPr>
          <w:p>
            <w:pPr>
              <w:jc w:val="right"/>
              <w:ind w:right="420"/>
              <w:spacing w:after="0"/>
              <w:rPr>
                <w:sz w:val="20"/>
                <w:szCs w:val="20"/>
                <w:color w:val="auto"/>
              </w:rPr>
            </w:pPr>
            <w:r>
              <w:rPr>
                <w:rFonts w:ascii="Arial" w:cs="Arial" w:eastAsia="Arial" w:hAnsi="Arial"/>
                <w:sz w:val="18"/>
                <w:szCs w:val="18"/>
                <w:color w:val="auto"/>
              </w:rPr>
              <w:t>$ (95,632)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3,032</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 (95,632)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89"/>
              </w:rPr>
              <w:t>Adjustments to reconcile net (loss) income to net cash provided by (used in)</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259,929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263,639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7,437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32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13,822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3,032</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rPr>
              <w:t>(3,032)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14,689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(3,829)</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(35,747)</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13,006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w w:val="99"/>
              </w:rPr>
              <w:t>231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5,431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248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26,550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24,242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229,020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w:t>
            </w:r>
          </w:p>
        </w:tc>
        <w:tc>
          <w:tcPr>
            <w:tcW w:w="1480" w:type="dxa"/>
            <w:vAlign w:val="bottom"/>
            <w:gridSpan w:val="4"/>
          </w:tcPr>
          <w:p>
            <w:pPr>
              <w:jc w:val="right"/>
              <w:ind w:right="420"/>
              <w:spacing w:after="0"/>
              <w:rPr>
                <w:sz w:val="20"/>
                <w:szCs w:val="20"/>
                <w:color w:val="auto"/>
              </w:rPr>
            </w:pPr>
            <w:r>
              <w:rPr>
                <w:rFonts w:ascii="Arial" w:cs="Arial" w:eastAsia="Arial" w:hAnsi="Arial"/>
                <w:sz w:val="18"/>
                <w:szCs w:val="18"/>
                <w:color w:val="auto"/>
              </w:rPr>
              <w:t>(62,584)</w:t>
            </w:r>
          </w:p>
        </w:tc>
        <w:tc>
          <w:tcPr>
            <w:tcW w:w="18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(2,348)</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8,647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5,081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(56,030)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(53,572)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480" w:type="dxa"/>
            <w:vAlign w:val="bottom"/>
            <w:gridSpan w:val="4"/>
          </w:tcPr>
          <w:p>
            <w:pPr>
              <w:jc w:val="right"/>
              <w:ind w:right="420"/>
              <w:spacing w:after="0"/>
              <w:rPr>
                <w:sz w:val="20"/>
                <w:szCs w:val="20"/>
                <w:color w:val="auto"/>
              </w:rPr>
            </w:pPr>
            <w:r>
              <w:rPr>
                <w:rFonts w:ascii="Arial" w:cs="Arial" w:eastAsia="Arial" w:hAnsi="Arial"/>
                <w:sz w:val="18"/>
                <w:szCs w:val="18"/>
                <w:color w:val="auto"/>
              </w:rPr>
              <w:t>(24,073)</w:t>
            </w:r>
          </w:p>
        </w:tc>
        <w:tc>
          <w:tcPr>
            <w:tcW w:w="18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32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(24,131)</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Increase in cash and cash equivalents</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148,859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148,859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52,535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$201,394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80" w:type="dxa"/>
            <w:vAlign w:val="bottom"/>
            <w:gridSpan w:val="4"/>
          </w:tcPr>
          <w:p>
            <w:pPr>
              <w:jc w:val="right"/>
              <w:ind w:right="1060"/>
              <w:spacing w:after="0"/>
              <w:rPr>
                <w:sz w:val="20"/>
                <w:szCs w:val="20"/>
                <w:color w:val="auto"/>
              </w:rPr>
            </w:pPr>
            <w:r>
              <w:rPr>
                <w:rFonts w:ascii="Arial" w:cs="Arial" w:eastAsia="Arial" w:hAnsi="Arial"/>
                <w:sz w:val="18"/>
                <w:szCs w:val="18"/>
                <w:color w:val="auto"/>
              </w:rPr>
              <w:t>F-49</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-325755</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-325755</wp:posOffset>
            </wp:positionV>
            <wp:extent cx="2159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-325755</wp:posOffset>
            </wp:positionV>
            <wp:extent cx="38735"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-325755</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-325755</wp:posOffset>
            </wp:positionV>
            <wp:extent cx="2159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38735"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2159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-325755</wp:posOffset>
            </wp:positionV>
            <wp:extent cx="3873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38735"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Issuers</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1"/>
              </w:rPr>
              <w:t>Subsidiaries</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(348,329)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(3,235)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270,280</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274,305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64,673</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(29,683)</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19,538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36,645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109,423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(4,778)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retention</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(156,987)</w:t>
            </w: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(157,080)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(4,796)</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(2,323)</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5,920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(163,888)</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(158,061)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(1,931,838)</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(1,933,238)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1,995,686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1,995,686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(72,846)</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(72,846)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41,002</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(13,463)</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52,535</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F-50</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-325755</wp:posOffset>
            </wp:positionV>
            <wp:extent cx="38735"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1270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-325755</wp:posOffset>
            </wp:positionV>
            <wp:extent cx="2159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38735"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1270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-325755</wp:posOffset>
            </wp:positionV>
            <wp:extent cx="2159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38735"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2159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38735"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-325755</wp:posOffset>
            </wp:positionV>
            <wp:extent cx="1270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2159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4"/>
              </w:rPr>
              <w:t>Guarantor</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Non-guarantor</w:t>
            </w:r>
          </w:p>
        </w:tc>
        <w:tc>
          <w:tcPr>
            <w:tcW w:w="42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89"/>
              </w:rPr>
              <w:t>Issuers</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Subsidiaries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(loss) income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(309,870)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(9,164)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(309,870)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(loss) income to net cash provided by (used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309,012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19,206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5,262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(25,021)</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(14,274)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48,765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(6,886)</w:t>
            </w: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(5,340)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(244,904)</w:t>
            </w: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(3,810)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rPr>
              <w:t>(7,607)</w:t>
            </w: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85"/>
              </w:rPr>
              <w:t>(256,279)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(928,509)</w:t>
            </w: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(1,400)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(929,909)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649,481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412,951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(20,698)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(1,400)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98"/>
              </w:rPr>
              <w:t>(57,317)</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Borders>
              <w:bottom w:val="single" w:sz="8" w:color="808080"/>
            </w:tcBorders>
            <w:gridSpan w:val="4"/>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520" w:type="dxa"/>
            <w:vAlign w:val="bottom"/>
            <w:gridSpan w:val="6"/>
          </w:tcPr>
          <w:p>
            <w:pPr>
              <w:jc w:val="right"/>
              <w:ind w:right="980"/>
              <w:spacing w:after="0"/>
              <w:rPr>
                <w:sz w:val="20"/>
                <w:szCs w:val="20"/>
                <w:color w:val="auto"/>
              </w:rPr>
            </w:pPr>
            <w:r>
              <w:rPr>
                <w:rFonts w:ascii="Arial" w:cs="Arial" w:eastAsia="Arial" w:hAnsi="Arial"/>
                <w:sz w:val="18"/>
                <w:szCs w:val="18"/>
                <w:color w:val="auto"/>
              </w:rPr>
              <w:t>F-51</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-325755</wp:posOffset>
            </wp:positionV>
            <wp:extent cx="1270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-325755</wp:posOffset>
            </wp:positionV>
            <wp:extent cx="38735"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-325755</wp:posOffset>
            </wp:positionV>
            <wp:extent cx="1270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-325755</wp:posOffset>
            </wp:positionV>
            <wp:extent cx="38735"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1270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-325755</wp:posOffset>
            </wp:positionV>
            <wp:extent cx="2159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38735"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70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2159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38735"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2011 and 2010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gridSpan w:val="10"/>
          </w:tcPr>
          <w:p>
            <w:pPr>
              <w:jc w:val="right"/>
              <w:ind w:right="940"/>
              <w:spacing w:after="0"/>
              <w:rPr>
                <w:sz w:val="20"/>
                <w:szCs w:val="20"/>
                <w:color w:val="auto"/>
              </w:rPr>
            </w:pPr>
            <w:r>
              <w:rPr>
                <w:rFonts w:ascii="Arial" w:cs="Arial" w:eastAsia="Arial" w:hAnsi="Arial"/>
                <w:sz w:val="14"/>
                <w:szCs w:val="14"/>
                <w:b w:val="1"/>
                <w:bCs w:val="1"/>
                <w:color w:val="auto"/>
              </w:rPr>
              <w:t>Year Ended December 31, 2011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Third</w:t>
            </w:r>
          </w:p>
        </w:tc>
        <w:tc>
          <w:tcPr>
            <w:tcW w:w="1120" w:type="dxa"/>
            <w:vAlign w:val="bottom"/>
            <w:gridSpan w:val="3"/>
          </w:tcPr>
          <w:p>
            <w:pPr>
              <w:ind w:left="12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7"/>
              </w:rPr>
              <w:t>$395,037</w:t>
            </w:r>
          </w:p>
        </w:tc>
        <w:tc>
          <w:tcPr>
            <w:tcW w:w="11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$391,014</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$347,254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$348,590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$1,481,895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49,174</w:t>
            </w:r>
          </w:p>
        </w:tc>
        <w:tc>
          <w:tcPr>
            <w:tcW w:w="1100" w:type="dxa"/>
            <w:vAlign w:val="bottom"/>
            <w:gridSpan w:val="4"/>
          </w:tcPr>
          <w:p>
            <w:pPr>
              <w:jc w:val="right"/>
              <w:ind w:right="240"/>
              <w:spacing w:after="0"/>
              <w:rPr>
                <w:sz w:val="20"/>
                <w:szCs w:val="20"/>
                <w:color w:val="auto"/>
              </w:rPr>
            </w:pPr>
            <w:r>
              <w:rPr>
                <w:rFonts w:ascii="Arial" w:cs="Arial" w:eastAsia="Arial" w:hAnsi="Arial"/>
                <w:sz w:val="18"/>
                <w:szCs w:val="18"/>
                <w:color w:val="auto"/>
              </w:rPr>
              <w:t>48,609</w:t>
            </w:r>
          </w:p>
        </w:tc>
        <w:tc>
          <w:tcPr>
            <w:tcW w:w="1340" w:type="dxa"/>
            <w:vAlign w:val="bottom"/>
            <w:gridSpan w:val="5"/>
          </w:tcPr>
          <w:p>
            <w:pPr>
              <w:jc w:val="right"/>
              <w:ind w:right="400"/>
              <w:spacing w:after="0"/>
              <w:rPr>
                <w:sz w:val="20"/>
                <w:szCs w:val="20"/>
                <w:color w:val="auto"/>
              </w:rPr>
            </w:pPr>
            <w:r>
              <w:rPr>
                <w:rFonts w:ascii="Arial" w:cs="Arial" w:eastAsia="Arial" w:hAnsi="Arial"/>
                <w:sz w:val="18"/>
                <w:szCs w:val="18"/>
                <w:color w:val="auto"/>
              </w:rPr>
              <w:t>(415)</w:t>
            </w:r>
          </w:p>
        </w:tc>
        <w:tc>
          <w:tcPr>
            <w:tcW w:w="660" w:type="dxa"/>
            <w:vAlign w:val="bottom"/>
          </w:tcPr>
          <w:p>
            <w:pPr>
              <w:jc w:val="right"/>
              <w:spacing w:after="0"/>
              <w:rPr>
                <w:sz w:val="20"/>
                <w:szCs w:val="20"/>
                <w:color w:val="auto"/>
              </w:rPr>
            </w:pPr>
            <w:r>
              <w:rPr>
                <w:rFonts w:ascii="Arial" w:cs="Arial" w:eastAsia="Arial" w:hAnsi="Arial"/>
                <w:sz w:val="18"/>
                <w:szCs w:val="18"/>
                <w:color w:val="auto"/>
              </w:rPr>
              <w:t>3,951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434</w:t>
            </w: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(1,517)</w:t>
            </w:r>
          </w:p>
        </w:tc>
        <w:tc>
          <w:tcPr>
            <w:tcW w:w="134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(49,509)</w:t>
            </w:r>
          </w:p>
        </w:tc>
        <w:tc>
          <w:tcPr>
            <w:tcW w:w="11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(45,040)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(95,632)</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10"/>
          </w:tcPr>
          <w:p>
            <w:pPr>
              <w:jc w:val="right"/>
              <w:ind w:right="940"/>
              <w:spacing w:after="0"/>
              <w:rPr>
                <w:sz w:val="20"/>
                <w:szCs w:val="20"/>
                <w:color w:val="auto"/>
              </w:rPr>
            </w:pPr>
            <w:r>
              <w:rPr>
                <w:rFonts w:ascii="Arial" w:cs="Arial" w:eastAsia="Arial" w:hAnsi="Arial"/>
                <w:sz w:val="14"/>
                <w:szCs w:val="14"/>
                <w:b w:val="1"/>
                <w:bCs w:val="1"/>
                <w:color w:val="auto"/>
              </w:rPr>
              <w:t>Year Ended December 31, 2010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gridSpan w:val="2"/>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gridSpan w:val="2"/>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Second</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Third</w:t>
            </w: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$318,607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$318,321</w:t>
            </w:r>
          </w:p>
        </w:tc>
        <w:tc>
          <w:tcPr>
            <w:tcW w:w="24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$ 334,503</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$325,125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$1,296,556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(34,485)</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(17,222)</w:t>
            </w:r>
          </w:p>
        </w:tc>
        <w:tc>
          <w:tcPr>
            <w:tcW w:w="1340" w:type="dxa"/>
            <w:vAlign w:val="bottom"/>
            <w:gridSpan w:val="5"/>
          </w:tcPr>
          <w:p>
            <w:pPr>
              <w:jc w:val="right"/>
              <w:ind w:right="360"/>
              <w:spacing w:after="0"/>
              <w:rPr>
                <w:sz w:val="20"/>
                <w:szCs w:val="20"/>
                <w:color w:val="auto"/>
              </w:rPr>
            </w:pPr>
            <w:r>
              <w:rPr>
                <w:rFonts w:ascii="Arial" w:cs="Arial" w:eastAsia="Arial" w:hAnsi="Arial"/>
                <w:sz w:val="18"/>
                <w:szCs w:val="18"/>
                <w:color w:val="auto"/>
              </w:rPr>
              <w:t>(16,195)</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(13,412)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(81,692)</w:t>
            </w: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(68,747)</w:t>
            </w:r>
          </w:p>
        </w:tc>
        <w:tc>
          <w:tcPr>
            <w:tcW w:w="13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(134,981)</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(62,909)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 (Unaudited)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Unsuitability and Redemption of Aruze USA, Inc. and Affiliates and Related Matters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18, 2012, Wynn Resorts’ Gaming Compliance Committee concluded a year-long investigation after receiving an independent report by Freeh, Sporkin &amp; Sullivan, LLP (the “Freeh Report”) detailing numerous prima facie violations of the FCPA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w:t>
      </w:r>
    </w:p>
    <w:p>
      <w:pPr>
        <w:spacing w:after="0" w:line="9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Based on the Freeh Report, the Board of Directors of Wynn Resorts determined that Aruze USA, Inc., Universal Entertainment Corporation and Mr. Okada are “unsuitable” under Article VII of the Wynn Resorts articles of incorporation. The Wynn Resorts board of directors was unanimous (other than Mr. Okada) in its determination. The Wynn Resorts board of directors also requested that Mr. Okada resign as a director of Wynn Resorts and recommended that Mr. Okada be removed as a member of the board of directors of Wynn Macau, Limited. On February 18, 2012, Mr. Okada was removed from the board of directors of Wynn Las Vegas Capital Corp., a wholly owned subsidiary of Wynn Resorts.</w:t>
      </w:r>
    </w:p>
    <w:p>
      <w:pPr>
        <w:spacing w:after="0" w:line="10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Based on the Wynn Resorts Board of Directors’ finding of “unsuitability,” on February 18, 2012, Wynn Resorts redeemed Aruze USA, Inc.’s 24,549,222 shares of Wynn Resorts’ Common Stock. Following a finding of “unsuitability,” Wynn Resorts’ articles authorize redemption at “fair value” of the shares held by unsuitable persons. Wynn Resorts engaged an independent financial advisor to assist in the fair value calculation and concluded that a discount to the current trading price was appropriate because of, among other things, restrictions on most of the shares which are subject to the terms of an existing stockholder agreement. Pursuant to Wynn Resorts’ articles of incorporation, Wynn Resorts issued a Redemption Price Promissory Note to Aruze USA, Inc. in redemption of the shares. The Redemption Price Promissory Note has a principal amount of approximately $1.9 billion, matures on February 18, 2022 and bears interest at the rate of 2% per annum, payable annually in arrears on each anniversary of the date of the Redemption Price Promissory Note. Wynn Resorts may, in its sole and absolute discretion, at any time and from time to time, and without penalty or premium, prepay the whole or any portion of the principal or interest due under the Redemption Price Promissory Note. In no instance shall any payment obligation under the Redemption Price Promissory Note be accelerated except in the sole and absolute discretion of Wynn Resorts or as specifically mandated by law. The indebtedness evidenced by the Redemption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Price Promissory Note is and shall be subordinated in right of payment, to the extent and in the manner provided in the Redemption Price Promissory Note, to the prior payment in full of all existing and future obligations of Wynn Resorts or any of its affiliates in respect of indebtedness for borrowed money of any kind or nature.</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February 19, 2012, Wynn Resorts filed a complaint in the District Court of Clark County, Nevada against Mr. Okada, alleging breaches of fiduciary duty and related claims.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Kazuo Okada from the board.</w:t>
      </w:r>
    </w:p>
    <w:p>
      <w:pPr>
        <w:spacing w:after="0" w:line="15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Wynn Resorts has provided the Freeh Report to applicable regulators and intends to cooperate with any related investigation that such regulators may undertake. The conduct of Mr. Okada and his affiliates and any resulting regulatory investigations could have adverse consequences to the Company. A finding by regulatory authorities that Mr. Okada violated the FCPA on property of Wynn Resorts or its subsidiaries and/or otherwise involved Wynn Resorts or its subsidiaries in criminal or civil violations could result in actions by regulatory authorities against Wynn Resorts or its subsidiaries. Relatedly, regulators could pursue separate investigations into Wynn Resorts’ and its subsidiaries’ compliance with applicable laws, including in response to litigation filed by Mr. Okada suggesting improprieties in connection with the donation by Wynn Resorts’ subsidiary to the University of Macau and a related informal inquiry by the SEC into this donation. While the Company believes that it is in full compliance with all applicable laws, any such investigations could result in actions by regulators against Wynn Resorts or its subsidiaries.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Commenced by Mr. Okada and Related Matters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2011, Wynn Macau,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and approved by 15 of the 16 directors who serve on those boards. The sole dissenting vote was Mr. Kazuo Okada whose stated objection was to the length of time over which the donation would occur, not its propriety.</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Mr. Okada commenced litigation on January 11, 2012, in Nevada seeking to compel Wynn Resorts to produce information relating to the donation to the University of Macau, among other things.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February 8, 2012, following Mr. Okada’s lawsuit, Wynn Resorts received a letter from the Salt Lake Regional Office of the SEC requesting that, in connection with an informal inquiry by the SEC, Wynn Resorts preserve information relating to, but not limited to, the donation to the University of Macau, any donations by Wynn Resorts to any other educational charitable institutions, including the University of Macau Development Foundation, and Wynn Resorts’ casino or concession gaming licenses or renewals in Macau. Wynn Resorts has informed the Salt Lake Regional Office that it intends to fully comply with the SEC’s request.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380"/>
          </w:cols>
          <w:pgMar w:left="240" w:top="459" w:right="2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6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Write-offs,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6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Description</w:t>
            </w:r>
          </w:p>
        </w:tc>
        <w:tc>
          <w:tcPr>
            <w:tcW w:w="3660" w:type="dxa"/>
            <w:vAlign w:val="bottom"/>
            <w:gridSpan w:val="2"/>
          </w:tcPr>
          <w:p>
            <w:pPr>
              <w:jc w:val="center"/>
              <w:ind w:left="2961"/>
              <w:spacing w:after="0"/>
              <w:rPr>
                <w:sz w:val="20"/>
                <w:szCs w:val="20"/>
                <w:color w:val="auto"/>
              </w:rPr>
            </w:pPr>
            <w:r>
              <w:rPr>
                <w:rFonts w:ascii="Arial" w:cs="Arial" w:eastAsia="Arial" w:hAnsi="Arial"/>
                <w:sz w:val="14"/>
                <w:szCs w:val="14"/>
                <w:b w:val="1"/>
                <w:bCs w:val="1"/>
                <w:color w:val="auto"/>
                <w:w w:val="83"/>
              </w:rPr>
              <w:t>2011</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6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Recoveries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280" w:type="dxa"/>
            <w:vAlign w:val="bottom"/>
            <w:gridSpan w:val="3"/>
            <w:shd w:val="clear" w:color="auto" w:fill="CCEEFF"/>
          </w:tcPr>
          <w:p>
            <w:pPr>
              <w:jc w:val="center"/>
              <w:ind w:left="2341"/>
              <w:spacing w:after="0"/>
              <w:rPr>
                <w:sz w:val="20"/>
                <w:szCs w:val="20"/>
                <w:color w:val="auto"/>
              </w:rPr>
            </w:pPr>
            <w:r>
              <w:rPr>
                <w:rFonts w:ascii="Arial" w:cs="Arial" w:eastAsia="Arial" w:hAnsi="Arial"/>
                <w:sz w:val="18"/>
                <w:szCs w:val="18"/>
                <w:color w:val="auto"/>
                <w:w w:val="88"/>
              </w:rPr>
              <w:t>$ 71,076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20,332</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(15,116)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62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Write-offs,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6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Description</w:t>
            </w:r>
          </w:p>
        </w:tc>
        <w:tc>
          <w:tcPr>
            <w:tcW w:w="3660" w:type="dxa"/>
            <w:vAlign w:val="bottom"/>
            <w:gridSpan w:val="2"/>
          </w:tcPr>
          <w:p>
            <w:pPr>
              <w:jc w:val="center"/>
              <w:ind w:left="2981"/>
              <w:spacing w:after="0"/>
              <w:rPr>
                <w:sz w:val="20"/>
                <w:szCs w:val="20"/>
                <w:color w:val="auto"/>
              </w:rPr>
            </w:pPr>
            <w:r>
              <w:rPr>
                <w:rFonts w:ascii="Arial" w:cs="Arial" w:eastAsia="Arial" w:hAnsi="Arial"/>
                <w:sz w:val="14"/>
                <w:szCs w:val="14"/>
                <w:b w:val="1"/>
                <w:bCs w:val="1"/>
                <w:color w:val="auto"/>
                <w:w w:val="89"/>
              </w:rPr>
              <w:t>2010</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6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Recoveries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gridSpan w:val="2"/>
          </w:tcPr>
          <w:p>
            <w:pPr>
              <w:spacing w:after="0"/>
              <w:rPr>
                <w:sz w:val="8"/>
                <w:szCs w:val="8"/>
                <w:color w:val="auto"/>
              </w:rPr>
            </w:pPr>
          </w:p>
        </w:tc>
        <w:tc>
          <w:tcPr>
            <w:tcW w:w="428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600" w:type="dxa"/>
            <w:vAlign w:val="bottom"/>
            <w:gridSpan w:val="3"/>
          </w:tcPr>
          <w:p>
            <w:pPr>
              <w:spacing w:after="0"/>
              <w:rPr>
                <w:sz w:val="8"/>
                <w:szCs w:val="8"/>
                <w:color w:val="auto"/>
              </w:rPr>
            </w:pPr>
          </w:p>
        </w:tc>
        <w:tc>
          <w:tcPr>
            <w:tcW w:w="3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3040" w:type="dxa"/>
            <w:vAlign w:val="bottom"/>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280" w:type="dxa"/>
            <w:vAlign w:val="bottom"/>
            <w:gridSpan w:val="3"/>
            <w:shd w:val="clear" w:color="auto" w:fill="CCEEFF"/>
          </w:tcPr>
          <w:p>
            <w:pPr>
              <w:jc w:val="center"/>
              <w:ind w:left="2341"/>
              <w:spacing w:after="0"/>
              <w:rPr>
                <w:sz w:val="20"/>
                <w:szCs w:val="20"/>
                <w:color w:val="auto"/>
              </w:rPr>
            </w:pPr>
            <w:r>
              <w:rPr>
                <w:rFonts w:ascii="Arial" w:cs="Arial" w:eastAsia="Arial" w:hAnsi="Arial"/>
                <w:sz w:val="18"/>
                <w:szCs w:val="18"/>
                <w:color w:val="auto"/>
                <w:w w:val="88"/>
              </w:rPr>
              <w:t>$ 67,406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(12,059)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62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Write-offs,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6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Description</w:t>
            </w:r>
          </w:p>
        </w:tc>
        <w:tc>
          <w:tcPr>
            <w:tcW w:w="3660" w:type="dxa"/>
            <w:vAlign w:val="bottom"/>
            <w:gridSpan w:val="2"/>
          </w:tcPr>
          <w:p>
            <w:pPr>
              <w:jc w:val="center"/>
              <w:ind w:left="2981"/>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6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Recoveries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gridSpan w:val="2"/>
          </w:tcPr>
          <w:p>
            <w:pPr>
              <w:spacing w:after="0"/>
              <w:rPr>
                <w:sz w:val="8"/>
                <w:szCs w:val="8"/>
                <w:color w:val="auto"/>
              </w:rPr>
            </w:pPr>
          </w:p>
        </w:tc>
        <w:tc>
          <w:tcPr>
            <w:tcW w:w="428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600" w:type="dxa"/>
            <w:vAlign w:val="bottom"/>
            <w:gridSpan w:val="3"/>
          </w:tcPr>
          <w:p>
            <w:pPr>
              <w:spacing w:after="0"/>
              <w:rPr>
                <w:sz w:val="8"/>
                <w:szCs w:val="8"/>
                <w:color w:val="auto"/>
              </w:rPr>
            </w:pPr>
          </w:p>
        </w:tc>
        <w:tc>
          <w:tcPr>
            <w:tcW w:w="3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3040" w:type="dxa"/>
            <w:vAlign w:val="bottom"/>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280" w:type="dxa"/>
            <w:vAlign w:val="bottom"/>
            <w:gridSpan w:val="3"/>
            <w:shd w:val="clear" w:color="auto" w:fill="CCEEFF"/>
          </w:tcPr>
          <w:p>
            <w:pPr>
              <w:jc w:val="center"/>
              <w:ind w:left="2341"/>
              <w:spacing w:after="0"/>
              <w:rPr>
                <w:sz w:val="20"/>
                <w:szCs w:val="20"/>
                <w:color w:val="auto"/>
              </w:rPr>
            </w:pPr>
            <w:r>
              <w:rPr>
                <w:rFonts w:ascii="Arial" w:cs="Arial" w:eastAsia="Arial" w:hAnsi="Arial"/>
                <w:sz w:val="18"/>
                <w:szCs w:val="18"/>
                <w:color w:val="auto"/>
                <w:w w:val="88"/>
              </w:rPr>
              <w:t>$ 65,414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(10,446)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80" w:type="dxa"/>
            <w:vAlign w:val="bottom"/>
            <w:gridSpan w:val="3"/>
          </w:tcPr>
          <w:p>
            <w:pPr>
              <w:ind w:left="2000"/>
              <w:spacing w:after="0"/>
              <w:rPr>
                <w:sz w:val="20"/>
                <w:szCs w:val="20"/>
                <w:color w:val="auto"/>
              </w:rPr>
            </w:pPr>
            <w:r>
              <w:rPr>
                <w:rFonts w:ascii="Arial" w:cs="Arial" w:eastAsia="Arial" w:hAnsi="Arial"/>
                <w:sz w:val="18"/>
                <w:szCs w:val="18"/>
                <w:color w:val="auto"/>
              </w:rPr>
              <w:t>F-54</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Capital Corp.</w:t>
      </w:r>
    </w:p>
    <w:p>
      <w:pPr>
        <w:spacing w:after="0" w:line="299"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Offer to Exchange $900,000,000 of their outstanding</w:t>
      </w: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5.375% First Mortgage Notes due 2022</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(CUSIPs 983130 AS4 and U98347 AH7)</w:t>
      </w:r>
    </w:p>
    <w:p>
      <w:pPr>
        <w:jc w:val="center"/>
        <w:ind w:right="-259"/>
        <w:spacing w:after="0" w:line="230" w:lineRule="auto"/>
        <w:rPr>
          <w:sz w:val="20"/>
          <w:szCs w:val="20"/>
          <w:color w:val="auto"/>
        </w:rPr>
      </w:pPr>
      <w:r>
        <w:rPr>
          <w:rFonts w:ascii="Arial" w:cs="Arial" w:eastAsia="Arial" w:hAnsi="Arial"/>
          <w:sz w:val="22"/>
          <w:szCs w:val="22"/>
          <w:b w:val="1"/>
          <w:bCs w:val="1"/>
          <w:color w:val="auto"/>
        </w:rPr>
        <w:t>for</w:t>
      </w:r>
    </w:p>
    <w:p>
      <w:pPr>
        <w:jc w:val="center"/>
        <w:ind w:right="-259"/>
        <w:spacing w:after="0" w:line="231" w:lineRule="auto"/>
        <w:rPr>
          <w:sz w:val="20"/>
          <w:szCs w:val="20"/>
          <w:color w:val="auto"/>
        </w:rPr>
      </w:pPr>
      <w:r>
        <w:rPr>
          <w:rFonts w:ascii="Arial" w:cs="Arial" w:eastAsia="Arial" w:hAnsi="Arial"/>
          <w:sz w:val="22"/>
          <w:szCs w:val="22"/>
          <w:b w:val="1"/>
          <w:bCs w:val="1"/>
          <w:color w:val="auto"/>
        </w:rPr>
        <w:t>5.375% First Mortgage Notes due 2022</w:t>
      </w:r>
    </w:p>
    <w:p>
      <w:pPr>
        <w:jc w:val="center"/>
        <w:ind w:right="-259"/>
        <w:spacing w:after="0" w:line="230" w:lineRule="auto"/>
        <w:rPr>
          <w:sz w:val="20"/>
          <w:szCs w:val="20"/>
          <w:color w:val="auto"/>
        </w:rPr>
      </w:pPr>
      <w:r>
        <w:rPr>
          <w:rFonts w:ascii="Arial" w:cs="Arial" w:eastAsia="Arial" w:hAnsi="Arial"/>
          <w:sz w:val="22"/>
          <w:szCs w:val="22"/>
          <w:b w:val="1"/>
          <w:bCs w:val="1"/>
          <w:color w:val="auto"/>
        </w:rPr>
        <w:t>(CUSIP 983130 AT2)</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PROSPECTUS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Until , 2012,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246620" cy="260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80"/>
          </w:cols>
          <w:pgMar w:left="240" w:top="460" w:right="4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 xml:space="preserve">20. </w:t>
      </w:r>
      <w:r>
        <w:rPr>
          <w:rFonts w:ascii="Arial" w:cs="Arial" w:eastAsia="Arial" w:hAnsi="Arial"/>
          <w:sz w:val="18"/>
          <w:szCs w:val="18"/>
          <w:b w:val="1"/>
          <w:bCs w:val="1"/>
          <w:i w:val="1"/>
          <w:iCs w:val="1"/>
          <w:color w:val="auto"/>
        </w:rPr>
        <w:t>Indemnification of Directors, Officers, Managers and Members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78.7502 of the Nevada Revised Statutes (the “NRS”) permits a corporation to indemnify any person who was or is a party or is threatened to be made a party to any threatened, pending or completed action, suit or proceeding, whether civil, criminal, administrative or investigative (except an action by or in the right of the corporation), by reason of being or having been an officer, director, employee or agent of the corporation or serving or having served in certain capacities at the request of the corporation. Indemnification may include attorneys’ fees, judgments, fines and amounts paid in settlement actually and reasonably incurred by the person to be indemnified in connection with the action, suit or proceeding. A corporation may indemnify any person who was or is a party or is threatened to be made a party to any threatened, pending or completed action or suit by or in the right of the corporation to procure a judgment in its favor by reason of being or having been an officer, director, employee or agent of the corporation or serving or having served in certain capacities at the request of the corporation except that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not be found to have breached his or her fiduciary duties with such breach involving intentional misconduct, fraud or a knowing violation of the law or must have acted in good faith and in a manner which he or she reasonably believed to be in or not opposed to the best interests of the corporation and, with respect to any criminal action or proceeding, such person must have had no reasonable cause to believe his or her conduct was unlawful.</w:t>
      </w:r>
    </w:p>
    <w:p>
      <w:pPr>
        <w:spacing w:after="0" w:line="12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78.7502 of the NRS also provides that to the extent a director, officer, employee or agent of a corporation has been successful on the merits or otherwise in defense of any such action, suit or proceeding he or she must be indemnified by the corporation against expenses, including attorneys’ fees actually and reasonably incurred in connection with the defense.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78.751 of the NRS permits a corporation, in its articles of incorporation, bylaws or other agreement, to provide for the payment of expenses incurred by an officer or director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corporation.</w:t>
      </w:r>
    </w:p>
    <w:p>
      <w:pPr>
        <w:spacing w:after="0" w:line="14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Section 78.752 of the NRS permits a corporation to purchase and maintain insurance or make other financial arrangements on behalf of the corporation’s current and former officers, directors, employees or agents, or any persons serving or who have served in certain capacities at the request of the corporation, for any liability and expenses incurred by them in their capacities as officers, directors, employees or agents or arising out of their status as such, whether or not the corporation has the authority to indemnify him, her or them against such liability and expenses.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Wynn Resorts’ bylaws provide that it will indemnify its directors and officers to the maximum extent permitted by Nevada law, including in certain circumstances in which indemnification would be otherwise discretionary under Section 78.7502 of the NRS. The bylaws provide further that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 of Wynn Resorts, including, without limitation, in connection with such individual being deemed an Unsuitable Person under Wynn Resorts’ articles of incorporation. In addition, Wynn Resorts has entered into</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59" w:right="2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separate indemnification agreements with certain of its directors and officers that require Wynn Resorts, among other things, to indemnify such directors and officers against certain liabilities that may arise by reason of their status or service other than liabilities arising from certain willful misconduct of a culpable or fraudulent nature. Such agreements also do not require Wynn Resorts to indemnify a director or officer on account of any proceeding by Wynn Resorts to enforce against such director or officer (or any of his or her affiliates) the provisions of Wynn Resorts’ articles of incorporation or bylaws regarding compliance with gaming laws, including any provisions relating to removal of such individual as a director of Wynn Resorts or the redemption of any securities owned by such individual or their affiliates. Wynn Resorts also maintains director and officer liability insurance.</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86.411 of the NRS permits a limited liability company to indemnify any person who was or is a party or is threatened to be made a party to any threatened, pending or completed action, suit or proceeding, whether civil, criminal, administrative or investigative (except an action by or in the right of the limited liability company), by reason of being or having been a manager, member, employee or agent of the limited liability company or serving or having served in certain capacities at the request of the limited liability company. As with corporations, indemnification may include attorneys’ fees, judgments, fines and amounts paid in settlement actually and reasonably incurred by the person to be indemnified in connection with the action, suit or proceeding. Section 86.421 of the NRS permits a limited liability company to indemnify any person who was or is a party or is threatened to be made a party to any threatened, pending or completed action or suit by or in the right of the limited liability company to procure a judgment in its favor by reason of being or having been a manager, member, employee or agent of the limited liability company or serving or having served in certain capacities at the request of the limited liability company except that indemnification may not be made for any claim, issue or matter as to which such a person has been finally adjudged by a court of competent jurisdiction to be liable to the limited liability company or for amounts paid in settlement to the limited liability company,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have acted in good faith and in a manner which he or she reasonably believed to be in or not opposed to the best interests of the limited liability company and, with respect to any criminal action or proceeding, such person must have had no reasonable cause to believe his or her conduct was unlawful.</w:t>
      </w:r>
    </w:p>
    <w:p>
      <w:pPr>
        <w:spacing w:after="0" w:line="12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86.431 of the NRS also provides that to the extent a manager, member, employee or agent of a limited liability has been successful on the merits or otherwise in defense of any such action, he or she must be indemnified by the limited liability company against expenses, including attorneys’ fees actually and reasonably incurred in connection with the defense.</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Section 86.441 of the NRS permits a limited liability company, in its articles of organization, operating agreement or other agreement, to provide for the payment of expenses incurred by members or managers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company.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86.461 of the NRS permits a limited liability to purchase and maintain insurance or make other financial arrangements on behalf of the limited liability company’s current and former managers, members employees or agents, or any persons serving or who have served in certain capacities at the request of the limited liability company, for any liability and expenses incurred by them in their capacities as managers, members, employees or agents or arising out of their status as such, whether or not the limited liability company has the authority to indemnify him, her or them against such liability and expenses.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10640" w:type="dxa"/>
            <w:vAlign w:val="bottom"/>
          </w:tcPr>
          <w:p>
            <w:pPr>
              <w:ind w:left="38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i w:val="1"/>
                <w:iCs w:val="1"/>
                <w:color w:val="auto"/>
              </w:rPr>
              <w:t>Exhibits and Financial Statement Schedules.</w:t>
            </w:r>
          </w:p>
        </w:tc>
      </w:tr>
      <w:tr>
        <w:trPr>
          <w:trHeight w:val="297"/>
        </w:trPr>
        <w:tc>
          <w:tcPr>
            <w:tcW w:w="76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10640" w:type="dxa"/>
            <w:vAlign w:val="bottom"/>
          </w:tcPr>
          <w:p>
            <w:pPr>
              <w:ind w:left="380"/>
              <w:spacing w:after="0"/>
              <w:rPr>
                <w:sz w:val="20"/>
                <w:szCs w:val="20"/>
                <w:color w:val="auto"/>
              </w:rPr>
            </w:pPr>
            <w:r>
              <w:rPr>
                <w:rFonts w:ascii="Arial" w:cs="Arial" w:eastAsia="Arial" w:hAnsi="Arial"/>
                <w:sz w:val="18"/>
                <w:szCs w:val="18"/>
                <w:b w:val="1"/>
                <w:bCs w:val="1"/>
                <w:color w:val="auto"/>
              </w:rPr>
              <w:t xml:space="preserve">21(a). </w:t>
            </w:r>
            <w:r>
              <w:rPr>
                <w:rFonts w:ascii="Arial" w:cs="Arial" w:eastAsia="Arial" w:hAnsi="Arial"/>
                <w:sz w:val="18"/>
                <w:szCs w:val="18"/>
                <w:b w:val="1"/>
                <w:bCs w:val="1"/>
                <w:i w:val="1"/>
                <w:iCs w:val="1"/>
                <w:color w:val="auto"/>
              </w:rPr>
              <w:t>Exhibits</w:t>
            </w:r>
          </w:p>
        </w:tc>
      </w:tr>
      <w:tr>
        <w:trPr>
          <w:trHeight w:val="223"/>
        </w:trPr>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10640" w:type="dxa"/>
            <w:vAlign w:val="bottom"/>
          </w:tcPr>
          <w:p>
            <w:pPr>
              <w:ind w:left="51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3.1</w:t>
            </w:r>
          </w:p>
        </w:tc>
        <w:tc>
          <w:tcPr>
            <w:tcW w:w="10640" w:type="dxa"/>
            <w:vAlign w:val="bottom"/>
          </w:tcPr>
          <w:p>
            <w:pPr>
              <w:ind w:left="28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3.2</w:t>
            </w:r>
          </w:p>
        </w:tc>
        <w:tc>
          <w:tcPr>
            <w:tcW w:w="10640" w:type="dxa"/>
            <w:vAlign w:val="bottom"/>
          </w:tcPr>
          <w:p>
            <w:pPr>
              <w:ind w:left="28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3.3</w:t>
            </w:r>
          </w:p>
        </w:tc>
        <w:tc>
          <w:tcPr>
            <w:tcW w:w="10640" w:type="dxa"/>
            <w:vAlign w:val="bottom"/>
          </w:tcPr>
          <w:p>
            <w:pPr>
              <w:ind w:left="28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3.4</w:t>
            </w:r>
          </w:p>
        </w:tc>
        <w:tc>
          <w:tcPr>
            <w:tcW w:w="10640" w:type="dxa"/>
            <w:vAlign w:val="bottom"/>
          </w:tcPr>
          <w:p>
            <w:pPr>
              <w:ind w:left="28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3.5</w:t>
            </w:r>
          </w:p>
        </w:tc>
        <w:tc>
          <w:tcPr>
            <w:tcW w:w="10640" w:type="dxa"/>
            <w:vAlign w:val="bottom"/>
          </w:tcPr>
          <w:p>
            <w:pPr>
              <w:ind w:left="28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3.6</w:t>
            </w:r>
          </w:p>
        </w:tc>
        <w:tc>
          <w:tcPr>
            <w:tcW w:w="10640" w:type="dxa"/>
            <w:vAlign w:val="bottom"/>
          </w:tcPr>
          <w:p>
            <w:pPr>
              <w:ind w:left="28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3.7</w:t>
            </w:r>
          </w:p>
        </w:tc>
        <w:tc>
          <w:tcPr>
            <w:tcW w:w="10640" w:type="dxa"/>
            <w:vAlign w:val="bottom"/>
          </w:tcPr>
          <w:p>
            <w:pPr>
              <w:ind w:left="28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4.1</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Indenture, dated as of October 19, 2009, among Wynn Las Vegas, LLC, Wynn Las Vegas Capital Corp., the Guarantors set forth therein and U.S.</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Bank National Association, as trustee. (11)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4.2</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Indenture, dated as of April 28, 2010, by and among Wynn Las Vegas, LLC, Wynn Las Vegas Capital Corp., the Guarantors set forth therein and</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U.S. Bank National Association, as trustee. (13)</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4.3</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Indenture, dated as of August 4, 2010, among Wynn Las Vegas LLC, Wynn Las Vegas Capital Corp., the Guarantors set forth therein and U.S.</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Bank National Association, as trustee. (15)</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4.4</w:t>
            </w:r>
          </w:p>
        </w:tc>
        <w:tc>
          <w:tcPr>
            <w:tcW w:w="10640" w:type="dxa"/>
            <w:vAlign w:val="bottom"/>
          </w:tcPr>
          <w:p>
            <w:pPr>
              <w:ind w:left="280"/>
              <w:spacing w:after="0"/>
              <w:rPr>
                <w:sz w:val="20"/>
                <w:szCs w:val="20"/>
                <w:color w:val="auto"/>
              </w:rPr>
            </w:pPr>
            <w:r>
              <w:rPr>
                <w:rFonts w:ascii="Arial" w:cs="Arial" w:eastAsia="Arial" w:hAnsi="Arial"/>
                <w:sz w:val="18"/>
                <w:szCs w:val="18"/>
                <w:color w:val="auto"/>
                <w:w w:val="88"/>
              </w:rPr>
              <w:t>Indenture, dated as of March 12, 2012, by and among Wynn Las Vegas, LLC, Wynn Las Vegas Capital Corp., the Guarantors set forth therein and</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U.S. Bank National Association, as trustee. (17)</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5.1</w:t>
            </w:r>
          </w:p>
        </w:tc>
        <w:tc>
          <w:tcPr>
            <w:tcW w:w="10640" w:type="dxa"/>
            <w:vAlign w:val="bottom"/>
          </w:tcPr>
          <w:p>
            <w:pPr>
              <w:ind w:left="280"/>
              <w:spacing w:after="0"/>
              <w:rPr>
                <w:sz w:val="20"/>
                <w:szCs w:val="20"/>
                <w:color w:val="auto"/>
              </w:rPr>
            </w:pPr>
            <w:r>
              <w:rPr>
                <w:rFonts w:ascii="Arial" w:cs="Arial" w:eastAsia="Arial" w:hAnsi="Arial"/>
                <w:sz w:val="18"/>
                <w:szCs w:val="18"/>
                <w:color w:val="auto"/>
              </w:rPr>
              <w:t>Opinion of Skadden, Arps, Slate, Meagher &amp; Flom LLP. (20)</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7"/>
              </w:rPr>
              <w:t>5.2</w:t>
            </w:r>
          </w:p>
        </w:tc>
        <w:tc>
          <w:tcPr>
            <w:tcW w:w="10640" w:type="dxa"/>
            <w:vAlign w:val="bottom"/>
          </w:tcPr>
          <w:p>
            <w:pPr>
              <w:ind w:left="280"/>
              <w:spacing w:after="0"/>
              <w:rPr>
                <w:sz w:val="20"/>
                <w:szCs w:val="20"/>
                <w:color w:val="auto"/>
              </w:rPr>
            </w:pPr>
            <w:r>
              <w:rPr>
                <w:rFonts w:ascii="Arial" w:cs="Arial" w:eastAsia="Arial" w:hAnsi="Arial"/>
                <w:sz w:val="18"/>
                <w:szCs w:val="18"/>
                <w:color w:val="auto"/>
              </w:rPr>
              <w:t>Opinion of Brownstein Hyatt Farber Schreck, LLP. (20)</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10.1</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(10)</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10.2</w:t>
            </w:r>
          </w:p>
        </w:tc>
        <w:tc>
          <w:tcPr>
            <w:tcW w:w="10640" w:type="dxa"/>
            <w:vAlign w:val="bottom"/>
          </w:tcPr>
          <w:p>
            <w:pPr>
              <w:ind w:left="28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Agent. (8)</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10.3</w:t>
            </w:r>
          </w:p>
        </w:tc>
        <w:tc>
          <w:tcPr>
            <w:tcW w:w="10640" w:type="dxa"/>
            <w:vAlign w:val="bottom"/>
          </w:tcPr>
          <w:p>
            <w:pPr>
              <w:ind w:left="28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88"/>
              </w:rPr>
              <w:t>LLC, Deutsche Bank Trust Company Americas, as the Bank Agent, and Deutsche Bank Trust Company Americas, as the Disbursement Agent. (9)</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10.4</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Third Amendment to Amended and Restated Master Disbursement Agreement, dated October 19, 2009, by and among Wynn Las Vegas, LLC,</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(11)</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10.5</w:t>
            </w: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Fourth Amendment to Amended and Restated Master Disbursement Agreement, dated April 28, 2010, by and among Wynn Las Vegas, LLC,</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(13)</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10.6</w:t>
            </w: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Sixth Amendment to Amended and Restated Master Disbursement Agreement, dated March 12, 2012, by and among Wynn Las Vegas, LLC,</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(17)</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10.7</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Association, not in its individual capacity but solely as collateral agent. (6)</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10.8</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Bank, National Association, not in its individual capacity but solely as collateral agent. (6)</w:t>
            </w:r>
          </w:p>
        </w:tc>
      </w:tr>
      <w:tr>
        <w:trPr>
          <w:trHeight w:val="216"/>
        </w:trPr>
        <w:tc>
          <w:tcPr>
            <w:tcW w:w="760" w:type="dxa"/>
            <w:vAlign w:val="bottom"/>
          </w:tcPr>
          <w:p>
            <w:pPr>
              <w:jc w:val="center"/>
              <w:ind w:right="173"/>
              <w:spacing w:after="0"/>
              <w:rPr>
                <w:sz w:val="20"/>
                <w:szCs w:val="20"/>
                <w:color w:val="auto"/>
              </w:rPr>
            </w:pPr>
            <w:r>
              <w:rPr>
                <w:rFonts w:ascii="Arial" w:cs="Arial" w:eastAsia="Arial" w:hAnsi="Arial"/>
                <w:sz w:val="18"/>
                <w:szCs w:val="18"/>
                <w:color w:val="auto"/>
                <w:w w:val="85"/>
              </w:rPr>
              <w:t>10.9</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as owner trustee, World Travel, LLC and Wells Fargo Bank, National Association, not in its individual capacity but solely as collateral agent. (6)</w:t>
            </w:r>
          </w:p>
        </w:tc>
      </w:tr>
      <w:tr>
        <w:trPr>
          <w:trHeight w:val="216"/>
        </w:trPr>
        <w:tc>
          <w:tcPr>
            <w:tcW w:w="760" w:type="dxa"/>
            <w:vAlign w:val="bottom"/>
          </w:tcPr>
          <w:p>
            <w:pPr>
              <w:jc w:val="center"/>
              <w:ind w:right="193"/>
              <w:spacing w:after="0"/>
              <w:rPr>
                <w:sz w:val="20"/>
                <w:szCs w:val="20"/>
                <w:color w:val="auto"/>
              </w:rPr>
            </w:pPr>
            <w:r>
              <w:rPr>
                <w:rFonts w:ascii="Arial" w:cs="Arial" w:eastAsia="Arial" w:hAnsi="Arial"/>
                <w:sz w:val="18"/>
                <w:szCs w:val="18"/>
                <w:color w:val="auto"/>
                <w:w w:val="88"/>
              </w:rPr>
              <w:t>10.10</w:t>
            </w:r>
          </w:p>
        </w:tc>
        <w:tc>
          <w:tcPr>
            <w:tcW w:w="10640" w:type="dxa"/>
            <w:vAlign w:val="bottom"/>
          </w:tcPr>
          <w:p>
            <w:pPr>
              <w:ind w:left="280"/>
              <w:spacing w:after="0"/>
              <w:rPr>
                <w:sz w:val="20"/>
                <w:szCs w:val="20"/>
                <w:color w:val="auto"/>
              </w:rPr>
            </w:pPr>
            <w:r>
              <w:rPr>
                <w:rFonts w:ascii="Arial" w:cs="Arial" w:eastAsia="Arial" w:hAnsi="Arial"/>
                <w:sz w:val="18"/>
                <w:szCs w:val="18"/>
                <w:color w:val="auto"/>
                <w:w w:val="93"/>
              </w:rPr>
              <w:t>Guaranty, dated May 24, 2005, by Wynn Las Vegas, LLC in favor of The CIT Group / Equipment Financing, Inc., Bank of America, N.A. and</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(6)</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620" w:type="dxa"/>
            <w:vAlign w:val="bottom"/>
          </w:tcPr>
          <w:p>
            <w:pPr>
              <w:ind w:left="51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4"/>
              </w:rPr>
              <w:t>10.11</w:t>
            </w:r>
          </w:p>
        </w:tc>
        <w:tc>
          <w:tcPr>
            <w:tcW w:w="10620" w:type="dxa"/>
            <w:vAlign w:val="bottom"/>
          </w:tcPr>
          <w:p>
            <w:pPr>
              <w:ind w:left="2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(7)</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10.12</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Fifth Amended and Restated Art Rental and Licensing Agreement, dated as of July 1, 2007, between Stephen A. Wynn, as lessor, Wynn Gallery,</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LLC, as lessee. (16)</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10.13</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Lump Sum Agreement, by and between Wynn Las Vegas, LLC and Wadsworth Golf Construction Company, effective as of February 18, 2003. (4)</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10.14</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the Bank Agent, and U.S. Bank National Association, as Indenture Trustee.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10.15</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Purchase Agreement, dated October 25, 2002, by and among Wynn Las Vegas, LLC, Wynn Las Vegas Capital Corp. and Stephen A. Wynn. (2)</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10.16</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10.17</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Acknowledgement and Agreement, dated as of September 1, 2004, by and among Wynn Las Vegas, LLC, Wells Fargo Bank, National Association</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and the lenders named therein. (5)</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10.18</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 Las Vegas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Capital Corp., and those subsidiaries of Wynn Las Vegas, LLC listed on Exhibit 21.1 hereto in favor of Deutsche Bank Trust Company Americas,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as administrative agent, and U.S. Bank National Association, as trustee.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10.19</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10.20</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Wynn Las Vegas, LLC.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10.21</w:t>
            </w:r>
          </w:p>
        </w:tc>
        <w:tc>
          <w:tcPr>
            <w:tcW w:w="10620" w:type="dxa"/>
            <w:vAlign w:val="bottom"/>
          </w:tcPr>
          <w:p>
            <w:pPr>
              <w:ind w:left="280"/>
              <w:spacing w:after="0"/>
              <w:rPr>
                <w:sz w:val="20"/>
                <w:szCs w:val="20"/>
                <w:color w:val="auto"/>
              </w:rPr>
            </w:pPr>
            <w:r>
              <w:rPr>
                <w:rFonts w:ascii="Arial" w:cs="Arial" w:eastAsia="Arial" w:hAnsi="Arial"/>
                <w:sz w:val="18"/>
                <w:szCs w:val="18"/>
                <w:color w:val="auto"/>
              </w:rPr>
              <w:t>Agreement of Lease, dated as of March 17, 2010, by and between Wynn Las Vegas, LLC and Elaine P. Wynn. (14)</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10.22</w:t>
            </w:r>
          </w:p>
        </w:tc>
        <w:tc>
          <w:tcPr>
            <w:tcW w:w="10620" w:type="dxa"/>
            <w:vAlign w:val="bottom"/>
          </w:tcPr>
          <w:p>
            <w:pPr>
              <w:ind w:left="280"/>
              <w:spacing w:after="0"/>
              <w:rPr>
                <w:sz w:val="20"/>
                <w:szCs w:val="20"/>
                <w:color w:val="auto"/>
              </w:rPr>
            </w:pPr>
            <w:r>
              <w:rPr>
                <w:rFonts w:ascii="Arial" w:cs="Arial" w:eastAsia="Arial" w:hAnsi="Arial"/>
                <w:sz w:val="18"/>
                <w:szCs w:val="18"/>
                <w:color w:val="auto"/>
                <w:w w:val="95"/>
              </w:rPr>
              <w:t>Amended and Restated Agreement of Lease made as of March 18, 2010, by and between Wynn Las Vegas and Stephen A. Wynn. (14)</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10.23</w:t>
            </w:r>
          </w:p>
        </w:tc>
        <w:tc>
          <w:tcPr>
            <w:tcW w:w="10620" w:type="dxa"/>
            <w:vAlign w:val="bottom"/>
          </w:tcPr>
          <w:p>
            <w:pPr>
              <w:ind w:left="280"/>
              <w:spacing w:after="0"/>
              <w:rPr>
                <w:sz w:val="20"/>
                <w:szCs w:val="20"/>
                <w:color w:val="auto"/>
              </w:rPr>
            </w:pPr>
            <w:r>
              <w:rPr>
                <w:rFonts w:ascii="Arial" w:cs="Arial" w:eastAsia="Arial" w:hAnsi="Arial"/>
                <w:sz w:val="18"/>
                <w:szCs w:val="18"/>
                <w:color w:val="auto"/>
                <w:w w:val="87"/>
              </w:rPr>
              <w:t>First Amendment to Amended and Restated Agreement of Lease, dated as of April 9, 2012, by and between Wynn Las Vegas, LLC and Stephen A.</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Wynn. (18)</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10.24</w:t>
            </w:r>
          </w:p>
        </w:tc>
        <w:tc>
          <w:tcPr>
            <w:tcW w:w="10620" w:type="dxa"/>
            <w:vAlign w:val="bottom"/>
          </w:tcPr>
          <w:p>
            <w:pPr>
              <w:ind w:left="280"/>
              <w:spacing w:after="0"/>
              <w:rPr>
                <w:sz w:val="20"/>
                <w:szCs w:val="20"/>
                <w:color w:val="auto"/>
              </w:rPr>
            </w:pPr>
            <w:r>
              <w:rPr>
                <w:rFonts w:ascii="Arial" w:cs="Arial" w:eastAsia="Arial" w:hAnsi="Arial"/>
                <w:sz w:val="18"/>
                <w:szCs w:val="18"/>
                <w:color w:val="auto"/>
              </w:rPr>
              <w:t>Employment Agreement, dated as of November 8, 2010, between Wynn Las Vegas, LLC and Marilyn Spiegel. (16)</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10.25</w:t>
            </w:r>
          </w:p>
        </w:tc>
        <w:tc>
          <w:tcPr>
            <w:tcW w:w="10620" w:type="dxa"/>
            <w:vAlign w:val="bottom"/>
          </w:tcPr>
          <w:p>
            <w:pPr>
              <w:ind w:left="28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(12)</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10.26</w:t>
            </w:r>
          </w:p>
        </w:tc>
        <w:tc>
          <w:tcPr>
            <w:tcW w:w="10620" w:type="dxa"/>
            <w:vAlign w:val="bottom"/>
          </w:tcPr>
          <w:p>
            <w:pPr>
              <w:ind w:left="280"/>
              <w:spacing w:after="0"/>
              <w:rPr>
                <w:sz w:val="20"/>
                <w:szCs w:val="20"/>
                <w:color w:val="auto"/>
              </w:rPr>
            </w:pPr>
            <w:r>
              <w:rPr>
                <w:rFonts w:ascii="Arial" w:cs="Arial" w:eastAsia="Arial" w:hAnsi="Arial"/>
                <w:sz w:val="18"/>
                <w:szCs w:val="18"/>
                <w:color w:val="auto"/>
                <w:w w:val="94"/>
              </w:rPr>
              <w:t>Registration Rights Agreement, dated as of October 19, 2009, by and among Wynn Las Vegas, LLC, Wynn Las Vegas Capital Corp., the</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Guarantors set forth therein, Deutsche Bank Securities Inc. and Banc of America Securities LLC. (11)</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10.27</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Registration Rights Agreement, dated as of April 28, 2010, by and among Wynn Las Vegas, LLC, Wynn Las Vegas Capital Corp., the Guarantors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set forth therein, Deutsche Bank Securities Inc., Banc of America Securities LLC and J.P. Morgan Securities Inc. (13)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10.28</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Registration Rights Agreement, dated as of August 4, 2010, by and among the Issuers, the Guarantors, Deutsche Bank Securities Inc., Banc of</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America Securities LLC, J.P. Morgan Securities Inc., Morgan Stanley &amp; Co. Incorporated, RBS Securities Inc. and UBS Securities LLC. (15)</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10.29</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Registration Rights Agreement, dated as of March 12, 2012, by and among the Issuers, the Guarantors, Deutsche Bank Securities Inc., Merrill</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Lynch, Pierce, Fenner &amp; Smith Incorporated and J.P. Morgan Securities LLC. (17)</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10.30</w:t>
            </w:r>
          </w:p>
        </w:tc>
        <w:tc>
          <w:tcPr>
            <w:tcW w:w="10620" w:type="dxa"/>
            <w:vAlign w:val="bottom"/>
          </w:tcPr>
          <w:p>
            <w:pPr>
              <w:ind w:left="280"/>
              <w:spacing w:after="0"/>
              <w:rPr>
                <w:sz w:val="20"/>
                <w:szCs w:val="20"/>
                <w:color w:val="auto"/>
              </w:rPr>
            </w:pPr>
            <w:r>
              <w:rPr>
                <w:rFonts w:ascii="Arial" w:cs="Arial" w:eastAsia="Arial" w:hAnsi="Arial"/>
                <w:sz w:val="18"/>
                <w:szCs w:val="18"/>
                <w:color w:val="auto"/>
                <w:w w:val="93"/>
              </w:rPr>
              <w:t>Employment Agreement, dated January 10, 2012, effective April 20, 2012, by and between Wynn Las Vegas, LLC and Scott Peterson. (19)</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12.1</w:t>
            </w:r>
          </w:p>
        </w:tc>
        <w:tc>
          <w:tcPr>
            <w:tcW w:w="10620" w:type="dxa"/>
            <w:vAlign w:val="bottom"/>
          </w:tcPr>
          <w:p>
            <w:pPr>
              <w:ind w:left="280"/>
              <w:spacing w:after="0"/>
              <w:rPr>
                <w:sz w:val="20"/>
                <w:szCs w:val="20"/>
                <w:color w:val="auto"/>
              </w:rPr>
            </w:pPr>
            <w:r>
              <w:rPr>
                <w:rFonts w:ascii="Arial" w:cs="Arial" w:eastAsia="Arial" w:hAnsi="Arial"/>
                <w:sz w:val="18"/>
                <w:szCs w:val="18"/>
                <w:color w:val="auto"/>
              </w:rPr>
              <w:t>Statements re Computation of Ratios. (20)</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21.1</w:t>
            </w:r>
          </w:p>
        </w:tc>
        <w:tc>
          <w:tcPr>
            <w:tcW w:w="10620" w:type="dxa"/>
            <w:vAlign w:val="bottom"/>
          </w:tcPr>
          <w:p>
            <w:pPr>
              <w:ind w:left="280"/>
              <w:spacing w:after="0"/>
              <w:rPr>
                <w:sz w:val="20"/>
                <w:szCs w:val="20"/>
                <w:color w:val="auto"/>
              </w:rPr>
            </w:pPr>
            <w:r>
              <w:rPr>
                <w:rFonts w:ascii="Arial" w:cs="Arial" w:eastAsia="Arial" w:hAnsi="Arial"/>
                <w:sz w:val="18"/>
                <w:szCs w:val="18"/>
                <w:color w:val="auto"/>
              </w:rPr>
              <w:t>Subsidiaries of the Registrant. (20)</w:t>
            </w:r>
          </w:p>
        </w:tc>
      </w:tr>
      <w:tr>
        <w:trPr>
          <w:trHeight w:val="222"/>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23.1</w:t>
            </w:r>
          </w:p>
        </w:tc>
        <w:tc>
          <w:tcPr>
            <w:tcW w:w="10620" w:type="dxa"/>
            <w:vAlign w:val="bottom"/>
          </w:tcPr>
          <w:p>
            <w:pPr>
              <w:ind w:left="280"/>
              <w:spacing w:after="0"/>
              <w:rPr>
                <w:sz w:val="20"/>
                <w:szCs w:val="20"/>
                <w:color w:val="auto"/>
              </w:rPr>
            </w:pPr>
            <w:r>
              <w:rPr>
                <w:rFonts w:ascii="Arial" w:cs="Arial" w:eastAsia="Arial" w:hAnsi="Arial"/>
                <w:sz w:val="18"/>
                <w:szCs w:val="18"/>
                <w:color w:val="auto"/>
              </w:rPr>
              <w:t>Consent of Ernst &amp; Young LLP. (21)</w:t>
            </w:r>
          </w:p>
        </w:tc>
      </w:tr>
    </w:tbl>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60" w:right="2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Exhibit</w:t>
            </w:r>
          </w:p>
        </w:tc>
        <w:tc>
          <w:tcPr>
            <w:tcW w:w="10320" w:type="dxa"/>
            <w:vAlign w:val="bottom"/>
          </w:tcPr>
          <w:p>
            <w:pPr>
              <w:ind w:left="51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23.2</w:t>
            </w:r>
          </w:p>
        </w:tc>
        <w:tc>
          <w:tcPr>
            <w:tcW w:w="10320" w:type="dxa"/>
            <w:vAlign w:val="bottom"/>
          </w:tcPr>
          <w:p>
            <w:pPr>
              <w:ind w:left="320"/>
              <w:spacing w:after="0"/>
              <w:rPr>
                <w:sz w:val="20"/>
                <w:szCs w:val="20"/>
                <w:color w:val="auto"/>
              </w:rPr>
            </w:pPr>
            <w:r>
              <w:rPr>
                <w:rFonts w:ascii="Arial" w:cs="Arial" w:eastAsia="Arial" w:hAnsi="Arial"/>
                <w:sz w:val="18"/>
                <w:szCs w:val="18"/>
                <w:color w:val="auto"/>
              </w:rPr>
              <w:t>Consent of Skadden, Arps, Slate, Meagher &amp; Flom LLP (included in Exhibit 5.1). (20)</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23.3</w:t>
            </w:r>
          </w:p>
        </w:tc>
        <w:tc>
          <w:tcPr>
            <w:tcW w:w="10320" w:type="dxa"/>
            <w:vAlign w:val="bottom"/>
          </w:tcPr>
          <w:p>
            <w:pPr>
              <w:ind w:left="320"/>
              <w:spacing w:after="0"/>
              <w:rPr>
                <w:sz w:val="20"/>
                <w:szCs w:val="20"/>
                <w:color w:val="auto"/>
              </w:rPr>
            </w:pPr>
            <w:r>
              <w:rPr>
                <w:rFonts w:ascii="Arial" w:cs="Arial" w:eastAsia="Arial" w:hAnsi="Arial"/>
                <w:sz w:val="18"/>
                <w:szCs w:val="18"/>
                <w:color w:val="auto"/>
              </w:rPr>
              <w:t>Consent of Brownstein Hyatt Farber Schreck, LLP (included in Exhibit 5.2). (20)</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24.1</w:t>
            </w:r>
          </w:p>
        </w:tc>
        <w:tc>
          <w:tcPr>
            <w:tcW w:w="10320" w:type="dxa"/>
            <w:vAlign w:val="bottom"/>
          </w:tcPr>
          <w:p>
            <w:pPr>
              <w:ind w:left="320"/>
              <w:spacing w:after="0"/>
              <w:rPr>
                <w:sz w:val="20"/>
                <w:szCs w:val="20"/>
                <w:color w:val="auto"/>
              </w:rPr>
            </w:pPr>
            <w:r>
              <w:rPr>
                <w:rFonts w:ascii="Arial" w:cs="Arial" w:eastAsia="Arial" w:hAnsi="Arial"/>
                <w:sz w:val="18"/>
                <w:szCs w:val="18"/>
                <w:color w:val="auto"/>
              </w:rPr>
              <w:t>Powers of Attorney. (20)</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25.1</w:t>
            </w:r>
          </w:p>
        </w:tc>
        <w:tc>
          <w:tcPr>
            <w:tcW w:w="10320" w:type="dxa"/>
            <w:vAlign w:val="bottom"/>
          </w:tcPr>
          <w:p>
            <w:pPr>
              <w:ind w:left="32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r>
      <w:tr>
        <w:trPr>
          <w:trHeight w:val="216"/>
        </w:trPr>
        <w:tc>
          <w:tcPr>
            <w:tcW w:w="760" w:type="dxa"/>
            <w:vAlign w:val="bottom"/>
          </w:tcPr>
          <w:p>
            <w:pPr>
              <w:spacing w:after="0"/>
              <w:rPr>
                <w:sz w:val="18"/>
                <w:szCs w:val="18"/>
                <w:color w:val="auto"/>
              </w:rPr>
            </w:pPr>
          </w:p>
        </w:tc>
        <w:tc>
          <w:tcPr>
            <w:tcW w:w="10320" w:type="dxa"/>
            <w:vAlign w:val="bottom"/>
          </w:tcPr>
          <w:p>
            <w:pPr>
              <w:ind w:left="320"/>
              <w:spacing w:after="0"/>
              <w:rPr>
                <w:sz w:val="20"/>
                <w:szCs w:val="20"/>
                <w:color w:val="auto"/>
              </w:rPr>
            </w:pPr>
            <w:r>
              <w:rPr>
                <w:rFonts w:ascii="Arial" w:cs="Arial" w:eastAsia="Arial" w:hAnsi="Arial"/>
                <w:sz w:val="18"/>
                <w:szCs w:val="18"/>
                <w:color w:val="auto"/>
              </w:rPr>
              <w:t>LLC and Wynn Las Vegas Capital Corp.’s 5.375% First Mortgage Notes due 2022. (20)</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99.1</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Letter of Transmittal. (20)</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99.2</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Notice of Guaranteed Delivery. (20)</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99.3</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Letter to Clients. (20)</w:t>
            </w:r>
          </w:p>
        </w:tc>
      </w:tr>
      <w:tr>
        <w:trPr>
          <w:trHeight w:val="216"/>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99.4</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Letter to Brokers, Dealers, Commercial Banks, Trust Companies and Other Nominees. (20)</w:t>
            </w:r>
          </w:p>
        </w:tc>
      </w:tr>
      <w:tr>
        <w:trPr>
          <w:trHeight w:val="222"/>
        </w:trPr>
        <w:tc>
          <w:tcPr>
            <w:tcW w:w="760" w:type="dxa"/>
            <w:vAlign w:val="bottom"/>
          </w:tcPr>
          <w:p>
            <w:pPr>
              <w:jc w:val="center"/>
              <w:ind w:right="254"/>
              <w:spacing w:after="0"/>
              <w:rPr>
                <w:sz w:val="20"/>
                <w:szCs w:val="20"/>
                <w:color w:val="auto"/>
              </w:rPr>
            </w:pPr>
            <w:r>
              <w:rPr>
                <w:rFonts w:ascii="Arial" w:cs="Arial" w:eastAsia="Arial" w:hAnsi="Arial"/>
                <w:sz w:val="18"/>
                <w:szCs w:val="18"/>
                <w:color w:val="auto"/>
                <w:w w:val="85"/>
              </w:rPr>
              <w:t>99.5</w:t>
            </w:r>
          </w:p>
        </w:tc>
        <w:tc>
          <w:tcPr>
            <w:tcW w:w="10320" w:type="dxa"/>
            <w:vAlign w:val="bottom"/>
          </w:tcPr>
          <w:p>
            <w:pPr>
              <w:ind w:left="320"/>
              <w:spacing w:after="0"/>
              <w:rPr>
                <w:sz w:val="20"/>
                <w:szCs w:val="20"/>
                <w:color w:val="auto"/>
              </w:rPr>
            </w:pPr>
            <w:r>
              <w:rPr>
                <w:rFonts w:ascii="Arial" w:cs="Arial" w:eastAsia="Arial" w:hAnsi="Arial"/>
                <w:sz w:val="18"/>
                <w:szCs w:val="18"/>
                <w:color w:val="auto"/>
              </w:rPr>
              <w:t>Consent of J. Edward Virtue. (21)</w:t>
            </w:r>
          </w:p>
        </w:tc>
      </w:tr>
    </w:tbl>
    <w:p>
      <w:pPr>
        <w:ind w:left="1100" w:hanging="1008"/>
        <w:spacing w:after="0" w:line="286" w:lineRule="auto"/>
        <w:tabs>
          <w:tab w:leader="none" w:pos="110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three months ended June 30, 2012, filed with the SEC on August 9, 2012 formatted in Extensible Business Reporting Language (XBRL): (i) the Condensed Consolidated Statements of Comprehensive Income (loss) for the three and six months ended June 30, 2012 and 2011, (ii) the Condensed Consolidated Balance Sheets at June 30, 2012 and December 31, 2011, (iii) the Condensed Consolidated Statements of Cash Flows for the six months ended June 30, 2012 and 2011, and (iv) Notes to Condensed Consolidated Financial Statements, and the following financial information from the Company’s Annual Report on Form 10-K for the year ended December 31, 2011, filed with the SEC on February 29, 2012 formatted in Extensible Business Reporting Language (XBRL): (i) the Consolidated Statements of Operations for the years ended December 31, 2011, 2010 and 2009, (ii) the Consolidated Balance Sheets at December 31, 2011 and 2010, (iii) the Consolidated Statements of Member’s Equity at December 31, 2011 and 2010, (iv) the Consolidated Statements of Cash Flows for the years ended December 31, 2011, 2010 and 2009, and (iv) Notes to Consolidated Financial Statements. (22)</w:t>
      </w:r>
    </w:p>
    <w:p>
      <w:pPr>
        <w:spacing w:after="0" w:line="110" w:lineRule="exact"/>
        <w:rPr>
          <w:rFonts w:ascii="Arial" w:cs="Arial" w:eastAsia="Arial" w:hAnsi="Arial"/>
          <w:sz w:val="16"/>
          <w:szCs w:val="16"/>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Incorporated by reference from the Periodic Report on form 10-Q filed by Wynn Resorts, Limited on August 2,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May 8,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April 28,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19,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August 5,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-2213610</wp:posOffset>
            </wp:positionV>
            <wp:extent cx="72898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13, 2012.</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12,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jc w:val="both"/>
        <w:ind w:left="460" w:right="140" w:hanging="452"/>
        <w:spacing w:after="0" w:line="254" w:lineRule="auto"/>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Registration Statement on Form S-4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21(b). </w:t>
      </w:r>
      <w:r>
        <w:rPr>
          <w:rFonts w:ascii="Arial" w:cs="Arial" w:eastAsia="Arial" w:hAnsi="Arial"/>
          <w:sz w:val="18"/>
          <w:szCs w:val="18"/>
          <w:b w:val="1"/>
          <w:bCs w:val="1"/>
          <w:i w:val="1"/>
          <w:iCs w:val="1"/>
          <w:color w:val="auto"/>
        </w:rPr>
        <w:t>Financial Statement Schedules.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None. We have omitted financial statement schedules because they are not required or are not applicable, or the required information is shown in the financial statements or notes 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22. </w:t>
      </w:r>
      <w:r>
        <w:rPr>
          <w:rFonts w:ascii="Arial" w:cs="Arial" w:eastAsia="Arial" w:hAnsi="Arial"/>
          <w:sz w:val="18"/>
          <w:szCs w:val="18"/>
          <w:b w:val="1"/>
          <w:bCs w:val="1"/>
          <w:i w:val="1"/>
          <w:iCs w:val="1"/>
          <w:color w:val="auto"/>
        </w:rPr>
        <w:t>Undertakings</w:t>
      </w:r>
    </w:p>
    <w:p>
      <w:pPr>
        <w:spacing w:after="0" w:line="96"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1480" w:right="20" w:hanging="567"/>
        <w:spacing w:after="0" w:line="290" w:lineRule="auto"/>
        <w:tabs>
          <w:tab w:leader="none" w:pos="1480" w:val="left"/>
        </w:tabs>
        <w:numPr>
          <w:ilvl w:val="2"/>
          <w:numId w:val="19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37" w:lineRule="exact"/>
        <w:rPr>
          <w:rFonts w:ascii="Arial" w:cs="Arial" w:eastAsia="Arial" w:hAnsi="Arial"/>
          <w:sz w:val="16"/>
          <w:szCs w:val="16"/>
          <w:color w:val="auto"/>
        </w:rPr>
      </w:pPr>
    </w:p>
    <w:p>
      <w:pPr>
        <w:ind w:left="1480" w:right="400" w:hanging="567"/>
        <w:spacing w:after="0" w:line="268" w:lineRule="auto"/>
        <w:tabs>
          <w:tab w:leader="none" w:pos="148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900" w:hanging="446"/>
        <w:spacing w:after="0" w:line="291" w:lineRule="auto"/>
        <w:tabs>
          <w:tab w:leader="none" w:pos="90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to any purchaser, each prospectus filed by the registrant pursuant to Rule 424(b)(3) shall be deemed to be part of the registration statement as of the date the filed prospectus was deemed part of and included in the registration statement; and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80"/>
          </w:cols>
          <w:pgMar w:left="240" w:top="459" w:right="2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312" w:lineRule="auto"/>
        <w:rPr>
          <w:sz w:val="20"/>
          <w:szCs w:val="20"/>
          <w:color w:val="auto"/>
        </w:rPr>
      </w:pPr>
      <w:r>
        <w:rPr>
          <w:rFonts w:ascii="Arial" w:cs="Arial" w:eastAsia="Arial" w:hAnsi="Arial"/>
          <w:sz w:val="15"/>
          <w:szCs w:val="15"/>
          <w:color w:val="auto"/>
        </w:rPr>
        <w:t xml:space="preserve">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 Provided, however</w:t>
      </w:r>
      <w:r>
        <w:rPr>
          <w:rFonts w:ascii="Arial" w:cs="Arial" w:eastAsia="Arial" w:hAnsi="Arial"/>
          <w:sz w:val="15"/>
          <w:szCs w:val="15"/>
          <w:i w:val="1"/>
          <w:iCs w:val="1"/>
          <w:color w:val="auto"/>
        </w:rPr>
        <w:t>,</w:t>
      </w:r>
      <w:r>
        <w:rPr>
          <w:rFonts w:ascii="Arial" w:cs="Arial" w:eastAsia="Arial" w:hAnsi="Arial"/>
          <w:sz w:val="15"/>
          <w:szCs w:val="15"/>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24" w:lineRule="exact"/>
        <w:rPr>
          <w:sz w:val="20"/>
          <w:szCs w:val="20"/>
          <w:color w:val="auto"/>
        </w:rPr>
      </w:pPr>
    </w:p>
    <w:p>
      <w:pPr>
        <w:ind w:left="900" w:right="80" w:hanging="446"/>
        <w:spacing w:after="0" w:line="255" w:lineRule="auto"/>
        <w:tabs>
          <w:tab w:leader="none" w:pos="9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rFonts w:ascii="Arial" w:cs="Arial" w:eastAsia="Arial" w:hAnsi="Arial"/>
          <w:sz w:val="18"/>
          <w:szCs w:val="18"/>
          <w:color w:val="auto"/>
        </w:rPr>
      </w:pPr>
    </w:p>
    <w:p>
      <w:pPr>
        <w:ind w:left="1480" w:hanging="567"/>
        <w:spacing w:after="0"/>
        <w:tabs>
          <w:tab w:leader="none" w:pos="1480" w:val="left"/>
        </w:tabs>
        <w:numPr>
          <w:ilvl w:val="2"/>
          <w:numId w:val="198"/>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1480" w:right="520" w:hanging="567"/>
        <w:spacing w:after="0" w:line="268" w:lineRule="auto"/>
        <w:tabs>
          <w:tab w:leader="none" w:pos="148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1480" w:right="160" w:hanging="567"/>
        <w:spacing w:after="0" w:line="268" w:lineRule="auto"/>
        <w:tabs>
          <w:tab w:leader="none" w:pos="148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undersigned registrants hereby undertake that:</w:t>
      </w:r>
    </w:p>
    <w:p>
      <w:pPr>
        <w:spacing w:after="0" w:line="90" w:lineRule="exact"/>
        <w:rPr>
          <w:rFonts w:ascii="Arial" w:cs="Arial" w:eastAsia="Arial" w:hAnsi="Arial"/>
          <w:sz w:val="18"/>
          <w:szCs w:val="18"/>
          <w:color w:val="auto"/>
        </w:rPr>
      </w:pPr>
    </w:p>
    <w:p>
      <w:pPr>
        <w:ind w:left="900" w:hanging="446"/>
        <w:spacing w:after="0" w:line="289" w:lineRule="auto"/>
        <w:tabs>
          <w:tab w:leader="none" w:pos="90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7" w:lineRule="exact"/>
        <w:rPr>
          <w:rFonts w:ascii="Arial" w:cs="Arial" w:eastAsia="Arial" w:hAnsi="Arial"/>
          <w:sz w:val="16"/>
          <w:szCs w:val="16"/>
          <w:color w:val="auto"/>
        </w:rPr>
      </w:pPr>
    </w:p>
    <w:p>
      <w:pPr>
        <w:ind w:left="900" w:right="60" w:hanging="446"/>
        <w:spacing w:after="0" w:line="256" w:lineRule="auto"/>
        <w:tabs>
          <w:tab w:leader="none" w:pos="9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undersigned registrants hereby undertake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October 5,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80"/>
              <w:spacing w:after="0"/>
              <w:rPr>
                <w:sz w:val="20"/>
                <w:szCs w:val="20"/>
                <w:color w:val="auto"/>
              </w:rPr>
            </w:pPr>
            <w:r>
              <w:rPr>
                <w:rFonts w:ascii="Arial" w:cs="Arial" w:eastAsia="Arial" w:hAnsi="Arial"/>
                <w:sz w:val="18"/>
                <w:szCs w:val="18"/>
                <w:color w:val="auto"/>
              </w:rPr>
              <w:t>WYNN RESORTS HOLDINGS, LLC,</w:t>
            </w:r>
          </w:p>
        </w:tc>
      </w:tr>
      <w:tr>
        <w:trPr>
          <w:trHeight w:val="222"/>
        </w:trPr>
        <w:tc>
          <w:tcPr>
            <w:tcW w:w="500" w:type="dxa"/>
            <w:vAlign w:val="bottom"/>
          </w:tcPr>
          <w:p>
            <w:pPr>
              <w:spacing w:after="0"/>
              <w:rPr>
                <w:sz w:val="19"/>
                <w:szCs w:val="19"/>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its sole member</w:t>
            </w:r>
          </w:p>
        </w:tc>
      </w:tr>
      <w:tr>
        <w:trPr>
          <w:trHeight w:val="42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80"/>
              <w:spacing w:after="0"/>
              <w:rPr>
                <w:sz w:val="20"/>
                <w:szCs w:val="20"/>
                <w:color w:val="auto"/>
              </w:rPr>
            </w:pPr>
            <w:r>
              <w:rPr>
                <w:rFonts w:ascii="Arial" w:cs="Arial" w:eastAsia="Arial" w:hAnsi="Arial"/>
                <w:sz w:val="18"/>
                <w:szCs w:val="18"/>
                <w:color w:val="auto"/>
              </w:rPr>
              <w:t>WYNN RESORTS, LIMITED,</w:t>
            </w:r>
          </w:p>
        </w:tc>
      </w:tr>
      <w:tr>
        <w:trPr>
          <w:trHeight w:val="222"/>
        </w:trPr>
        <w:tc>
          <w:tcPr>
            <w:tcW w:w="500" w:type="dxa"/>
            <w:vAlign w:val="bottom"/>
          </w:tcPr>
          <w:p>
            <w:pPr>
              <w:spacing w:after="0"/>
              <w:rPr>
                <w:sz w:val="19"/>
                <w:szCs w:val="19"/>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its sole member</w:t>
            </w:r>
          </w:p>
        </w:tc>
      </w:tr>
      <w:tr>
        <w:trPr>
          <w:trHeight w:val="63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ind w:left="532"/>
              <w:spacing w:after="0"/>
              <w:rPr>
                <w:sz w:val="20"/>
                <w:szCs w:val="20"/>
                <w:color w:val="auto"/>
              </w:rPr>
            </w:pPr>
            <w:r>
              <w:rPr>
                <w:rFonts w:ascii="Arial" w:cs="Arial" w:eastAsia="Arial" w:hAnsi="Arial"/>
                <w:sz w:val="18"/>
                <w:szCs w:val="18"/>
                <w:color w:val="auto"/>
                <w:w w:val="90"/>
              </w:rPr>
              <w:t>/s/ Matt Maddox</w:t>
            </w:r>
          </w:p>
        </w:tc>
      </w:tr>
      <w:tr>
        <w:trPr>
          <w:trHeight w:val="197"/>
        </w:trPr>
        <w:tc>
          <w:tcPr>
            <w:tcW w:w="500" w:type="dxa"/>
            <w:vAlign w:val="bottom"/>
          </w:tcPr>
          <w:p>
            <w:pPr>
              <w:spacing w:after="0" w:line="197" w:lineRule="exact"/>
              <w:rPr>
                <w:sz w:val="20"/>
                <w:szCs w:val="20"/>
                <w:color w:val="auto"/>
              </w:rPr>
            </w:pPr>
            <w:r>
              <w:rPr>
                <w:rFonts w:ascii="Arial" w:cs="Arial" w:eastAsia="Arial" w:hAnsi="Arial"/>
                <w:sz w:val="18"/>
                <w:szCs w:val="18"/>
                <w:b w:val="1"/>
                <w:bCs w:val="1"/>
                <w:color w:val="auto"/>
                <w:w w:val="87"/>
              </w:rPr>
              <w:t>Name:</w:t>
            </w:r>
          </w:p>
        </w:tc>
        <w:tc>
          <w:tcPr>
            <w:tcW w:w="4060" w:type="dxa"/>
            <w:vAlign w:val="bottom"/>
          </w:tcPr>
          <w:p>
            <w:pPr>
              <w:jc w:val="center"/>
              <w:ind w:left="532"/>
              <w:spacing w:after="0" w:line="197" w:lineRule="exact"/>
              <w:rPr>
                <w:sz w:val="20"/>
                <w:szCs w:val="20"/>
                <w:color w:val="auto"/>
              </w:rPr>
            </w:pPr>
            <w:r>
              <w:rPr>
                <w:rFonts w:ascii="Arial" w:cs="Arial" w:eastAsia="Arial" w:hAnsi="Arial"/>
                <w:sz w:val="18"/>
                <w:szCs w:val="18"/>
                <w:b w:val="1"/>
                <w:bCs w:val="1"/>
                <w:color w:val="auto"/>
                <w:w w:val="94"/>
              </w:rPr>
              <w:t>Matt Maddox</w:t>
            </w:r>
          </w:p>
        </w:tc>
      </w:tr>
      <w:tr>
        <w:trPr>
          <w:trHeight w:val="228"/>
        </w:trPr>
        <w:tc>
          <w:tcPr>
            <w:tcW w:w="50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060" w:type="dxa"/>
            <w:vAlign w:val="bottom"/>
          </w:tcPr>
          <w:p>
            <w:pPr>
              <w:jc w:val="center"/>
              <w:ind w:left="532"/>
              <w:spacing w:after="0"/>
              <w:rPr>
                <w:sz w:val="20"/>
                <w:szCs w:val="20"/>
                <w:color w:val="auto"/>
              </w:rPr>
            </w:pPr>
            <w:r>
              <w:rPr>
                <w:rFonts w:ascii="Arial" w:cs="Arial" w:eastAsia="Arial" w:hAnsi="Arial"/>
                <w:sz w:val="18"/>
                <w:szCs w:val="18"/>
                <w:b w:val="1"/>
                <w:bCs w:val="1"/>
                <w:color w:val="auto"/>
                <w:w w:val="89"/>
              </w:rPr>
              <w:t>Chief Financial Officer and Treasurer</w:t>
            </w:r>
          </w:p>
        </w:tc>
      </w:tr>
    </w:tbl>
    <w:p>
      <w:pPr>
        <w:spacing w:after="0" w:line="15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1200" w:type="dxa"/>
        <w:tblCellMar>
          <w:top w:w="0" w:type="dxa"/>
          <w:left w:w="0" w:type="dxa"/>
          <w:bottom w:w="0" w:type="dxa"/>
          <w:right w:w="0" w:type="dxa"/>
        </w:tblCellMar>
      </w:tblPr>
      <w:tr>
        <w:trPr>
          <w:trHeight w:val="174"/>
        </w:trPr>
        <w:tc>
          <w:tcPr>
            <w:tcW w:w="2160" w:type="dxa"/>
            <w:vAlign w:val="bottom"/>
          </w:tcPr>
          <w:p>
            <w:pPr>
              <w:jc w:val="center"/>
              <w:ind w:right="593"/>
              <w:spacing w:after="0"/>
              <w:rPr>
                <w:sz w:val="20"/>
                <w:szCs w:val="20"/>
                <w:color w:val="auto"/>
              </w:rPr>
            </w:pPr>
            <w:r>
              <w:rPr>
                <w:rFonts w:ascii="Arial" w:cs="Arial" w:eastAsia="Arial" w:hAnsi="Arial"/>
                <w:sz w:val="14"/>
                <w:szCs w:val="14"/>
                <w:b w:val="1"/>
                <w:bCs w:val="1"/>
                <w:color w:val="auto"/>
                <w:w w:val="86"/>
              </w:rPr>
              <w:t>Signature</w:t>
            </w:r>
          </w:p>
        </w:tc>
        <w:tc>
          <w:tcPr>
            <w:tcW w:w="4140" w:type="dxa"/>
            <w:vAlign w:val="bottom"/>
          </w:tcPr>
          <w:p>
            <w:pPr>
              <w:ind w:left="2340"/>
              <w:spacing w:after="0"/>
              <w:rPr>
                <w:sz w:val="20"/>
                <w:szCs w:val="20"/>
                <w:color w:val="auto"/>
              </w:rPr>
            </w:pPr>
            <w:r>
              <w:rPr>
                <w:rFonts w:ascii="Arial" w:cs="Arial" w:eastAsia="Arial" w:hAnsi="Arial"/>
                <w:sz w:val="14"/>
                <w:szCs w:val="14"/>
                <w:b w:val="1"/>
                <w:bCs w:val="1"/>
                <w:color w:val="auto"/>
              </w:rPr>
              <w:t>Title</w:t>
            </w:r>
          </w:p>
        </w:tc>
        <w:tc>
          <w:tcPr>
            <w:tcW w:w="2660" w:type="dxa"/>
            <w:vAlign w:val="bottom"/>
          </w:tcPr>
          <w:p>
            <w:pPr>
              <w:jc w:val="center"/>
              <w:ind w:left="1454"/>
              <w:spacing w:after="0"/>
              <w:rPr>
                <w:sz w:val="20"/>
                <w:szCs w:val="20"/>
                <w:color w:val="auto"/>
              </w:rPr>
            </w:pPr>
            <w:r>
              <w:rPr>
                <w:rFonts w:ascii="Arial" w:cs="Arial" w:eastAsia="Arial" w:hAnsi="Arial"/>
                <w:sz w:val="14"/>
                <w:szCs w:val="14"/>
                <w:b w:val="1"/>
                <w:bCs w:val="1"/>
                <w:color w:val="auto"/>
                <w:w w:val="92"/>
              </w:rPr>
              <w:t>Date</w:t>
            </w:r>
          </w:p>
        </w:tc>
      </w:tr>
      <w:tr>
        <w:trPr>
          <w:trHeight w:val="297"/>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1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8"/>
        </w:trPr>
        <w:tc>
          <w:tcPr>
            <w:tcW w:w="2160" w:type="dxa"/>
            <w:vAlign w:val="bottom"/>
          </w:tcPr>
          <w:p>
            <w:pPr>
              <w:jc w:val="center"/>
              <w:ind w:right="593"/>
              <w:spacing w:after="0"/>
              <w:rPr>
                <w:sz w:val="20"/>
                <w:szCs w:val="20"/>
                <w:color w:val="auto"/>
              </w:rPr>
            </w:pPr>
            <w:r>
              <w:rPr>
                <w:rFonts w:ascii="Arial" w:cs="Arial" w:eastAsia="Arial" w:hAnsi="Arial"/>
                <w:sz w:val="18"/>
                <w:szCs w:val="18"/>
                <w:b w:val="1"/>
                <w:bCs w:val="1"/>
                <w:color w:val="auto"/>
                <w:w w:val="89"/>
              </w:rPr>
              <w:t>Stephen A. Wynn</w:t>
            </w:r>
          </w:p>
        </w:tc>
        <w:tc>
          <w:tcPr>
            <w:tcW w:w="4140" w:type="dxa"/>
            <w:vAlign w:val="bottom"/>
          </w:tcPr>
          <w:p>
            <w:pPr>
              <w:ind w:left="660"/>
              <w:spacing w:after="0"/>
              <w:rPr>
                <w:sz w:val="20"/>
                <w:szCs w:val="20"/>
                <w:color w:val="auto"/>
              </w:rPr>
            </w:pPr>
            <w:r>
              <w:rPr>
                <w:rFonts w:ascii="Arial" w:cs="Arial" w:eastAsia="Arial" w:hAnsi="Arial"/>
                <w:sz w:val="18"/>
                <w:szCs w:val="18"/>
                <w:color w:val="auto"/>
              </w:rPr>
              <w:t>Chairman of the Board</w:t>
            </w:r>
          </w:p>
        </w:tc>
        <w:tc>
          <w:tcPr>
            <w:tcW w:w="2660" w:type="dxa"/>
            <w:vAlign w:val="bottom"/>
          </w:tcPr>
          <w:p>
            <w:pPr>
              <w:jc w:val="center"/>
              <w:ind w:left="1434"/>
              <w:spacing w:after="0"/>
              <w:rPr>
                <w:sz w:val="20"/>
                <w:szCs w:val="20"/>
                <w:color w:val="auto"/>
              </w:rPr>
            </w:pPr>
            <w:r>
              <w:rPr>
                <w:rFonts w:ascii="Arial" w:cs="Arial" w:eastAsia="Arial" w:hAnsi="Arial"/>
                <w:sz w:val="18"/>
                <w:szCs w:val="18"/>
                <w:color w:val="auto"/>
                <w:w w:val="88"/>
              </w:rPr>
              <w:t>October 5,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1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91"/>
              </w:rPr>
              <w:t>Linda Chen</w:t>
            </w:r>
          </w:p>
        </w:tc>
        <w:tc>
          <w:tcPr>
            <w:tcW w:w="414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ind w:left="1434"/>
              <w:spacing w:after="0"/>
              <w:rPr>
                <w:sz w:val="20"/>
                <w:szCs w:val="20"/>
                <w:color w:val="auto"/>
              </w:rPr>
            </w:pPr>
            <w:r>
              <w:rPr>
                <w:rFonts w:ascii="Arial" w:cs="Arial" w:eastAsia="Arial" w:hAnsi="Arial"/>
                <w:sz w:val="18"/>
                <w:szCs w:val="18"/>
                <w:color w:val="auto"/>
                <w:w w:val="88"/>
              </w:rPr>
              <w:t>October 5,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1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87"/>
              </w:rPr>
              <w:t>Russell Goldsmith</w:t>
            </w:r>
          </w:p>
        </w:tc>
        <w:tc>
          <w:tcPr>
            <w:tcW w:w="414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ind w:left="1434"/>
              <w:spacing w:after="0"/>
              <w:rPr>
                <w:sz w:val="20"/>
                <w:szCs w:val="20"/>
                <w:color w:val="auto"/>
              </w:rPr>
            </w:pPr>
            <w:r>
              <w:rPr>
                <w:rFonts w:ascii="Arial" w:cs="Arial" w:eastAsia="Arial" w:hAnsi="Arial"/>
                <w:sz w:val="18"/>
                <w:szCs w:val="18"/>
                <w:color w:val="auto"/>
                <w:w w:val="88"/>
              </w:rPr>
              <w:t>October 5,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1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94"/>
              </w:rPr>
              <w:t>Dr. Ray R. Irani</w:t>
            </w:r>
          </w:p>
        </w:tc>
        <w:tc>
          <w:tcPr>
            <w:tcW w:w="414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ind w:left="1434"/>
              <w:spacing w:after="0"/>
              <w:rPr>
                <w:sz w:val="20"/>
                <w:szCs w:val="20"/>
                <w:color w:val="auto"/>
              </w:rPr>
            </w:pPr>
            <w:r>
              <w:rPr>
                <w:rFonts w:ascii="Arial" w:cs="Arial" w:eastAsia="Arial" w:hAnsi="Arial"/>
                <w:sz w:val="18"/>
                <w:szCs w:val="18"/>
                <w:color w:val="auto"/>
                <w:w w:val="88"/>
              </w:rPr>
              <w:t>October 5,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1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93"/>
              </w:rPr>
              <w:t>Robert J. Miller</w:t>
            </w:r>
          </w:p>
        </w:tc>
        <w:tc>
          <w:tcPr>
            <w:tcW w:w="414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ind w:left="1434"/>
              <w:spacing w:after="0"/>
              <w:rPr>
                <w:sz w:val="20"/>
                <w:szCs w:val="20"/>
                <w:color w:val="auto"/>
              </w:rPr>
            </w:pPr>
            <w:r>
              <w:rPr>
                <w:rFonts w:ascii="Arial" w:cs="Arial" w:eastAsia="Arial" w:hAnsi="Arial"/>
                <w:sz w:val="18"/>
                <w:szCs w:val="18"/>
                <w:color w:val="auto"/>
                <w:w w:val="88"/>
              </w:rPr>
              <w:t>October 5,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1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91"/>
              </w:rPr>
              <w:t>John A. Moran</w:t>
            </w:r>
          </w:p>
        </w:tc>
        <w:tc>
          <w:tcPr>
            <w:tcW w:w="414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ind w:left="1434"/>
              <w:spacing w:after="0"/>
              <w:rPr>
                <w:sz w:val="20"/>
                <w:szCs w:val="20"/>
                <w:color w:val="auto"/>
              </w:rPr>
            </w:pPr>
            <w:r>
              <w:rPr>
                <w:rFonts w:ascii="Arial" w:cs="Arial" w:eastAsia="Arial" w:hAnsi="Arial"/>
                <w:sz w:val="18"/>
                <w:szCs w:val="18"/>
                <w:color w:val="auto"/>
                <w:w w:val="88"/>
              </w:rPr>
              <w:t>October 5,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1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89"/>
              </w:rPr>
              <w:t>Alvin V. Shoemaker</w:t>
            </w:r>
          </w:p>
        </w:tc>
        <w:tc>
          <w:tcPr>
            <w:tcW w:w="414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ind w:left="1434"/>
              <w:spacing w:after="0"/>
              <w:rPr>
                <w:sz w:val="20"/>
                <w:szCs w:val="20"/>
                <w:color w:val="auto"/>
              </w:rPr>
            </w:pPr>
            <w:r>
              <w:rPr>
                <w:rFonts w:ascii="Arial" w:cs="Arial" w:eastAsia="Arial" w:hAnsi="Arial"/>
                <w:sz w:val="18"/>
                <w:szCs w:val="18"/>
                <w:color w:val="auto"/>
                <w:w w:val="88"/>
              </w:rPr>
              <w:t>October 5,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1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8"/>
        </w:trPr>
        <w:tc>
          <w:tcPr>
            <w:tcW w:w="2160" w:type="dxa"/>
            <w:vAlign w:val="bottom"/>
          </w:tcPr>
          <w:p>
            <w:pPr>
              <w:jc w:val="center"/>
              <w:ind w:right="593"/>
              <w:spacing w:after="0"/>
              <w:rPr>
                <w:sz w:val="20"/>
                <w:szCs w:val="20"/>
                <w:color w:val="auto"/>
              </w:rPr>
            </w:pPr>
            <w:r>
              <w:rPr>
                <w:rFonts w:ascii="Arial" w:cs="Arial" w:eastAsia="Arial" w:hAnsi="Arial"/>
                <w:sz w:val="18"/>
                <w:szCs w:val="18"/>
                <w:b w:val="1"/>
                <w:bCs w:val="1"/>
                <w:color w:val="auto"/>
                <w:w w:val="86"/>
              </w:rPr>
              <w:t>D. Boone Wayson</w:t>
            </w:r>
          </w:p>
        </w:tc>
        <w:tc>
          <w:tcPr>
            <w:tcW w:w="414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ind w:left="1434"/>
              <w:spacing w:after="0"/>
              <w:rPr>
                <w:sz w:val="20"/>
                <w:szCs w:val="20"/>
                <w:color w:val="auto"/>
              </w:rPr>
            </w:pPr>
            <w:r>
              <w:rPr>
                <w:rFonts w:ascii="Arial" w:cs="Arial" w:eastAsia="Arial" w:hAnsi="Arial"/>
                <w:sz w:val="18"/>
                <w:szCs w:val="18"/>
                <w:color w:val="auto"/>
                <w:w w:val="88"/>
              </w:rPr>
              <w:t>October 5,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1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8"/>
        </w:trPr>
        <w:tc>
          <w:tcPr>
            <w:tcW w:w="2160" w:type="dxa"/>
            <w:vAlign w:val="bottom"/>
          </w:tcPr>
          <w:p>
            <w:pPr>
              <w:jc w:val="center"/>
              <w:ind w:right="593"/>
              <w:spacing w:after="0"/>
              <w:rPr>
                <w:sz w:val="20"/>
                <w:szCs w:val="20"/>
                <w:color w:val="auto"/>
              </w:rPr>
            </w:pPr>
            <w:r>
              <w:rPr>
                <w:rFonts w:ascii="Arial" w:cs="Arial" w:eastAsia="Arial" w:hAnsi="Arial"/>
                <w:sz w:val="18"/>
                <w:szCs w:val="18"/>
                <w:b w:val="1"/>
                <w:bCs w:val="1"/>
                <w:color w:val="auto"/>
                <w:w w:val="89"/>
              </w:rPr>
              <w:t>Elaine P. Wynn</w:t>
            </w:r>
          </w:p>
        </w:tc>
        <w:tc>
          <w:tcPr>
            <w:tcW w:w="414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ind w:left="1434"/>
              <w:spacing w:after="0"/>
              <w:rPr>
                <w:sz w:val="20"/>
                <w:szCs w:val="20"/>
                <w:color w:val="auto"/>
              </w:rPr>
            </w:pPr>
            <w:r>
              <w:rPr>
                <w:rFonts w:ascii="Arial" w:cs="Arial" w:eastAsia="Arial" w:hAnsi="Arial"/>
                <w:sz w:val="18"/>
                <w:szCs w:val="18"/>
                <w:color w:val="auto"/>
                <w:w w:val="88"/>
              </w:rPr>
              <w:t>October 5, 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1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91"/>
              </w:rPr>
              <w:t>Allan Zeman</w:t>
            </w:r>
          </w:p>
        </w:tc>
        <w:tc>
          <w:tcPr>
            <w:tcW w:w="414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ind w:left="1454"/>
              <w:spacing w:after="0"/>
              <w:rPr>
                <w:sz w:val="20"/>
                <w:szCs w:val="20"/>
                <w:color w:val="auto"/>
              </w:rPr>
            </w:pPr>
            <w:r>
              <w:rPr>
                <w:rFonts w:ascii="Arial" w:cs="Arial" w:eastAsia="Arial" w:hAnsi="Arial"/>
                <w:sz w:val="18"/>
                <w:szCs w:val="18"/>
                <w:color w:val="auto"/>
                <w:w w:val="87"/>
              </w:rPr>
              <w:t>October 5,2012</w:t>
            </w:r>
          </w:p>
        </w:tc>
      </w:tr>
      <w:tr>
        <w:trPr>
          <w:trHeight w:val="312"/>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rPr>
              <w:t>*</w:t>
            </w:r>
          </w:p>
        </w:tc>
        <w:tc>
          <w:tcPr>
            <w:tcW w:w="41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8"/>
        </w:trPr>
        <w:tc>
          <w:tcPr>
            <w:tcW w:w="2160" w:type="dxa"/>
            <w:vAlign w:val="bottom"/>
          </w:tcPr>
          <w:p>
            <w:pPr>
              <w:jc w:val="center"/>
              <w:ind w:right="573"/>
              <w:spacing w:after="0"/>
              <w:rPr>
                <w:sz w:val="20"/>
                <w:szCs w:val="20"/>
                <w:color w:val="auto"/>
              </w:rPr>
            </w:pPr>
            <w:r>
              <w:rPr>
                <w:rFonts w:ascii="Arial" w:cs="Arial" w:eastAsia="Arial" w:hAnsi="Arial"/>
                <w:sz w:val="18"/>
                <w:szCs w:val="18"/>
                <w:b w:val="1"/>
                <w:bCs w:val="1"/>
                <w:color w:val="auto"/>
                <w:w w:val="92"/>
              </w:rPr>
              <w:t>Marc D. Schorr</w:t>
            </w:r>
          </w:p>
        </w:tc>
        <w:tc>
          <w:tcPr>
            <w:tcW w:w="414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660" w:type="dxa"/>
            <w:vAlign w:val="bottom"/>
          </w:tcPr>
          <w:p>
            <w:pPr>
              <w:jc w:val="center"/>
              <w:ind w:left="1434"/>
              <w:spacing w:after="0"/>
              <w:rPr>
                <w:sz w:val="20"/>
                <w:szCs w:val="20"/>
                <w:color w:val="auto"/>
              </w:rPr>
            </w:pPr>
            <w:r>
              <w:rPr>
                <w:rFonts w:ascii="Arial" w:cs="Arial" w:eastAsia="Arial" w:hAnsi="Arial"/>
                <w:sz w:val="18"/>
                <w:szCs w:val="18"/>
                <w:color w:val="auto"/>
                <w:w w:val="88"/>
              </w:rPr>
              <w:t>October 5, 2012</w:t>
            </w:r>
          </w:p>
        </w:tc>
      </w:tr>
      <w:tr>
        <w:trPr>
          <w:trHeight w:val="365"/>
        </w:trPr>
        <w:tc>
          <w:tcPr>
            <w:tcW w:w="2160" w:type="dxa"/>
            <w:vAlign w:val="bottom"/>
          </w:tcPr>
          <w:p>
            <w:pPr>
              <w:spacing w:after="0"/>
              <w:rPr>
                <w:sz w:val="24"/>
                <w:szCs w:val="24"/>
                <w:color w:val="auto"/>
              </w:rPr>
            </w:pPr>
          </w:p>
        </w:tc>
        <w:tc>
          <w:tcPr>
            <w:tcW w:w="4140" w:type="dxa"/>
            <w:vAlign w:val="bottom"/>
          </w:tcPr>
          <w:p>
            <w:pPr>
              <w:ind w:left="2220"/>
              <w:spacing w:after="0"/>
              <w:rPr>
                <w:sz w:val="20"/>
                <w:szCs w:val="20"/>
                <w:color w:val="auto"/>
              </w:rPr>
            </w:pPr>
            <w:r>
              <w:rPr>
                <w:rFonts w:ascii="Arial" w:cs="Arial" w:eastAsia="Arial" w:hAnsi="Arial"/>
                <w:sz w:val="18"/>
                <w:szCs w:val="18"/>
                <w:color w:val="auto"/>
              </w:rPr>
              <w:t>II-8</w:t>
            </w:r>
          </w:p>
        </w:tc>
        <w:tc>
          <w:tcPr>
            <w:tcW w:w="2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3080" w:type="dxa"/>
            <w:vAlign w:val="bottom"/>
          </w:tcPr>
          <w:p>
            <w:pPr>
              <w:jc w:val="center"/>
              <w:ind w:right="40"/>
              <w:spacing w:after="0"/>
              <w:rPr>
                <w:sz w:val="20"/>
                <w:szCs w:val="20"/>
                <w:color w:val="auto"/>
              </w:rPr>
            </w:pPr>
            <w:r>
              <w:rPr>
                <w:rFonts w:ascii="Arial" w:cs="Arial" w:eastAsia="Arial" w:hAnsi="Arial"/>
                <w:sz w:val="14"/>
                <w:szCs w:val="14"/>
                <w:b w:val="1"/>
                <w:bCs w:val="1"/>
                <w:color w:val="auto"/>
                <w:w w:val="86"/>
              </w:rPr>
              <w:t>Signature</w:t>
            </w:r>
          </w:p>
        </w:tc>
        <w:tc>
          <w:tcPr>
            <w:tcW w:w="1040" w:type="dxa"/>
            <w:vAlign w:val="bottom"/>
          </w:tcPr>
          <w:p>
            <w:pPr>
              <w:spacing w:after="0"/>
              <w:rPr>
                <w:sz w:val="15"/>
                <w:szCs w:val="15"/>
                <w:color w:val="auto"/>
              </w:rPr>
            </w:pPr>
          </w:p>
        </w:tc>
        <w:tc>
          <w:tcPr>
            <w:tcW w:w="3700" w:type="dxa"/>
            <w:vAlign w:val="bottom"/>
          </w:tcPr>
          <w:p>
            <w:pPr>
              <w:ind w:left="1120"/>
              <w:spacing w:after="0"/>
              <w:rPr>
                <w:sz w:val="20"/>
                <w:szCs w:val="20"/>
                <w:color w:val="auto"/>
              </w:rPr>
            </w:pPr>
            <w:r>
              <w:rPr>
                <w:rFonts w:ascii="Arial" w:cs="Arial" w:eastAsia="Arial" w:hAnsi="Arial"/>
                <w:sz w:val="14"/>
                <w:szCs w:val="14"/>
                <w:b w:val="1"/>
                <w:bCs w:val="1"/>
                <w:color w:val="auto"/>
              </w:rPr>
              <w:t>Title</w:t>
            </w:r>
          </w:p>
        </w:tc>
        <w:tc>
          <w:tcPr>
            <w:tcW w:w="1880" w:type="dxa"/>
            <w:vAlign w:val="bottom"/>
          </w:tcPr>
          <w:p>
            <w:pPr>
              <w:jc w:val="center"/>
              <w:ind w:left="679"/>
              <w:spacing w:after="0"/>
              <w:rPr>
                <w:sz w:val="20"/>
                <w:szCs w:val="20"/>
                <w:color w:val="auto"/>
              </w:rPr>
            </w:pPr>
            <w:r>
              <w:rPr>
                <w:rFonts w:ascii="Arial" w:cs="Arial" w:eastAsia="Arial" w:hAnsi="Arial"/>
                <w:sz w:val="14"/>
                <w:szCs w:val="14"/>
                <w:b w:val="1"/>
                <w:bCs w:val="1"/>
                <w:color w:val="auto"/>
                <w:w w:val="92"/>
              </w:rPr>
              <w:t>Date</w:t>
            </w:r>
          </w:p>
        </w:tc>
      </w:tr>
      <w:tr>
        <w:trPr>
          <w:trHeight w:val="297"/>
        </w:trPr>
        <w:tc>
          <w:tcPr>
            <w:tcW w:w="460" w:type="dxa"/>
            <w:vAlign w:val="bottom"/>
          </w:tcPr>
          <w:p>
            <w:pPr>
              <w:spacing w:after="0"/>
              <w:rPr>
                <w:sz w:val="24"/>
                <w:szCs w:val="24"/>
                <w:color w:val="auto"/>
              </w:rPr>
            </w:pPr>
          </w:p>
        </w:tc>
        <w:tc>
          <w:tcPr>
            <w:tcW w:w="3080" w:type="dxa"/>
            <w:vAlign w:val="bottom"/>
          </w:tcPr>
          <w:p>
            <w:pPr>
              <w:jc w:val="center"/>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40"/>
              <w:spacing w:after="0"/>
              <w:rPr>
                <w:sz w:val="20"/>
                <w:szCs w:val="20"/>
                <w:color w:val="auto"/>
              </w:rPr>
            </w:pPr>
            <w:r>
              <w:rPr>
                <w:rFonts w:ascii="Arial" w:cs="Arial" w:eastAsia="Arial" w:hAnsi="Arial"/>
                <w:sz w:val="18"/>
                <w:szCs w:val="18"/>
                <w:b w:val="1"/>
                <w:bCs w:val="1"/>
                <w:color w:val="auto"/>
                <w:w w:val="90"/>
              </w:rPr>
              <w:t>Marilyn Spiegel</w:t>
            </w:r>
          </w:p>
        </w:tc>
        <w:tc>
          <w:tcPr>
            <w:tcW w:w="4740" w:type="dxa"/>
            <w:vAlign w:val="bottom"/>
            <w:gridSpan w:val="2"/>
          </w:tcPr>
          <w:p>
            <w:pPr>
              <w:ind w:left="480"/>
              <w:spacing w:after="0"/>
              <w:rPr>
                <w:sz w:val="20"/>
                <w:szCs w:val="20"/>
                <w:color w:val="auto"/>
              </w:rPr>
            </w:pPr>
            <w:r>
              <w:rPr>
                <w:rFonts w:ascii="Arial" w:cs="Arial" w:eastAsia="Arial" w:hAnsi="Arial"/>
                <w:sz w:val="18"/>
                <w:szCs w:val="18"/>
                <w:color w:val="auto"/>
              </w:rPr>
              <w:t>President (Principal Executive Officer)</w:t>
            </w:r>
          </w:p>
        </w:tc>
        <w:tc>
          <w:tcPr>
            <w:tcW w:w="1880" w:type="dxa"/>
            <w:vAlign w:val="bottom"/>
          </w:tcPr>
          <w:p>
            <w:pPr>
              <w:jc w:val="center"/>
              <w:ind w:left="659"/>
              <w:spacing w:after="0"/>
              <w:rPr>
                <w:sz w:val="20"/>
                <w:szCs w:val="20"/>
                <w:color w:val="auto"/>
              </w:rPr>
            </w:pPr>
            <w:r>
              <w:rPr>
                <w:rFonts w:ascii="Arial" w:cs="Arial" w:eastAsia="Arial" w:hAnsi="Arial"/>
                <w:sz w:val="18"/>
                <w:szCs w:val="18"/>
                <w:color w:val="auto"/>
                <w:w w:val="88"/>
              </w:rPr>
              <w:t>October 5,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3080" w:type="dxa"/>
            <w:vAlign w:val="bottom"/>
          </w:tcPr>
          <w:p>
            <w:pPr>
              <w:jc w:val="center"/>
              <w:ind w:right="40"/>
              <w:spacing w:after="0"/>
              <w:rPr>
                <w:sz w:val="20"/>
                <w:szCs w:val="20"/>
                <w:color w:val="auto"/>
              </w:rPr>
            </w:pPr>
            <w:r>
              <w:rPr>
                <w:rFonts w:ascii="Arial" w:cs="Arial" w:eastAsia="Arial" w:hAnsi="Arial"/>
                <w:sz w:val="18"/>
                <w:szCs w:val="18"/>
                <w:b w:val="1"/>
                <w:bCs w:val="1"/>
                <w:color w:val="auto"/>
                <w:w w:val="84"/>
              </w:rPr>
              <w:t>Scott Peterson</w:t>
            </w:r>
          </w:p>
        </w:tc>
        <w:tc>
          <w:tcPr>
            <w:tcW w:w="4740" w:type="dxa"/>
            <w:vAlign w:val="bottom"/>
            <w:gridSpan w:val="2"/>
          </w:tcPr>
          <w:p>
            <w:pPr>
              <w:ind w:left="480"/>
              <w:spacing w:after="0"/>
              <w:rPr>
                <w:sz w:val="20"/>
                <w:szCs w:val="20"/>
                <w:color w:val="auto"/>
              </w:rPr>
            </w:pPr>
            <w:r>
              <w:rPr>
                <w:rFonts w:ascii="Arial" w:cs="Arial" w:eastAsia="Arial" w:hAnsi="Arial"/>
                <w:sz w:val="18"/>
                <w:szCs w:val="18"/>
                <w:color w:val="auto"/>
              </w:rPr>
              <w:t>Senior Vice President and Chief Financial Officer</w:t>
            </w:r>
          </w:p>
        </w:tc>
        <w:tc>
          <w:tcPr>
            <w:tcW w:w="1880" w:type="dxa"/>
            <w:vAlign w:val="bottom"/>
          </w:tcPr>
          <w:p>
            <w:pPr>
              <w:spacing w:after="0"/>
              <w:rPr>
                <w:sz w:val="19"/>
                <w:szCs w:val="19"/>
                <w:color w:val="auto"/>
              </w:rPr>
            </w:pPr>
          </w:p>
        </w:tc>
      </w:tr>
      <w:tr>
        <w:trPr>
          <w:trHeight w:val="222"/>
        </w:trPr>
        <w:tc>
          <w:tcPr>
            <w:tcW w:w="4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740" w:type="dxa"/>
            <w:vAlign w:val="bottom"/>
            <w:gridSpan w:val="2"/>
          </w:tcPr>
          <w:p>
            <w:pPr>
              <w:ind w:left="480"/>
              <w:spacing w:after="0"/>
              <w:rPr>
                <w:sz w:val="20"/>
                <w:szCs w:val="20"/>
                <w:color w:val="auto"/>
              </w:rPr>
            </w:pPr>
            <w:r>
              <w:rPr>
                <w:rFonts w:ascii="Arial" w:cs="Arial" w:eastAsia="Arial" w:hAnsi="Arial"/>
                <w:sz w:val="18"/>
                <w:szCs w:val="18"/>
                <w:color w:val="auto"/>
              </w:rPr>
              <w:t>(Principal Financial and Accounting Officer)</w:t>
            </w:r>
          </w:p>
        </w:tc>
        <w:tc>
          <w:tcPr>
            <w:tcW w:w="1880" w:type="dxa"/>
            <w:vAlign w:val="bottom"/>
          </w:tcPr>
          <w:p>
            <w:pPr>
              <w:jc w:val="center"/>
              <w:ind w:left="659"/>
              <w:spacing w:after="0"/>
              <w:rPr>
                <w:sz w:val="20"/>
                <w:szCs w:val="20"/>
                <w:color w:val="auto"/>
              </w:rPr>
            </w:pPr>
            <w:r>
              <w:rPr>
                <w:rFonts w:ascii="Arial" w:cs="Arial" w:eastAsia="Arial" w:hAnsi="Arial"/>
                <w:sz w:val="18"/>
                <w:szCs w:val="18"/>
                <w:color w:val="auto"/>
                <w:w w:val="88"/>
              </w:rPr>
              <w:t>October 5, 2012</w:t>
            </w:r>
          </w:p>
        </w:tc>
      </w:tr>
      <w:tr>
        <w:trPr>
          <w:trHeight w:val="420"/>
        </w:trPr>
        <w:tc>
          <w:tcPr>
            <w:tcW w:w="460" w:type="dxa"/>
            <w:vAlign w:val="bottom"/>
          </w:tcPr>
          <w:p>
            <w:pPr>
              <w:spacing w:after="0"/>
              <w:rPr>
                <w:sz w:val="20"/>
                <w:szCs w:val="20"/>
                <w:color w:val="auto"/>
              </w:rPr>
            </w:pPr>
            <w:r>
              <w:rPr>
                <w:rFonts w:ascii="Arial" w:cs="Arial" w:eastAsia="Arial" w:hAnsi="Arial"/>
                <w:sz w:val="18"/>
                <w:szCs w:val="18"/>
                <w:b w:val="1"/>
                <w:bCs w:val="1"/>
                <w:color w:val="auto"/>
              </w:rPr>
              <w:t>* By:</w:t>
            </w:r>
          </w:p>
        </w:tc>
        <w:tc>
          <w:tcPr>
            <w:tcW w:w="3080" w:type="dxa"/>
            <w:vAlign w:val="bottom"/>
            <w:tcBorders>
              <w:bottom w:val="single" w:sz="8" w:color="auto"/>
            </w:tcBorders>
          </w:tcPr>
          <w:p>
            <w:pPr>
              <w:jc w:val="center"/>
              <w:ind w:left="1020"/>
              <w:spacing w:after="0"/>
              <w:rPr>
                <w:sz w:val="20"/>
                <w:szCs w:val="20"/>
                <w:color w:val="auto"/>
              </w:rPr>
            </w:pPr>
            <w:r>
              <w:rPr>
                <w:rFonts w:ascii="Arial" w:cs="Arial" w:eastAsia="Arial" w:hAnsi="Arial"/>
                <w:sz w:val="18"/>
                <w:szCs w:val="18"/>
                <w:color w:val="auto"/>
                <w:w w:val="90"/>
              </w:rPr>
              <w:t>/s/ Kim Sinatra</w:t>
            </w:r>
          </w:p>
        </w:tc>
        <w:tc>
          <w:tcPr>
            <w:tcW w:w="1040" w:type="dxa"/>
            <w:vAlign w:val="bottom"/>
            <w:tcBorders>
              <w:bottom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30"/>
        </w:trPr>
        <w:tc>
          <w:tcPr>
            <w:tcW w:w="460" w:type="dxa"/>
            <w:vAlign w:val="bottom"/>
          </w:tcPr>
          <w:p>
            <w:pPr>
              <w:spacing w:after="0"/>
              <w:rPr>
                <w:sz w:val="11"/>
                <w:szCs w:val="11"/>
                <w:color w:val="auto"/>
              </w:rPr>
            </w:pPr>
          </w:p>
        </w:tc>
        <w:tc>
          <w:tcPr>
            <w:tcW w:w="3080" w:type="dxa"/>
            <w:vAlign w:val="bottom"/>
          </w:tcPr>
          <w:p>
            <w:pPr>
              <w:jc w:val="center"/>
              <w:ind w:left="1000"/>
              <w:spacing w:after="0" w:line="131" w:lineRule="exact"/>
              <w:rPr>
                <w:sz w:val="20"/>
                <w:szCs w:val="20"/>
                <w:color w:val="auto"/>
              </w:rPr>
            </w:pPr>
            <w:r>
              <w:rPr>
                <w:rFonts w:ascii="Arial" w:cs="Arial" w:eastAsia="Arial" w:hAnsi="Arial"/>
                <w:sz w:val="14"/>
                <w:szCs w:val="14"/>
                <w:b w:val="1"/>
                <w:bCs w:val="1"/>
                <w:color w:val="auto"/>
                <w:w w:val="92"/>
              </w:rPr>
              <w:t>Kim Sinatra</w:t>
            </w:r>
          </w:p>
        </w:tc>
        <w:tc>
          <w:tcPr>
            <w:tcW w:w="10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880" w:type="dxa"/>
            <w:vAlign w:val="bottom"/>
          </w:tcPr>
          <w:p>
            <w:pPr>
              <w:spacing w:after="0"/>
              <w:rPr>
                <w:sz w:val="11"/>
                <w:szCs w:val="11"/>
                <w:color w:val="auto"/>
              </w:rPr>
            </w:pPr>
          </w:p>
        </w:tc>
      </w:tr>
      <w:tr>
        <w:trPr>
          <w:trHeight w:val="174"/>
        </w:trPr>
        <w:tc>
          <w:tcPr>
            <w:tcW w:w="460" w:type="dxa"/>
            <w:vAlign w:val="bottom"/>
          </w:tcPr>
          <w:p>
            <w:pPr>
              <w:spacing w:after="0"/>
              <w:rPr>
                <w:sz w:val="15"/>
                <w:szCs w:val="15"/>
                <w:color w:val="auto"/>
              </w:rPr>
            </w:pPr>
          </w:p>
        </w:tc>
        <w:tc>
          <w:tcPr>
            <w:tcW w:w="3080" w:type="dxa"/>
            <w:vAlign w:val="bottom"/>
          </w:tcPr>
          <w:p>
            <w:pPr>
              <w:jc w:val="center"/>
              <w:ind w:left="1020"/>
              <w:spacing w:after="0"/>
              <w:rPr>
                <w:sz w:val="20"/>
                <w:szCs w:val="20"/>
                <w:color w:val="auto"/>
              </w:rPr>
            </w:pPr>
            <w:r>
              <w:rPr>
                <w:rFonts w:ascii="Arial" w:cs="Arial" w:eastAsia="Arial" w:hAnsi="Arial"/>
                <w:sz w:val="14"/>
                <w:szCs w:val="14"/>
                <w:b w:val="1"/>
                <w:bCs w:val="1"/>
                <w:color w:val="auto"/>
                <w:w w:val="90"/>
              </w:rPr>
              <w:t>Attorney-in-fact</w:t>
            </w:r>
          </w:p>
        </w:tc>
        <w:tc>
          <w:tcPr>
            <w:tcW w:w="10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50"/>
        </w:trPr>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00" w:type="dxa"/>
            <w:vAlign w:val="bottom"/>
          </w:tcPr>
          <w:p>
            <w:pPr>
              <w:ind w:left="1000"/>
              <w:spacing w:after="0"/>
              <w:rPr>
                <w:sz w:val="20"/>
                <w:szCs w:val="20"/>
                <w:color w:val="auto"/>
              </w:rPr>
            </w:pPr>
            <w:r>
              <w:rPr>
                <w:rFonts w:ascii="Arial" w:cs="Arial" w:eastAsia="Arial" w:hAnsi="Arial"/>
                <w:sz w:val="18"/>
                <w:szCs w:val="18"/>
                <w:color w:val="auto"/>
              </w:rPr>
              <w:t>II-9</w:t>
            </w:r>
          </w:p>
        </w:tc>
        <w:tc>
          <w:tcPr>
            <w:tcW w:w="1880" w:type="dxa"/>
            <w:vAlign w:val="bottom"/>
          </w:tcPr>
          <w:p>
            <w:pPr>
              <w:spacing w:after="0"/>
              <w:rPr>
                <w:sz w:val="24"/>
                <w:szCs w:val="24"/>
                <w:color w:val="auto"/>
              </w:rPr>
            </w:pPr>
          </w:p>
        </w:tc>
      </w:tr>
    </w:tbl>
    <w:p>
      <w:pPr>
        <w:sectPr>
          <w:pgSz w:w="11900" w:h="16838" w:orient="portrait"/>
          <w:cols w:equalWidth="0" w:num="1">
            <w:col w:w="10219"/>
          </w:cols>
          <w:pgMar w:left="240" w:top="460" w:right="1440"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October 5,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Matt Maddox</w:t>
            </w:r>
          </w:p>
        </w:tc>
      </w:tr>
      <w:tr>
        <w:trPr>
          <w:trHeight w:val="197"/>
        </w:trPr>
        <w:tc>
          <w:tcPr>
            <w:tcW w:w="580" w:type="dxa"/>
            <w:vAlign w:val="bottom"/>
          </w:tcPr>
          <w:p>
            <w:pPr>
              <w:spacing w:after="0" w:line="197" w:lineRule="exact"/>
              <w:rPr>
                <w:sz w:val="20"/>
                <w:szCs w:val="20"/>
                <w:color w:val="auto"/>
              </w:rPr>
            </w:pPr>
            <w:r>
              <w:rPr>
                <w:rFonts w:ascii="Arial" w:cs="Arial" w:eastAsia="Arial" w:hAnsi="Arial"/>
                <w:sz w:val="18"/>
                <w:szCs w:val="18"/>
                <w:b w:val="1"/>
                <w:bCs w:val="1"/>
                <w:color w:val="auto"/>
              </w:rPr>
              <w:t>Name:</w:t>
            </w:r>
          </w:p>
        </w:tc>
        <w:tc>
          <w:tcPr>
            <w:tcW w:w="398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4"/>
              </w:rPr>
              <w:t>Matt Maddox</w:t>
            </w:r>
          </w:p>
        </w:tc>
      </w:tr>
      <w:tr>
        <w:trPr>
          <w:trHeight w:val="228"/>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9"/>
              </w:rPr>
              <w:t>Chief Financial Officer and Treasurer</w:t>
            </w:r>
          </w:p>
        </w:tc>
      </w:tr>
    </w:tbl>
    <w:p>
      <w:pPr>
        <w:spacing w:after="0" w:line="15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3080" w:type="dxa"/>
            <w:vAlign w:val="bottom"/>
          </w:tcPr>
          <w:p>
            <w:pPr>
              <w:jc w:val="center"/>
              <w:ind w:right="34"/>
              <w:spacing w:after="0"/>
              <w:rPr>
                <w:sz w:val="20"/>
                <w:szCs w:val="20"/>
                <w:color w:val="auto"/>
              </w:rPr>
            </w:pPr>
            <w:r>
              <w:rPr>
                <w:rFonts w:ascii="Arial" w:cs="Arial" w:eastAsia="Arial" w:hAnsi="Arial"/>
                <w:sz w:val="14"/>
                <w:szCs w:val="14"/>
                <w:b w:val="1"/>
                <w:bCs w:val="1"/>
                <w:color w:val="auto"/>
                <w:w w:val="86"/>
              </w:rPr>
              <w:t>Signature</w:t>
            </w:r>
          </w:p>
        </w:tc>
        <w:tc>
          <w:tcPr>
            <w:tcW w:w="1040" w:type="dxa"/>
            <w:vAlign w:val="bottom"/>
          </w:tcPr>
          <w:p>
            <w:pPr>
              <w:spacing w:after="0"/>
              <w:rPr>
                <w:sz w:val="15"/>
                <w:szCs w:val="15"/>
                <w:color w:val="auto"/>
              </w:rPr>
            </w:pPr>
          </w:p>
        </w:tc>
        <w:tc>
          <w:tcPr>
            <w:tcW w:w="3640" w:type="dxa"/>
            <w:vAlign w:val="bottom"/>
          </w:tcPr>
          <w:p>
            <w:pPr>
              <w:ind w:left="1120"/>
              <w:spacing w:after="0"/>
              <w:rPr>
                <w:sz w:val="20"/>
                <w:szCs w:val="20"/>
                <w:color w:val="auto"/>
              </w:rPr>
            </w:pPr>
            <w:r>
              <w:rPr>
                <w:rFonts w:ascii="Arial" w:cs="Arial" w:eastAsia="Arial" w:hAnsi="Arial"/>
                <w:sz w:val="14"/>
                <w:szCs w:val="14"/>
                <w:b w:val="1"/>
                <w:bCs w:val="1"/>
                <w:color w:val="auto"/>
              </w:rPr>
              <w:t>Title</w:t>
            </w:r>
          </w:p>
        </w:tc>
        <w:tc>
          <w:tcPr>
            <w:tcW w:w="1940" w:type="dxa"/>
            <w:vAlign w:val="bottom"/>
          </w:tcPr>
          <w:p>
            <w:pPr>
              <w:jc w:val="center"/>
              <w:ind w:left="734"/>
              <w:spacing w:after="0"/>
              <w:rPr>
                <w:sz w:val="20"/>
                <w:szCs w:val="20"/>
                <w:color w:val="auto"/>
              </w:rPr>
            </w:pPr>
            <w:r>
              <w:rPr>
                <w:rFonts w:ascii="Arial" w:cs="Arial" w:eastAsia="Arial" w:hAnsi="Arial"/>
                <w:sz w:val="14"/>
                <w:szCs w:val="14"/>
                <w:b w:val="1"/>
                <w:bCs w:val="1"/>
                <w:color w:val="auto"/>
                <w:w w:val="92"/>
              </w:rPr>
              <w:t>Date</w:t>
            </w:r>
          </w:p>
        </w:tc>
      </w:tr>
      <w:tr>
        <w:trPr>
          <w:trHeight w:val="297"/>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34"/>
              <w:spacing w:after="0"/>
              <w:rPr>
                <w:sz w:val="20"/>
                <w:szCs w:val="20"/>
                <w:color w:val="auto"/>
              </w:rPr>
            </w:pPr>
            <w:r>
              <w:rPr>
                <w:rFonts w:ascii="Arial" w:cs="Arial" w:eastAsia="Arial" w:hAnsi="Arial"/>
                <w:sz w:val="18"/>
                <w:szCs w:val="18"/>
                <w:b w:val="1"/>
                <w:bCs w:val="1"/>
                <w:color w:val="auto"/>
                <w:w w:val="89"/>
              </w:rPr>
              <w:t>Stephen A. Wynn</w:t>
            </w:r>
          </w:p>
        </w:tc>
        <w:tc>
          <w:tcPr>
            <w:tcW w:w="4680" w:type="dxa"/>
            <w:vAlign w:val="bottom"/>
            <w:gridSpan w:val="2"/>
          </w:tcPr>
          <w:p>
            <w:pPr>
              <w:ind w:left="480"/>
              <w:spacing w:after="0"/>
              <w:rPr>
                <w:sz w:val="20"/>
                <w:szCs w:val="20"/>
                <w:color w:val="auto"/>
              </w:rPr>
            </w:pPr>
            <w:r>
              <w:rPr>
                <w:rFonts w:ascii="Arial" w:cs="Arial" w:eastAsia="Arial" w:hAnsi="Arial"/>
                <w:sz w:val="18"/>
                <w:szCs w:val="18"/>
                <w:color w:val="auto"/>
              </w:rPr>
              <w:t>Chairman of the Board</w:t>
            </w:r>
          </w:p>
        </w:tc>
        <w:tc>
          <w:tcPr>
            <w:tcW w:w="1940" w:type="dxa"/>
            <w:vAlign w:val="bottom"/>
          </w:tcPr>
          <w:p>
            <w:pPr>
              <w:jc w:val="center"/>
              <w:ind w:left="714"/>
              <w:spacing w:after="0"/>
              <w:rPr>
                <w:sz w:val="20"/>
                <w:szCs w:val="20"/>
                <w:color w:val="auto"/>
              </w:rPr>
            </w:pPr>
            <w:r>
              <w:rPr>
                <w:rFonts w:ascii="Arial" w:cs="Arial" w:eastAsia="Arial" w:hAnsi="Arial"/>
                <w:sz w:val="18"/>
                <w:szCs w:val="18"/>
                <w:color w:val="auto"/>
                <w:w w:val="88"/>
              </w:rPr>
              <w:t>October 5,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91"/>
              </w:rPr>
              <w:t>Linda Chen</w:t>
            </w:r>
          </w:p>
        </w:tc>
        <w:tc>
          <w:tcPr>
            <w:tcW w:w="46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ind w:left="714"/>
              <w:spacing w:after="0"/>
              <w:rPr>
                <w:sz w:val="20"/>
                <w:szCs w:val="20"/>
                <w:color w:val="auto"/>
              </w:rPr>
            </w:pPr>
            <w:r>
              <w:rPr>
                <w:rFonts w:ascii="Arial" w:cs="Arial" w:eastAsia="Arial" w:hAnsi="Arial"/>
                <w:sz w:val="18"/>
                <w:szCs w:val="18"/>
                <w:color w:val="auto"/>
                <w:w w:val="88"/>
              </w:rPr>
              <w:t>October 5,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87"/>
              </w:rPr>
              <w:t>Russell Goldsmith</w:t>
            </w:r>
          </w:p>
        </w:tc>
        <w:tc>
          <w:tcPr>
            <w:tcW w:w="46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ind w:left="714"/>
              <w:spacing w:after="0"/>
              <w:rPr>
                <w:sz w:val="20"/>
                <w:szCs w:val="20"/>
                <w:color w:val="auto"/>
              </w:rPr>
            </w:pPr>
            <w:r>
              <w:rPr>
                <w:rFonts w:ascii="Arial" w:cs="Arial" w:eastAsia="Arial" w:hAnsi="Arial"/>
                <w:sz w:val="18"/>
                <w:szCs w:val="18"/>
                <w:color w:val="auto"/>
                <w:w w:val="88"/>
              </w:rPr>
              <w:t>October 5,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94"/>
              </w:rPr>
              <w:t>Dr. Ray R. Irani</w:t>
            </w:r>
          </w:p>
        </w:tc>
        <w:tc>
          <w:tcPr>
            <w:tcW w:w="46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ind w:left="714"/>
              <w:spacing w:after="0"/>
              <w:rPr>
                <w:sz w:val="20"/>
                <w:szCs w:val="20"/>
                <w:color w:val="auto"/>
              </w:rPr>
            </w:pPr>
            <w:r>
              <w:rPr>
                <w:rFonts w:ascii="Arial" w:cs="Arial" w:eastAsia="Arial" w:hAnsi="Arial"/>
                <w:sz w:val="18"/>
                <w:szCs w:val="18"/>
                <w:color w:val="auto"/>
                <w:w w:val="88"/>
              </w:rPr>
              <w:t>October 5,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93"/>
              </w:rPr>
              <w:t>Robert J. Miller</w:t>
            </w:r>
          </w:p>
        </w:tc>
        <w:tc>
          <w:tcPr>
            <w:tcW w:w="46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ind w:left="714"/>
              <w:spacing w:after="0"/>
              <w:rPr>
                <w:sz w:val="20"/>
                <w:szCs w:val="20"/>
                <w:color w:val="auto"/>
              </w:rPr>
            </w:pPr>
            <w:r>
              <w:rPr>
                <w:rFonts w:ascii="Arial" w:cs="Arial" w:eastAsia="Arial" w:hAnsi="Arial"/>
                <w:sz w:val="18"/>
                <w:szCs w:val="18"/>
                <w:color w:val="auto"/>
                <w:w w:val="88"/>
              </w:rPr>
              <w:t>October 5,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91"/>
              </w:rPr>
              <w:t>John A. Moran</w:t>
            </w:r>
          </w:p>
        </w:tc>
        <w:tc>
          <w:tcPr>
            <w:tcW w:w="46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ind w:left="714"/>
              <w:spacing w:after="0"/>
              <w:rPr>
                <w:sz w:val="20"/>
                <w:szCs w:val="20"/>
                <w:color w:val="auto"/>
              </w:rPr>
            </w:pPr>
            <w:r>
              <w:rPr>
                <w:rFonts w:ascii="Arial" w:cs="Arial" w:eastAsia="Arial" w:hAnsi="Arial"/>
                <w:sz w:val="18"/>
                <w:szCs w:val="18"/>
                <w:color w:val="auto"/>
                <w:w w:val="88"/>
              </w:rPr>
              <w:t>October 5,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89"/>
              </w:rPr>
              <w:t>Alvin V. Shoemaker</w:t>
            </w:r>
          </w:p>
        </w:tc>
        <w:tc>
          <w:tcPr>
            <w:tcW w:w="46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ind w:left="714"/>
              <w:spacing w:after="0"/>
              <w:rPr>
                <w:sz w:val="20"/>
                <w:szCs w:val="20"/>
                <w:color w:val="auto"/>
              </w:rPr>
            </w:pPr>
            <w:r>
              <w:rPr>
                <w:rFonts w:ascii="Arial" w:cs="Arial" w:eastAsia="Arial" w:hAnsi="Arial"/>
                <w:sz w:val="18"/>
                <w:szCs w:val="18"/>
                <w:color w:val="auto"/>
                <w:w w:val="88"/>
              </w:rPr>
              <w:t>October 5,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34"/>
              <w:spacing w:after="0"/>
              <w:rPr>
                <w:sz w:val="20"/>
                <w:szCs w:val="20"/>
                <w:color w:val="auto"/>
              </w:rPr>
            </w:pPr>
            <w:r>
              <w:rPr>
                <w:rFonts w:ascii="Arial" w:cs="Arial" w:eastAsia="Arial" w:hAnsi="Arial"/>
                <w:sz w:val="18"/>
                <w:szCs w:val="18"/>
                <w:b w:val="1"/>
                <w:bCs w:val="1"/>
                <w:color w:val="auto"/>
                <w:w w:val="86"/>
              </w:rPr>
              <w:t>D. Boone Wayson</w:t>
            </w:r>
          </w:p>
        </w:tc>
        <w:tc>
          <w:tcPr>
            <w:tcW w:w="46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ind w:left="714"/>
              <w:spacing w:after="0"/>
              <w:rPr>
                <w:sz w:val="20"/>
                <w:szCs w:val="20"/>
                <w:color w:val="auto"/>
              </w:rPr>
            </w:pPr>
            <w:r>
              <w:rPr>
                <w:rFonts w:ascii="Arial" w:cs="Arial" w:eastAsia="Arial" w:hAnsi="Arial"/>
                <w:sz w:val="18"/>
                <w:szCs w:val="18"/>
                <w:color w:val="auto"/>
                <w:w w:val="88"/>
              </w:rPr>
              <w:t>October 5,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34"/>
              <w:spacing w:after="0"/>
              <w:rPr>
                <w:sz w:val="20"/>
                <w:szCs w:val="20"/>
                <w:color w:val="auto"/>
              </w:rPr>
            </w:pPr>
            <w:r>
              <w:rPr>
                <w:rFonts w:ascii="Arial" w:cs="Arial" w:eastAsia="Arial" w:hAnsi="Arial"/>
                <w:sz w:val="18"/>
                <w:szCs w:val="18"/>
                <w:b w:val="1"/>
                <w:bCs w:val="1"/>
                <w:color w:val="auto"/>
                <w:w w:val="89"/>
              </w:rPr>
              <w:t>Elaine P. Wynn</w:t>
            </w:r>
          </w:p>
        </w:tc>
        <w:tc>
          <w:tcPr>
            <w:tcW w:w="46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ind w:left="714"/>
              <w:spacing w:after="0"/>
              <w:rPr>
                <w:sz w:val="20"/>
                <w:szCs w:val="20"/>
                <w:color w:val="auto"/>
              </w:rPr>
            </w:pPr>
            <w:r>
              <w:rPr>
                <w:rFonts w:ascii="Arial" w:cs="Arial" w:eastAsia="Arial" w:hAnsi="Arial"/>
                <w:sz w:val="18"/>
                <w:szCs w:val="18"/>
                <w:color w:val="auto"/>
                <w:w w:val="88"/>
              </w:rPr>
              <w:t>October 5,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91"/>
              </w:rPr>
              <w:t>Allan Zeman</w:t>
            </w:r>
          </w:p>
        </w:tc>
        <w:tc>
          <w:tcPr>
            <w:tcW w:w="46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ind w:left="714"/>
              <w:spacing w:after="0"/>
              <w:rPr>
                <w:sz w:val="20"/>
                <w:szCs w:val="20"/>
                <w:color w:val="auto"/>
              </w:rPr>
            </w:pPr>
            <w:r>
              <w:rPr>
                <w:rFonts w:ascii="Arial" w:cs="Arial" w:eastAsia="Arial" w:hAnsi="Arial"/>
                <w:sz w:val="18"/>
                <w:szCs w:val="18"/>
                <w:color w:val="auto"/>
                <w:w w:val="88"/>
              </w:rPr>
              <w:t>October 5,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w w:val="92"/>
              </w:rPr>
              <w:t>Marc D. Schorr</w:t>
            </w:r>
          </w:p>
        </w:tc>
        <w:tc>
          <w:tcPr>
            <w:tcW w:w="4680" w:type="dxa"/>
            <w:vAlign w:val="bottom"/>
            <w:gridSpan w:val="2"/>
          </w:tcPr>
          <w:p>
            <w:pPr>
              <w:ind w:left="480"/>
              <w:spacing w:after="0"/>
              <w:rPr>
                <w:sz w:val="20"/>
                <w:szCs w:val="20"/>
                <w:color w:val="auto"/>
              </w:rPr>
            </w:pPr>
            <w:r>
              <w:rPr>
                <w:rFonts w:ascii="Arial" w:cs="Arial" w:eastAsia="Arial" w:hAnsi="Arial"/>
                <w:sz w:val="18"/>
                <w:szCs w:val="18"/>
                <w:color w:val="auto"/>
              </w:rPr>
              <w:t>Chief Operating Officer (Principal Executive</w:t>
            </w:r>
          </w:p>
        </w:tc>
        <w:tc>
          <w:tcPr>
            <w:tcW w:w="1940" w:type="dxa"/>
            <w:vAlign w:val="bottom"/>
          </w:tcPr>
          <w:p>
            <w:pPr>
              <w:spacing w:after="0"/>
              <w:rPr>
                <w:sz w:val="19"/>
                <w:szCs w:val="19"/>
                <w:color w:val="auto"/>
              </w:rPr>
            </w:pPr>
          </w:p>
        </w:tc>
      </w:tr>
      <w:tr>
        <w:trPr>
          <w:trHeight w:val="222"/>
        </w:trPr>
        <w:tc>
          <w:tcPr>
            <w:tcW w:w="4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680" w:type="dxa"/>
            <w:vAlign w:val="bottom"/>
            <w:gridSpan w:val="2"/>
          </w:tcPr>
          <w:p>
            <w:pPr>
              <w:ind w:left="480"/>
              <w:spacing w:after="0"/>
              <w:rPr>
                <w:sz w:val="20"/>
                <w:szCs w:val="20"/>
                <w:color w:val="auto"/>
              </w:rPr>
            </w:pPr>
            <w:r>
              <w:rPr>
                <w:rFonts w:ascii="Arial" w:cs="Arial" w:eastAsia="Arial" w:hAnsi="Arial"/>
                <w:sz w:val="18"/>
                <w:szCs w:val="18"/>
                <w:color w:val="auto"/>
              </w:rPr>
              <w:t>Officer)</w:t>
            </w:r>
          </w:p>
        </w:tc>
        <w:tc>
          <w:tcPr>
            <w:tcW w:w="1940" w:type="dxa"/>
            <w:vAlign w:val="bottom"/>
          </w:tcPr>
          <w:p>
            <w:pPr>
              <w:jc w:val="center"/>
              <w:ind w:left="714"/>
              <w:spacing w:after="0"/>
              <w:rPr>
                <w:sz w:val="20"/>
                <w:szCs w:val="20"/>
                <w:color w:val="auto"/>
              </w:rPr>
            </w:pPr>
            <w:r>
              <w:rPr>
                <w:rFonts w:ascii="Arial" w:cs="Arial" w:eastAsia="Arial" w:hAnsi="Arial"/>
                <w:sz w:val="18"/>
                <w:szCs w:val="18"/>
                <w:color w:val="auto"/>
                <w:w w:val="88"/>
              </w:rPr>
              <w:t>October 5, 2012</w:t>
            </w:r>
          </w:p>
        </w:tc>
      </w:tr>
      <w:tr>
        <w:trPr>
          <w:trHeight w:val="312"/>
        </w:trPr>
        <w:tc>
          <w:tcPr>
            <w:tcW w:w="460" w:type="dxa"/>
            <w:vAlign w:val="bottom"/>
          </w:tcPr>
          <w:p>
            <w:pPr>
              <w:spacing w:after="0"/>
              <w:rPr>
                <w:sz w:val="24"/>
                <w:szCs w:val="24"/>
                <w:color w:val="auto"/>
              </w:rPr>
            </w:pPr>
          </w:p>
        </w:tc>
        <w:tc>
          <w:tcPr>
            <w:tcW w:w="3080" w:type="dxa"/>
            <w:vAlign w:val="bottom"/>
          </w:tcPr>
          <w:p>
            <w:pPr>
              <w:jc w:val="center"/>
              <w:ind w:right="1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3080" w:type="dxa"/>
            <w:vAlign w:val="bottom"/>
          </w:tcPr>
          <w:p>
            <w:pPr>
              <w:jc w:val="center"/>
              <w:ind w:right="34"/>
              <w:spacing w:after="0"/>
              <w:rPr>
                <w:sz w:val="20"/>
                <w:szCs w:val="20"/>
                <w:color w:val="auto"/>
              </w:rPr>
            </w:pPr>
            <w:r>
              <w:rPr>
                <w:rFonts w:ascii="Arial" w:cs="Arial" w:eastAsia="Arial" w:hAnsi="Arial"/>
                <w:sz w:val="18"/>
                <w:szCs w:val="18"/>
                <w:b w:val="1"/>
                <w:bCs w:val="1"/>
                <w:color w:val="auto"/>
                <w:w w:val="94"/>
              </w:rPr>
              <w:t>Matt Maddox</w:t>
            </w:r>
          </w:p>
        </w:tc>
        <w:tc>
          <w:tcPr>
            <w:tcW w:w="4680" w:type="dxa"/>
            <w:vAlign w:val="bottom"/>
            <w:gridSpan w:val="2"/>
          </w:tcPr>
          <w:p>
            <w:pPr>
              <w:ind w:left="480"/>
              <w:spacing w:after="0"/>
              <w:rPr>
                <w:sz w:val="20"/>
                <w:szCs w:val="20"/>
                <w:color w:val="auto"/>
              </w:rPr>
            </w:pPr>
            <w:r>
              <w:rPr>
                <w:rFonts w:ascii="Arial" w:cs="Arial" w:eastAsia="Arial" w:hAnsi="Arial"/>
                <w:sz w:val="18"/>
                <w:szCs w:val="18"/>
                <w:color w:val="auto"/>
              </w:rPr>
              <w:t>Chief Financial Officer and Treasurer (Principal</w:t>
            </w:r>
          </w:p>
        </w:tc>
        <w:tc>
          <w:tcPr>
            <w:tcW w:w="1940" w:type="dxa"/>
            <w:vAlign w:val="bottom"/>
          </w:tcPr>
          <w:p>
            <w:pPr>
              <w:spacing w:after="0"/>
              <w:rPr>
                <w:sz w:val="19"/>
                <w:szCs w:val="19"/>
                <w:color w:val="auto"/>
              </w:rPr>
            </w:pPr>
          </w:p>
        </w:tc>
      </w:tr>
      <w:tr>
        <w:trPr>
          <w:trHeight w:val="222"/>
        </w:trPr>
        <w:tc>
          <w:tcPr>
            <w:tcW w:w="4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680" w:type="dxa"/>
            <w:vAlign w:val="bottom"/>
            <w:gridSpan w:val="2"/>
          </w:tcPr>
          <w:p>
            <w:pPr>
              <w:ind w:left="480"/>
              <w:spacing w:after="0"/>
              <w:rPr>
                <w:sz w:val="20"/>
                <w:szCs w:val="20"/>
                <w:color w:val="auto"/>
              </w:rPr>
            </w:pPr>
            <w:r>
              <w:rPr>
                <w:rFonts w:ascii="Arial" w:cs="Arial" w:eastAsia="Arial" w:hAnsi="Arial"/>
                <w:sz w:val="18"/>
                <w:szCs w:val="18"/>
                <w:color w:val="auto"/>
              </w:rPr>
              <w:t>Financial and Accounting Officer)</w:t>
            </w:r>
          </w:p>
        </w:tc>
        <w:tc>
          <w:tcPr>
            <w:tcW w:w="1940" w:type="dxa"/>
            <w:vAlign w:val="bottom"/>
          </w:tcPr>
          <w:p>
            <w:pPr>
              <w:jc w:val="center"/>
              <w:ind w:left="714"/>
              <w:spacing w:after="0"/>
              <w:rPr>
                <w:sz w:val="20"/>
                <w:szCs w:val="20"/>
                <w:color w:val="auto"/>
              </w:rPr>
            </w:pPr>
            <w:r>
              <w:rPr>
                <w:rFonts w:ascii="Arial" w:cs="Arial" w:eastAsia="Arial" w:hAnsi="Arial"/>
                <w:sz w:val="18"/>
                <w:szCs w:val="18"/>
                <w:color w:val="auto"/>
                <w:w w:val="88"/>
              </w:rPr>
              <w:t>October 5, 2012</w:t>
            </w:r>
          </w:p>
        </w:tc>
      </w:tr>
      <w:tr>
        <w:trPr>
          <w:trHeight w:val="420"/>
        </w:trPr>
        <w:tc>
          <w:tcPr>
            <w:tcW w:w="460" w:type="dxa"/>
            <w:vAlign w:val="bottom"/>
          </w:tcPr>
          <w:p>
            <w:pPr>
              <w:spacing w:after="0"/>
              <w:rPr>
                <w:sz w:val="20"/>
                <w:szCs w:val="20"/>
                <w:color w:val="auto"/>
              </w:rPr>
            </w:pPr>
            <w:r>
              <w:rPr>
                <w:rFonts w:ascii="Arial" w:cs="Arial" w:eastAsia="Arial" w:hAnsi="Arial"/>
                <w:sz w:val="18"/>
                <w:szCs w:val="18"/>
                <w:color w:val="auto"/>
              </w:rPr>
              <w:t>* By:</w:t>
            </w:r>
          </w:p>
        </w:tc>
        <w:tc>
          <w:tcPr>
            <w:tcW w:w="3080" w:type="dxa"/>
            <w:vAlign w:val="bottom"/>
            <w:tcBorders>
              <w:bottom w:val="single" w:sz="8" w:color="auto"/>
            </w:tcBorders>
          </w:tcPr>
          <w:p>
            <w:pPr>
              <w:jc w:val="center"/>
              <w:ind w:left="1014"/>
              <w:spacing w:after="0"/>
              <w:rPr>
                <w:sz w:val="20"/>
                <w:szCs w:val="20"/>
                <w:color w:val="auto"/>
              </w:rPr>
            </w:pPr>
            <w:r>
              <w:rPr>
                <w:rFonts w:ascii="Arial" w:cs="Arial" w:eastAsia="Arial" w:hAnsi="Arial"/>
                <w:sz w:val="18"/>
                <w:szCs w:val="18"/>
                <w:color w:val="auto"/>
                <w:w w:val="90"/>
              </w:rPr>
              <w:t>/s/ Kim Sinatra</w:t>
            </w:r>
          </w:p>
        </w:tc>
        <w:tc>
          <w:tcPr>
            <w:tcW w:w="1040" w:type="dxa"/>
            <w:vAlign w:val="bottom"/>
            <w:tcBorders>
              <w:bottom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30"/>
        </w:trPr>
        <w:tc>
          <w:tcPr>
            <w:tcW w:w="460" w:type="dxa"/>
            <w:vAlign w:val="bottom"/>
          </w:tcPr>
          <w:p>
            <w:pPr>
              <w:spacing w:after="0"/>
              <w:rPr>
                <w:sz w:val="11"/>
                <w:szCs w:val="11"/>
                <w:color w:val="auto"/>
              </w:rPr>
            </w:pPr>
          </w:p>
        </w:tc>
        <w:tc>
          <w:tcPr>
            <w:tcW w:w="3080" w:type="dxa"/>
            <w:vAlign w:val="bottom"/>
          </w:tcPr>
          <w:p>
            <w:pPr>
              <w:jc w:val="center"/>
              <w:ind w:left="994"/>
              <w:spacing w:after="0" w:line="131" w:lineRule="exact"/>
              <w:rPr>
                <w:sz w:val="20"/>
                <w:szCs w:val="20"/>
                <w:color w:val="auto"/>
              </w:rPr>
            </w:pPr>
            <w:r>
              <w:rPr>
                <w:rFonts w:ascii="Arial" w:cs="Arial" w:eastAsia="Arial" w:hAnsi="Arial"/>
                <w:sz w:val="14"/>
                <w:szCs w:val="14"/>
                <w:b w:val="1"/>
                <w:bCs w:val="1"/>
                <w:color w:val="auto"/>
                <w:w w:val="92"/>
              </w:rPr>
              <w:t>Kim Sinatra</w:t>
            </w:r>
          </w:p>
        </w:tc>
        <w:tc>
          <w:tcPr>
            <w:tcW w:w="10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74"/>
        </w:trPr>
        <w:tc>
          <w:tcPr>
            <w:tcW w:w="460" w:type="dxa"/>
            <w:vAlign w:val="bottom"/>
          </w:tcPr>
          <w:p>
            <w:pPr>
              <w:spacing w:after="0"/>
              <w:rPr>
                <w:sz w:val="15"/>
                <w:szCs w:val="15"/>
                <w:color w:val="auto"/>
              </w:rPr>
            </w:pPr>
          </w:p>
        </w:tc>
        <w:tc>
          <w:tcPr>
            <w:tcW w:w="3080" w:type="dxa"/>
            <w:vAlign w:val="bottom"/>
          </w:tcPr>
          <w:p>
            <w:pPr>
              <w:jc w:val="center"/>
              <w:ind w:left="1014"/>
              <w:spacing w:after="0"/>
              <w:rPr>
                <w:sz w:val="20"/>
                <w:szCs w:val="20"/>
                <w:color w:val="auto"/>
              </w:rPr>
            </w:pPr>
            <w:r>
              <w:rPr>
                <w:rFonts w:ascii="Arial" w:cs="Arial" w:eastAsia="Arial" w:hAnsi="Arial"/>
                <w:sz w:val="14"/>
                <w:szCs w:val="14"/>
                <w:b w:val="1"/>
                <w:bCs w:val="1"/>
                <w:color w:val="auto"/>
                <w:w w:val="90"/>
              </w:rPr>
              <w:t>Attorney-in-fact</w:t>
            </w:r>
          </w:p>
        </w:tc>
        <w:tc>
          <w:tcPr>
            <w:tcW w:w="10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50"/>
        </w:trPr>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40" w:type="dxa"/>
            <w:vAlign w:val="bottom"/>
          </w:tcPr>
          <w:p>
            <w:pPr>
              <w:ind w:left="960"/>
              <w:spacing w:after="0"/>
              <w:rPr>
                <w:sz w:val="20"/>
                <w:szCs w:val="20"/>
                <w:color w:val="auto"/>
              </w:rPr>
            </w:pPr>
            <w:r>
              <w:rPr>
                <w:rFonts w:ascii="Arial" w:cs="Arial" w:eastAsia="Arial" w:hAnsi="Arial"/>
                <w:sz w:val="18"/>
                <w:szCs w:val="18"/>
                <w:color w:val="auto"/>
              </w:rPr>
              <w:t>II-10</w:t>
            </w:r>
          </w:p>
        </w:tc>
        <w:tc>
          <w:tcPr>
            <w:tcW w:w="194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10640" w:type="dxa"/>
            <w:vAlign w:val="bottom"/>
          </w:tcPr>
          <w:p>
            <w:pPr>
              <w:ind w:left="4080"/>
              <w:spacing w:after="0"/>
              <w:rPr>
                <w:sz w:val="20"/>
                <w:szCs w:val="20"/>
                <w:color w:val="auto"/>
              </w:rPr>
            </w:pPr>
            <w:r>
              <w:rPr>
                <w:rFonts w:ascii="Arial" w:cs="Arial" w:eastAsia="Arial" w:hAnsi="Arial"/>
                <w:sz w:val="18"/>
                <w:szCs w:val="18"/>
                <w:b w:val="1"/>
                <w:bCs w:val="1"/>
                <w:color w:val="auto"/>
              </w:rPr>
              <w:t>INDEX TO EXHIBITS</w:t>
            </w:r>
          </w:p>
        </w:tc>
      </w:tr>
      <w:tr>
        <w:trPr>
          <w:trHeight w:val="345"/>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640" w:type="dxa"/>
            <w:vAlign w:val="bottom"/>
          </w:tcPr>
          <w:p>
            <w:pPr>
              <w:ind w:left="51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3.1</w:t>
            </w:r>
          </w:p>
        </w:tc>
        <w:tc>
          <w:tcPr>
            <w:tcW w:w="10640" w:type="dxa"/>
            <w:vAlign w:val="bottom"/>
          </w:tcPr>
          <w:p>
            <w:pPr>
              <w:ind w:left="28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3.2</w:t>
            </w:r>
          </w:p>
        </w:tc>
        <w:tc>
          <w:tcPr>
            <w:tcW w:w="10640" w:type="dxa"/>
            <w:vAlign w:val="bottom"/>
          </w:tcPr>
          <w:p>
            <w:pPr>
              <w:ind w:left="28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3.3</w:t>
            </w:r>
          </w:p>
        </w:tc>
        <w:tc>
          <w:tcPr>
            <w:tcW w:w="10640" w:type="dxa"/>
            <w:vAlign w:val="bottom"/>
          </w:tcPr>
          <w:p>
            <w:pPr>
              <w:ind w:left="28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3.4</w:t>
            </w:r>
          </w:p>
        </w:tc>
        <w:tc>
          <w:tcPr>
            <w:tcW w:w="10640" w:type="dxa"/>
            <w:vAlign w:val="bottom"/>
          </w:tcPr>
          <w:p>
            <w:pPr>
              <w:ind w:left="28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3.5</w:t>
            </w:r>
          </w:p>
        </w:tc>
        <w:tc>
          <w:tcPr>
            <w:tcW w:w="10640" w:type="dxa"/>
            <w:vAlign w:val="bottom"/>
          </w:tcPr>
          <w:p>
            <w:pPr>
              <w:ind w:left="28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3.6</w:t>
            </w:r>
          </w:p>
        </w:tc>
        <w:tc>
          <w:tcPr>
            <w:tcW w:w="10640" w:type="dxa"/>
            <w:vAlign w:val="bottom"/>
          </w:tcPr>
          <w:p>
            <w:pPr>
              <w:ind w:left="28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3.7</w:t>
            </w:r>
          </w:p>
        </w:tc>
        <w:tc>
          <w:tcPr>
            <w:tcW w:w="10640" w:type="dxa"/>
            <w:vAlign w:val="bottom"/>
          </w:tcPr>
          <w:p>
            <w:pPr>
              <w:ind w:left="28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4.1</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Indenture, dated as of October 19, 2009, among Wynn Las Vegas, LLC, Wynn Las Vegas Capital Corp., the Guarantors set forth therein and U.S.</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Bank National Association, as trustee. (11)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4.2</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Indenture, dated as of April 28, 2010, by and among Wynn Las Vegas, LLC, Wynn Las Vegas Capital Corp., the Guarantors set forth therein and</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U.S. Bank National Association, as trustee. (13)</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4.3</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Indenture, dated as of August 4, 2010, among Wynn Las Vegas LLC, Wynn Las Vegas Capital Corp., the Guarantors set forth therein and U.S.</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Bank National Association, as trustee. (15)</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4.4</w:t>
            </w:r>
          </w:p>
        </w:tc>
        <w:tc>
          <w:tcPr>
            <w:tcW w:w="10640" w:type="dxa"/>
            <w:vAlign w:val="bottom"/>
          </w:tcPr>
          <w:p>
            <w:pPr>
              <w:ind w:left="280"/>
              <w:spacing w:after="0"/>
              <w:rPr>
                <w:sz w:val="20"/>
                <w:szCs w:val="20"/>
                <w:color w:val="auto"/>
              </w:rPr>
            </w:pPr>
            <w:r>
              <w:rPr>
                <w:rFonts w:ascii="Arial" w:cs="Arial" w:eastAsia="Arial" w:hAnsi="Arial"/>
                <w:sz w:val="18"/>
                <w:szCs w:val="18"/>
                <w:color w:val="auto"/>
                <w:w w:val="88"/>
              </w:rPr>
              <w:t>Indenture, dated as of March 12, 2012, by and among Wynn Las Vegas, LLC, Wynn Las Vegas Capital Corp., the Guarantors set forth therein and</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U.S. Bank National Association, as trustee. (17)</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5.1</w:t>
            </w:r>
          </w:p>
        </w:tc>
        <w:tc>
          <w:tcPr>
            <w:tcW w:w="10640" w:type="dxa"/>
            <w:vAlign w:val="bottom"/>
          </w:tcPr>
          <w:p>
            <w:pPr>
              <w:ind w:left="280"/>
              <w:spacing w:after="0"/>
              <w:rPr>
                <w:sz w:val="20"/>
                <w:szCs w:val="20"/>
                <w:color w:val="auto"/>
              </w:rPr>
            </w:pPr>
            <w:r>
              <w:rPr>
                <w:rFonts w:ascii="Arial" w:cs="Arial" w:eastAsia="Arial" w:hAnsi="Arial"/>
                <w:sz w:val="18"/>
                <w:szCs w:val="18"/>
                <w:color w:val="auto"/>
              </w:rPr>
              <w:t>Opinion of Skadden, Arps, Slate, Meagher &amp; Flom LLP. (20)</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7"/>
              </w:rPr>
              <w:t>5.2</w:t>
            </w:r>
          </w:p>
        </w:tc>
        <w:tc>
          <w:tcPr>
            <w:tcW w:w="10640" w:type="dxa"/>
            <w:vAlign w:val="bottom"/>
          </w:tcPr>
          <w:p>
            <w:pPr>
              <w:ind w:left="280"/>
              <w:spacing w:after="0"/>
              <w:rPr>
                <w:sz w:val="20"/>
                <w:szCs w:val="20"/>
                <w:color w:val="auto"/>
              </w:rPr>
            </w:pPr>
            <w:r>
              <w:rPr>
                <w:rFonts w:ascii="Arial" w:cs="Arial" w:eastAsia="Arial" w:hAnsi="Arial"/>
                <w:sz w:val="18"/>
                <w:szCs w:val="18"/>
                <w:color w:val="auto"/>
              </w:rPr>
              <w:t>Opinion of Brownstein Hyatt Farber Schreck, LLP. (20)</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10.1</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(10)</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10.2</w:t>
            </w:r>
          </w:p>
        </w:tc>
        <w:tc>
          <w:tcPr>
            <w:tcW w:w="10640" w:type="dxa"/>
            <w:vAlign w:val="bottom"/>
          </w:tcPr>
          <w:p>
            <w:pPr>
              <w:ind w:left="28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Agent. (8)</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10.3</w:t>
            </w:r>
          </w:p>
        </w:tc>
        <w:tc>
          <w:tcPr>
            <w:tcW w:w="10640" w:type="dxa"/>
            <w:vAlign w:val="bottom"/>
          </w:tcPr>
          <w:p>
            <w:pPr>
              <w:ind w:left="28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88"/>
              </w:rPr>
              <w:t>LLC, Deutsche Bank Trust Company Americas, as the Bank Agent, and Deutsche Bank Trust Company Americas, as the Disbursement Agent. (9)</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10.4</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Third Amendment to Amended and Restated Master Disbursement Agreement, dated October 19, 2009, by and among Wynn Las Vegas, LLC,</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(11)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10.5</w:t>
            </w: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Fourth Amendment to Amended and Restated Master Disbursement Agreement, dated April 28, 2010, by and among Wynn Las Vegas, LLC,</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(13)</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10.6</w:t>
            </w: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Sixth Amendment to Amended and Restated Master Disbursement Agreement, dated March 12, 2012, by and among Wynn Las Vegas, LLC,</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(17)</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10.7</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Association, not in its individual capacity but solely as collateral agent. (6)</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10.8</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Bank, National Association, not in its individual capacity but solely as collateral agent. (6)</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10.9</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as owner trustee, World Travel, LLC and Wells Fargo Bank, National Association, not in its individual capacity but solely as collateral agent. (6)</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10.10</w:t>
            </w:r>
          </w:p>
        </w:tc>
        <w:tc>
          <w:tcPr>
            <w:tcW w:w="10640" w:type="dxa"/>
            <w:vAlign w:val="bottom"/>
          </w:tcPr>
          <w:p>
            <w:pPr>
              <w:ind w:left="280"/>
              <w:spacing w:after="0"/>
              <w:rPr>
                <w:sz w:val="20"/>
                <w:szCs w:val="20"/>
                <w:color w:val="auto"/>
              </w:rPr>
            </w:pPr>
            <w:r>
              <w:rPr>
                <w:rFonts w:ascii="Arial" w:cs="Arial" w:eastAsia="Arial" w:hAnsi="Arial"/>
                <w:sz w:val="18"/>
                <w:szCs w:val="18"/>
                <w:color w:val="auto"/>
                <w:w w:val="93"/>
              </w:rPr>
              <w:t>Guaranty, dated May 24, 2005, by Wynn Las Vegas, LLC in favor of The CIT Group / Equipment Financing, Inc., Bank of America, N.A. and</w:t>
            </w:r>
          </w:p>
        </w:tc>
      </w:tr>
      <w:tr>
        <w:trPr>
          <w:trHeight w:val="216"/>
        </w:trPr>
        <w:tc>
          <w:tcPr>
            <w:tcW w:w="72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(6)</w:t>
            </w:r>
          </w:p>
        </w:tc>
      </w:tr>
      <w:tr>
        <w:trPr>
          <w:trHeight w:val="222"/>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4"/>
              </w:rPr>
              <w:t>10.11</w:t>
            </w:r>
          </w:p>
        </w:tc>
        <w:tc>
          <w:tcPr>
            <w:tcW w:w="10640" w:type="dxa"/>
            <w:vAlign w:val="bottom"/>
          </w:tcPr>
          <w:p>
            <w:pPr>
              <w:ind w:left="2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(7)</w:t>
            </w:r>
          </w:p>
        </w:tc>
      </w:tr>
    </w:tbl>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620" w:type="dxa"/>
            <w:vAlign w:val="bottom"/>
          </w:tcPr>
          <w:p>
            <w:pPr>
              <w:ind w:left="51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10.12</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Fifth Amended and Restated Art Rental and Licensing Agreement, dated as of July 1, 2007, between Stephen A. Wynn, as lessor, Wynn Gallery,</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LLC, as lessee. (16)</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10.13</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Lump Sum Agreement, by and between Wynn Las Vegas, LLC and Wadsworth Golf Construction Company, effective as of February 18, 2003. (4)</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10.14</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the Bank Agent, and U.S. Bank National Association, as Indenture Trustee.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10.15</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Purchase Agreement, dated October 25, 2002, by and among Wynn Las Vegas, LLC, Wynn Las Vegas Capital Corp. and Stephen A. Wynn. (2)</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10.16</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10.17</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Acknowledgement and Agreement, dated as of September 1, 2004, by and among Wynn Las Vegas, LLC, Wells Fargo Bank, National Association</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and the lenders named therein. (5)</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10.18</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 Las Vegas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Capital Corp., and those subsidiaries of Wynn Las Vegas, LLC listed on Exhibit 21.1 hereto in favor of Deutsche Bank Trust Company Americas,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as administrative agent, and U.S. Bank National Association, as trustee.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10.19</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10.20</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Wynn Las Vegas, LLC. (3)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10.21</w:t>
            </w:r>
          </w:p>
        </w:tc>
        <w:tc>
          <w:tcPr>
            <w:tcW w:w="10620" w:type="dxa"/>
            <w:vAlign w:val="bottom"/>
          </w:tcPr>
          <w:p>
            <w:pPr>
              <w:ind w:left="280"/>
              <w:spacing w:after="0"/>
              <w:rPr>
                <w:sz w:val="20"/>
                <w:szCs w:val="20"/>
                <w:color w:val="auto"/>
              </w:rPr>
            </w:pPr>
            <w:r>
              <w:rPr>
                <w:rFonts w:ascii="Arial" w:cs="Arial" w:eastAsia="Arial" w:hAnsi="Arial"/>
                <w:sz w:val="18"/>
                <w:szCs w:val="18"/>
                <w:color w:val="auto"/>
              </w:rPr>
              <w:t>Agreement of Lease, dated as of March 17, 2010, by and between Wynn Las Vegas, LLC and Elaine P. Wynn. (14)</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10.22</w:t>
            </w:r>
          </w:p>
        </w:tc>
        <w:tc>
          <w:tcPr>
            <w:tcW w:w="10620" w:type="dxa"/>
            <w:vAlign w:val="bottom"/>
          </w:tcPr>
          <w:p>
            <w:pPr>
              <w:ind w:left="280"/>
              <w:spacing w:after="0"/>
              <w:rPr>
                <w:sz w:val="20"/>
                <w:szCs w:val="20"/>
                <w:color w:val="auto"/>
              </w:rPr>
            </w:pPr>
            <w:r>
              <w:rPr>
                <w:rFonts w:ascii="Arial" w:cs="Arial" w:eastAsia="Arial" w:hAnsi="Arial"/>
                <w:sz w:val="18"/>
                <w:szCs w:val="18"/>
                <w:color w:val="auto"/>
                <w:w w:val="95"/>
              </w:rPr>
              <w:t>Amended and Restated Agreement of Lease made as of March 18, 2010, by and between Wynn Las Vegas and Stephen A. Wynn. (14)</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10.23</w:t>
            </w:r>
          </w:p>
        </w:tc>
        <w:tc>
          <w:tcPr>
            <w:tcW w:w="10620" w:type="dxa"/>
            <w:vAlign w:val="bottom"/>
          </w:tcPr>
          <w:p>
            <w:pPr>
              <w:ind w:left="280"/>
              <w:spacing w:after="0"/>
              <w:rPr>
                <w:sz w:val="20"/>
                <w:szCs w:val="20"/>
                <w:color w:val="auto"/>
              </w:rPr>
            </w:pPr>
            <w:r>
              <w:rPr>
                <w:rFonts w:ascii="Arial" w:cs="Arial" w:eastAsia="Arial" w:hAnsi="Arial"/>
                <w:sz w:val="18"/>
                <w:szCs w:val="18"/>
                <w:color w:val="auto"/>
                <w:w w:val="87"/>
              </w:rPr>
              <w:t>First Amendment to Amended and Restated Agreement of Lease, dated as of April 9, 2012, by and between Wynn Las Vegas, LLC and Stephen A.</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Wynn. (18)</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10.24</w:t>
            </w:r>
          </w:p>
        </w:tc>
        <w:tc>
          <w:tcPr>
            <w:tcW w:w="10620" w:type="dxa"/>
            <w:vAlign w:val="bottom"/>
          </w:tcPr>
          <w:p>
            <w:pPr>
              <w:ind w:left="280"/>
              <w:spacing w:after="0"/>
              <w:rPr>
                <w:sz w:val="20"/>
                <w:szCs w:val="20"/>
                <w:color w:val="auto"/>
              </w:rPr>
            </w:pPr>
            <w:r>
              <w:rPr>
                <w:rFonts w:ascii="Arial" w:cs="Arial" w:eastAsia="Arial" w:hAnsi="Arial"/>
                <w:sz w:val="18"/>
                <w:szCs w:val="18"/>
                <w:color w:val="auto"/>
              </w:rPr>
              <w:t>Employment Agreement, dated as of November 8, 2010, between Wynn Las Vegas, LLC and Marilyn Spiegel. (16)</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10.25</w:t>
            </w:r>
          </w:p>
        </w:tc>
        <w:tc>
          <w:tcPr>
            <w:tcW w:w="10620" w:type="dxa"/>
            <w:vAlign w:val="bottom"/>
          </w:tcPr>
          <w:p>
            <w:pPr>
              <w:ind w:left="28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(12)</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10.26</w:t>
            </w:r>
          </w:p>
        </w:tc>
        <w:tc>
          <w:tcPr>
            <w:tcW w:w="10620" w:type="dxa"/>
            <w:vAlign w:val="bottom"/>
          </w:tcPr>
          <w:p>
            <w:pPr>
              <w:ind w:left="280"/>
              <w:spacing w:after="0"/>
              <w:rPr>
                <w:sz w:val="20"/>
                <w:szCs w:val="20"/>
                <w:color w:val="auto"/>
              </w:rPr>
            </w:pPr>
            <w:r>
              <w:rPr>
                <w:rFonts w:ascii="Arial" w:cs="Arial" w:eastAsia="Arial" w:hAnsi="Arial"/>
                <w:sz w:val="18"/>
                <w:szCs w:val="18"/>
                <w:color w:val="auto"/>
                <w:w w:val="94"/>
              </w:rPr>
              <w:t>Registration Rights Agreement, dated as of October 19, 2009, by and among Wynn Las Vegas, LLC, Wynn Las Vegas Capital Corp., the</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Guarantors set forth therein, Deutsche Bank Securities Inc. and Banc of America Securities LLC. (11)</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10.27</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Registration Rights Agreement, dated as of April 28, 2010, by and among Wynn Las Vegas, LLC, Wynn Las Vegas Capital Corp., the Guarantors</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set forth therein, Deutsche Bank Securities Inc., Banc of America Securities LLC and J.P. Morgan Securities Inc. (13)</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10.28</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Registration Rights Agreement, dated as of August 4, 2010, by and among the Issuers, the Guarantors, Deutsche Bank Securities Inc., Banc of</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America Securities LLC, J.P. Morgan Securities Inc., Morgan Stanley &amp; Co. Incorporated, RBS Securities Inc. and UBS Securities LLC. (15)</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10.29</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Registration Rights Agreement, dated as of March 12, 2012, by and among the Issuers, the Guarantors, Deutsche Bank Securities Inc., Merrill</w:t>
            </w:r>
          </w:p>
        </w:tc>
      </w:tr>
      <w:tr>
        <w:trPr>
          <w:trHeight w:val="216"/>
        </w:trPr>
        <w:tc>
          <w:tcPr>
            <w:tcW w:w="72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Lynch, Pierce, Fenner &amp; Smith Incorporated and J.P. Morgan Securities LLC. (17)</w:t>
            </w:r>
          </w:p>
        </w:tc>
      </w:tr>
      <w:tr>
        <w:trPr>
          <w:trHeight w:val="216"/>
        </w:trPr>
        <w:tc>
          <w:tcPr>
            <w:tcW w:w="720" w:type="dxa"/>
            <w:vAlign w:val="bottom"/>
          </w:tcPr>
          <w:p>
            <w:pPr>
              <w:jc w:val="center"/>
              <w:ind w:right="233"/>
              <w:spacing w:after="0"/>
              <w:rPr>
                <w:sz w:val="20"/>
                <w:szCs w:val="20"/>
                <w:color w:val="auto"/>
              </w:rPr>
            </w:pPr>
            <w:r>
              <w:rPr>
                <w:rFonts w:ascii="Arial" w:cs="Arial" w:eastAsia="Arial" w:hAnsi="Arial"/>
                <w:sz w:val="18"/>
                <w:szCs w:val="18"/>
                <w:color w:val="auto"/>
                <w:w w:val="88"/>
              </w:rPr>
              <w:t>10.30</w:t>
            </w:r>
          </w:p>
        </w:tc>
        <w:tc>
          <w:tcPr>
            <w:tcW w:w="10620" w:type="dxa"/>
            <w:vAlign w:val="bottom"/>
          </w:tcPr>
          <w:p>
            <w:pPr>
              <w:ind w:left="280"/>
              <w:spacing w:after="0"/>
              <w:rPr>
                <w:sz w:val="20"/>
                <w:szCs w:val="20"/>
                <w:color w:val="auto"/>
              </w:rPr>
            </w:pPr>
            <w:r>
              <w:rPr>
                <w:rFonts w:ascii="Arial" w:cs="Arial" w:eastAsia="Arial" w:hAnsi="Arial"/>
                <w:sz w:val="18"/>
                <w:szCs w:val="18"/>
                <w:color w:val="auto"/>
                <w:w w:val="93"/>
              </w:rPr>
              <w:t>Employment Agreement, dated January 10, 2012, effective April 20, 2012, by and between Wynn Las Vegas, LLC and Scott Peterson. (19)</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12.1</w:t>
            </w:r>
          </w:p>
        </w:tc>
        <w:tc>
          <w:tcPr>
            <w:tcW w:w="10620" w:type="dxa"/>
            <w:vAlign w:val="bottom"/>
          </w:tcPr>
          <w:p>
            <w:pPr>
              <w:ind w:left="280"/>
              <w:spacing w:after="0"/>
              <w:rPr>
                <w:sz w:val="20"/>
                <w:szCs w:val="20"/>
                <w:color w:val="auto"/>
              </w:rPr>
            </w:pPr>
            <w:r>
              <w:rPr>
                <w:rFonts w:ascii="Arial" w:cs="Arial" w:eastAsia="Arial" w:hAnsi="Arial"/>
                <w:sz w:val="18"/>
                <w:szCs w:val="18"/>
                <w:color w:val="auto"/>
              </w:rPr>
              <w:t>Statements re Computation of Ratios. (20)</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21.1</w:t>
            </w:r>
          </w:p>
        </w:tc>
        <w:tc>
          <w:tcPr>
            <w:tcW w:w="10620" w:type="dxa"/>
            <w:vAlign w:val="bottom"/>
          </w:tcPr>
          <w:p>
            <w:pPr>
              <w:ind w:left="280"/>
              <w:spacing w:after="0"/>
              <w:rPr>
                <w:sz w:val="20"/>
                <w:szCs w:val="20"/>
                <w:color w:val="auto"/>
              </w:rPr>
            </w:pPr>
            <w:r>
              <w:rPr>
                <w:rFonts w:ascii="Arial" w:cs="Arial" w:eastAsia="Arial" w:hAnsi="Arial"/>
                <w:sz w:val="18"/>
                <w:szCs w:val="18"/>
                <w:color w:val="auto"/>
              </w:rPr>
              <w:t>Subsidiaries of the Registrant. (20)</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23.1</w:t>
            </w:r>
          </w:p>
        </w:tc>
        <w:tc>
          <w:tcPr>
            <w:tcW w:w="10620" w:type="dxa"/>
            <w:vAlign w:val="bottom"/>
          </w:tcPr>
          <w:p>
            <w:pPr>
              <w:ind w:left="280"/>
              <w:spacing w:after="0"/>
              <w:rPr>
                <w:sz w:val="20"/>
                <w:szCs w:val="20"/>
                <w:color w:val="auto"/>
              </w:rPr>
            </w:pPr>
            <w:r>
              <w:rPr>
                <w:rFonts w:ascii="Arial" w:cs="Arial" w:eastAsia="Arial" w:hAnsi="Arial"/>
                <w:sz w:val="18"/>
                <w:szCs w:val="18"/>
                <w:color w:val="auto"/>
              </w:rPr>
              <w:t>Consent of Ernst &amp; Young LLP. (21)</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23.2</w:t>
            </w:r>
          </w:p>
        </w:tc>
        <w:tc>
          <w:tcPr>
            <w:tcW w:w="10620" w:type="dxa"/>
            <w:vAlign w:val="bottom"/>
          </w:tcPr>
          <w:p>
            <w:pPr>
              <w:ind w:left="280"/>
              <w:spacing w:after="0"/>
              <w:rPr>
                <w:sz w:val="20"/>
                <w:szCs w:val="20"/>
                <w:color w:val="auto"/>
              </w:rPr>
            </w:pPr>
            <w:r>
              <w:rPr>
                <w:rFonts w:ascii="Arial" w:cs="Arial" w:eastAsia="Arial" w:hAnsi="Arial"/>
                <w:sz w:val="18"/>
                <w:szCs w:val="18"/>
                <w:color w:val="auto"/>
              </w:rPr>
              <w:t>Consent of Skadden, Arps, Slate, Meagher &amp; Flom LLP (included in Exhibit 5.1). (20)</w:t>
            </w:r>
          </w:p>
        </w:tc>
      </w:tr>
      <w:tr>
        <w:trPr>
          <w:trHeight w:val="216"/>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23.3</w:t>
            </w:r>
          </w:p>
        </w:tc>
        <w:tc>
          <w:tcPr>
            <w:tcW w:w="10620" w:type="dxa"/>
            <w:vAlign w:val="bottom"/>
          </w:tcPr>
          <w:p>
            <w:pPr>
              <w:ind w:left="280"/>
              <w:spacing w:after="0"/>
              <w:rPr>
                <w:sz w:val="20"/>
                <w:szCs w:val="20"/>
                <w:color w:val="auto"/>
              </w:rPr>
            </w:pPr>
            <w:r>
              <w:rPr>
                <w:rFonts w:ascii="Arial" w:cs="Arial" w:eastAsia="Arial" w:hAnsi="Arial"/>
                <w:sz w:val="18"/>
                <w:szCs w:val="18"/>
                <w:color w:val="auto"/>
              </w:rPr>
              <w:t>Consent of Brownstein Hyatt Farber Schreck, LLP (included in Exhibit 5.2). (20)</w:t>
            </w:r>
          </w:p>
        </w:tc>
      </w:tr>
      <w:tr>
        <w:trPr>
          <w:trHeight w:val="222"/>
        </w:trPr>
        <w:tc>
          <w:tcPr>
            <w:tcW w:w="720" w:type="dxa"/>
            <w:vAlign w:val="bottom"/>
          </w:tcPr>
          <w:p>
            <w:pPr>
              <w:jc w:val="center"/>
              <w:ind w:right="213"/>
              <w:spacing w:after="0"/>
              <w:rPr>
                <w:sz w:val="20"/>
                <w:szCs w:val="20"/>
                <w:color w:val="auto"/>
              </w:rPr>
            </w:pPr>
            <w:r>
              <w:rPr>
                <w:rFonts w:ascii="Arial" w:cs="Arial" w:eastAsia="Arial" w:hAnsi="Arial"/>
                <w:sz w:val="18"/>
                <w:szCs w:val="18"/>
                <w:color w:val="auto"/>
                <w:w w:val="85"/>
              </w:rPr>
              <w:t>24.1</w:t>
            </w:r>
          </w:p>
        </w:tc>
        <w:tc>
          <w:tcPr>
            <w:tcW w:w="10620" w:type="dxa"/>
            <w:vAlign w:val="bottom"/>
          </w:tcPr>
          <w:p>
            <w:pPr>
              <w:ind w:left="280"/>
              <w:spacing w:after="0"/>
              <w:rPr>
                <w:sz w:val="20"/>
                <w:szCs w:val="20"/>
                <w:color w:val="auto"/>
              </w:rPr>
            </w:pPr>
            <w:r>
              <w:rPr>
                <w:rFonts w:ascii="Arial" w:cs="Arial" w:eastAsia="Arial" w:hAnsi="Arial"/>
                <w:sz w:val="18"/>
                <w:szCs w:val="18"/>
                <w:color w:val="auto"/>
              </w:rPr>
              <w:t>Powers of Attorney. (20)</w:t>
            </w:r>
          </w:p>
        </w:tc>
      </w:tr>
    </w:tbl>
    <w:p>
      <w:pPr>
        <w:sectPr>
          <w:pgSz w:w="11900" w:h="16838" w:orient="portrait"/>
          <w:cols w:equalWidth="0" w:num="1">
            <w:col w:w="11380"/>
          </w:cols>
          <w:pgMar w:left="240" w:top="460" w:right="2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0" w:type="dxa"/>
            <w:vAlign w:val="bottom"/>
          </w:tcPr>
          <w:p>
            <w:pPr>
              <w:jc w:val="center"/>
              <w:ind w:right="255"/>
              <w:spacing w:after="0"/>
              <w:rPr>
                <w:sz w:val="20"/>
                <w:szCs w:val="20"/>
                <w:color w:val="auto"/>
              </w:rPr>
            </w:pPr>
            <w:r>
              <w:rPr>
                <w:rFonts w:ascii="Arial" w:cs="Arial" w:eastAsia="Arial" w:hAnsi="Arial"/>
                <w:sz w:val="14"/>
                <w:szCs w:val="14"/>
                <w:b w:val="1"/>
                <w:bCs w:val="1"/>
                <w:color w:val="auto"/>
                <w:w w:val="89"/>
              </w:rPr>
              <w:t>Exhibit</w:t>
            </w:r>
          </w:p>
        </w:tc>
        <w:tc>
          <w:tcPr>
            <w:tcW w:w="10320" w:type="dxa"/>
            <w:vAlign w:val="bottom"/>
          </w:tcPr>
          <w:p>
            <w:pPr>
              <w:ind w:left="51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60" w:type="dxa"/>
            <w:vAlign w:val="bottom"/>
          </w:tcPr>
          <w:p>
            <w:pPr>
              <w:jc w:val="center"/>
              <w:ind w:right="255"/>
              <w:spacing w:after="0"/>
              <w:rPr>
                <w:sz w:val="20"/>
                <w:szCs w:val="20"/>
                <w:color w:val="auto"/>
              </w:rPr>
            </w:pPr>
            <w:r>
              <w:rPr>
                <w:rFonts w:ascii="Arial" w:cs="Arial" w:eastAsia="Arial" w:hAnsi="Arial"/>
                <w:sz w:val="18"/>
                <w:szCs w:val="18"/>
                <w:color w:val="auto"/>
                <w:w w:val="85"/>
              </w:rPr>
              <w:t>25.1</w:t>
            </w:r>
          </w:p>
        </w:tc>
        <w:tc>
          <w:tcPr>
            <w:tcW w:w="10320" w:type="dxa"/>
            <w:vAlign w:val="bottom"/>
          </w:tcPr>
          <w:p>
            <w:pPr>
              <w:ind w:left="32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r>
      <w:tr>
        <w:trPr>
          <w:trHeight w:val="216"/>
        </w:trPr>
        <w:tc>
          <w:tcPr>
            <w:tcW w:w="760" w:type="dxa"/>
            <w:vAlign w:val="bottom"/>
          </w:tcPr>
          <w:p>
            <w:pPr>
              <w:spacing w:after="0"/>
              <w:rPr>
                <w:sz w:val="18"/>
                <w:szCs w:val="18"/>
                <w:color w:val="auto"/>
              </w:rPr>
            </w:pPr>
          </w:p>
        </w:tc>
        <w:tc>
          <w:tcPr>
            <w:tcW w:w="10320" w:type="dxa"/>
            <w:vAlign w:val="bottom"/>
          </w:tcPr>
          <w:p>
            <w:pPr>
              <w:ind w:left="320"/>
              <w:spacing w:after="0"/>
              <w:rPr>
                <w:sz w:val="20"/>
                <w:szCs w:val="20"/>
                <w:color w:val="auto"/>
              </w:rPr>
            </w:pPr>
            <w:r>
              <w:rPr>
                <w:rFonts w:ascii="Arial" w:cs="Arial" w:eastAsia="Arial" w:hAnsi="Arial"/>
                <w:sz w:val="18"/>
                <w:szCs w:val="18"/>
                <w:color w:val="auto"/>
              </w:rPr>
              <w:t>LLC and Wynn Las Vegas Capital Corp.’s 5.375% First Mortgage Notes due 2022. (20)</w:t>
            </w:r>
          </w:p>
        </w:tc>
      </w:tr>
      <w:tr>
        <w:trPr>
          <w:trHeight w:val="216"/>
        </w:trPr>
        <w:tc>
          <w:tcPr>
            <w:tcW w:w="760" w:type="dxa"/>
            <w:vAlign w:val="bottom"/>
          </w:tcPr>
          <w:p>
            <w:pPr>
              <w:jc w:val="center"/>
              <w:ind w:right="255"/>
              <w:spacing w:after="0"/>
              <w:rPr>
                <w:sz w:val="20"/>
                <w:szCs w:val="20"/>
                <w:color w:val="auto"/>
              </w:rPr>
            </w:pPr>
            <w:r>
              <w:rPr>
                <w:rFonts w:ascii="Arial" w:cs="Arial" w:eastAsia="Arial" w:hAnsi="Arial"/>
                <w:sz w:val="18"/>
                <w:szCs w:val="18"/>
                <w:color w:val="auto"/>
                <w:w w:val="85"/>
              </w:rPr>
              <w:t>99.1</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Letter of Transmittal. (20)</w:t>
            </w:r>
          </w:p>
        </w:tc>
      </w:tr>
      <w:tr>
        <w:trPr>
          <w:trHeight w:val="216"/>
        </w:trPr>
        <w:tc>
          <w:tcPr>
            <w:tcW w:w="760" w:type="dxa"/>
            <w:vAlign w:val="bottom"/>
          </w:tcPr>
          <w:p>
            <w:pPr>
              <w:jc w:val="center"/>
              <w:ind w:right="255"/>
              <w:spacing w:after="0"/>
              <w:rPr>
                <w:sz w:val="20"/>
                <w:szCs w:val="20"/>
                <w:color w:val="auto"/>
              </w:rPr>
            </w:pPr>
            <w:r>
              <w:rPr>
                <w:rFonts w:ascii="Arial" w:cs="Arial" w:eastAsia="Arial" w:hAnsi="Arial"/>
                <w:sz w:val="18"/>
                <w:szCs w:val="18"/>
                <w:color w:val="auto"/>
                <w:w w:val="85"/>
              </w:rPr>
              <w:t>99.2</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Notice of Guaranteed Delivery. (20)</w:t>
            </w:r>
          </w:p>
        </w:tc>
      </w:tr>
      <w:tr>
        <w:trPr>
          <w:trHeight w:val="216"/>
        </w:trPr>
        <w:tc>
          <w:tcPr>
            <w:tcW w:w="760" w:type="dxa"/>
            <w:vAlign w:val="bottom"/>
          </w:tcPr>
          <w:p>
            <w:pPr>
              <w:jc w:val="center"/>
              <w:ind w:right="255"/>
              <w:spacing w:after="0"/>
              <w:rPr>
                <w:sz w:val="20"/>
                <w:szCs w:val="20"/>
                <w:color w:val="auto"/>
              </w:rPr>
            </w:pPr>
            <w:r>
              <w:rPr>
                <w:rFonts w:ascii="Arial" w:cs="Arial" w:eastAsia="Arial" w:hAnsi="Arial"/>
                <w:sz w:val="18"/>
                <w:szCs w:val="18"/>
                <w:color w:val="auto"/>
                <w:w w:val="85"/>
              </w:rPr>
              <w:t>99.3</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Letter to Clients. (20)</w:t>
            </w:r>
          </w:p>
        </w:tc>
      </w:tr>
      <w:tr>
        <w:trPr>
          <w:trHeight w:val="216"/>
        </w:trPr>
        <w:tc>
          <w:tcPr>
            <w:tcW w:w="760" w:type="dxa"/>
            <w:vAlign w:val="bottom"/>
          </w:tcPr>
          <w:p>
            <w:pPr>
              <w:jc w:val="center"/>
              <w:ind w:right="255"/>
              <w:spacing w:after="0"/>
              <w:rPr>
                <w:sz w:val="20"/>
                <w:szCs w:val="20"/>
                <w:color w:val="auto"/>
              </w:rPr>
            </w:pPr>
            <w:r>
              <w:rPr>
                <w:rFonts w:ascii="Arial" w:cs="Arial" w:eastAsia="Arial" w:hAnsi="Arial"/>
                <w:sz w:val="18"/>
                <w:szCs w:val="18"/>
                <w:color w:val="auto"/>
                <w:w w:val="85"/>
              </w:rPr>
              <w:t>99.4</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Letter to Brokers, Dealers, Commercial Banks, Trust Companies and Other Nominees. (20)</w:t>
            </w:r>
          </w:p>
        </w:tc>
      </w:tr>
      <w:tr>
        <w:trPr>
          <w:trHeight w:val="222"/>
        </w:trPr>
        <w:tc>
          <w:tcPr>
            <w:tcW w:w="760" w:type="dxa"/>
            <w:vAlign w:val="bottom"/>
          </w:tcPr>
          <w:p>
            <w:pPr>
              <w:jc w:val="center"/>
              <w:ind w:right="255"/>
              <w:spacing w:after="0"/>
              <w:rPr>
                <w:sz w:val="20"/>
                <w:szCs w:val="20"/>
                <w:color w:val="auto"/>
              </w:rPr>
            </w:pPr>
            <w:r>
              <w:rPr>
                <w:rFonts w:ascii="Arial" w:cs="Arial" w:eastAsia="Arial" w:hAnsi="Arial"/>
                <w:sz w:val="18"/>
                <w:szCs w:val="18"/>
                <w:color w:val="auto"/>
                <w:w w:val="85"/>
              </w:rPr>
              <w:t>99.5</w:t>
            </w:r>
          </w:p>
        </w:tc>
        <w:tc>
          <w:tcPr>
            <w:tcW w:w="10320" w:type="dxa"/>
            <w:vAlign w:val="bottom"/>
          </w:tcPr>
          <w:p>
            <w:pPr>
              <w:ind w:left="320"/>
              <w:spacing w:after="0"/>
              <w:rPr>
                <w:sz w:val="20"/>
                <w:szCs w:val="20"/>
                <w:color w:val="auto"/>
              </w:rPr>
            </w:pPr>
            <w:r>
              <w:rPr>
                <w:rFonts w:ascii="Arial" w:cs="Arial" w:eastAsia="Arial" w:hAnsi="Arial"/>
                <w:sz w:val="18"/>
                <w:szCs w:val="18"/>
                <w:color w:val="auto"/>
              </w:rPr>
              <w:t>Consent of J. Edward Virtue. (21)</w:t>
            </w:r>
          </w:p>
        </w:tc>
      </w:tr>
    </w:tbl>
    <w:p>
      <w:pPr>
        <w:ind w:left="1100" w:hanging="1008"/>
        <w:spacing w:after="0" w:line="286" w:lineRule="auto"/>
        <w:tabs>
          <w:tab w:leader="none" w:pos="11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three months ended June 30, 2012, filed with the SEC on August 9, 2012 formatted in Extensible Business Reporting Language (XBRL): (i) the Condensed Consolidated Statements of Comprehensive Income (loss) for the three and six months ended June 30, 2012 and 2011, (ii) the Condensed Consolidated Balance Sheets at June 30, 2012 and December 31, 2011, (iii) the Condensed Consolidated Statements of Cash Flows for the six months ended June 30, 2012 and 2011, and (iv) Notes to Condensed Consolidated Financial Statements, and the following financial information from the Company’s Annual Report on Form 10-K for the year ended December 31, 2011, filed with the SEC on February 29, 2012 formatted in Extensible Business Reporting Language (XBRL): (i) the Consolidated Statements of Operations for the years ended December 31, 2011, 2010 and 2009, (ii) the Consolidated Balance Sheets at December 31, 2011 and 2010, (iii) the Consolidated Statements of Member’s Equity at December 31, 2011 and 2010, (iv) the Consolidated Statements of Cash Flows for the years ended December 31, 2011, 2010 and 2009, and (iv) Notes to Consolidated Financial Statements. (22)</w:t>
      </w:r>
    </w:p>
    <w:p>
      <w:pPr>
        <w:spacing w:after="0" w:line="110" w:lineRule="exact"/>
        <w:rPr>
          <w:rFonts w:ascii="Arial" w:cs="Arial" w:eastAsia="Arial" w:hAnsi="Arial"/>
          <w:sz w:val="16"/>
          <w:szCs w:val="16"/>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Limited on August 3,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May 8,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April 28,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19,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August 5,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13,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12,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jc w:val="both"/>
        <w:ind w:left="460" w:right="180" w:hanging="452"/>
        <w:spacing w:after="0" w:line="254" w:lineRule="auto"/>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Registration Statement on Form S-4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-3461385</wp:posOffset>
            </wp:positionV>
            <wp:extent cx="72898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23.1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171"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We consent to the reference to our firm under the caption “Experts” and to the use of our report dated February 29, 2012, in the Registration Statement (Form S-4 No. 333-184115) and related Prospectus of Wynn Las Vegas, LLC for the registration of $900 million of 5.375% First Mortgage Notes due 2022.</w:t>
      </w:r>
    </w:p>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4, 2012</w:t>
      </w:r>
    </w:p>
    <w:p>
      <w:pPr>
        <w:sectPr>
          <w:pgSz w:w="11900" w:h="16838" w:orient="portrait"/>
          <w:cols w:equalWidth="0" w:num="1">
            <w:col w:w="11420"/>
          </w:cols>
          <w:pgMar w:left="240" w:top="125"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99.5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PERSON NAMED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BECOME A DIRECTOR</w:t>
      </w:r>
    </w:p>
    <w:p>
      <w:pPr>
        <w:spacing w:after="0" w:line="13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undersigned hereby consents to being named in the Registration Statement on Form S-4 (the “Registration Statement”) of Wynn Las Vegas, LLC and Wynn Las Vegas Capital Corp. as a person who has been nominated to become a member of the Board of Directors of Wynn Resorts, Limited (the “Company”) at the Annual Meeting of Stockholders of the Company to be held November 2, 2012. The undersigned also consents to the filing of this consent as an exhibit to the Registration Statement and any amendments thereto.</w:t>
      </w:r>
    </w:p>
    <w:p>
      <w:pPr>
        <w:spacing w:after="0" w:line="130"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September 25, 2012</w:t>
      </w:r>
      <w:r>
        <w:rPr>
          <w:sz w:val="20"/>
          <w:szCs w:val="20"/>
          <w:color w:val="auto"/>
        </w:rPr>
        <w:tab/>
      </w:r>
      <w:r>
        <w:rPr>
          <w:rFonts w:ascii="Arial" w:cs="Arial" w:eastAsia="Arial" w:hAnsi="Arial"/>
          <w:sz w:val="15"/>
          <w:szCs w:val="15"/>
          <w:color w:val="auto"/>
        </w:rPr>
        <w:t>/s/ J. Edward Virtue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 Edward Virtue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1)"/>
      <w:numFmt w:val="decimal"/>
      <w:start w:val="213"/>
    </w:lvl>
  </w:abstractNum>
  <w:abstractNum w:abstractNumId="1">
    <w:nsid w:val="73A1821B"/>
    <w:multiLevelType w:val="hybridMultilevel"/>
    <w:lvl w:ilvl="0">
      <w:lvlJc w:val="left"/>
      <w:lvlText w:val="•"/>
      <w:numFmt w:val="bullet"/>
      <w:start w:val="1"/>
    </w:lvl>
  </w:abstractNum>
  <w:abstractNum w:abstractNumId="2">
    <w:nsid w:val="7DE67713"/>
    <w:multiLevelType w:val="hybridMultilevel"/>
    <w:lvl w:ilvl="0">
      <w:lvlJc w:val="left"/>
      <w:lvlText w:val="•"/>
      <w:numFmt w:val="bullet"/>
      <w:start w:val="1"/>
    </w:lvl>
  </w:abstractNum>
  <w:abstractNum w:abstractNumId="3">
    <w:nsid w:val="555C55B5"/>
    <w:multiLevelType w:val="hybridMultilevel"/>
    <w:lvl w:ilvl="0">
      <w:lvlJc w:val="left"/>
      <w:lvlText w:val="•"/>
      <w:numFmt w:val="bullet"/>
      <w:start w:val="1"/>
    </w:lvl>
  </w:abstractNum>
  <w:abstractNum w:abstractNumId="4">
    <w:nsid w:val="3FA62ACA"/>
    <w:multiLevelType w:val="hybridMultilevel"/>
    <w:lvl w:ilvl="0">
      <w:lvlJc w:val="left"/>
      <w:lvlText w:val="•"/>
      <w:numFmt w:val="bullet"/>
      <w:start w:val="1"/>
    </w:lvl>
  </w:abstractNum>
  <w:abstractNum w:abstractNumId="5">
    <w:nsid w:val="14FCE74E"/>
    <w:multiLevelType w:val="hybridMultilevel"/>
    <w:lvl w:ilvl="0">
      <w:lvlJc w:val="left"/>
      <w:lvlText w:val="•"/>
      <w:numFmt w:val="bullet"/>
      <w:start w:val="1"/>
    </w:lvl>
  </w:abstractNum>
  <w:abstractNum w:abstractNumId="6">
    <w:nsid w:val="6A3DD3E8"/>
    <w:multiLevelType w:val="hybridMultilevel"/>
    <w:lvl w:ilvl="0">
      <w:lvlJc w:val="left"/>
      <w:lvlText w:val="•"/>
      <w:numFmt w:val="bullet"/>
      <w:start w:val="1"/>
    </w:lvl>
  </w:abstractNum>
  <w:abstractNum w:abstractNumId="7">
    <w:nsid w:val="71C91298"/>
    <w:multiLevelType w:val="hybridMultilevel"/>
    <w:lvl w:ilvl="0">
      <w:lvlJc w:val="left"/>
      <w:lvlText w:val="•"/>
      <w:numFmt w:val="bullet"/>
      <w:start w:val="1"/>
    </w:lvl>
  </w:abstractNum>
  <w:abstractNum w:abstractNumId="8">
    <w:nsid w:val="9DAF632"/>
    <w:multiLevelType w:val="hybridMultilevel"/>
    <w:lvl w:ilvl="0">
      <w:lvlJc w:val="left"/>
      <w:lvlText w:val="•"/>
      <w:numFmt w:val="bullet"/>
      <w:start w:val="1"/>
    </w:lvl>
  </w:abstractNum>
  <w:abstractNum w:abstractNumId="9">
    <w:nsid w:val="53299938"/>
    <w:multiLevelType w:val="hybridMultilevel"/>
    <w:lvl w:ilvl="0">
      <w:lvlJc w:val="left"/>
      <w:lvlText w:val="(%1)"/>
      <w:numFmt w:val="lowerRoman"/>
      <w:start w:val="2"/>
    </w:lvl>
  </w:abstractNum>
  <w:abstractNum w:abstractNumId="10">
    <w:nsid w:val="1FBFE8E0"/>
    <w:multiLevelType w:val="hybridMultilevel"/>
    <w:lvl w:ilvl="0">
      <w:lvlJc w:val="left"/>
      <w:lvlText w:val="•"/>
      <w:numFmt w:val="bullet"/>
      <w:start w:val="1"/>
    </w:lvl>
    <w:lvl w:ilvl="1">
      <w:lvlJc w:val="left"/>
      <w:lvlText w:val="•"/>
      <w:numFmt w:val="bullet"/>
      <w:start w:val="1"/>
    </w:lvl>
  </w:abstractNum>
  <w:abstractNum w:abstractNumId="11">
    <w:nsid w:val="5092CA79"/>
    <w:multiLevelType w:val="hybridMultilevel"/>
    <w:lvl w:ilvl="0">
      <w:lvlJc w:val="left"/>
      <w:lvlText w:val="•"/>
      <w:numFmt w:val="bullet"/>
      <w:start w:val="1"/>
    </w:lvl>
  </w:abstractNum>
  <w:abstractNum w:abstractNumId="12">
    <w:nsid w:val="1D545C4D"/>
    <w:multiLevelType w:val="hybridMultilevel"/>
    <w:lvl w:ilvl="0">
      <w:lvlJc w:val="left"/>
      <w:lvlText w:val="•"/>
      <w:numFmt w:val="bullet"/>
      <w:start w:val="1"/>
    </w:lvl>
  </w:abstractNum>
  <w:abstractNum w:abstractNumId="13">
    <w:nsid w:val="59ADEA3D"/>
    <w:multiLevelType w:val="hybridMultilevel"/>
    <w:lvl w:ilvl="0">
      <w:lvlJc w:val="left"/>
      <w:lvlText w:val="•"/>
      <w:numFmt w:val="bullet"/>
      <w:start w:val="1"/>
    </w:lvl>
  </w:abstractNum>
  <w:abstractNum w:abstractNumId="14">
    <w:nsid w:val="288F1A34"/>
    <w:multiLevelType w:val="hybridMultilevel"/>
    <w:lvl w:ilvl="0">
      <w:lvlJc w:val="left"/>
      <w:lvlText w:val="•"/>
      <w:numFmt w:val="bullet"/>
      <w:start w:val="1"/>
    </w:lvl>
    <w:lvl w:ilvl="1">
      <w:lvlJc w:val="left"/>
      <w:lvlText w:val="•"/>
      <w:numFmt w:val="bullet"/>
      <w:start w:val="1"/>
    </w:lvl>
  </w:abstractNum>
  <w:abstractNum w:abstractNumId="15">
    <w:nsid w:val="2A155DBC"/>
    <w:multiLevelType w:val="hybridMultilevel"/>
    <w:lvl w:ilvl="0">
      <w:lvlJc w:val="left"/>
      <w:lvlText w:val="•"/>
      <w:numFmt w:val="bullet"/>
      <w:start w:val="1"/>
    </w:lvl>
  </w:abstractNum>
  <w:abstractNum w:abstractNumId="16">
    <w:nsid w:val="1D9F6E5F"/>
    <w:multiLevelType w:val="hybridMultilevel"/>
    <w:lvl w:ilvl="0">
      <w:lvlJc w:val="left"/>
      <w:lvlText w:val="•"/>
      <w:numFmt w:val="bullet"/>
      <w:start w:val="1"/>
    </w:lvl>
  </w:abstractNum>
  <w:abstractNum w:abstractNumId="17">
    <w:nsid w:val="97E1B4E"/>
    <w:multiLevelType w:val="hybridMultilevel"/>
    <w:lvl w:ilvl="0">
      <w:lvlJc w:val="left"/>
      <w:lvlText w:val="(%1)"/>
      <w:numFmt w:val="decimal"/>
      <w:start w:val="1"/>
    </w:lvl>
  </w:abstractNum>
  <w:abstractNum w:abstractNumId="18">
    <w:nsid w:val="51088277"/>
    <w:multiLevelType w:val="hybridMultilevel"/>
    <w:lvl w:ilvl="0">
      <w:lvlJc w:val="left"/>
      <w:lvlText w:val="(%1)"/>
      <w:numFmt w:val="decimal"/>
      <w:start w:val="1"/>
    </w:lvl>
  </w:abstractNum>
  <w:abstractNum w:abstractNumId="19">
    <w:nsid w:val="1CA0C5FA"/>
    <w:multiLevelType w:val="hybridMultilevel"/>
    <w:lvl w:ilvl="0">
      <w:lvlJc w:val="left"/>
      <w:lvlText w:val="•"/>
      <w:numFmt w:val="bullet"/>
      <w:start w:val="1"/>
    </w:lvl>
  </w:abstractNum>
  <w:abstractNum w:abstractNumId="20">
    <w:nsid w:val="53584BCB"/>
    <w:multiLevelType w:val="hybridMultilevel"/>
    <w:lvl w:ilvl="0">
      <w:lvlJc w:val="left"/>
      <w:lvlText w:val="•"/>
      <w:numFmt w:val="bullet"/>
      <w:start w:val="1"/>
    </w:lvl>
  </w:abstractNum>
  <w:abstractNum w:abstractNumId="21">
    <w:nsid w:val="415E286C"/>
    <w:multiLevelType w:val="hybridMultilevel"/>
    <w:lvl w:ilvl="0">
      <w:lvlJc w:val="left"/>
      <w:lvlText w:val="(%1)"/>
      <w:numFmt w:val="decimal"/>
      <w:start w:val="1"/>
    </w:lvl>
  </w:abstractNum>
  <w:abstractNum w:abstractNumId="22">
    <w:nsid w:val="7C58FD05"/>
    <w:multiLevelType w:val="hybridMultilevel"/>
    <w:lvl w:ilvl="0">
      <w:lvlJc w:val="left"/>
      <w:lvlText w:val="•"/>
      <w:numFmt w:val="bullet"/>
      <w:start w:val="1"/>
    </w:lvl>
  </w:abstractNum>
  <w:abstractNum w:abstractNumId="23">
    <w:nsid w:val="23D86AAC"/>
    <w:multiLevelType w:val="hybridMultilevel"/>
    <w:lvl w:ilvl="0">
      <w:lvlJc w:val="left"/>
      <w:lvlText w:val="•"/>
      <w:numFmt w:val="bullet"/>
      <w:start w:val="1"/>
    </w:lvl>
  </w:abstractNum>
  <w:abstractNum w:abstractNumId="24">
    <w:nsid w:val="45E6D486"/>
    <w:multiLevelType w:val="hybridMultilevel"/>
    <w:lvl w:ilvl="0">
      <w:lvlJc w:val="left"/>
      <w:lvlText w:val="•"/>
      <w:numFmt w:val="bullet"/>
      <w:start w:val="1"/>
    </w:lvl>
  </w:abstractNum>
  <w:abstractNum w:abstractNumId="25">
    <w:nsid w:val="5C10FE21"/>
    <w:multiLevelType w:val="hybridMultilevel"/>
    <w:lvl w:ilvl="0">
      <w:lvlJc w:val="left"/>
      <w:lvlText w:val="•"/>
      <w:numFmt w:val="bullet"/>
      <w:start w:val="1"/>
    </w:lvl>
  </w:abstractNum>
  <w:abstractNum w:abstractNumId="26">
    <w:nsid w:val="E7FFA2B"/>
    <w:multiLevelType w:val="hybridMultilevel"/>
    <w:lvl w:ilvl="0">
      <w:lvlJc w:val="left"/>
      <w:lvlText w:val="•"/>
      <w:numFmt w:val="bullet"/>
      <w:start w:val="1"/>
    </w:lvl>
  </w:abstractNum>
  <w:abstractNum w:abstractNumId="27">
    <w:nsid w:val="3C5991AA"/>
    <w:multiLevelType w:val="hybridMultilevel"/>
    <w:lvl w:ilvl="0">
      <w:lvlJc w:val="left"/>
      <w:lvlText w:val="•"/>
      <w:numFmt w:val="bullet"/>
      <w:start w:val="1"/>
    </w:lvl>
  </w:abstractNum>
  <w:abstractNum w:abstractNumId="28">
    <w:nsid w:val="4BD8591A"/>
    <w:multiLevelType w:val="hybridMultilevel"/>
    <w:lvl w:ilvl="0">
      <w:lvlJc w:val="left"/>
      <w:lvlText w:val="•"/>
      <w:numFmt w:val="bullet"/>
      <w:start w:val="1"/>
    </w:lvl>
  </w:abstractNum>
  <w:abstractNum w:abstractNumId="29">
    <w:nsid w:val="78DF6A55"/>
    <w:multiLevelType w:val="hybridMultilevel"/>
    <w:lvl w:ilvl="0">
      <w:lvlJc w:val="left"/>
      <w:lvlText w:val="(%1)"/>
      <w:numFmt w:val="decimal"/>
      <w:start w:val="2"/>
    </w:lvl>
  </w:abstractNum>
  <w:abstractNum w:abstractNumId="30">
    <w:nsid w:val="39B7AAA2"/>
    <w:multiLevelType w:val="hybridMultilevel"/>
    <w:lvl w:ilvl="0">
      <w:lvlJc w:val="left"/>
      <w:lvlText w:val="(%1)"/>
      <w:numFmt w:val="decimal"/>
      <w:start w:val="1"/>
    </w:lvl>
  </w:abstractNum>
  <w:abstractNum w:abstractNumId="31">
    <w:nsid w:val="2B0D8DBE"/>
    <w:multiLevelType w:val="hybridMultilevel"/>
    <w:lvl w:ilvl="0">
      <w:lvlJc w:val="left"/>
      <w:lvlText w:val="(%1)"/>
      <w:numFmt w:val="decimal"/>
      <w:start w:val="2"/>
    </w:lvl>
  </w:abstractNum>
  <w:abstractNum w:abstractNumId="32">
    <w:nsid w:val="6C80EC70"/>
    <w:multiLevelType w:val="hybridMultilevel"/>
    <w:lvl w:ilvl="0">
      <w:lvlJc w:val="left"/>
      <w:lvlText w:val="(%1)"/>
      <w:numFmt w:val="decimal"/>
      <w:start w:val="1"/>
    </w:lvl>
  </w:abstractNum>
  <w:abstractNum w:abstractNumId="33">
    <w:nsid w:val="379E21B5"/>
    <w:multiLevelType w:val="hybridMultilevel"/>
    <w:lvl w:ilvl="0">
      <w:lvlJc w:val="left"/>
      <w:lvlText w:val="•"/>
      <w:numFmt w:val="bullet"/>
      <w:start w:val="1"/>
    </w:lvl>
  </w:abstractNum>
  <w:abstractNum w:abstractNumId="34">
    <w:nsid w:val="69E373"/>
    <w:multiLevelType w:val="hybridMultilevel"/>
    <w:lvl w:ilvl="0">
      <w:lvlJc w:val="left"/>
      <w:lvlText w:val="•"/>
      <w:numFmt w:val="bullet"/>
      <w:start w:val="1"/>
    </w:lvl>
  </w:abstractNum>
  <w:abstractNum w:abstractNumId="35">
    <w:nsid w:val="2C27173B"/>
    <w:multiLevelType w:val="hybridMultilevel"/>
    <w:lvl w:ilvl="0">
      <w:lvlJc w:val="left"/>
      <w:lvlText w:val="•"/>
      <w:numFmt w:val="bullet"/>
      <w:start w:val="1"/>
    </w:lvl>
  </w:abstractNum>
  <w:abstractNum w:abstractNumId="36">
    <w:nsid w:val="4C9B0904"/>
    <w:multiLevelType w:val="hybridMultilevel"/>
    <w:lvl w:ilvl="0">
      <w:lvlJc w:val="left"/>
      <w:lvlText w:val="(%1)"/>
      <w:numFmt w:val="decimal"/>
      <w:start w:val="1"/>
    </w:lvl>
  </w:abstractNum>
  <w:abstractNum w:abstractNumId="37">
    <w:nsid w:val="6AA7B75C"/>
    <w:multiLevelType w:val="hybridMultilevel"/>
    <w:lvl w:ilvl="0">
      <w:lvlJc w:val="left"/>
      <w:lvlText w:val="(%1)"/>
      <w:numFmt w:val="decimal"/>
      <w:start w:val="1"/>
    </w:lvl>
  </w:abstractNum>
  <w:abstractNum w:abstractNumId="38">
    <w:nsid w:val="1DF029D3"/>
    <w:multiLevelType w:val="hybridMultilevel"/>
    <w:lvl w:ilvl="0">
      <w:lvlJc w:val="left"/>
      <w:lvlText w:val="(%1)"/>
      <w:numFmt w:val="decimal"/>
      <w:start w:val="2"/>
    </w:lvl>
    <w:lvl w:ilvl="1">
      <w:lvlJc w:val="left"/>
      <w:lvlText w:val="(%2)"/>
      <w:numFmt w:val="lowerRoman"/>
      <w:start w:val="1"/>
    </w:lvl>
  </w:abstractNum>
  <w:abstractNum w:abstractNumId="39">
    <w:nsid w:val="5675FF36"/>
    <w:multiLevelType w:val="hybridMultilevel"/>
    <w:lvl w:ilvl="0">
      <w:lvlJc w:val="left"/>
      <w:lvlText w:val="(%1)"/>
      <w:numFmt w:val="lowerRoman"/>
      <w:start w:val="1"/>
    </w:lvl>
  </w:abstractNum>
  <w:abstractNum w:abstractNumId="40">
    <w:nsid w:val="3DD15094"/>
    <w:multiLevelType w:val="hybridMultilevel"/>
    <w:lvl w:ilvl="0">
      <w:lvlJc w:val="left"/>
      <w:lvlText w:val="(%1)"/>
      <w:numFmt w:val="lowerRoman"/>
      <w:start w:val="1"/>
    </w:lvl>
  </w:abstractNum>
  <w:abstractNum w:abstractNumId="41">
    <w:nsid w:val="3DB012B3"/>
    <w:multiLevelType w:val="hybridMultilevel"/>
    <w:lvl w:ilvl="0">
      <w:lvlJc w:val="left"/>
      <w:lvlText w:val="(%1)"/>
      <w:numFmt w:val="lowerRoman"/>
      <w:start w:val="1"/>
    </w:lvl>
  </w:abstractNum>
  <w:abstractNum w:abstractNumId="42">
    <w:nsid w:val="2708C9AF"/>
    <w:multiLevelType w:val="hybridMultilevel"/>
    <w:lvl w:ilvl="0">
      <w:lvlJc w:val="left"/>
      <w:lvlText w:val="(%1)"/>
      <w:numFmt w:val="lowerRoman"/>
      <w:start w:val="1"/>
    </w:lvl>
  </w:abstractNum>
  <w:abstractNum w:abstractNumId="43">
    <w:nsid w:val="5B25ACE2"/>
    <w:multiLevelType w:val="hybridMultilevel"/>
    <w:lvl w:ilvl="0">
      <w:lvlJc w:val="left"/>
      <w:lvlText w:val="(%1)"/>
      <w:numFmt w:val="decimal"/>
      <w:start w:val="1"/>
    </w:lvl>
    <w:lvl w:ilvl="1">
      <w:lvlJc w:val="left"/>
      <w:lvlText w:val="%2."/>
      <w:numFmt w:val="lowerLetter"/>
      <w:start w:val="1"/>
    </w:lvl>
  </w:abstractNum>
  <w:abstractNum w:abstractNumId="44">
    <w:nsid w:val="175DFCF0"/>
    <w:multiLevelType w:val="hybridMultilevel"/>
    <w:lvl w:ilvl="0">
      <w:lvlJc w:val="left"/>
      <w:lvlText w:val="(%1)"/>
      <w:numFmt w:val="lowerRoman"/>
      <w:start w:val="3"/>
    </w:lvl>
  </w:abstractNum>
  <w:abstractNum w:abstractNumId="45">
    <w:nsid w:val="4F97E3E4"/>
    <w:multiLevelType w:val="hybridMultilevel"/>
    <w:lvl w:ilvl="0">
      <w:lvlJc w:val="left"/>
      <w:lvlText w:val="(%1)"/>
      <w:numFmt w:val="lowerLetter"/>
      <w:start w:val="3"/>
    </w:lvl>
  </w:abstractNum>
  <w:abstractNum w:abstractNumId="46">
    <w:nsid w:val="53B0A9E"/>
    <w:multiLevelType w:val="hybridMultilevel"/>
    <w:lvl w:ilvl="0">
      <w:lvlJc w:val="left"/>
      <w:lvlText w:val="(%1)"/>
      <w:numFmt w:val="decimal"/>
      <w:start w:val="1"/>
    </w:lvl>
  </w:abstractNum>
  <w:abstractNum w:abstractNumId="47">
    <w:nsid w:val="34FD6B4F"/>
    <w:multiLevelType w:val="hybridMultilevel"/>
    <w:lvl w:ilvl="0">
      <w:lvlJc w:val="left"/>
      <w:lvlText w:val="(%1)"/>
      <w:numFmt w:val="decimal"/>
      <w:start w:val="1"/>
    </w:lvl>
  </w:abstractNum>
  <w:abstractNum w:abstractNumId="48">
    <w:nsid w:val="5915FF32"/>
    <w:multiLevelType w:val="hybridMultilevel"/>
    <w:lvl w:ilvl="0">
      <w:lvlJc w:val="left"/>
      <w:lvlText w:val="(%1)"/>
      <w:numFmt w:val="decimal"/>
      <w:start w:val="5"/>
    </w:lvl>
  </w:abstractNum>
  <w:abstractNum w:abstractNumId="49">
    <w:nsid w:val="56438D15"/>
    <w:multiLevelType w:val="hybridMultilevel"/>
    <w:lvl w:ilvl="0">
      <w:lvlJc w:val="left"/>
      <w:lvlText w:val="(%1)"/>
      <w:numFmt w:val="decimal"/>
      <w:start w:val="1"/>
    </w:lvl>
  </w:abstractNum>
  <w:abstractNum w:abstractNumId="50">
    <w:nsid w:val="519E3149"/>
    <w:multiLevelType w:val="hybridMultilevel"/>
    <w:lvl w:ilvl="0">
      <w:lvlJc w:val="left"/>
      <w:lvlText w:val="(%1)"/>
      <w:numFmt w:val="decimal"/>
      <w:start w:val="1"/>
    </w:lvl>
  </w:abstractNum>
  <w:abstractNum w:abstractNumId="51">
    <w:nsid w:val="2C6E4AFD"/>
    <w:multiLevelType w:val="hybridMultilevel"/>
    <w:lvl w:ilvl="0">
      <w:lvlJc w:val="left"/>
      <w:lvlText w:val="(%1)"/>
      <w:numFmt w:val="decimal"/>
      <w:start w:val="1"/>
    </w:lvl>
  </w:abstractNum>
  <w:abstractNum w:abstractNumId="52">
    <w:nsid w:val="17A1B582"/>
    <w:multiLevelType w:val="hybridMultilevel"/>
    <w:lvl w:ilvl="0">
      <w:lvlJc w:val="left"/>
      <w:lvlText w:val="(%1)"/>
      <w:numFmt w:val="decimal"/>
      <w:start w:val="4"/>
    </w:lvl>
  </w:abstractNum>
  <w:abstractNum w:abstractNumId="53">
    <w:nsid w:val="4DF72E4E"/>
    <w:multiLevelType w:val="hybridMultilevel"/>
    <w:lvl w:ilvl="0">
      <w:lvlJc w:val="left"/>
      <w:lvlText w:val="(%1)"/>
      <w:numFmt w:val="decimal"/>
      <w:start w:val="1"/>
    </w:lvl>
  </w:abstractNum>
  <w:abstractNum w:abstractNumId="54">
    <w:nsid w:val="5046B5A9"/>
    <w:multiLevelType w:val="hybridMultilevel"/>
    <w:lvl w:ilvl="0">
      <w:lvlJc w:val="left"/>
      <w:lvlText w:val="*"/>
      <w:numFmt w:val="bullet"/>
      <w:start w:val="1"/>
    </w:lvl>
  </w:abstractNum>
  <w:abstractNum w:abstractNumId="55">
    <w:nsid w:val="5D888A08"/>
    <w:multiLevelType w:val="hybridMultilevel"/>
    <w:lvl w:ilvl="0">
      <w:lvlJc w:val="left"/>
      <w:lvlText w:val="(%1)"/>
      <w:numFmt w:val="decimal"/>
      <w:start w:val="1"/>
    </w:lvl>
  </w:abstractNum>
  <w:abstractNum w:abstractNumId="56">
    <w:nsid w:val="2A082C70"/>
    <w:multiLevelType w:val="hybridMultilevel"/>
    <w:lvl w:ilvl="0">
      <w:lvlJc w:val="left"/>
      <w:lvlText w:val="(%1)"/>
      <w:numFmt w:val="decimal"/>
      <w:start w:val="4"/>
    </w:lvl>
  </w:abstractNum>
  <w:abstractNum w:abstractNumId="57">
    <w:nsid w:val="5EC6AFD4"/>
    <w:multiLevelType w:val="hybridMultilevel"/>
    <w:lvl w:ilvl="0">
      <w:lvlJc w:val="left"/>
      <w:lvlText w:val="(%1)"/>
      <w:numFmt w:val="decimal"/>
      <w:start w:val="14"/>
    </w:lvl>
  </w:abstractNum>
  <w:abstractNum w:abstractNumId="58">
    <w:nsid w:val="19E21BB2"/>
    <w:multiLevelType w:val="hybridMultilevel"/>
    <w:lvl w:ilvl="0">
      <w:lvlJc w:val="left"/>
      <w:lvlText w:val="•"/>
      <w:numFmt w:val="bullet"/>
      <w:start w:val="1"/>
    </w:lvl>
  </w:abstractNum>
  <w:abstractNum w:abstractNumId="59">
    <w:nsid w:val="75E0858A"/>
    <w:multiLevelType w:val="hybridMultilevel"/>
    <w:lvl w:ilvl="0">
      <w:lvlJc w:val="left"/>
      <w:lvlText w:val="•"/>
      <w:numFmt w:val="bullet"/>
      <w:start w:val="1"/>
    </w:lvl>
  </w:abstractNum>
  <w:abstractNum w:abstractNumId="60">
    <w:nsid w:val="57A61A29"/>
    <w:multiLevelType w:val="hybridMultilevel"/>
    <w:lvl w:ilvl="0">
      <w:lvlJc w:val="left"/>
      <w:lvlText w:val="•"/>
      <w:numFmt w:val="bullet"/>
      <w:start w:val="1"/>
    </w:lvl>
  </w:abstractNum>
  <w:abstractNum w:abstractNumId="61">
    <w:nsid w:val="5399C654"/>
    <w:multiLevelType w:val="hybridMultilevel"/>
    <w:lvl w:ilvl="0">
      <w:lvlJc w:val="left"/>
      <w:lvlText w:val="•"/>
      <w:numFmt w:val="bullet"/>
      <w:start w:val="1"/>
    </w:lvl>
  </w:abstractNum>
  <w:abstractNum w:abstractNumId="62">
    <w:nsid w:val="20EE1348"/>
    <w:multiLevelType w:val="hybridMultilevel"/>
    <w:lvl w:ilvl="0">
      <w:lvlJc w:val="left"/>
      <w:lvlText w:val="•"/>
      <w:numFmt w:val="bullet"/>
      <w:start w:val="1"/>
    </w:lvl>
  </w:abstractNum>
  <w:abstractNum w:abstractNumId="63">
    <w:nsid w:val="4427069A"/>
    <w:multiLevelType w:val="hybridMultilevel"/>
    <w:lvl w:ilvl="0">
      <w:lvlJc w:val="left"/>
      <w:lvlText w:val="•"/>
      <w:numFmt w:val="bullet"/>
      <w:start w:val="1"/>
    </w:lvl>
  </w:abstractNum>
  <w:abstractNum w:abstractNumId="64">
    <w:nsid w:val="B37E80A"/>
    <w:multiLevelType w:val="hybridMultilevel"/>
    <w:lvl w:ilvl="0">
      <w:lvlJc w:val="left"/>
      <w:lvlText w:val="•"/>
      <w:numFmt w:val="bullet"/>
      <w:start w:val="1"/>
    </w:lvl>
  </w:abstractNum>
  <w:abstractNum w:abstractNumId="65">
    <w:nsid w:val="2157F6BC"/>
    <w:multiLevelType w:val="hybridMultilevel"/>
    <w:lvl w:ilvl="0">
      <w:lvlJc w:val="left"/>
      <w:lvlText w:val="•"/>
      <w:numFmt w:val="bullet"/>
      <w:start w:val="1"/>
    </w:lvl>
  </w:abstractNum>
  <w:abstractNum w:abstractNumId="66">
    <w:nsid w:val="704E1DD5"/>
    <w:multiLevelType w:val="hybridMultilevel"/>
    <w:lvl w:ilvl="0">
      <w:lvlJc w:val="left"/>
      <w:lvlText w:val="•"/>
      <w:numFmt w:val="bullet"/>
      <w:start w:val="1"/>
    </w:lvl>
  </w:abstractNum>
  <w:abstractNum w:abstractNumId="67">
    <w:nsid w:val="57D2F10E"/>
    <w:multiLevelType w:val="hybridMultilevel"/>
    <w:lvl w:ilvl="0">
      <w:lvlJc w:val="left"/>
      <w:lvlText w:val="•"/>
      <w:numFmt w:val="bullet"/>
      <w:start w:val="1"/>
    </w:lvl>
  </w:abstractNum>
  <w:abstractNum w:abstractNumId="68">
    <w:nsid w:val="BFFAE18"/>
    <w:multiLevelType w:val="hybridMultilevel"/>
    <w:lvl w:ilvl="0">
      <w:lvlJc w:val="left"/>
      <w:lvlText w:val="•"/>
      <w:numFmt w:val="bullet"/>
      <w:start w:val="1"/>
    </w:lvl>
  </w:abstractNum>
  <w:abstractNum w:abstractNumId="69">
    <w:nsid w:val="E3E47A8"/>
    <w:multiLevelType w:val="hybridMultilevel"/>
    <w:lvl w:ilvl="0">
      <w:lvlJc w:val="left"/>
      <w:lvlText w:val="•"/>
      <w:numFmt w:val="bullet"/>
      <w:start w:val="1"/>
    </w:lvl>
  </w:abstractNum>
  <w:abstractNum w:abstractNumId="70">
    <w:nsid w:val="2E48F044"/>
    <w:multiLevelType w:val="hybridMultilevel"/>
    <w:lvl w:ilvl="0">
      <w:lvlJc w:val="left"/>
      <w:lvlText w:val="•"/>
      <w:numFmt w:val="bullet"/>
      <w:start w:val="1"/>
    </w:lvl>
  </w:abstractNum>
  <w:abstractNum w:abstractNumId="71">
    <w:nsid w:val="49D0FEAC"/>
    <w:multiLevelType w:val="hybridMultilevel"/>
    <w:lvl w:ilvl="0">
      <w:lvlJc w:val="left"/>
      <w:lvlText w:val="•"/>
      <w:numFmt w:val="bullet"/>
      <w:start w:val="1"/>
    </w:lvl>
  </w:abstractNum>
  <w:abstractNum w:abstractNumId="72">
    <w:nsid w:val="4BEE5A5B"/>
    <w:multiLevelType w:val="hybridMultilevel"/>
    <w:lvl w:ilvl="0">
      <w:lvlJc w:val="left"/>
      <w:lvlText w:val="•"/>
      <w:numFmt w:val="bullet"/>
      <w:start w:val="1"/>
    </w:lvl>
  </w:abstractNum>
  <w:abstractNum w:abstractNumId="73">
    <w:nsid w:val="5551B9F3"/>
    <w:multiLevelType w:val="hybridMultilevel"/>
    <w:lvl w:ilvl="0">
      <w:lvlJc w:val="left"/>
      <w:lvlText w:val="(%1)"/>
      <w:numFmt w:val="decimal"/>
      <w:start w:val="1"/>
    </w:lvl>
    <w:lvl w:ilvl="1">
      <w:lvlJc w:val="left"/>
      <w:lvlText w:val="(%2)"/>
      <w:numFmt w:val="lowerLetter"/>
      <w:start w:val="1"/>
    </w:lvl>
  </w:abstractNum>
  <w:abstractNum w:abstractNumId="74">
    <w:nsid w:val="24F6AB8E"/>
    <w:multiLevelType w:val="hybridMultilevel"/>
    <w:lvl w:ilvl="0">
      <w:lvlJc w:val="left"/>
      <w:lvlText w:val="(%1)"/>
      <w:numFmt w:val="decimal"/>
      <w:start w:val="1"/>
    </w:lvl>
  </w:abstractNum>
  <w:abstractNum w:abstractNumId="75">
    <w:nsid w:val="634C57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6">
    <w:nsid w:val="24E99DD7"/>
    <w:multiLevelType w:val="hybridMultilevel"/>
    <w:lvl w:ilvl="0">
      <w:lvlJc w:val="left"/>
      <w:lvlText w:val="(%1)"/>
      <w:numFmt w:val="decimal"/>
      <w:start w:val="1"/>
    </w:lvl>
  </w:abstractNum>
  <w:abstractNum w:abstractNumId="77">
    <w:nsid w:val="2A31B62D"/>
    <w:multiLevelType w:val="hybridMultilevel"/>
    <w:lvl w:ilvl="0">
      <w:lvlJc w:val="left"/>
      <w:lvlText w:val="(%1)"/>
      <w:numFmt w:val="decimal"/>
      <w:start w:val="1"/>
    </w:lvl>
  </w:abstractNum>
  <w:abstractNum w:abstractNumId="78">
    <w:nsid w:val="1849C29B"/>
    <w:multiLevelType w:val="hybridMultilevel"/>
    <w:lvl w:ilvl="0">
      <w:lvlJc w:val="left"/>
      <w:lvlText w:val="(%1)"/>
      <w:numFmt w:val="decimal"/>
      <w:start w:val="1"/>
    </w:lvl>
    <w:lvl w:ilvl="1">
      <w:lvlJc w:val="left"/>
      <w:lvlText w:val="(%2)"/>
      <w:numFmt w:val="lowerLetter"/>
      <w:start w:val="1"/>
    </w:lvl>
  </w:abstractNum>
  <w:abstractNum w:abstractNumId="79">
    <w:nsid w:val="7DFF9D09"/>
    <w:multiLevelType w:val="hybridMultilevel"/>
    <w:lvl w:ilvl="0">
      <w:lvlJc w:val="left"/>
      <w:lvlText w:val="(%1)"/>
      <w:numFmt w:val="decimal"/>
      <w:start w:val="1"/>
    </w:lvl>
  </w:abstractNum>
  <w:abstractNum w:abstractNumId="80">
    <w:nsid w:val="754342"/>
    <w:multiLevelType w:val="hybridMultilevel"/>
    <w:lvl w:ilvl="0">
      <w:lvlJc w:val="left"/>
      <w:lvlText w:val="(%1)"/>
      <w:numFmt w:val="decimal"/>
      <w:start w:val="1"/>
    </w:lvl>
  </w:abstractNum>
  <w:abstractNum w:abstractNumId="81">
    <w:nsid w:val="69E7F3E5"/>
    <w:multiLevelType w:val="hybridMultilevel"/>
    <w:lvl w:ilvl="0">
      <w:lvlJc w:val="left"/>
      <w:lvlText w:val="(%1)"/>
      <w:numFmt w:val="decimal"/>
      <w:start w:val="1"/>
    </w:lvl>
  </w:abstractNum>
  <w:abstractNum w:abstractNumId="82">
    <w:nsid w:val="2A6DE806"/>
    <w:multiLevelType w:val="hybridMultilevel"/>
    <w:lvl w:ilvl="0">
      <w:lvlJc w:val="left"/>
      <w:lvlText w:val="(%1)"/>
      <w:numFmt w:val="decimal"/>
      <w:start w:val="1"/>
    </w:lvl>
  </w:abstractNum>
  <w:abstractNum w:abstractNumId="83">
    <w:nsid w:val="1816F8C4"/>
    <w:multiLevelType w:val="hybridMultilevel"/>
    <w:lvl w:ilvl="0">
      <w:lvlJc w:val="left"/>
      <w:lvlText w:val="(%1)"/>
      <w:numFmt w:val="lowerLetter"/>
      <w:start w:val="1"/>
    </w:lvl>
  </w:abstractNum>
  <w:abstractNum w:abstractNumId="84">
    <w:nsid w:val="37DF2233"/>
    <w:multiLevelType w:val="hybridMultilevel"/>
    <w:lvl w:ilvl="0">
      <w:lvlJc w:val="left"/>
      <w:lvlText w:val="(%1)"/>
      <w:numFmt w:val="lowerLetter"/>
      <w:start w:val="2"/>
    </w:lvl>
  </w:abstractNum>
  <w:abstractNum w:abstractNumId="85">
    <w:nsid w:val="7AB49DAF"/>
    <w:multiLevelType w:val="hybridMultilevel"/>
    <w:lvl w:ilvl="0">
      <w:lvlJc w:val="left"/>
      <w:lvlText w:val="(%1)"/>
      <w:numFmt w:val="decimal"/>
      <w:start w:val="1"/>
    </w:lvl>
  </w:abstractNum>
  <w:abstractNum w:abstractNumId="86">
    <w:nsid w:val="759F82CD"/>
    <w:multiLevelType w:val="hybridMultilevel"/>
    <w:lvl w:ilvl="0">
      <w:lvlJc w:val="left"/>
      <w:lvlText w:val="(%1)"/>
      <w:numFmt w:val="decimal"/>
      <w:start w:val="5"/>
    </w:lvl>
  </w:abstractNum>
  <w:abstractNum w:abstractNumId="87">
    <w:nsid w:val="61E74EA3"/>
    <w:multiLevelType w:val="hybridMultilevel"/>
    <w:lvl w:ilvl="0">
      <w:lvlJc w:val="left"/>
      <w:lvlText w:val="(%1)"/>
      <w:numFmt w:val="decimal"/>
      <w:start w:val="2"/>
    </w:lvl>
  </w:abstractNum>
  <w:abstractNum w:abstractNumId="88">
    <w:nsid w:val="597B4D84"/>
    <w:multiLevelType w:val="hybridMultilevel"/>
    <w:lvl w:ilvl="0">
      <w:lvlJc w:val="left"/>
      <w:lvlText w:val="(%1)"/>
      <w:numFmt w:val="decimal"/>
      <w:start w:val="1"/>
    </w:lvl>
    <w:lvl w:ilvl="1">
      <w:lvlJc w:val="left"/>
      <w:lvlText w:val="(%2)"/>
      <w:numFmt w:val="lowerLetter"/>
      <w:start w:val="1"/>
    </w:lvl>
  </w:abstractNum>
  <w:abstractNum w:abstractNumId="89">
    <w:nsid w:val="F819E7F"/>
    <w:multiLevelType w:val="hybridMultilevel"/>
    <w:lvl w:ilvl="0">
      <w:lvlJc w:val="left"/>
      <w:lvlText w:val="(%1)"/>
      <w:numFmt w:val="decimal"/>
      <w:start w:val="9"/>
    </w:lvl>
  </w:abstractNum>
  <w:abstractNum w:abstractNumId="90">
    <w:nsid w:val="57C7D42D"/>
    <w:multiLevelType w:val="hybridMultilevel"/>
    <w:lvl w:ilvl="0">
      <w:lvlJc w:val="left"/>
      <w:lvlText w:val="(%1)"/>
      <w:numFmt w:val="decimal"/>
      <w:start w:val="1"/>
    </w:lvl>
    <w:lvl w:ilvl="1">
      <w:lvlJc w:val="left"/>
      <w:lvlText w:val="(%2)"/>
      <w:numFmt w:val="lowerLetter"/>
      <w:start w:val="1"/>
    </w:lvl>
  </w:abstractNum>
  <w:abstractNum w:abstractNumId="91">
    <w:nsid w:val="312167AD"/>
    <w:multiLevelType w:val="hybridMultilevel"/>
    <w:lvl w:ilvl="0">
      <w:lvlJc w:val="left"/>
      <w:lvlText w:val="(%1)"/>
      <w:numFmt w:val="decimal"/>
      <w:start w:val="1"/>
    </w:lvl>
  </w:abstractNum>
  <w:abstractNum w:abstractNumId="92">
    <w:nsid w:val="631B64D4"/>
    <w:multiLevelType w:val="hybridMultilevel"/>
    <w:lvl w:ilvl="0">
      <w:lvlJc w:val="left"/>
      <w:lvlText w:val="(%1)"/>
      <w:numFmt w:val="decimal"/>
      <w:start w:val="1"/>
    </w:lvl>
  </w:abstractNum>
  <w:abstractNum w:abstractNumId="93">
    <w:nsid w:val="78B5E776"/>
    <w:multiLevelType w:val="hybridMultilevel"/>
    <w:lvl w:ilvl="0">
      <w:lvlJc w:val="left"/>
      <w:lvlText w:val="(%1)"/>
      <w:numFmt w:val="decimal"/>
      <w:start w:val="6"/>
    </w:lvl>
  </w:abstractNum>
  <w:abstractNum w:abstractNumId="94">
    <w:nsid w:val="75486E47"/>
    <w:multiLevelType w:val="hybridMultilevel"/>
    <w:lvl w:ilvl="0">
      <w:lvlJc w:val="left"/>
      <w:lvlText w:val="(%1)"/>
      <w:numFmt w:val="decimal"/>
      <w:start w:val="1"/>
    </w:lvl>
    <w:lvl w:ilvl="1">
      <w:lvlJc w:val="left"/>
      <w:lvlText w:val="(%2)"/>
      <w:numFmt w:val="lowerLetter"/>
      <w:start w:val="1"/>
    </w:lvl>
  </w:abstractNum>
  <w:abstractNum w:abstractNumId="95">
    <w:nsid w:val="6E534CDE"/>
    <w:multiLevelType w:val="hybridMultilevel"/>
    <w:lvl w:ilvl="0">
      <w:lvlJc w:val="left"/>
      <w:lvlText w:val="(%1)"/>
      <w:numFmt w:val="decimal"/>
      <w:start w:val="1"/>
    </w:lvl>
    <w:lvl w:ilvl="1">
      <w:lvlJc w:val="left"/>
      <w:lvlText w:val="(%2)"/>
      <w:numFmt w:val="lowerLetter"/>
      <w:start w:val="1"/>
    </w:lvl>
  </w:abstractNum>
  <w:abstractNum w:abstractNumId="96">
    <w:nsid w:val="1A0DDE32"/>
    <w:multiLevelType w:val="hybridMultilevel"/>
    <w:lvl w:ilvl="0">
      <w:lvlJc w:val="left"/>
      <w:lvlText w:val="(%1)"/>
      <w:numFmt w:val="decimal"/>
      <w:start w:val="1"/>
    </w:lvl>
  </w:abstractNum>
  <w:abstractNum w:abstractNumId="97">
    <w:nsid w:val="65968C1C"/>
    <w:multiLevelType w:val="hybridMultilevel"/>
    <w:lvl w:ilvl="0">
      <w:lvlJc w:val="left"/>
      <w:lvlText w:val="(%1)"/>
      <w:numFmt w:val="decimal"/>
      <w:start w:val="1"/>
    </w:lvl>
  </w:abstractNum>
  <w:abstractNum w:abstractNumId="98">
    <w:nsid w:val="46263DEC"/>
    <w:multiLevelType w:val="hybridMultilevel"/>
    <w:lvl w:ilvl="0">
      <w:lvlJc w:val="left"/>
      <w:lvlText w:val="(%1)"/>
      <w:numFmt w:val="decimal"/>
      <w:start w:val="1"/>
    </w:lvl>
  </w:abstractNum>
  <w:abstractNum w:abstractNumId="99">
    <w:nsid w:val="260D8C4A"/>
    <w:multiLevelType w:val="hybridMultilevel"/>
    <w:lvl w:ilvl="0">
      <w:lvlJc w:val="left"/>
      <w:lvlText w:val="(%1)"/>
      <w:numFmt w:val="decimal"/>
      <w:start w:val="1"/>
    </w:lvl>
  </w:abstractNum>
  <w:abstractNum w:abstractNumId="100">
    <w:nsid w:val="73D4D3C4"/>
    <w:multiLevelType w:val="hybridMultilevel"/>
    <w:lvl w:ilvl="0">
      <w:lvlJc w:val="left"/>
      <w:lvlText w:val="(%1)"/>
      <w:numFmt w:val="decimal"/>
      <w:start w:val="1"/>
    </w:lvl>
  </w:abstractNum>
  <w:abstractNum w:abstractNumId="101">
    <w:nsid w:val="746F2E30"/>
    <w:multiLevelType w:val="hybridMultilevel"/>
    <w:lvl w:ilvl="0">
      <w:lvlJc w:val="left"/>
      <w:lvlText w:val="(%1)"/>
      <w:numFmt w:val="decimal"/>
      <w:start w:val="1"/>
    </w:lvl>
    <w:lvl w:ilvl="1">
      <w:lvlJc w:val="left"/>
      <w:lvlText w:val="(%2)"/>
      <w:numFmt w:val="lowerLetter"/>
      <w:start w:val="2"/>
    </w:lvl>
  </w:abstractNum>
  <w:abstractNum w:abstractNumId="102">
    <w:nsid w:val="6FDE8AF6"/>
    <w:multiLevelType w:val="hybridMultilevel"/>
    <w:lvl w:ilvl="0">
      <w:lvlJc w:val="left"/>
      <w:lvlText w:val="%1"/>
      <w:numFmt w:val="decimal"/>
      <w:start w:val="1"/>
    </w:lvl>
    <w:lvl w:ilvl="1">
      <w:lvlJc w:val="left"/>
      <w:lvlText w:val="(%2)"/>
      <w:numFmt w:val="lowerLetter"/>
      <w:start w:val="1"/>
    </w:lvl>
  </w:abstractNum>
  <w:abstractNum w:abstractNumId="103">
    <w:nsid w:val="3FC32E20"/>
    <w:multiLevelType w:val="hybridMultilevel"/>
    <w:lvl w:ilvl="0">
      <w:lvlJc w:val="left"/>
      <w:lvlText w:val="(%1)"/>
      <w:numFmt w:val="decimal"/>
      <w:start w:val="3"/>
    </w:lvl>
    <w:lvl w:ilvl="1">
      <w:lvlJc w:val="left"/>
      <w:lvlText w:val="%2"/>
      <w:numFmt w:val="lowerLetter"/>
      <w:start w:val="1"/>
    </w:lvl>
  </w:abstractNum>
  <w:abstractNum w:abstractNumId="104">
    <w:nsid w:val="49C0E823"/>
    <w:multiLevelType w:val="hybridMultilevel"/>
    <w:lvl w:ilvl="0">
      <w:lvlJc w:val="left"/>
      <w:lvlText w:val="%1"/>
      <w:numFmt w:val="decimal"/>
      <w:start w:val="1"/>
    </w:lvl>
    <w:lvl w:ilvl="1">
      <w:lvlJc w:val="left"/>
      <w:lvlText w:val="(%2)"/>
      <w:numFmt w:val="lowerLetter"/>
      <w:start w:val="1"/>
    </w:lvl>
  </w:abstractNum>
  <w:abstractNum w:abstractNumId="105">
    <w:nsid w:val="14D53685"/>
    <w:multiLevelType w:val="hybridMultilevel"/>
    <w:lvl w:ilvl="0">
      <w:lvlJc w:val="left"/>
      <w:lvlText w:val="(%1)"/>
      <w:numFmt w:val="decimal"/>
      <w:start w:val="4"/>
    </w:lvl>
    <w:lvl w:ilvl="1">
      <w:lvlJc w:val="left"/>
      <w:lvlText w:val="%2"/>
      <w:numFmt w:val="lowerLetter"/>
      <w:start w:val="1"/>
    </w:lvl>
  </w:abstractNum>
  <w:abstractNum w:abstractNumId="106">
    <w:nsid w:val="230F856C"/>
    <w:multiLevelType w:val="hybridMultilevel"/>
    <w:lvl w:ilvl="0">
      <w:lvlJc w:val="left"/>
      <w:lvlText w:val="(%1)"/>
      <w:numFmt w:val="decimal"/>
      <w:start w:val="1"/>
    </w:lvl>
    <w:lvl w:ilvl="1">
      <w:lvlJc w:val="left"/>
      <w:lvlText w:val="(%2)"/>
      <w:numFmt w:val="lowerLetter"/>
      <w:start w:val="1"/>
    </w:lvl>
  </w:abstractNum>
  <w:abstractNum w:abstractNumId="107">
    <w:nsid w:val="6EAA85FB"/>
    <w:multiLevelType w:val="hybridMultilevel"/>
    <w:lvl w:ilvl="0">
      <w:lvlJc w:val="left"/>
      <w:lvlText w:val="(%1)"/>
      <w:numFmt w:val="decimal"/>
      <w:start w:val="3"/>
    </w:lvl>
  </w:abstractNum>
  <w:abstractNum w:abstractNumId="108">
    <w:nsid w:val="3F06ECB2"/>
    <w:multiLevelType w:val="hybridMultilevel"/>
    <w:lvl w:ilvl="0">
      <w:lvlJc w:val="left"/>
      <w:lvlText w:val="(%1)"/>
      <w:numFmt w:val="decimal"/>
      <w:start w:val="1"/>
    </w:lvl>
  </w:abstractNum>
  <w:abstractNum w:abstractNumId="109">
    <w:nsid w:val="3B594807"/>
    <w:multiLevelType w:val="hybridMultilevel"/>
    <w:lvl w:ilvl="0">
      <w:lvlJc w:val="left"/>
      <w:lvlText w:val="(%1)"/>
      <w:numFmt w:val="decimal"/>
      <w:start w:val="1"/>
    </w:lvl>
  </w:abstractNum>
  <w:abstractNum w:abstractNumId="110">
    <w:nsid w:val="6CAA2304"/>
    <w:multiLevelType w:val="hybridMultilevel"/>
    <w:lvl w:ilvl="0">
      <w:lvlJc w:val="left"/>
      <w:lvlText w:val="(%1)"/>
      <w:numFmt w:val="decimal"/>
      <w:start w:val="1"/>
    </w:lvl>
    <w:lvl w:ilvl="1">
      <w:lvlJc w:val="left"/>
      <w:lvlText w:val="(%2)"/>
      <w:numFmt w:val="lowerLetter"/>
      <w:start w:val="1"/>
    </w:lvl>
  </w:abstractNum>
  <w:abstractNum w:abstractNumId="111">
    <w:nsid w:val="3F7C2FF4"/>
    <w:multiLevelType w:val="hybridMultilevel"/>
    <w:lvl w:ilvl="0">
      <w:lvlJc w:val="left"/>
      <w:lvlText w:val="%1"/>
      <w:numFmt w:val="decimal"/>
      <w:start w:val="1"/>
    </w:lvl>
    <w:lvl w:ilvl="1">
      <w:lvlJc w:val="left"/>
      <w:lvlText w:val="(%2)"/>
      <w:numFmt w:val="lowerLetter"/>
      <w:start w:val="2"/>
    </w:lvl>
  </w:abstractNum>
  <w:abstractNum w:abstractNumId="112">
    <w:nsid w:val="25413BEC"/>
    <w:multiLevelType w:val="hybridMultilevel"/>
    <w:lvl w:ilvl="0">
      <w:lvlJc w:val="left"/>
      <w:lvlText w:val="(%1)"/>
      <w:numFmt w:val="decimal"/>
      <w:start w:val="4"/>
    </w:lvl>
    <w:lvl w:ilvl="1">
      <w:lvlJc w:val="left"/>
      <w:lvlText w:val="(%2)"/>
      <w:numFmt w:val="lowerLetter"/>
      <w:start w:val="1"/>
    </w:lvl>
  </w:abstractNum>
  <w:abstractNum w:abstractNumId="113">
    <w:nsid w:val="17180B0B"/>
    <w:multiLevelType w:val="hybridMultilevel"/>
    <w:lvl w:ilvl="0">
      <w:lvlJc w:val="left"/>
      <w:lvlText w:val="(%1)"/>
      <w:numFmt w:val="decimal"/>
      <w:start w:val="11"/>
    </w:lvl>
  </w:abstractNum>
  <w:abstractNum w:abstractNumId="114">
    <w:nsid w:val="579328B9"/>
    <w:multiLevelType w:val="hybridMultilevel"/>
    <w:lvl w:ilvl="0">
      <w:lvlJc w:val="left"/>
      <w:lvlText w:val="(%1)"/>
      <w:numFmt w:val="decimal"/>
      <w:start w:val="1"/>
    </w:lvl>
  </w:abstractNum>
  <w:abstractNum w:abstractNumId="115">
    <w:nsid w:val="5D205E20"/>
    <w:multiLevelType w:val="hybridMultilevel"/>
    <w:lvl w:ilvl="0">
      <w:lvlJc w:val="left"/>
      <w:lvlText w:val="(%1)"/>
      <w:numFmt w:val="decimal"/>
      <w:start w:val="1"/>
    </w:lvl>
  </w:abstractNum>
  <w:abstractNum w:abstractNumId="116">
    <w:nsid w:val="11CCA8BA"/>
    <w:multiLevelType w:val="hybridMultilevel"/>
    <w:lvl w:ilvl="0">
      <w:lvlJc w:val="left"/>
      <w:lvlText w:val="(%1)"/>
      <w:numFmt w:val="decimal"/>
      <w:start w:val="1"/>
    </w:lvl>
  </w:abstractNum>
  <w:abstractNum w:abstractNumId="117">
    <w:nsid w:val="4D32AB86"/>
    <w:multiLevelType w:val="hybridMultilevel"/>
    <w:lvl w:ilvl="0">
      <w:lvlJc w:val="left"/>
      <w:lvlText w:val="(%1)"/>
      <w:numFmt w:val="decimal"/>
      <w:start w:val="2"/>
    </w:lvl>
  </w:abstractNum>
  <w:abstractNum w:abstractNumId="118">
    <w:nsid w:val="3F07ACC3"/>
    <w:multiLevelType w:val="hybridMultilevel"/>
    <w:lvl w:ilvl="0">
      <w:lvlJc w:val="left"/>
      <w:lvlText w:val="(%1)"/>
      <w:numFmt w:val="decimal"/>
      <w:start w:val="1"/>
    </w:lvl>
  </w:abstractNum>
  <w:abstractNum w:abstractNumId="119">
    <w:nsid w:val="6B47F63E"/>
    <w:multiLevelType w:val="hybridMultilevel"/>
    <w:lvl w:ilvl="0">
      <w:lvlJc w:val="left"/>
      <w:lvlText w:val="(%1)"/>
      <w:numFmt w:val="decimal"/>
      <w:start w:val="7"/>
    </w:lvl>
  </w:abstractNum>
  <w:abstractNum w:abstractNumId="120">
    <w:nsid w:val="5CB44A05"/>
    <w:multiLevelType w:val="hybridMultilevel"/>
    <w:lvl w:ilvl="0">
      <w:lvlJc w:val="left"/>
      <w:lvlText w:val="(%1)"/>
      <w:numFmt w:val="decimal"/>
      <w:start w:val="1"/>
    </w:lvl>
  </w:abstractNum>
  <w:abstractNum w:abstractNumId="121">
    <w:nsid w:val="16CF80F1"/>
    <w:multiLevelType w:val="hybridMultilevel"/>
    <w:lvl w:ilvl="0">
      <w:lvlJc w:val="left"/>
      <w:lvlText w:val="(%1)"/>
      <w:numFmt w:val="decimal"/>
      <w:start w:val="1"/>
    </w:lvl>
  </w:abstractNum>
  <w:abstractNum w:abstractNumId="122">
    <w:nsid w:val="1C695DEC"/>
    <w:multiLevelType w:val="hybridMultilevel"/>
    <w:lvl w:ilvl="0">
      <w:lvlJc w:val="left"/>
      <w:lvlText w:val="(%1)"/>
      <w:numFmt w:val="decimal"/>
      <w:start w:val="7"/>
    </w:lvl>
  </w:abstractNum>
  <w:abstractNum w:abstractNumId="123">
    <w:nsid w:val="3FCFAED9"/>
    <w:multiLevelType w:val="hybridMultilevel"/>
    <w:lvl w:ilvl="0">
      <w:lvlJc w:val="left"/>
      <w:lvlText w:val="(%1)"/>
      <w:numFmt w:val="decimal"/>
      <w:start w:val="1"/>
    </w:lvl>
  </w:abstractNum>
  <w:abstractNum w:abstractNumId="124">
    <w:nsid w:val="F856867"/>
    <w:multiLevelType w:val="hybridMultilevel"/>
    <w:lvl w:ilvl="0">
      <w:lvlJc w:val="left"/>
      <w:lvlText w:val="(%1)"/>
      <w:numFmt w:val="decimal"/>
      <w:start w:val="1"/>
    </w:lvl>
    <w:lvl w:ilvl="1">
      <w:lvlJc w:val="left"/>
      <w:lvlText w:val="(%2)"/>
      <w:numFmt w:val="lowerLetter"/>
      <w:start w:val="1"/>
    </w:lvl>
  </w:abstractNum>
  <w:abstractNum w:abstractNumId="125">
    <w:nsid w:val="11B1CC33"/>
    <w:multiLevelType w:val="hybridMultilevel"/>
    <w:lvl w:ilvl="0">
      <w:lvlJc w:val="left"/>
      <w:lvlText w:val="(%1)"/>
      <w:numFmt w:val="decimal"/>
      <w:start w:val="2"/>
    </w:lvl>
  </w:abstractNum>
  <w:abstractNum w:abstractNumId="126">
    <w:nsid w:val="2E22FBB7"/>
    <w:multiLevelType w:val="hybridMultilevel"/>
    <w:lvl w:ilvl="0">
      <w:lvlJc w:val="left"/>
      <w:lvlText w:val="(%1)"/>
      <w:numFmt w:val="decimal"/>
      <w:start w:val="1"/>
    </w:lvl>
  </w:abstractNum>
  <w:abstractNum w:abstractNumId="127">
    <w:nsid w:val="29934699"/>
    <w:multiLevelType w:val="hybridMultilevel"/>
    <w:lvl w:ilvl="0">
      <w:lvlJc w:val="left"/>
      <w:lvlText w:val="(%1)"/>
      <w:numFmt w:val="decimal"/>
      <w:start w:val="1"/>
    </w:lvl>
  </w:abstractNum>
  <w:abstractNum w:abstractNumId="128">
    <w:nsid w:val="77485850"/>
    <w:multiLevelType w:val="hybridMultilevel"/>
    <w:lvl w:ilvl="0">
      <w:lvlJc w:val="left"/>
      <w:lvlText w:val="(%1)"/>
      <w:numFmt w:val="decimal"/>
      <w:start w:val="1"/>
    </w:lvl>
  </w:abstractNum>
  <w:abstractNum w:abstractNumId="129">
    <w:nsid w:val="744939A3"/>
    <w:multiLevelType w:val="hybridMultilevel"/>
    <w:lvl w:ilvl="0">
      <w:lvlJc w:val="left"/>
      <w:lvlText w:val="(%1)"/>
      <w:numFmt w:val="decimal"/>
      <w:start w:val="1"/>
    </w:lvl>
  </w:abstractNum>
  <w:abstractNum w:abstractNumId="130">
    <w:nsid w:val="4FA0D2E3"/>
    <w:multiLevelType w:val="hybridMultilevel"/>
    <w:lvl w:ilvl="0">
      <w:lvlJc w:val="left"/>
      <w:lvlText w:val="(%1)"/>
      <w:numFmt w:val="decimal"/>
      <w:start w:val="1"/>
    </w:lvl>
  </w:abstractNum>
  <w:abstractNum w:abstractNumId="131">
    <w:nsid w:val="6B1D2C14"/>
    <w:multiLevelType w:val="hybridMultilevel"/>
    <w:lvl w:ilvl="0">
      <w:lvlJc w:val="left"/>
      <w:lvlText w:val="(%1)"/>
      <w:numFmt w:val="decimal"/>
      <w:start w:val="1"/>
    </w:lvl>
  </w:abstractNum>
  <w:abstractNum w:abstractNumId="132">
    <w:nsid w:val="68B867D3"/>
    <w:multiLevelType w:val="hybridMultilevel"/>
    <w:lvl w:ilvl="0">
      <w:lvlJc w:val="left"/>
      <w:lvlText w:val="(%1)"/>
      <w:numFmt w:val="decimal"/>
      <w:start w:val="1"/>
    </w:lvl>
    <w:lvl w:ilvl="1">
      <w:lvlJc w:val="left"/>
      <w:lvlText w:val="(%2)"/>
      <w:numFmt w:val="lowerLetter"/>
      <w:start w:val="1"/>
    </w:lvl>
  </w:abstractNum>
  <w:abstractNum w:abstractNumId="133">
    <w:nsid w:val="3F7F5DD9"/>
    <w:multiLevelType w:val="hybridMultilevel"/>
    <w:lvl w:ilvl="0">
      <w:lvlJc w:val="left"/>
      <w:lvlText w:val="(%1)"/>
      <w:numFmt w:val="decimal"/>
      <w:start w:val="4"/>
    </w:lvl>
  </w:abstractNum>
  <w:abstractNum w:abstractNumId="134">
    <w:nsid w:val="2AE05A34"/>
    <w:multiLevelType w:val="hybridMultilevel"/>
    <w:lvl w:ilvl="0">
      <w:lvlJc w:val="left"/>
      <w:lvlText w:val="(%1)"/>
      <w:numFmt w:val="decimal"/>
      <w:start w:val="1"/>
    </w:lvl>
  </w:abstractNum>
  <w:abstractNum w:abstractNumId="135">
    <w:nsid w:val="32794FF7"/>
    <w:multiLevelType w:val="hybridMultilevel"/>
    <w:lvl w:ilvl="0">
      <w:lvlJc w:val="left"/>
      <w:lvlText w:val="(%1)"/>
      <w:numFmt w:val="decimal"/>
      <w:start w:val="1"/>
    </w:lvl>
  </w:abstractNum>
  <w:abstractNum w:abstractNumId="136">
    <w:nsid w:val="5454945E"/>
    <w:multiLevelType w:val="hybridMultilevel"/>
    <w:lvl w:ilvl="0">
      <w:lvlJc w:val="left"/>
      <w:lvlText w:val="(%1)"/>
      <w:numFmt w:val="decimal"/>
      <w:start w:val="1"/>
    </w:lvl>
  </w:abstractNum>
  <w:abstractNum w:abstractNumId="137">
    <w:nsid w:val="4DEFDFA0"/>
    <w:multiLevelType w:val="hybridMultilevel"/>
    <w:lvl w:ilvl="0">
      <w:lvlJc w:val="left"/>
      <w:lvlText w:val="(%1)"/>
      <w:numFmt w:val="decimal"/>
      <w:start w:val="5"/>
    </w:lvl>
  </w:abstractNum>
  <w:abstractNum w:abstractNumId="138">
    <w:nsid w:val="2123D5F2"/>
    <w:multiLevelType w:val="hybridMultilevel"/>
    <w:lvl w:ilvl="0">
      <w:lvlJc w:val="left"/>
      <w:lvlText w:val="(%1)"/>
      <w:numFmt w:val="decimal"/>
      <w:start w:val="1"/>
    </w:lvl>
  </w:abstractNum>
  <w:abstractNum w:abstractNumId="139">
    <w:nsid w:val="135B8110"/>
    <w:multiLevelType w:val="hybridMultilevel"/>
    <w:lvl w:ilvl="0">
      <w:lvlJc w:val="left"/>
      <w:lvlText w:val="(%1)"/>
      <w:numFmt w:val="decimal"/>
      <w:start w:val="1"/>
    </w:lvl>
  </w:abstractNum>
  <w:abstractNum w:abstractNumId="140">
    <w:nsid w:val="94927A8"/>
    <w:multiLevelType w:val="hybridMultilevel"/>
    <w:lvl w:ilvl="0">
      <w:lvlJc w:val="left"/>
      <w:lvlText w:val="(%1)"/>
      <w:numFmt w:val="decimal"/>
      <w:start w:val="1"/>
    </w:lvl>
  </w:abstractNum>
  <w:abstractNum w:abstractNumId="141">
    <w:nsid w:val="DCDF8F6"/>
    <w:multiLevelType w:val="hybridMultilevel"/>
    <w:lvl w:ilvl="0">
      <w:lvlJc w:val="left"/>
      <w:lvlText w:val="(%1)"/>
      <w:numFmt w:val="decimal"/>
      <w:start w:val="5"/>
    </w:lvl>
  </w:abstractNum>
  <w:abstractNum w:abstractNumId="142">
    <w:nsid w:val="52D7B105"/>
    <w:multiLevelType w:val="hybridMultilevel"/>
    <w:lvl w:ilvl="0">
      <w:lvlJc w:val="left"/>
      <w:lvlText w:val="(%1)"/>
      <w:numFmt w:val="lowerLetter"/>
      <w:start w:val="1"/>
    </w:lvl>
  </w:abstractNum>
  <w:abstractNum w:abstractNumId="143">
    <w:nsid w:val="2E8A6394"/>
    <w:multiLevelType w:val="hybridMultilevel"/>
    <w:lvl w:ilvl="0">
      <w:lvlJc w:val="left"/>
      <w:lvlText w:val="(%1)"/>
      <w:numFmt w:val="decimal"/>
      <w:start w:val="1"/>
    </w:lvl>
  </w:abstractNum>
  <w:abstractNum w:abstractNumId="144">
    <w:nsid w:val="24E60401"/>
    <w:multiLevelType w:val="hybridMultilevel"/>
    <w:lvl w:ilvl="0">
      <w:lvlJc w:val="left"/>
      <w:lvlText w:val="(%1)"/>
      <w:numFmt w:val="decimal"/>
      <w:start w:val="3"/>
    </w:lvl>
  </w:abstractNum>
  <w:abstractNum w:abstractNumId="145">
    <w:nsid w:val="2A6AD9BE"/>
    <w:multiLevelType w:val="hybridMultilevel"/>
    <w:lvl w:ilvl="0">
      <w:lvlJc w:val="left"/>
      <w:lvlText w:val="(%1)"/>
      <w:numFmt w:val="decimal"/>
      <w:start w:val="1"/>
    </w:lvl>
  </w:abstractNum>
  <w:abstractNum w:abstractNumId="146">
    <w:nsid w:val="BAAC1B4"/>
    <w:multiLevelType w:val="hybridMultilevel"/>
    <w:lvl w:ilvl="0">
      <w:lvlJc w:val="left"/>
      <w:lvlText w:val="(%1)"/>
      <w:numFmt w:val="decimal"/>
      <w:start w:val="1"/>
    </w:lvl>
  </w:abstractNum>
  <w:abstractNum w:abstractNumId="147">
    <w:nsid w:val="36B2ACBC"/>
    <w:multiLevelType w:val="hybridMultilevel"/>
    <w:lvl w:ilvl="0">
      <w:lvlJc w:val="left"/>
      <w:lvlText w:val="(%1)"/>
      <w:numFmt w:val="decimal"/>
      <w:start w:val="1"/>
    </w:lvl>
  </w:abstractNum>
  <w:abstractNum w:abstractNumId="148">
    <w:nsid w:val="779D8544"/>
    <w:multiLevelType w:val="hybridMultilevel"/>
    <w:lvl w:ilvl="0">
      <w:lvlJc w:val="left"/>
      <w:lvlText w:val="(%1)"/>
      <w:numFmt w:val="decimal"/>
      <w:start w:val="2"/>
    </w:lvl>
  </w:abstractNum>
  <w:abstractNum w:abstractNumId="149">
    <w:nsid w:val="4AB26E78"/>
    <w:multiLevelType w:val="hybridMultilevel"/>
    <w:lvl w:ilvl="0">
      <w:lvlJc w:val="left"/>
      <w:lvlText w:val="(%1)"/>
      <w:numFmt w:val="decimal"/>
      <w:start w:val="1"/>
    </w:lvl>
  </w:abstractNum>
  <w:abstractNum w:abstractNumId="150">
    <w:nsid w:val="21FAA2FA"/>
    <w:multiLevelType w:val="hybridMultilevel"/>
    <w:lvl w:ilvl="0">
      <w:lvlJc w:val="left"/>
      <w:lvlText w:val="(%1)"/>
      <w:numFmt w:val="decimal"/>
      <w:start w:val="4"/>
    </w:lvl>
  </w:abstractNum>
  <w:abstractNum w:abstractNumId="151">
    <w:nsid w:val="5451CF49"/>
    <w:multiLevelType w:val="hybridMultilevel"/>
    <w:lvl w:ilvl="0">
      <w:lvlJc w:val="left"/>
      <w:lvlText w:val="(%1)"/>
      <w:numFmt w:val="decimal"/>
      <w:start w:val="1"/>
    </w:lvl>
  </w:abstractNum>
  <w:abstractNum w:abstractNumId="152">
    <w:nsid w:val="6181EF69"/>
    <w:multiLevelType w:val="hybridMultilevel"/>
    <w:lvl w:ilvl="0">
      <w:lvlJc w:val="left"/>
      <w:lvlText w:val="(%1)"/>
      <w:numFmt w:val="decimal"/>
      <w:start w:val="1"/>
    </w:lvl>
  </w:abstractNum>
  <w:abstractNum w:abstractNumId="153">
    <w:nsid w:val="3E6400E6"/>
    <w:multiLevelType w:val="hybridMultilevel"/>
    <w:lvl w:ilvl="0">
      <w:lvlJc w:val="left"/>
      <w:lvlText w:val="(%1)"/>
      <w:numFmt w:val="decimal"/>
      <w:start w:val="1"/>
    </w:lvl>
  </w:abstractNum>
  <w:abstractNum w:abstractNumId="154">
    <w:nsid w:val="14217E23"/>
    <w:multiLevelType w:val="hybridMultilevel"/>
    <w:lvl w:ilvl="0">
      <w:lvlJc w:val="left"/>
      <w:lvlText w:val="(%1)"/>
      <w:numFmt w:val="decimal"/>
      <w:start w:val="1"/>
    </w:lvl>
  </w:abstractNum>
  <w:abstractNum w:abstractNumId="155">
    <w:nsid w:val="710757D0"/>
    <w:multiLevelType w:val="hybridMultilevel"/>
    <w:lvl w:ilvl="0">
      <w:lvlJc w:val="left"/>
      <w:lvlText w:val="(%1)"/>
      <w:numFmt w:val="decimal"/>
      <w:start w:val="1"/>
    </w:lvl>
  </w:abstractNum>
  <w:abstractNum w:abstractNumId="156">
    <w:nsid w:val="5015CD1A"/>
    <w:multiLevelType w:val="hybridMultilevel"/>
    <w:lvl w:ilvl="0">
      <w:lvlJc w:val="left"/>
      <w:lvlText w:val="(%1)"/>
      <w:numFmt w:val="decimal"/>
      <w:start w:val="1"/>
    </w:lvl>
  </w:abstractNum>
  <w:abstractNum w:abstractNumId="157">
    <w:nsid w:val="424479DA"/>
    <w:multiLevelType w:val="hybridMultilevel"/>
    <w:lvl w:ilvl="0">
      <w:lvlJc w:val="left"/>
      <w:lvlText w:val="(%1)"/>
      <w:numFmt w:val="decimal"/>
      <w:start w:val="1"/>
    </w:lvl>
    <w:lvl w:ilvl="1">
      <w:lvlJc w:val="left"/>
      <w:lvlText w:val="(%2)"/>
      <w:numFmt w:val="lowerLetter"/>
      <w:start w:val="1"/>
    </w:lvl>
  </w:abstractNum>
  <w:abstractNum w:abstractNumId="158">
    <w:nsid w:val="1A9A9E69"/>
    <w:multiLevelType w:val="hybridMultilevel"/>
    <w:lvl w:ilvl="0">
      <w:lvlJc w:val="left"/>
      <w:lvlText w:val="(%1)"/>
      <w:numFmt w:val="decimal"/>
      <w:start w:val="1"/>
    </w:lvl>
  </w:abstractNum>
  <w:abstractNum w:abstractNumId="159">
    <w:nsid w:val="475E256A"/>
    <w:multiLevelType w:val="hybridMultilevel"/>
    <w:lvl w:ilvl="0">
      <w:lvlJc w:val="left"/>
      <w:lvlText w:val="(%1)"/>
      <w:numFmt w:val="decimal"/>
      <w:start w:val="1"/>
    </w:lvl>
  </w:abstractNum>
  <w:abstractNum w:abstractNumId="160">
    <w:nsid w:val="368DB37E"/>
    <w:multiLevelType w:val="hybridMultilevel"/>
    <w:lvl w:ilvl="0">
      <w:lvlJc w:val="left"/>
      <w:lvlText w:val="(%1)"/>
      <w:numFmt w:val="decimal"/>
      <w:start w:val="1"/>
    </w:lvl>
  </w:abstractNum>
  <w:abstractNum w:abstractNumId="161">
    <w:nsid w:val="6A3B714C"/>
    <w:multiLevelType w:val="hybridMultilevel"/>
    <w:lvl w:ilvl="0">
      <w:lvlJc w:val="left"/>
      <w:lvlText w:val="(%1)"/>
      <w:numFmt w:val="decimal"/>
      <w:start w:val="1"/>
    </w:lvl>
  </w:abstractNum>
  <w:abstractNum w:abstractNumId="162">
    <w:nsid w:val="327B517E"/>
    <w:multiLevelType w:val="hybridMultilevel"/>
    <w:lvl w:ilvl="0">
      <w:lvlJc w:val="left"/>
      <w:lvlText w:val="(%1)"/>
      <w:numFmt w:val="decimal"/>
      <w:start w:val="1"/>
    </w:lvl>
  </w:abstractNum>
  <w:abstractNum w:abstractNumId="163">
    <w:nsid w:val="1F461B51"/>
    <w:multiLevelType w:val="hybridMultilevel"/>
    <w:lvl w:ilvl="0">
      <w:lvlJc w:val="left"/>
      <w:lvlText w:val="(%1)"/>
      <w:numFmt w:val="decimal"/>
      <w:start w:val="1"/>
    </w:lvl>
  </w:abstractNum>
  <w:abstractNum w:abstractNumId="164">
    <w:nsid w:val="29BACF25"/>
    <w:multiLevelType w:val="hybridMultilevel"/>
    <w:lvl w:ilvl="0">
      <w:lvlJc w:val="left"/>
      <w:lvlText w:val="(%1)"/>
      <w:numFmt w:val="decimal"/>
      <w:start w:val="3"/>
    </w:lvl>
  </w:abstractNum>
  <w:abstractNum w:abstractNumId="165">
    <w:nsid w:val="5D5BABB3"/>
    <w:multiLevelType w:val="hybridMultilevel"/>
    <w:lvl w:ilvl="0">
      <w:lvlJc w:val="left"/>
      <w:lvlText w:val="(%1)"/>
      <w:numFmt w:val="decimal"/>
      <w:start w:val="1"/>
    </w:lvl>
    <w:lvl w:ilvl="1">
      <w:lvlJc w:val="left"/>
      <w:lvlText w:val="(%2)"/>
      <w:numFmt w:val="lowerLetter"/>
      <w:start w:val="1"/>
    </w:lvl>
  </w:abstractNum>
  <w:abstractNum w:abstractNumId="166">
    <w:nsid w:val="51BF6B48"/>
    <w:multiLevelType w:val="hybridMultilevel"/>
    <w:lvl w:ilvl="0">
      <w:lvlJc w:val="left"/>
      <w:lvlText w:val="(%1)"/>
      <w:numFmt w:val="decimal"/>
      <w:start w:val="8"/>
    </w:lvl>
  </w:abstractNum>
  <w:abstractNum w:abstractNumId="167">
    <w:nsid w:val="7E0F6384"/>
    <w:multiLevelType w:val="hybridMultilevel"/>
    <w:lvl w:ilvl="0">
      <w:lvlJc w:val="left"/>
      <w:lvlText w:val="(%1)"/>
      <w:numFmt w:val="decimal"/>
      <w:start w:val="1"/>
    </w:lvl>
    <w:lvl w:ilvl="1">
      <w:lvlJc w:val="left"/>
      <w:lvlText w:val="(%2)"/>
      <w:numFmt w:val="lowerLetter"/>
      <w:start w:val="1"/>
    </w:lvl>
  </w:abstractNum>
  <w:abstractNum w:abstractNumId="168">
    <w:nsid w:val="2B4B8B53"/>
    <w:multiLevelType w:val="hybridMultilevel"/>
    <w:lvl w:ilvl="0">
      <w:lvlJc w:val="left"/>
      <w:lvlText w:val="(%1)"/>
      <w:numFmt w:val="decimal"/>
      <w:start w:val="6"/>
    </w:lvl>
    <w:lvl w:ilvl="1">
      <w:lvlJc w:val="left"/>
      <w:lvlText w:val="(%2)"/>
      <w:numFmt w:val="lowerLetter"/>
      <w:start w:val="1"/>
    </w:lvl>
  </w:abstractNum>
  <w:abstractNum w:abstractNumId="169">
    <w:nsid w:val="72E3413A"/>
    <w:multiLevelType w:val="hybridMultilevel"/>
    <w:lvl w:ilvl="0">
      <w:lvlJc w:val="left"/>
      <w:lvlText w:val="%1"/>
      <w:numFmt w:val="decimal"/>
      <w:start w:val="1"/>
    </w:lvl>
    <w:lvl w:ilvl="1">
      <w:lvlJc w:val="left"/>
      <w:lvlText w:val="(%2)"/>
      <w:numFmt w:val="lowerLetter"/>
      <w:start w:val="1"/>
    </w:lvl>
  </w:abstractNum>
  <w:abstractNum w:abstractNumId="170">
    <w:nsid w:val="116AE494"/>
    <w:multiLevelType w:val="hybridMultilevel"/>
    <w:lvl w:ilvl="0">
      <w:lvlJc w:val="left"/>
      <w:lvlText w:val="(%1)"/>
      <w:numFmt w:val="decimal"/>
      <w:start w:val="16"/>
    </w:lvl>
    <w:lvl w:ilvl="1">
      <w:lvlJc w:val="left"/>
      <w:lvlText w:val="(%2)"/>
      <w:numFmt w:val="lowerLetter"/>
      <w:start w:val="1"/>
    </w:lvl>
  </w:abstractNum>
  <w:abstractNum w:abstractNumId="171">
    <w:nsid w:val="3494B2FB"/>
    <w:multiLevelType w:val="hybridMultilevel"/>
    <w:lvl w:ilvl="0">
      <w:lvlJc w:val="left"/>
      <w:lvlText w:val="(%1)"/>
      <w:numFmt w:val="decimal"/>
      <w:start w:val="26"/>
    </w:lvl>
  </w:abstractNum>
  <w:abstractNum w:abstractNumId="172">
    <w:nsid w:val="B13A31"/>
    <w:multiLevelType w:val="hybridMultilevel"/>
    <w:lvl w:ilvl="0">
      <w:lvlJc w:val="left"/>
      <w:lvlText w:val="(%1)"/>
      <w:numFmt w:val="decimal"/>
      <w:start w:val="1"/>
    </w:lvl>
  </w:abstractNum>
  <w:abstractNum w:abstractNumId="173">
    <w:nsid w:val="64429599"/>
    <w:multiLevelType w:val="hybridMultilevel"/>
    <w:lvl w:ilvl="0">
      <w:lvlJc w:val="left"/>
      <w:lvlText w:val="(%1)"/>
      <w:numFmt w:val="decimal"/>
      <w:start w:val="1"/>
    </w:lvl>
  </w:abstractNum>
  <w:abstractNum w:abstractNumId="174">
    <w:nsid w:val="631F1690"/>
    <w:multiLevelType w:val="hybridMultilevel"/>
    <w:lvl w:ilvl="0">
      <w:lvlJc w:val="left"/>
      <w:lvlText w:val="(%1)"/>
      <w:numFmt w:val="decimal"/>
      <w:start w:val="1"/>
    </w:lvl>
  </w:abstractNum>
  <w:abstractNum w:abstractNumId="175">
    <w:nsid w:val="25973E32"/>
    <w:multiLevelType w:val="hybridMultilevel"/>
    <w:lvl w:ilvl="0">
      <w:lvlJc w:val="left"/>
      <w:lvlText w:val="(%1)"/>
      <w:numFmt w:val="decimal"/>
      <w:start w:val="1"/>
    </w:lvl>
  </w:abstractNum>
  <w:abstractNum w:abstractNumId="176">
    <w:nsid w:val="EAD6F57"/>
    <w:multiLevelType w:val="hybridMultilevel"/>
    <w:lvl w:ilvl="0">
      <w:lvlJc w:val="left"/>
      <w:lvlText w:val="(%1)"/>
      <w:numFmt w:val="decimal"/>
      <w:start w:val="1"/>
    </w:lvl>
  </w:abstractNum>
  <w:abstractNum w:abstractNumId="177">
    <w:nsid w:val="6EC9D844"/>
    <w:multiLevelType w:val="hybridMultilevel"/>
    <w:lvl w:ilvl="0">
      <w:lvlJc w:val="left"/>
      <w:lvlText w:val="(%1)"/>
      <w:numFmt w:val="decimal"/>
      <w:start w:val="1"/>
    </w:lvl>
  </w:abstractNum>
  <w:abstractNum w:abstractNumId="178">
    <w:nsid w:val="5C49EAEE"/>
    <w:multiLevelType w:val="hybridMultilevel"/>
    <w:lvl w:ilvl="0">
      <w:lvlJc w:val="left"/>
      <w:lvlText w:val="(%1)"/>
      <w:numFmt w:val="decimal"/>
      <w:start w:val="1"/>
    </w:lvl>
  </w:abstractNum>
  <w:abstractNum w:abstractNumId="179">
    <w:nsid w:val="64AF49B"/>
    <w:multiLevelType w:val="hybridMultilevel"/>
    <w:lvl w:ilvl="0">
      <w:lvlJc w:val="left"/>
      <w:lvlText w:val="(%1)"/>
      <w:numFmt w:val="decimal"/>
      <w:start w:val="1"/>
    </w:lvl>
  </w:abstractNum>
  <w:abstractNum w:abstractNumId="180">
    <w:nsid w:val="397C46BC"/>
    <w:multiLevelType w:val="hybridMultilevel"/>
    <w:lvl w:ilvl="0">
      <w:lvlJc w:val="left"/>
      <w:lvlText w:val="(%1)"/>
      <w:numFmt w:val="lowerRoman"/>
      <w:start w:val="1"/>
    </w:lvl>
  </w:abstractNum>
  <w:abstractNum w:abstractNumId="181">
    <w:nsid w:val="7E448DE9"/>
    <w:multiLevelType w:val="hybridMultilevel"/>
    <w:lvl w:ilvl="0">
      <w:lvlJc w:val="left"/>
      <w:lvlText w:val="(%1)"/>
      <w:numFmt w:val="lowerRoman"/>
      <w:start w:val="1"/>
    </w:lvl>
  </w:abstractNum>
  <w:abstractNum w:abstractNumId="182">
    <w:nsid w:val="5A9CC3E5"/>
    <w:multiLevelType w:val="hybridMultilevel"/>
    <w:lvl w:ilvl="0">
      <w:lvlJc w:val="left"/>
      <w:lvlText w:val="•"/>
      <w:numFmt w:val="bullet"/>
      <w:start w:val="1"/>
    </w:lvl>
  </w:abstractNum>
  <w:abstractNum w:abstractNumId="183">
    <w:nsid w:val="1AFE3625"/>
    <w:multiLevelType w:val="hybridMultilevel"/>
    <w:lvl w:ilvl="0">
      <w:lvlJc w:val="left"/>
      <w:lvlText w:val="•"/>
      <w:numFmt w:val="bullet"/>
      <w:start w:val="1"/>
    </w:lvl>
  </w:abstractNum>
  <w:abstractNum w:abstractNumId="184">
    <w:nsid w:val="3CA88ECF"/>
    <w:multiLevelType w:val="hybridMultilevel"/>
    <w:lvl w:ilvl="0">
      <w:lvlJc w:val="left"/>
      <w:lvlText w:val="*"/>
      <w:numFmt w:val="bullet"/>
      <w:start w:val="1"/>
    </w:lvl>
  </w:abstractNum>
  <w:abstractNum w:abstractNumId="185">
    <w:nsid w:val="6EBE4208"/>
    <w:multiLevelType w:val="hybridMultilevel"/>
    <w:lvl w:ilvl="0">
      <w:lvlJc w:val="left"/>
      <w:lvlText w:val="%1."/>
      <w:numFmt w:val="decimal"/>
      <w:start w:val="1"/>
    </w:lvl>
  </w:abstractNum>
  <w:abstractNum w:abstractNumId="186">
    <w:nsid w:val="C058DF5"/>
    <w:multiLevelType w:val="hybridMultilevel"/>
    <w:lvl w:ilvl="0">
      <w:lvlJc w:val="left"/>
      <w:lvlText w:val="%1."/>
      <w:numFmt w:val="decimal"/>
      <w:start w:val="2"/>
    </w:lvl>
  </w:abstractNum>
  <w:abstractNum w:abstractNumId="187">
    <w:nsid w:val="CBE5BE9"/>
    <w:multiLevelType w:val="hybridMultilevel"/>
    <w:lvl w:ilvl="0">
      <w:lvlJc w:val="left"/>
      <w:lvlText w:val="%1."/>
      <w:numFmt w:val="decimal"/>
      <w:start w:val="8"/>
    </w:lvl>
  </w:abstractNum>
  <w:abstractNum w:abstractNumId="188">
    <w:nsid w:val="3102BBE2"/>
    <w:multiLevelType w:val="hybridMultilevel"/>
    <w:lvl w:ilvl="0">
      <w:lvlJc w:val="left"/>
      <w:lvlText w:val="%1."/>
      <w:numFmt w:val="decimal"/>
      <w:start w:val="10"/>
    </w:lvl>
  </w:abstractNum>
  <w:abstractNum w:abstractNumId="189">
    <w:nsid w:val="26A02C5E"/>
    <w:multiLevelType w:val="hybridMultilevel"/>
    <w:lvl w:ilvl="0">
      <w:lvlJc w:val="left"/>
      <w:lvlText w:val="%1."/>
      <w:numFmt w:val="decimal"/>
      <w:start w:val="2"/>
    </w:lvl>
  </w:abstractNum>
  <w:abstractNum w:abstractNumId="190">
    <w:nsid w:val="541C8153"/>
    <w:multiLevelType w:val="hybridMultilevel"/>
    <w:lvl w:ilvl="0">
      <w:lvlJc w:val="left"/>
      <w:lvlText w:val="%1."/>
      <w:numFmt w:val="decimal"/>
      <w:start w:val="9"/>
    </w:lvl>
  </w:abstractNum>
  <w:abstractNum w:abstractNumId="191">
    <w:nsid w:val="67906F60"/>
    <w:multiLevelType w:val="hybridMultilevel"/>
    <w:lvl w:ilvl="0">
      <w:lvlJc w:val="left"/>
      <w:lvlText w:val="%1."/>
      <w:numFmt w:val="decimal"/>
      <w:start w:val="11"/>
    </w:lvl>
  </w:abstractNum>
  <w:abstractNum w:abstractNumId="192">
    <w:nsid w:val="10DB9DAA"/>
    <w:multiLevelType w:val="hybridMultilevel"/>
    <w:lvl w:ilvl="0">
      <w:lvlJc w:val="left"/>
      <w:lvlText w:val="%1."/>
      <w:numFmt w:val="decimal"/>
      <w:start w:val="12"/>
    </w:lvl>
  </w:abstractNum>
  <w:abstractNum w:abstractNumId="193">
    <w:nsid w:val="697D2D2"/>
    <w:multiLevelType w:val="hybridMultilevel"/>
    <w:lvl w:ilvl="0">
      <w:lvlJc w:val="left"/>
      <w:lvlText w:val="%1"/>
      <w:numFmt w:val="decimal"/>
      <w:start w:val="1"/>
    </w:lvl>
    <w:lvl w:ilvl="1">
      <w:lvlJc w:val="left"/>
      <w:lvlText w:val="%2"/>
      <w:numFmt w:val="decimal"/>
      <w:start w:val="101"/>
    </w:lvl>
  </w:abstractNum>
  <w:abstractNum w:abstractNumId="194">
    <w:nsid w:val="6D68AB2"/>
    <w:multiLevelType w:val="hybridMultilevel"/>
    <w:lvl w:ilvl="0">
      <w:lvlJc w:val="left"/>
      <w:lvlText w:val="(%1)"/>
      <w:numFmt w:val="decimal"/>
      <w:start w:val="1"/>
    </w:lvl>
    <w:lvl w:ilvl="1">
      <w:lvlJc w:val="left"/>
      <w:lvlText w:val="%2"/>
      <w:numFmt w:val="decimal"/>
      <w:start w:val="1"/>
    </w:lvl>
  </w:abstractNum>
  <w:abstractNum w:abstractNumId="195">
    <w:nsid w:val="3A966CD0"/>
    <w:multiLevelType w:val="hybridMultilevel"/>
    <w:lvl w:ilvl="0">
      <w:lvlJc w:val="left"/>
      <w:lvlText w:val="(%1)"/>
      <w:numFmt w:val="decimal"/>
      <w:start w:val="17"/>
    </w:lvl>
  </w:abstractNum>
  <w:abstractNum w:abstractNumId="196">
    <w:nsid w:val="63F37E8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7">
    <w:nsid w:val="5895F5F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98">
    <w:nsid w:val="38A5D05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99">
    <w:nsid w:val="F3F09D8"/>
    <w:multiLevelType w:val="hybridMultilevel"/>
    <w:lvl w:ilvl="0">
      <w:lvlJc w:val="left"/>
      <w:lvlText w:val="%1"/>
      <w:numFmt w:val="decimal"/>
      <w:start w:val="1"/>
    </w:lvl>
    <w:lvl w:ilvl="1">
      <w:lvlJc w:val="left"/>
      <w:lvlText w:val="%2"/>
      <w:numFmt w:val="decimal"/>
      <w:start w:val="101"/>
    </w:lvl>
  </w:abstractNum>
  <w:abstractNum w:abstractNumId="200">
    <w:nsid w:val="4B793735"/>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2019-12-20T19:20:55Z</dcterms:created>
  <dcterms:modified xsi:type="dcterms:W3CDTF">2019-12-20T19:20:55Z</dcterms:modified>
</cp:coreProperties>
</file>