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Wynn Resorts,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4,222,928.00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4,222,928.00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4,222,928.00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Fundamental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18,466.00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4,222,928.00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18,466.00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4,222,928.00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4,222,928.00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Investment Group</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192,575.00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4,222,928.00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192,575.00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4,222,928.00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4,222,928.00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Portfolio Strategies,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4,222,928.00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4,222,928.00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4,222,928.00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4,011,876.00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4,222,928.00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4,011,876.00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4,222,928.00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4,222,928.00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Susquehanna Investment Group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Wynn Resorts, Limited</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3131 Las Vegas Boulevard South, Las Vegas, Nevada 89109</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Common Stock, $0.01 par value per share (the "Shares"), of Wynn Resorts, Limited (the "Company"). (i) G1 Execution Services, LLC (ii) Susquehanna Fundamental Investments, LLC (iii) Susquehanna Investment Group (iv) Susquehanna Portfolio Strategies, LLC (v)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each of Susquehanna Fundamental Investments, LLC, Susquehanna Investment Group, Susquehanna Portfolio Strategies, LLC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Susquehanna Investment Group includes options to buy 157,300 Shares. The number of Shares reported as beneficially owned by Susquehanna Securities, LLC includes options to buy 3,449,200 Shares. The Company's Quarterly Report on Form 10-Q, filed on August 6, 2026, indicates that there were 103,405,133 Shares outstanding as of June 30, 2026.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Susquehanna Fundamental Investments,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Susquehanna Investment Group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Brian Sopinsky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Brian Sopinsky,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Susquehanna Portfolio Strategies, LLC</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DESCRIPTION ________ ________ 99 Joint Filing Agreement* *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2195</Words>
  <Characters>11890</Characters>
  <CharactersWithSpaces>14001</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