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153035</wp:posOffset>
            </wp:positionV>
            <wp:extent cx="27228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2880" cy="7620"/>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1996440</wp:posOffset>
            </wp:positionH>
            <wp:positionV relativeFrom="paragraph">
              <wp:posOffset>36830</wp:posOffset>
            </wp:positionV>
            <wp:extent cx="27228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2880" cy="7620"/>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February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79375</wp:posOffset>
            </wp:positionV>
            <wp:extent cx="27228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22880" cy="762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WYNN RESORTS, LIMITED</w:t>
      </w:r>
    </w:p>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860" w:type="dxa"/>
            <w:vAlign w:val="bottom"/>
          </w:tcPr>
          <w:p>
            <w:pPr>
              <w:spacing w:after="0"/>
              <w:rPr>
                <w:sz w:val="17"/>
                <w:szCs w:val="17"/>
                <w:color w:val="auto"/>
              </w:rPr>
            </w:pPr>
          </w:p>
        </w:tc>
        <w:tc>
          <w:tcPr>
            <w:tcW w:w="2680" w:type="dxa"/>
            <w:vAlign w:val="bottom"/>
            <w:gridSpan w:val="3"/>
          </w:tcPr>
          <w:p>
            <w:pPr>
              <w:jc w:val="center"/>
              <w:ind w:right="980"/>
              <w:spacing w:after="0"/>
              <w:rPr>
                <w:sz w:val="20"/>
                <w:szCs w:val="20"/>
                <w:color w:val="auto"/>
              </w:rPr>
            </w:pPr>
            <w:r>
              <w:rPr>
                <w:rFonts w:ascii="Times New Roman" w:cs="Times New Roman" w:eastAsia="Times New Roman" w:hAnsi="Times New Roman"/>
                <w:sz w:val="15"/>
                <w:szCs w:val="15"/>
                <w:b w:val="1"/>
                <w:bCs w:val="1"/>
                <w:color w:val="auto"/>
              </w:rPr>
              <w:t>Nevada</w:t>
            </w: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000-50028</w:t>
            </w:r>
          </w:p>
        </w:tc>
        <w:tc>
          <w:tcPr>
            <w:tcW w:w="2800" w:type="dxa"/>
            <w:vAlign w:val="bottom"/>
            <w:gridSpan w:val="2"/>
          </w:tcPr>
          <w:p>
            <w:pPr>
              <w:jc w:val="right"/>
              <w:ind w:right="396"/>
              <w:spacing w:after="0"/>
              <w:rPr>
                <w:sz w:val="20"/>
                <w:szCs w:val="20"/>
                <w:color w:val="auto"/>
              </w:rPr>
            </w:pPr>
            <w:r>
              <w:rPr>
                <w:rFonts w:ascii="Times New Roman" w:cs="Times New Roman" w:eastAsia="Times New Roman" w:hAnsi="Times New Roman"/>
                <w:sz w:val="15"/>
                <w:szCs w:val="15"/>
                <w:b w:val="1"/>
                <w:bCs w:val="1"/>
                <w:color w:val="auto"/>
              </w:rPr>
              <w:t>46-0484987</w:t>
            </w:r>
          </w:p>
        </w:tc>
        <w:tc>
          <w:tcPr>
            <w:tcW w:w="960" w:type="dxa"/>
            <w:vAlign w:val="bottom"/>
          </w:tcPr>
          <w:p>
            <w:pPr>
              <w:spacing w:after="0"/>
              <w:rPr>
                <w:sz w:val="17"/>
                <w:szCs w:val="17"/>
                <w:color w:val="auto"/>
              </w:rPr>
            </w:pPr>
          </w:p>
        </w:tc>
      </w:tr>
      <w:tr>
        <w:trPr>
          <w:trHeight w:val="131"/>
        </w:trPr>
        <w:tc>
          <w:tcPr>
            <w:tcW w:w="860" w:type="dxa"/>
            <w:vAlign w:val="bottom"/>
          </w:tcPr>
          <w:p>
            <w:pPr>
              <w:spacing w:after="0"/>
              <w:rPr>
                <w:sz w:val="11"/>
                <w:szCs w:val="11"/>
                <w:color w:val="auto"/>
              </w:rPr>
            </w:pPr>
          </w:p>
        </w:tc>
        <w:tc>
          <w:tcPr>
            <w:tcW w:w="2680" w:type="dxa"/>
            <w:vAlign w:val="bottom"/>
            <w:gridSpan w:val="3"/>
          </w:tcPr>
          <w:p>
            <w:pPr>
              <w:jc w:val="center"/>
              <w:ind w:right="960"/>
              <w:spacing w:after="0" w:line="131" w:lineRule="exact"/>
              <w:rPr>
                <w:sz w:val="20"/>
                <w:szCs w:val="20"/>
                <w:color w:val="auto"/>
              </w:rPr>
            </w:pPr>
            <w:r>
              <w:rPr>
                <w:rFonts w:ascii="Times New Roman" w:cs="Times New Roman" w:eastAsia="Times New Roman" w:hAnsi="Times New Roman"/>
                <w:sz w:val="13"/>
                <w:szCs w:val="13"/>
                <w:b w:val="1"/>
                <w:bCs w:val="1"/>
                <w:color w:val="auto"/>
                <w:w w:val="99"/>
              </w:rPr>
              <w:t>(State or other jurisdiction</w:t>
            </w:r>
          </w:p>
        </w:tc>
        <w:tc>
          <w:tcPr>
            <w:tcW w:w="200" w:type="dxa"/>
            <w:vAlign w:val="bottom"/>
          </w:tcPr>
          <w:p>
            <w:pPr>
              <w:spacing w:after="0"/>
              <w:rPr>
                <w:sz w:val="11"/>
                <w:szCs w:val="11"/>
                <w:color w:val="auto"/>
              </w:rPr>
            </w:pPr>
          </w:p>
        </w:tc>
        <w:tc>
          <w:tcPr>
            <w:tcW w:w="308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(Commission</w:t>
            </w:r>
          </w:p>
        </w:tc>
        <w:tc>
          <w:tcPr>
            <w:tcW w:w="620" w:type="dxa"/>
            <w:vAlign w:val="bottom"/>
          </w:tcPr>
          <w:p>
            <w:pPr>
              <w:spacing w:after="0"/>
              <w:rPr>
                <w:sz w:val="11"/>
                <w:szCs w:val="11"/>
                <w:color w:val="auto"/>
              </w:rPr>
            </w:pPr>
          </w:p>
        </w:tc>
        <w:tc>
          <w:tcPr>
            <w:tcW w:w="31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69"/>
        </w:trPr>
        <w:tc>
          <w:tcPr>
            <w:tcW w:w="860" w:type="dxa"/>
            <w:vAlign w:val="bottom"/>
          </w:tcPr>
          <w:p>
            <w:pPr>
              <w:spacing w:after="0"/>
              <w:rPr>
                <w:sz w:val="14"/>
                <w:szCs w:val="14"/>
                <w:color w:val="auto"/>
              </w:rPr>
            </w:pPr>
          </w:p>
        </w:tc>
        <w:tc>
          <w:tcPr>
            <w:tcW w:w="2680" w:type="dxa"/>
            <w:vAlign w:val="bottom"/>
            <w:gridSpan w:val="3"/>
          </w:tcPr>
          <w:p>
            <w:pPr>
              <w:jc w:val="center"/>
              <w:ind w:right="980"/>
              <w:spacing w:after="0"/>
              <w:rPr>
                <w:sz w:val="20"/>
                <w:szCs w:val="20"/>
                <w:color w:val="auto"/>
              </w:rPr>
            </w:pPr>
            <w:r>
              <w:rPr>
                <w:rFonts w:ascii="Times New Roman" w:cs="Times New Roman" w:eastAsia="Times New Roman" w:hAnsi="Times New Roman"/>
                <w:sz w:val="13"/>
                <w:szCs w:val="13"/>
                <w:b w:val="1"/>
                <w:bCs w:val="1"/>
                <w:color w:val="auto"/>
                <w:w w:val="98"/>
              </w:rPr>
              <w:t>of incorporation)</w:t>
            </w:r>
          </w:p>
        </w:tc>
        <w:tc>
          <w:tcPr>
            <w:tcW w:w="200" w:type="dxa"/>
            <w:vAlign w:val="bottom"/>
          </w:tcPr>
          <w:p>
            <w:pPr>
              <w:spacing w:after="0"/>
              <w:rPr>
                <w:sz w:val="14"/>
                <w:szCs w:val="14"/>
                <w:color w:val="auto"/>
              </w:rPr>
            </w:pPr>
          </w:p>
        </w:tc>
        <w:tc>
          <w:tcPr>
            <w:tcW w:w="3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File Number)</w:t>
            </w:r>
          </w:p>
        </w:tc>
        <w:tc>
          <w:tcPr>
            <w:tcW w:w="620" w:type="dxa"/>
            <w:vAlign w:val="bottom"/>
          </w:tcPr>
          <w:p>
            <w:pPr>
              <w:spacing w:after="0"/>
              <w:rPr>
                <w:sz w:val="14"/>
                <w:szCs w:val="14"/>
                <w:color w:val="auto"/>
              </w:rPr>
            </w:pPr>
          </w:p>
        </w:tc>
        <w:tc>
          <w:tcPr>
            <w:tcW w:w="314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03"/>
        </w:trPr>
        <w:tc>
          <w:tcPr>
            <w:tcW w:w="354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3131 Las Vegas Boulevard South</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1"/>
        </w:trPr>
        <w:tc>
          <w:tcPr>
            <w:tcW w:w="860" w:type="dxa"/>
            <w:vAlign w:val="bottom"/>
          </w:tcPr>
          <w:p>
            <w:pPr>
              <w:spacing w:after="0"/>
              <w:rPr>
                <w:sz w:val="17"/>
                <w:szCs w:val="17"/>
                <w:color w:val="auto"/>
              </w:rPr>
            </w:pPr>
          </w:p>
        </w:tc>
        <w:tc>
          <w:tcPr>
            <w:tcW w:w="2680" w:type="dxa"/>
            <w:vAlign w:val="bottom"/>
            <w:gridSpan w:val="3"/>
          </w:tcPr>
          <w:p>
            <w:pPr>
              <w:ind w:left="100"/>
              <w:spacing w:after="0"/>
              <w:rPr>
                <w:sz w:val="20"/>
                <w:szCs w:val="20"/>
                <w:color w:val="auto"/>
              </w:rPr>
            </w:pPr>
            <w:r>
              <w:rPr>
                <w:rFonts w:ascii="Times New Roman" w:cs="Times New Roman" w:eastAsia="Times New Roman" w:hAnsi="Times New Roman"/>
                <w:sz w:val="15"/>
                <w:szCs w:val="15"/>
                <w:b w:val="1"/>
                <w:bCs w:val="1"/>
                <w:color w:val="auto"/>
              </w:rPr>
              <w:t>Las Vegas, Nevada</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800" w:type="dxa"/>
            <w:vAlign w:val="bottom"/>
            <w:gridSpan w:val="2"/>
          </w:tcPr>
          <w:p>
            <w:pPr>
              <w:jc w:val="right"/>
              <w:ind w:right="576"/>
              <w:spacing w:after="0"/>
              <w:rPr>
                <w:sz w:val="20"/>
                <w:szCs w:val="20"/>
                <w:color w:val="auto"/>
              </w:rPr>
            </w:pPr>
            <w:r>
              <w:rPr>
                <w:rFonts w:ascii="Times New Roman" w:cs="Times New Roman" w:eastAsia="Times New Roman" w:hAnsi="Times New Roman"/>
                <w:sz w:val="15"/>
                <w:szCs w:val="15"/>
                <w:b w:val="1"/>
                <w:bCs w:val="1"/>
                <w:color w:val="auto"/>
              </w:rPr>
              <w:t>89109</w:t>
            </w:r>
          </w:p>
        </w:tc>
        <w:tc>
          <w:tcPr>
            <w:tcW w:w="960" w:type="dxa"/>
            <w:vAlign w:val="bottom"/>
          </w:tcPr>
          <w:p>
            <w:pPr>
              <w:spacing w:after="0"/>
              <w:rPr>
                <w:sz w:val="17"/>
                <w:szCs w:val="17"/>
                <w:color w:val="auto"/>
              </w:rPr>
            </w:pPr>
          </w:p>
        </w:tc>
      </w:tr>
      <w:tr>
        <w:trPr>
          <w:trHeight w:val="169"/>
        </w:trPr>
        <w:tc>
          <w:tcPr>
            <w:tcW w:w="354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(Address of principal executive offices)</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14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9"/>
              </w:rPr>
              <w:t>(Zip Code)</w:t>
            </w:r>
          </w:p>
        </w:tc>
      </w:tr>
      <w:tr>
        <w:trPr>
          <w:trHeight w:val="558"/>
        </w:trPr>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gridSpan w:val="3"/>
          </w:tcPr>
          <w:p>
            <w:pPr>
              <w:jc w:val="center"/>
              <w:ind w:left="147"/>
              <w:spacing w:after="0"/>
              <w:rPr>
                <w:sz w:val="20"/>
                <w:szCs w:val="20"/>
                <w:color w:val="auto"/>
              </w:rPr>
            </w:pPr>
            <w:r>
              <w:rPr>
                <w:rFonts w:ascii="Times New Roman" w:cs="Times New Roman" w:eastAsia="Times New Roman" w:hAnsi="Times New Roman"/>
                <w:sz w:val="15"/>
                <w:szCs w:val="15"/>
                <w:b w:val="1"/>
                <w:bCs w:val="1"/>
                <w:color w:val="auto"/>
              </w:rPr>
              <w:t>(702) 770-7555</w:t>
            </w: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9"/>
        </w:trPr>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(Registrant’s telephone number, including area code)</w:t>
            </w:r>
          </w:p>
        </w:tc>
        <w:tc>
          <w:tcPr>
            <w:tcW w:w="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47"/>
        </w:trPr>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Not Applicable</w:t>
            </w: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9"/>
        </w:trPr>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40" w:type="dxa"/>
            <w:vAlign w:val="bottom"/>
            <w:gridSpan w:val="6"/>
          </w:tcPr>
          <w:p>
            <w:pPr>
              <w:jc w:val="center"/>
              <w:ind w:right="3580"/>
              <w:spacing w:after="0"/>
              <w:rPr>
                <w:sz w:val="20"/>
                <w:szCs w:val="20"/>
                <w:color w:val="auto"/>
              </w:rPr>
            </w:pPr>
            <w:r>
              <w:rPr>
                <w:rFonts w:ascii="Times New Roman" w:cs="Times New Roman" w:eastAsia="Times New Roman" w:hAnsi="Times New Roman"/>
                <w:sz w:val="13"/>
                <w:szCs w:val="13"/>
                <w:b w:val="1"/>
                <w:bCs w:val="1"/>
                <w:color w:val="auto"/>
                <w:w w:val="99"/>
              </w:rPr>
              <w:t>(Former name or former address, if changed since last report)</w:t>
            </w:r>
          </w:p>
        </w:tc>
      </w:tr>
      <w:tr>
        <w:trPr>
          <w:trHeight w:val="21"/>
        </w:trPr>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506"/>
        </w:trPr>
        <w:tc>
          <w:tcPr>
            <w:tcW w:w="35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7"/>
        </w:trPr>
        <w:tc>
          <w:tcPr>
            <w:tcW w:w="860" w:type="dxa"/>
            <w:vAlign w:val="bottom"/>
          </w:tcPr>
          <w:p>
            <w:pPr>
              <w:spacing w:after="0"/>
              <w:rPr>
                <w:sz w:val="15"/>
                <w:szCs w:val="15"/>
                <w:color w:val="auto"/>
              </w:rPr>
            </w:pPr>
          </w:p>
        </w:tc>
        <w:tc>
          <w:tcPr>
            <w:tcW w:w="2680" w:type="dxa"/>
            <w:vAlign w:val="bottom"/>
            <w:gridSpan w:val="3"/>
          </w:tcPr>
          <w:p>
            <w:pPr>
              <w:jc w:val="center"/>
              <w:ind w:right="15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280" w:type="dxa"/>
            <w:vAlign w:val="bottom"/>
            <w:gridSpan w:val="3"/>
          </w:tcPr>
          <w:p>
            <w:pPr>
              <w:jc w:val="center"/>
              <w:ind w:right="166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3760" w:type="dxa"/>
            <w:vAlign w:val="bottom"/>
            <w:gridSpan w:val="3"/>
          </w:tcPr>
          <w:p>
            <w:pPr>
              <w:jc w:val="center"/>
              <w:ind w:right="94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3"/>
        </w:trPr>
        <w:tc>
          <w:tcPr>
            <w:tcW w:w="3540" w:type="dxa"/>
            <w:vAlign w:val="bottom"/>
            <w:gridSpan w:val="4"/>
          </w:tcPr>
          <w:p>
            <w:pPr>
              <w:jc w:val="center"/>
              <w:ind w:right="680"/>
              <w:spacing w:after="0"/>
              <w:rPr>
                <w:sz w:val="20"/>
                <w:szCs w:val="20"/>
                <w:color w:val="auto"/>
              </w:rPr>
            </w:pPr>
            <w:r>
              <w:rPr>
                <w:rFonts w:ascii="Times New Roman" w:cs="Times New Roman" w:eastAsia="Times New Roman" w:hAnsi="Times New Roman"/>
                <w:sz w:val="15"/>
                <w:szCs w:val="15"/>
                <w:color w:val="auto"/>
              </w:rPr>
              <w:t>Common stock, par value $0.01</w:t>
            </w:r>
          </w:p>
        </w:tc>
        <w:tc>
          <w:tcPr>
            <w:tcW w:w="200" w:type="dxa"/>
            <w:vAlign w:val="bottom"/>
          </w:tcPr>
          <w:p>
            <w:pPr>
              <w:spacing w:after="0"/>
              <w:rPr>
                <w:sz w:val="18"/>
                <w:szCs w:val="18"/>
                <w:color w:val="auto"/>
              </w:rPr>
            </w:pPr>
          </w:p>
        </w:tc>
        <w:tc>
          <w:tcPr>
            <w:tcW w:w="3080" w:type="dxa"/>
            <w:vAlign w:val="bottom"/>
            <w:gridSpan w:val="2"/>
          </w:tcPr>
          <w:p>
            <w:pPr>
              <w:jc w:val="center"/>
              <w:ind w:right="1860"/>
              <w:spacing w:after="0"/>
              <w:rPr>
                <w:sz w:val="20"/>
                <w:szCs w:val="20"/>
                <w:color w:val="auto"/>
              </w:rPr>
            </w:pPr>
            <w:r>
              <w:rPr>
                <w:rFonts w:ascii="Times New Roman" w:cs="Times New Roman" w:eastAsia="Times New Roman" w:hAnsi="Times New Roman"/>
                <w:sz w:val="15"/>
                <w:szCs w:val="15"/>
                <w:color w:val="auto"/>
                <w:w w:val="98"/>
              </w:rPr>
              <w:t>WYNN</w:t>
            </w:r>
          </w:p>
        </w:tc>
        <w:tc>
          <w:tcPr>
            <w:tcW w:w="3760" w:type="dxa"/>
            <w:vAlign w:val="bottom"/>
            <w:gridSpan w:val="3"/>
          </w:tcPr>
          <w:p>
            <w:pPr>
              <w:jc w:val="center"/>
              <w:ind w:right="960"/>
              <w:spacing w:after="0"/>
              <w:rPr>
                <w:sz w:val="20"/>
                <w:szCs w:val="20"/>
                <w:color w:val="auto"/>
              </w:rPr>
            </w:pPr>
            <w:r>
              <w:rPr>
                <w:rFonts w:ascii="Times New Roman" w:cs="Times New Roman" w:eastAsia="Times New Roman" w:hAnsi="Times New Roman"/>
                <w:sz w:val="15"/>
                <w:szCs w:val="15"/>
                <w:color w:val="auto"/>
              </w:rPr>
              <w:t>Nasdaq Global Select Market</w:t>
            </w:r>
          </w:p>
        </w:tc>
      </w:tr>
      <w:tr>
        <w:trPr>
          <w:trHeight w:val="157"/>
        </w:trPr>
        <w:tc>
          <w:tcPr>
            <w:tcW w:w="8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bl>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4" w:lineRule="exact"/>
        <w:rPr>
          <w:sz w:val="24"/>
          <w:szCs w:val="24"/>
          <w:color w:val="auto"/>
        </w:rPr>
      </w:pPr>
    </w:p>
    <w:p>
      <w:pPr>
        <w:ind w:left="300" w:hanging="296"/>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8" w:lineRule="exact"/>
        <w:rPr>
          <w:rFonts w:ascii="MS PGothic" w:cs="MS PGothic" w:eastAsia="MS PGothic" w:hAnsi="MS PGothic"/>
          <w:sz w:val="15"/>
          <w:szCs w:val="15"/>
          <w:color w:val="auto"/>
        </w:rPr>
      </w:pPr>
    </w:p>
    <w:p>
      <w:pPr>
        <w:ind w:left="300" w:hanging="296"/>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3" w:lineRule="exact"/>
        <w:rPr>
          <w:rFonts w:ascii="MS PGothic" w:cs="MS PGothic" w:eastAsia="MS PGothic" w:hAnsi="MS PGothic"/>
          <w:sz w:val="15"/>
          <w:szCs w:val="15"/>
          <w:color w:val="auto"/>
        </w:rPr>
      </w:pPr>
    </w:p>
    <w:p>
      <w:pPr>
        <w:ind w:left="300" w:hanging="296"/>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3" w:lineRule="exact"/>
        <w:rPr>
          <w:rFonts w:ascii="MS PGothic" w:cs="MS PGothic" w:eastAsia="MS PGothic" w:hAnsi="MS PGothic"/>
          <w:sz w:val="15"/>
          <w:szCs w:val="15"/>
          <w:color w:val="auto"/>
        </w:rPr>
      </w:pPr>
    </w:p>
    <w:p>
      <w:pPr>
        <w:ind w:left="300" w:hanging="296"/>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3" w:lineRule="exact"/>
        <w:rPr>
          <w:sz w:val="24"/>
          <w:szCs w:val="24"/>
          <w:color w:val="auto"/>
        </w:rPr>
      </w:pPr>
    </w:p>
    <w:p>
      <w:pPr>
        <w:ind w:right="20"/>
        <w:spacing w:after="0"/>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9" w:lineRule="exact"/>
        <w:rPr>
          <w:sz w:val="24"/>
          <w:szCs w:val="24"/>
          <w:color w:val="auto"/>
        </w:rPr>
      </w:pPr>
    </w:p>
    <w:p>
      <w:pPr>
        <w:ind w:right="20"/>
        <w:spacing w:after="0" w:line="18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595630</wp:posOffset>
            </wp:positionV>
            <wp:extent cx="673608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1267" w:right="660" w:bottom="1440" w:gutter="0" w:footer="0" w:header="0"/>
        </w:sectPr>
      </w:pPr>
    </w:p>
    <w:bookmarkStart w:id="1" w:name="page2"/>
    <w:bookmarkEnd w:id="1"/>
    <w:p>
      <w:pPr>
        <w:ind w:left="20"/>
        <w:spacing w:after="0"/>
        <w:tabs>
          <w:tab w:leader="none" w:pos="1480" w:val="left"/>
        </w:tabs>
        <w:rPr>
          <w:sz w:val="20"/>
          <w:szCs w:val="20"/>
          <w:color w:val="auto"/>
        </w:rPr>
      </w:pPr>
      <w:r>
        <w:rPr>
          <w:rFonts w:ascii="Times New Roman" w:cs="Times New Roman" w:eastAsia="Times New Roman" w:hAnsi="Times New Roman"/>
          <w:sz w:val="15"/>
          <w:szCs w:val="15"/>
          <w:b w:val="1"/>
          <w:bCs w:val="1"/>
          <w:color w:val="auto"/>
        </w:rPr>
        <w:t>Item 8.01</w:t>
      </w:r>
      <w:r>
        <w:rPr>
          <w:sz w:val="20"/>
          <w:szCs w:val="20"/>
          <w:color w:val="auto"/>
        </w:rPr>
        <w:tab/>
      </w:r>
      <w:r>
        <w:rPr>
          <w:rFonts w:ascii="Times New Roman" w:cs="Times New Roman" w:eastAsia="Times New Roman" w:hAnsi="Times New Roman"/>
          <w:sz w:val="15"/>
          <w:szCs w:val="15"/>
          <w:b w:val="1"/>
          <w:bCs w:val="1"/>
          <w:color w:val="auto"/>
        </w:rPr>
        <w:t>Other Events.</w:t>
      </w:r>
    </w:p>
    <w:p>
      <w:pPr>
        <w:spacing w:after="0" w:line="89"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5"/>
          <w:szCs w:val="15"/>
          <w:color w:val="auto"/>
        </w:rPr>
        <w:t>On February 8, 2024, Wynn Resorts, Limited (“Wynn Resorts”) announced the pricing by Wynn Resorts Finance, LLC (“Wynn Resorts Finance”) and its subsidiary Wynn Resorts Capital Corp., each an indirect wholly-owned subsidiary of Wynn Resorts, of an additional $400 million aggregate principal amount of 7.125% Senior Notes due 2031 (the “Notes”). The initial purchasers of the Notes will offer the Notes for resale initially at a price equal to 103.000% of the principal amount thereof, with an initial yield of 6.570%, plus accrued interest from February 15, 2024. A copy of the press release is attached hereto as Exhibit 99.1 and is hereby incorporated by reference.</w:t>
      </w:r>
    </w:p>
    <w:p>
      <w:pPr>
        <w:spacing w:after="0" w:line="190" w:lineRule="exact"/>
        <w:rPr>
          <w:sz w:val="20"/>
          <w:szCs w:val="20"/>
          <w:color w:val="auto"/>
        </w:rPr>
      </w:pPr>
    </w:p>
    <w:p>
      <w:pPr>
        <w:jc w:val="both"/>
        <w:ind w:right="20" w:firstLine="351"/>
        <w:spacing w:after="0" w:line="256" w:lineRule="auto"/>
        <w:rPr>
          <w:sz w:val="20"/>
          <w:szCs w:val="20"/>
          <w:color w:val="auto"/>
        </w:rPr>
      </w:pPr>
      <w:r>
        <w:rPr>
          <w:rFonts w:ascii="Times New Roman" w:cs="Times New Roman" w:eastAsia="Times New Roman" w:hAnsi="Times New Roman"/>
          <w:sz w:val="15"/>
          <w:szCs w:val="15"/>
          <w:color w:val="auto"/>
        </w:rPr>
        <w:t>This Current Report on Form 8 -K does not constitute an offer to sell or the solicitation of an offer to buy the Notes or any other security and shall not constitute an offer, solicitation or sale of the Notes or any other security in any jurisdiction in which such offering, solicitation or sale would be unlawful. The Notes being offered in the offering will not be and have not been registered under the Securities Act of 1933, as amended (the “Securities Act”), and may not be offered or sold in the United States absent registration or an applicable exemption from the registration requirements of the Securities 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230" w:lineRule="exact"/>
        <w:rPr>
          <w:sz w:val="20"/>
          <w:szCs w:val="20"/>
          <w:color w:val="auto"/>
        </w:rPr>
      </w:pPr>
    </w:p>
    <w:p>
      <w:pPr>
        <w:jc w:val="both"/>
        <w:ind w:firstLine="351"/>
        <w:spacing w:after="0" w:line="256" w:lineRule="auto"/>
        <w:rPr>
          <w:sz w:val="20"/>
          <w:szCs w:val="20"/>
          <w:color w:val="auto"/>
        </w:rPr>
      </w:pPr>
      <w:r>
        <w:rPr>
          <w:rFonts w:ascii="Times New Roman" w:cs="Times New Roman" w:eastAsia="Times New Roman" w:hAnsi="Times New Roman"/>
          <w:sz w:val="15"/>
          <w:szCs w:val="15"/>
          <w:color w:val="auto"/>
        </w:rPr>
        <w:t>This Report, including Exhibit 99.1,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Item 9.01</w:t>
            </w:r>
          </w:p>
        </w:tc>
        <w:tc>
          <w:tcPr>
            <w:tcW w:w="9320" w:type="dxa"/>
            <w:vAlign w:val="bottom"/>
            <w:gridSpan w:val="4"/>
          </w:tcPr>
          <w:p>
            <w:pPr>
              <w:ind w:left="240"/>
              <w:spacing w:after="0"/>
              <w:rPr>
                <w:sz w:val="20"/>
                <w:szCs w:val="20"/>
                <w:color w:val="auto"/>
              </w:rPr>
            </w:pPr>
            <w:r>
              <w:rPr>
                <w:rFonts w:ascii="Times New Roman" w:cs="Times New Roman" w:eastAsia="Times New Roman" w:hAnsi="Times New Roman"/>
                <w:sz w:val="15"/>
                <w:szCs w:val="15"/>
                <w:b w:val="1"/>
                <w:bCs w:val="1"/>
                <w:color w:val="auto"/>
              </w:rPr>
              <w:t>Financial Statements and Exhibits.</w:t>
            </w:r>
          </w:p>
        </w:tc>
      </w:tr>
      <w:tr>
        <w:trPr>
          <w:trHeight w:val="258"/>
        </w:trPr>
        <w:tc>
          <w:tcPr>
            <w:tcW w:w="2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(d) Exhibits.</w:t>
            </w: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5120" w:type="dxa"/>
            <w:vAlign w:val="bottom"/>
          </w:tcPr>
          <w:p>
            <w:pPr>
              <w:spacing w:after="0"/>
              <w:rPr>
                <w:sz w:val="22"/>
                <w:szCs w:val="22"/>
                <w:color w:val="auto"/>
              </w:rPr>
            </w:pPr>
          </w:p>
        </w:tc>
      </w:tr>
      <w:tr>
        <w:trPr>
          <w:trHeight w:val="153"/>
        </w:trPr>
        <w:tc>
          <w:tcPr>
            <w:tcW w:w="2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260" w:type="dxa"/>
            <w:vAlign w:val="bottom"/>
          </w:tcPr>
          <w:p>
            <w:pPr>
              <w:spacing w:after="0"/>
              <w:rPr>
                <w:sz w:val="13"/>
                <w:szCs w:val="13"/>
                <w:color w:val="auto"/>
              </w:rPr>
            </w:pPr>
          </w:p>
        </w:tc>
        <w:tc>
          <w:tcPr>
            <w:tcW w:w="9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26"/>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99.1</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60" w:type="dxa"/>
            <w:vAlign w:val="bottom"/>
            <w:gridSpan w:val="3"/>
          </w:tcPr>
          <w:p>
            <w:pPr>
              <w:spacing w:after="0"/>
              <w:rPr>
                <w:rFonts w:ascii="Times New Roman" w:cs="Times New Roman" w:eastAsia="Times New Roman" w:hAnsi="Times New Roman"/>
                <w:sz w:val="15"/>
                <w:szCs w:val="15"/>
                <w:color w:val="0000FF"/>
              </w:rPr>
            </w:pPr>
            <w:hyperlink w:anchor="page1">
              <w:r>
                <w:rPr>
                  <w:rFonts w:ascii="Times New Roman" w:cs="Times New Roman" w:eastAsia="Times New Roman" w:hAnsi="Times New Roman"/>
                  <w:sz w:val="15"/>
                  <w:szCs w:val="15"/>
                  <w:color w:val="0000FF"/>
                </w:rPr>
                <w:t>Press release, dated February 8, 2024, of Wynn Resorts, Limited</w:t>
              </w:r>
            </w:hyperlink>
            <w:r>
              <w:rPr>
                <w:rFonts w:ascii="Times New Roman" w:cs="Times New Roman" w:eastAsia="Times New Roman" w:hAnsi="Times New Roman"/>
                <w:sz w:val="15"/>
                <w:szCs w:val="15"/>
                <w:color w:val="0000FF"/>
              </w:rPr>
              <w:t>.</w:t>
            </w:r>
          </w:p>
        </w:tc>
      </w:tr>
      <w:tr>
        <w:trPr>
          <w:trHeight w:val="20"/>
        </w:trPr>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40" w:type="dxa"/>
            <w:vAlign w:val="bottom"/>
            <w:gridSpan w:val="2"/>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213"/>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104</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Cover Page Interactive Data File - the cover page XBRL tags are embedded within the Inline XBRL document</w:t>
            </w:r>
          </w:p>
        </w:tc>
      </w:tr>
      <w:tr>
        <w:trPr>
          <w:trHeight w:val="1067"/>
        </w:trPr>
        <w:tc>
          <w:tcPr>
            <w:tcW w:w="2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3320" w:type="dxa"/>
            <w:vAlign w:val="bottom"/>
            <w:tcBorders>
              <w:bottom w:val="single" w:sz="8" w:color="EEEEEE"/>
            </w:tcBorders>
          </w:tcPr>
          <w:p>
            <w:pPr>
              <w:spacing w:after="0"/>
              <w:rPr>
                <w:sz w:val="24"/>
                <w:szCs w:val="24"/>
                <w:color w:val="auto"/>
              </w:rPr>
            </w:pPr>
          </w:p>
        </w:tc>
        <w:tc>
          <w:tcPr>
            <w:tcW w:w="5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wp:posOffset>
            </wp:positionV>
            <wp:extent cx="673608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6080" cy="40005"/>
                    </a:xfrm>
                    <a:prstGeom prst="rect">
                      <a:avLst/>
                    </a:prstGeom>
                    <a:noFill/>
                  </pic:spPr>
                </pic:pic>
              </a:graphicData>
            </a:graphic>
          </wp:anchor>
        </w:drawing>
      </w:r>
    </w:p>
    <w:p>
      <w:pPr>
        <w:sectPr>
          <w:pgSz w:w="11900" w:h="16840" w:orient="portrait"/>
          <w:cols w:equalWidth="0" w:num="1">
            <w:col w:w="10580"/>
          </w:cols>
          <w:pgMar w:left="660" w:top="1351" w:right="660" w:bottom="1440" w:gutter="0" w:footer="0" w:header="0"/>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5" w:lineRule="exact"/>
        <w:rPr>
          <w:sz w:val="20"/>
          <w:szCs w:val="20"/>
          <w:color w:val="auto"/>
        </w:rPr>
      </w:pPr>
    </w:p>
    <w:p>
      <w:pPr>
        <w:ind w:right="100" w:firstLine="387"/>
        <w:spacing w:after="0" w:line="279"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22" w:lineRule="exact"/>
        <w:rPr>
          <w:sz w:val="20"/>
          <w:szCs w:val="20"/>
          <w:color w:val="auto"/>
        </w:rPr>
      </w:pPr>
    </w:p>
    <w:tbl>
      <w:tblPr>
        <w:tblLayout w:type="fixed"/>
        <w:tblInd w:w="780" w:type="dxa"/>
        <w:tblCellMar>
          <w:top w:w="0" w:type="dxa"/>
          <w:left w:w="0" w:type="dxa"/>
          <w:bottom w:w="0" w:type="dxa"/>
          <w:right w:w="0" w:type="dxa"/>
        </w:tblCellMar>
      </w:tblPr>
      <w:tr>
        <w:trPr>
          <w:trHeight w:val="202"/>
        </w:trPr>
        <w:tc>
          <w:tcPr>
            <w:tcW w:w="35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500" w:type="dxa"/>
            <w:vAlign w:val="bottom"/>
          </w:tcPr>
          <w:p>
            <w:pPr>
              <w:ind w:left="500"/>
              <w:spacing w:after="0"/>
              <w:rPr>
                <w:sz w:val="20"/>
                <w:szCs w:val="20"/>
                <w:color w:val="auto"/>
              </w:rPr>
            </w:pPr>
            <w:r>
              <w:rPr>
                <w:rFonts w:ascii="Times New Roman" w:cs="Times New Roman" w:eastAsia="Times New Roman" w:hAnsi="Times New Roman"/>
                <w:sz w:val="15"/>
                <w:szCs w:val="15"/>
                <w:b w:val="1"/>
                <w:bCs w:val="1"/>
                <w:color w:val="auto"/>
              </w:rPr>
              <w:t>WYNN RESORTS, LIMITED</w:t>
            </w:r>
          </w:p>
        </w:tc>
      </w:tr>
      <w:tr>
        <w:trPr>
          <w:trHeight w:val="246"/>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Dated: February 8, 2024</w:t>
            </w:r>
          </w:p>
        </w:tc>
        <w:tc>
          <w:tcPr>
            <w:tcW w:w="2840" w:type="dxa"/>
            <w:vAlign w:val="bottom"/>
          </w:tcPr>
          <w:p>
            <w:pPr>
              <w:ind w:left="2060"/>
              <w:spacing w:after="0"/>
              <w:rPr>
                <w:sz w:val="20"/>
                <w:szCs w:val="20"/>
                <w:color w:val="auto"/>
              </w:rPr>
            </w:pPr>
            <w:r>
              <w:rPr>
                <w:rFonts w:ascii="Times New Roman" w:cs="Times New Roman" w:eastAsia="Times New Roman" w:hAnsi="Times New Roman"/>
                <w:sz w:val="15"/>
                <w:szCs w:val="15"/>
                <w:color w:val="auto"/>
              </w:rPr>
              <w:t>By:</w:t>
            </w:r>
          </w:p>
        </w:tc>
        <w:tc>
          <w:tcPr>
            <w:tcW w:w="35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/s/ Julie Cameron-Doe</w:t>
            </w:r>
          </w:p>
        </w:tc>
      </w:tr>
      <w:tr>
        <w:trPr>
          <w:trHeight w:val="190"/>
        </w:trPr>
        <w:tc>
          <w:tcPr>
            <w:tcW w:w="35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5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Julie Cameron-Doe</w:t>
            </w:r>
          </w:p>
        </w:tc>
      </w:tr>
      <w:tr>
        <w:trPr>
          <w:trHeight w:val="199"/>
        </w:trPr>
        <w:tc>
          <w:tcPr>
            <w:tcW w:w="35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50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Chief Financial Officer</w:t>
            </w:r>
          </w:p>
        </w:tc>
      </w:tr>
    </w:tbl>
    <w:p>
      <w:pPr>
        <w:sectPr>
          <w:pgSz w:w="11900" w:h="16840" w:orient="portrait"/>
          <w:cols w:equalWidth="0" w:num="1">
            <w:col w:w="10660"/>
          </w:cols>
          <w:pgMar w:left="660" w:top="1222" w:right="580" w:bottom="1440" w:gutter="0" w:footer="0" w:header="0"/>
        </w:sectPr>
      </w:pPr>
    </w:p>
    <w:bookmarkStart w:id="3" w:name="page4"/>
    <w:bookmarkEnd w:id="3"/>
    <w:p>
      <w:pPr>
        <w:ind w:left="9820"/>
        <w:spacing w:after="0"/>
        <w:rPr>
          <w:sz w:val="20"/>
          <w:szCs w:val="20"/>
          <w:color w:val="auto"/>
        </w:rPr>
      </w:pPr>
      <w:r>
        <w:rPr>
          <w:rFonts w:ascii="Times New Roman" w:cs="Times New Roman" w:eastAsia="Times New Roman" w:hAnsi="Times New Roman"/>
          <w:sz w:val="15"/>
          <w:szCs w:val="15"/>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line="285" w:lineRule="auto"/>
        <w:rPr>
          <w:sz w:val="20"/>
          <w:szCs w:val="20"/>
          <w:color w:val="auto"/>
        </w:rPr>
      </w:pPr>
      <w:r>
        <w:rPr>
          <w:rFonts w:ascii="Times New Roman" w:cs="Times New Roman" w:eastAsia="Times New Roman" w:hAnsi="Times New Roman"/>
          <w:sz w:val="15"/>
          <w:szCs w:val="15"/>
          <w:b w:val="1"/>
          <w:bCs w:val="1"/>
          <w:color w:val="auto"/>
        </w:rPr>
        <w:t>Wynn Resorts Announces Pricing of Private Add-On Offering of $400 Million Aggregate Principal Amount of Wynn Resorts Finance 7.125% Senior Notes due 2031</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LAS VEGAS, February 8, 2024 (BUSINESS WIRE) — Wynn Resorts, Limited (“Wynn Resorts”) (NASDAQ: WYNN) announced today the pricing by Wynn Resorts Finance, LLC (“Wynn Resorts Finance”) and its subsidiary Wynn Resorts Capital Corp. (“Wynn Resorts Capital” and, together with Wynn Resorts Finance, the “Issuers”), each an indirect wholly-owned subsidiary of Wynn Resorts, of $400 million aggregate principal amount of 7.125% Senior Notes due 2031 (the “Notes”) in a private offering. The initial purchasers of the Notes will offer the Notes for resale initially at a price equal to 103.000% of the principal amount thereof, with an initial yield of 6.570%, plus accrued interest from February 15, 2024.</w:t>
      </w:r>
    </w:p>
    <w:p>
      <w:pPr>
        <w:spacing w:after="0" w:line="192"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15"/>
          <w:szCs w:val="15"/>
          <w:color w:val="auto"/>
        </w:rPr>
        <w:t>Wynn Resorts Finance plans to contribute the net proceeds from the offering, together with cash contributed by Wynn Resorts and/or borrowings under Wynn Resorts Finance’s senior credit facilities, to its subsidiary, Wynn Las Vegas, LLC (“Wynn Las Vegas”), and will cause Wynn Las Vegas to use the contribution, together with cash on hand, (i) to repurchase up to $800.0 million of the Wynn Las Vegas’ 5.500% Senior Notes due 2025 (the “2025 LV Notes”) that are validly tendered and accepted for payment pursuant to Wynn Las Vegas’ tender offer commenced on the date hereof, (ii) to pay related fees and expenses, and (iii) the remainder, if any, for general corporate purposes. If any proceeds remain after the tender offer, Wynn Las Vegas may use the remaining proceeds, cash contributed by Wynn Resorts, borrowings under Wynn Resorts Finance’s senior credit facilities, or proceeds from the issuance of additional notes, from time to time, to purchase additional 2025 LV Notes in the open market, in privately negotiated transactions, through tender offers, or otherwise, or to redeem, discharge or defease the 2025 LV Notes that are able to be redeemed, discharged or defeased pursuant to their terms. This press release shall not constitute an offer to purchase or the solicitation of an offer to sell the 2025 LV Notes. This press release does not constitute a notice of redemption or an offer to purchase or a solicitation of an offer to sell the 2025 LV Notes.</w:t>
      </w:r>
    </w:p>
    <w:p>
      <w:pPr>
        <w:spacing w:after="0" w:line="200"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5"/>
          <w:szCs w:val="15"/>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9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5"/>
          <w:szCs w:val="15"/>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23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5"/>
          <w:szCs w:val="15"/>
          <w:color w:val="auto"/>
        </w:rPr>
        <w:t>This release contains forward-looking statements, including those related to the offering of Notes and whether or not the Issuers will consummate the offering.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general global political conditions,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Wynn Resorts’ financial results is included in Wynn Resorts’ Annual Report on Form 10-K for the year ended December 31, 2022, as supplemented by Wynn Resorts’ other periodic reports filed with the Securities and Exchange Commission from time to time. Neither Wynn Resorts nor the Issuers are under any</w:t>
      </w:r>
    </w:p>
    <w:p>
      <w:pPr>
        <w:sectPr>
          <w:pgSz w:w="11900" w:h="16840" w:orient="portrait"/>
          <w:cols w:equalWidth="0" w:num="1">
            <w:col w:w="10600"/>
          </w:cols>
          <w:pgMar w:left="660" w:top="558" w:right="640" w:bottom="1440" w:gutter="0" w:footer="0" w:header="0"/>
        </w:sectPr>
      </w:pPr>
    </w:p>
    <w:bookmarkStart w:id="4" w:name="page5"/>
    <w:bookmarkEnd w:id="4"/>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obligation to (and expressly disclaim any such obligation to) update or revise their forward-looking statements as a result of new information, future events or otherwise,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except as required by law.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SOURCE: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Wynn Resorts, Limited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CONTACT: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Price Karr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702-770-7555</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investorrelations@wynnresorts.com</w:t>
      </w:r>
    </w:p>
    <w:p>
      <w:pPr>
        <w:sectPr>
          <w:pgSz w:w="11900" w:h="16840" w:orient="portrait"/>
          <w:cols w:equalWidth="0" w:num="1">
            <w:col w:w="10580"/>
          </w:cols>
          <w:pgMar w:left="660" w:top="1440" w:right="660" w:bottom="1440" w:gutter="0" w:footer="0" w:header="0"/>
        </w:sectPr>
      </w:pPr>
    </w:p>
    <w:bookmarkStart w:id="5" w:name="page6"/>
    <w:bookmarkEnd w:id="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2024-02-08T19:20:18Z</dcterms:created>
  <dcterms:modified xsi:type="dcterms:W3CDTF">2024-02-08T19:20:18Z</dcterms:modified>
</cp:coreProperties>
</file>