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14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jc w:val="both"/>
        <w:ind w:right="2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January 30, 2019, Wynn Resorts, Limited issued a press release announcing its results of operations for the fourth quarter and year ended December 31, 2018.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3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On January 30, 2019, the Company announced a cash dividend of $0.75 per share, payable on February 26, 2019 to stockholders of record as of February 15, 2019.</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68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dated January 30, 2019, of Wynn Resorts, Limited.</w:t>
              </w:r>
            </w:hyperlink>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January 30,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Fourth Quarter and Year End 2018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LAS VEGAS, January 30, 2019 — Wynn Resorts, Limited (NASDAQ: WYNN) ("the Company") today reported financial results for the fourth quarter and year ended December 31, 2018. The results reflect the Company’s adoption of the new revenue recognition standard ("ASC 606"), effective January 1, 2018. Certain prior period amounts have been adjusted to reflect the full retrospective adoption of ASC 606, with no impact to operating income, net income or Adjusted Property EBITDA (1).</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revenues were $1.69 billion in the fourth quarter of 2018, an increase of 4.0%, or $65.4 million, from $1.62 billion in the fourth quarter of 2017. Operating revenues from Wynn Palace and our Las Vegas Operations increased $84.0 million and $11.7 million, respectively, offset by a decrease of $30.3 million at Wynn Macau.</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 U.S. generally accepted accounting principles ("GAAP") basis, net income attributable to Wynn Resorts, Limited was $476.6 million, or $4.41 per diluted share, for the fourth quarter of 2018, compared to $491.7 million, or $4.77 per diluted share, in the fourth quarter of 2017. During the fourth quarter of 2018, we finalized our analysis of the U.S. Tax Cuts and Jobs Act (“U.S. tax reform”), which was enacted in the fourth quarter of 2017 and further clarified by guidance issued by the Internal Revenue Service in the fourth quarter of 2018. As a result, fourth quarter 2018 results reflect a net tax benefit of $390.9 million related to U.S. tax reform, which is incremental to the $339.9 million provisional net tax benefit reflected in the fourth quarter of 2017 results.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net income attributable to Wynn Resorts, Limited (2) was $114.0 million, or $1.06 per diluted share, in the fourth quarter of 2018, compared to $144.3 million, or $1.40 per diluted share, in the fourth quarter of 2017.</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fourth quarter of 2018</w:t>
      </w:r>
      <w:r>
        <w:rPr>
          <w:rFonts w:ascii="Arial" w:cs="Arial" w:eastAsia="Arial" w:hAnsi="Arial"/>
          <w:sz w:val="14"/>
          <w:szCs w:val="14"/>
          <w:color w:val="auto"/>
        </w:rPr>
        <w:t>,</w:t>
      </w:r>
      <w:r>
        <w:rPr>
          <w:rFonts w:ascii="Arial" w:cs="Arial" w:eastAsia="Arial" w:hAnsi="Arial"/>
          <w:sz w:val="18"/>
          <w:szCs w:val="18"/>
          <w:color w:val="auto"/>
        </w:rPr>
        <w:t xml:space="preserve"> Adjusted Property EBITDA increased 4.0%, to $499.4 million, compared to $480.2 million in the fourth quarter of 2017. Adjusted Property EBITDA from Wynn Palace and our Las Vegas Operations increased $36.5 million and $1.1 million, respectively, offset by a decrease of $18.5 million from Wynn Macau.</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full year of 2018, operating revenues increased 10.7%, or $647.5 million, to $6.72 billion, compared to $6.07 billion in the year ended December 31, 2017. Operating revenues increased $727.3 million at Wynn Palace, partially offset by decreases of $42.4 million and $37.4 million from Wynn Macau and our Las Vegas Operations,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GAAP net income attributable to Wynn Resorts, Limited was $584.2 million, or $5.46 per diluted share in 2018, compared to $747.2 million, or $7.28 per diluted share in the year ended December 31, 2017. The decrease was primarily driven by a litigation settlement expense of $463.6 million recorded in the first quarter of 2018. Both full year 2018 and 2017 results included the aforementioned net tax benefits of $390.9 million and $339.9 million, respectively, recorded in connection with U.S. tax reform.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net income attributable to Wynn Resorts, Limited was $699.5 million, or $6.54 per diluted share, in 2018, compared to $560.5 million, or $5.46 per diluted share, in the year ended December 31, 2017.</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Full year Adjusted Property EBITDA increased 12.9%, or $233.7 million, to $2.04 billion, compared to $1.81 billion in the year ended December 31, 2017. Adjusted Property EBITDA increased $316.3 million at Wynn Palace, partially offset by decreases of $27.5 million and $55.1 million, from Wynn Macau and our Las Vegas Operations, respectively.</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$0.75 per share, payable on February 26, 2019 to stockholders of record as of February 15,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the Company repurchased 1,478,552 shares of its common stock for approximately $156.7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revenues from Wynn Palace were $740.6 million for the fourth quarter of 2018, a 12.8% increase from $656.5 million for the same period of 2017. Adjusted Property EBITDA from Wynn Palace was $226.6 million for the fourth quarter of 2018, a 19.2% increase from $190.1 million for the same period of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Casino revenues from Wynn Palace were $636.9 million for the fourth quarter of 2018, a 12.3% increase from $567.0 million for the same period of 2017. Table games turnover in VIP operations was relatively flat at $16.16 billion for the fourth quarter of 2018 when compared to the same period of 2017. VIP table games win as a percentage of turnover was 3.25%, above the expected range</w:t>
      </w:r>
    </w:p>
    <w:p>
      <w:pPr>
        <w:sectPr>
          <w:pgSz w:w="11900" w:h="16838" w:orient="portrait"/>
          <w:cols w:equalWidth="0" w:num="1">
            <w:col w:w="11420"/>
          </w:cols>
          <w:pgMar w:left="240" w:top="58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both"/>
        <w:spacing w:after="0" w:line="297" w:lineRule="auto"/>
        <w:rPr>
          <w:sz w:val="20"/>
          <w:szCs w:val="20"/>
          <w:color w:val="auto"/>
        </w:rPr>
      </w:pPr>
      <w:r>
        <w:rPr>
          <w:rFonts w:ascii="Arial" w:cs="Arial" w:eastAsia="Arial" w:hAnsi="Arial"/>
          <w:sz w:val="16"/>
          <w:szCs w:val="16"/>
          <w:color w:val="auto"/>
        </w:rPr>
        <w:t>of 2.7% to 3.0% and an increase from the 3.02% experienced in the fourth quarter of 2017. Table drop in mass market operations was $1.30 billion, a 15.6% increase from $1.12 billion for the fourth quarter of 2017. Table games win in mass market operations was $307.4 million, a 16.2% increase from $264.5 million for the fourth quarter of 2017. Table games win percentage in mass market operations increased slightly to 23.6%, compared with the table games win percentage of 23.5% experienced in the fourth quarter of 2017. Slot machine handle was $1.01 billion, a 9.9% increase from $920.6 million for the fourth quarter of 2017. Slot machine win increased 4.6% to $57.6 million for the fourth quarter of 2018, compared to $55.0 million for the fourth quarter of 2017.</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Non-casino revenues from Wynn Palace were $103.6 million for the fourth quarter of 2018, a 15.7% increase from $89.6 million for the same period of 2017. Room revenues were $44.6 million for the fourth quarter of 2018, a 27.4% increase from $35.0 million for the same period of 2017. Average daily rate ("ADR") was $277, a 28.8% increase from $215 for the fourth quarter of 2017. Occupancy increased to 97.2% for the fourth quarter of 2018, from 96.8% for the same period of 2017. Revenue per available room ("REVPAR") was $269, a 28.7% increase from $209 for the fourth quarter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Operating revenues from Wynn Macau were $553.4 million for the fourth quarter of 2018, a 5.2% decrease from $583.7 million for the same period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Property EBITDA from Wynn Macau was $167.6 million, a 9.9% decrease from $186.0 million for the same period of 2017.</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Casino revenues from Wynn Macau were $479.0 million for the fourth quarter of 2018, a 5.9% decrease from $508.9 million for the same period of 2017. Table games turnover in VIP operations was $12.78 billion, an 18.2% decrease from $15.62 billion for the same period of 2017. VIP table games win as a percentage of turnover was 2.86%, within the expected range of 2.7% to 3.0% and below the 2.89% experienced in the fourth quarter of 2017. Table drop in mass market operations was relatively flat at $1.26 billion for the fourth quarter of 2018 when compared to the same period of 2017. Table games win in mass market operations was $255.7 million, an 11.2% increase from $230.1 million for the fourth quarter of 2017. Table games win percentage in mass market operations increased to 20.3%, compared with the table games win percentage of 18.4% experienced for the fourth quarter of 2017. Slot machine handle was $878.4 million, a 6.3% decrease from $937.6 million for the fourth quarter of 2017. Slot machine win increased 8.8% to $44.4 million for the fourth quarter of 2018, compared to $40.8 million for the fourth quarter of 2017.</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Non-casino revenues from Wynn Macau were relatively flat at $74.4 million for the fourth quarter of 2018 when compared to the same period of 2017. Room revenues were $29.9 million for the fourth quarter of 2018, a 17.8% increase from $25.4 million for the same period of 2017. ADR was $294, a 16.2% increase from $253 for the fourth quarter of 2017. Occupancy was relatively flat at 99.3% for the fourth quarter of 2018 when compared to the same period of 2017. REVPAR was $292, a 16.3% increase from $251 for the fourth quarter of 2017. Entertainment, retail and other revenues decreased 20.5%, to $23.3 million for the fourth quarter of 2018, compared to $29.3 million for the same period of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revenues from our Las Vegas Operations were $393.6 million for the fourth quarter of 2018, a 3.1% increase from $382.0 million for the same period of 2017. Adjusted Property EBITDA from our Las Vegas Operations was $105.2 million, a 1.1% increase from $104.1 million for the same period of 2017.</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Casino revenues from our Las Vegas Operations were $104.8 million for the fourth quarter of 2018, a 3.5% increase from $101.2 million for the same period of 2017. Table drop was $508.5 million, an 18.0% increase from $430.8 million for the fourth quarter of 2017. Table games win increased 12.4% to $113.9 million for the fourth quarter of 2018, compared to $101.3 million for the same period of 2017. Table games win percentage was 22.4%, within the expected range of 22% to 26% and a decrease from the tables games win percentage of 23.5% experienced in the fourth quarter of 2017. Slot machine handle was $904.4 million, an 8.5% increase from $833.2 million for the fourth quarter of 2017. Slot machine win increased 3.3% to $58.4 million for the fourth quarter of 2018, compared to $56.6 million for the fourth quarter of 2017.</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Non-casino revenues from our Las Vegas Operations were $288.8 million for the fourth quarter of 2018, a 2.9% increase from $280.7 million for the same period of 2017. Room revenues were $117.9 million for the fourth quarter of 2018, a 10.8% increase from $106.4 million for the same period of 2017. ADR was $315, a 4.7% increase from $301 for the fourth quarter of 2017. Occupancy increased to 88.6% for the fourth quarter of 2018, from 82.1% for the same period of 2017. REVPAR was $279, a 13.0% increase from $247 for the fourth quarter of 2017. Food and beverage revenues increased 5.8%, to $121.9 million for the fourth quarter of 2018, compared to $115.2 million for the same period of 2017. Entertainment, retail and other revenues decreased 16.9%, to $49.1 million for the fourth quarter of 2018, compared to $59.1 million for the same period of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Encore Boston Harbor Project in Massachusetts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currently constructing Encore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$2.6 billion. As of December 31, 2018, we have incurred $2.03 billion in total project costs. We expect to open Encore Boston Harbor in mid-2019.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restricted cash as of December 31, 2018 totaled $2.22 billion.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current and long-term debt outstanding at December 31, 2018 was $9.42 billion, comprised of $4.23 billion of Macau related debt, $3.10 billion of Wynn Las Vegas debt, $984 million of Wynn America debt, $495 million of Wynn Resorts debt, and $611 million of debt held by the retail joint venture which we consolidate.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in December 2018 we amended the Wynn Resorts (Macau) S.A. senior secured credit facilities, which consist of an approximately $2.3 billion equivalent senior secured term loan facility and an approximately $750 million equivalent senior secured revolving credit facility. The amendment extended the final maturity dates of the term loan and the revolving facility to June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hold a conference call to discuss its results, including the results of Wynn Las Vegas, LLC, on January 30, 2019 at 1:30 p.m. PT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 Interested parties are invited to join the call by accessing a live audio webcast at http://www.wynnresorts.com.</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28, 2019, the Company will make Wynn Las Vegas, LLC financial information for the year ended December 31, 2018 available to noteholders, prospective investors, broker-dealers and securities analysts. Please contact our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office at 702-770-7555 or at investorrelations@wynnresorts.com, to obtain access to such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controversy, regulatory action, litigation and investigations related to Stephen A. Wynn and his separation from the Company, extensive regulation of our business, pending or future claims and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will be included in the Company’s Annual Report on Form 10-K for the year ended December 31, 2018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8"/>
        <w:spacing w:after="0" w:line="28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(loss) gain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rFonts w:ascii="Arial" w:cs="Arial" w:eastAsia="Arial" w:hAnsi="Arial"/>
          <w:sz w:val="16"/>
          <w:szCs w:val="16"/>
          <w:color w:val="auto"/>
        </w:rPr>
      </w:pPr>
    </w:p>
    <w:p>
      <w:pPr>
        <w:jc w:val="both"/>
        <w:ind w:firstLine="8"/>
        <w:spacing w:after="0" w:line="270" w:lineRule="auto"/>
        <w:tabs>
          <w:tab w:leader="none" w:pos="27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attributable to Wynn Resorts, Limited before litigation settlement expense, pre-opening expenses, property charges and other, change in derivatives fair value, change in Redemption Note fair value, (loss) gain on extinguishment of debt, foreign currency remeasurement loss, the impact from the enactment of U.S. tax reform, net of noncontrolling interests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and earnings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(ii) operating income to Adjusted Property EBITDA, and (iii) net income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27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Twelve Months Ended</w:t>
            </w:r>
          </w:p>
        </w:tc>
      </w:t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6"/>
                <w:szCs w:val="16"/>
                <w:color w:val="auto"/>
              </w:rPr>
            </w:pPr>
          </w:p>
        </w:tc>
        <w:tc>
          <w:tcPr>
            <w:tcW w:w="2700" w:type="dxa"/>
            <w:vAlign w:val="bottom"/>
            <w:gridSpan w:val="4"/>
          </w:tcPr>
          <w:p>
            <w:pPr>
              <w:jc w:val="right"/>
              <w:ind w:right="10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(as adjusted)</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(as adjusted)</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1,220,795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1,177,158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4,784,990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4,244,303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670,957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173,165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163,237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754,128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732,115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426,742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422,785</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 operating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1,687,586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1,622,164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6,717,660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6,070,160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782,141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761,213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3,036,907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2,718,120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244,828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143,441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129,382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611,706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567,690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196,547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204,122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182,850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749,665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685,485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(6,711)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26,692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138,911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136,880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550,596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552,368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29,576</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1,429,553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1,320,745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5,970,366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5,014,595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258,033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301,419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747,294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1,055,565</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(100,717)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(388,664)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(59,700)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(55,360)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(21,709)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(103,486)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(429,804)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(495,296)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154,547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209,939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317,490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560,269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372,713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497,344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328,985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527,260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543,964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814,834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889,254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(142,073)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476,616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491,682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584,180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747,181</w:t>
            </w: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per common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7.28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107,619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102,402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102,071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2.00</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INCOME ATTRIBUTABLE TO WYNN RESORTS, LIMITED TO ADJUSTED NET INCOME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476,616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584,180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747,181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Litigation settlement expense</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463,557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29,584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60,256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29,576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69,331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59,700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55,360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Foreign currency remeasurement loss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impact 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Impact of U.S. tax reform</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(390,902)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(390,902)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(339,921)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attributable to Wynn Resorts, Limited</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113,972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144,329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699,466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560,470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2"/>
              </w:rPr>
              <w:t>Adjusted net income attributable to Wynn Resorts, Limited per diluted</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6.54</w:t>
            </w: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5.46</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107,974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107,032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102,598</w:t>
            </w:r>
          </w:p>
        </w:tc>
        <w:tc>
          <w:tcPr>
            <w:tcW w:w="0" w:type="dxa"/>
            <w:vAlign w:val="bottom"/>
          </w:tcPr>
          <w:p>
            <w:pPr>
              <w:spacing w:after="0"/>
              <w:rPr>
                <w:sz w:val="1"/>
                <w:szCs w:val="1"/>
                <w:color w:val="auto"/>
              </w:rPr>
            </w:pPr>
          </w:p>
        </w:tc>
      </w:tr>
      <w:tr>
        <w:trPr>
          <w:trHeight w:val="675"/>
        </w:trPr>
        <w:tc>
          <w:tcPr>
            <w:tcW w:w="562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2"/>
              </w:rPr>
              <w:t>Three Months Ended December 31, 2018</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Pre-opening</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12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Management</w:t>
            </w:r>
          </w:p>
        </w:tc>
        <w:tc>
          <w:tcPr>
            <w:tcW w:w="80" w:type="dxa"/>
            <w:vAlign w:val="bottom"/>
          </w:tcPr>
          <w:p>
            <w:pPr>
              <w:spacing w:after="0"/>
              <w:rPr>
                <w:sz w:val="13"/>
                <w:szCs w:val="13"/>
                <w:color w:val="auto"/>
              </w:rPr>
            </w:pPr>
          </w:p>
        </w:tc>
        <w:tc>
          <w:tcPr>
            <w:tcW w:w="10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and license fees</w:t>
            </w:r>
          </w:p>
        </w:tc>
        <w:tc>
          <w:tcPr>
            <w:tcW w:w="8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620" w:type="dxa"/>
            <w:vAlign w:val="bottom"/>
          </w:tcPr>
          <w:p>
            <w:pPr>
              <w:ind w:left="280"/>
              <w:spacing w:after="0"/>
              <w:rPr>
                <w:sz w:val="20"/>
                <w:szCs w:val="20"/>
                <w:color w:val="auto"/>
              </w:rPr>
            </w:pPr>
            <w:r>
              <w:rPr>
                <w:rFonts w:ascii="Arial" w:cs="Arial" w:eastAsia="Arial" w:hAnsi="Arial"/>
                <w:sz w:val="14"/>
                <w:szCs w:val="14"/>
                <w:color w:val="auto"/>
              </w:rPr>
              <w:t>Wynn Palace</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129,228</w:t>
            </w:r>
          </w:p>
        </w:tc>
        <w:tc>
          <w:tcPr>
            <w:tcW w:w="12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66,037</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27,977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226,585</w:t>
            </w:r>
          </w:p>
        </w:tc>
        <w:tc>
          <w:tcPr>
            <w:tcW w:w="0" w:type="dxa"/>
            <w:vAlign w:val="bottom"/>
          </w:tcPr>
          <w:p>
            <w:pPr>
              <w:spacing w:after="0"/>
              <w:rPr>
                <w:sz w:val="1"/>
                <w:szCs w:val="1"/>
                <w:color w:val="auto"/>
              </w:rPr>
            </w:pPr>
          </w:p>
        </w:tc>
      </w:tr>
      <w:tr>
        <w:trPr>
          <w:trHeight w:val="276"/>
        </w:trPr>
        <w:tc>
          <w:tcPr>
            <w:tcW w:w="1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114,310</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20,993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167,560</w:t>
            </w:r>
          </w:p>
        </w:tc>
        <w:tc>
          <w:tcPr>
            <w:tcW w:w="0" w:type="dxa"/>
            <w:vAlign w:val="bottom"/>
          </w:tcPr>
          <w:p>
            <w:pPr>
              <w:spacing w:after="0"/>
              <w:rPr>
                <w:sz w:val="1"/>
                <w:szCs w:val="1"/>
                <w:color w:val="auto"/>
              </w:rPr>
            </w:pPr>
          </w:p>
        </w:tc>
      </w:tr>
      <w:tr>
        <w:trPr>
          <w:trHeight w:val="264"/>
        </w:trPr>
        <w:tc>
          <w:tcPr>
            <w:tcW w:w="1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Macau</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(3,117)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8"/>
              </w:rPr>
              <w:t>Total Macau Operations</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240,421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88,850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48,970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5,282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394,145</w:t>
            </w:r>
          </w:p>
        </w:tc>
        <w:tc>
          <w:tcPr>
            <w:tcW w:w="0" w:type="dxa"/>
            <w:vAlign w:val="bottom"/>
          </w:tcPr>
          <w:p>
            <w:pPr>
              <w:spacing w:after="0"/>
              <w:rPr>
                <w:sz w:val="1"/>
                <w:szCs w:val="1"/>
                <w:color w:val="auto"/>
              </w:rPr>
            </w:pPr>
          </w:p>
        </w:tc>
      </w:tr>
      <w:tr>
        <w:trPr>
          <w:trHeight w:val="264"/>
        </w:trPr>
        <w:tc>
          <w:tcPr>
            <w:tcW w:w="162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24,159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46,795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10,054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18,644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4,282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105,222</w:t>
            </w: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(6,547)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17,783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3,266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11,791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(67,614)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1"/>
                <w:szCs w:val="21"/>
                <w:color w:val="auto"/>
              </w:rPr>
            </w:pP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258,033</w:t>
            </w:r>
          </w:p>
        </w:tc>
        <w:tc>
          <w:tcPr>
            <w:tcW w:w="12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18,235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138,911</w:t>
            </w:r>
          </w:p>
        </w:tc>
        <w:tc>
          <w:tcPr>
            <w:tcW w:w="12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29,584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46,378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8,226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499,367</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4"/>
              </w:rPr>
              <w:t>Three Months Ended December 31, 2017</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Pre-opening</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12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Management</w:t>
            </w:r>
          </w:p>
        </w:tc>
        <w:tc>
          <w:tcPr>
            <w:tcW w:w="80" w:type="dxa"/>
            <w:vAlign w:val="bottom"/>
          </w:tcPr>
          <w:p>
            <w:pPr>
              <w:spacing w:after="0"/>
              <w:rPr>
                <w:sz w:val="13"/>
                <w:szCs w:val="13"/>
                <w:color w:val="auto"/>
              </w:rPr>
            </w:pPr>
          </w:p>
        </w:tc>
        <w:tc>
          <w:tcPr>
            <w:tcW w:w="10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and license fees</w:t>
            </w:r>
          </w:p>
        </w:tc>
        <w:tc>
          <w:tcPr>
            <w:tcW w:w="8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620" w:type="dxa"/>
            <w:vAlign w:val="bottom"/>
          </w:tcPr>
          <w:p>
            <w:pPr>
              <w:ind w:left="28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101,443</w:t>
            </w:r>
          </w:p>
        </w:tc>
        <w:tc>
          <w:tcPr>
            <w:tcW w:w="12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64,475</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(7,590)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27,014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3,213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190,096</w:t>
            </w:r>
          </w:p>
        </w:tc>
        <w:tc>
          <w:tcPr>
            <w:tcW w:w="0" w:type="dxa"/>
            <w:vAlign w:val="bottom"/>
          </w:tcPr>
          <w:p>
            <w:pPr>
              <w:spacing w:after="0"/>
              <w:rPr>
                <w:sz w:val="1"/>
                <w:szCs w:val="1"/>
                <w:color w:val="auto"/>
              </w:rPr>
            </w:pPr>
          </w:p>
        </w:tc>
      </w:tr>
      <w:tr>
        <w:trPr>
          <w:trHeight w:val="276"/>
        </w:trPr>
        <w:tc>
          <w:tcPr>
            <w:tcW w:w="1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133,923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24,042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186,029</w:t>
            </w:r>
          </w:p>
        </w:tc>
        <w:tc>
          <w:tcPr>
            <w:tcW w:w="0" w:type="dxa"/>
            <w:vAlign w:val="bottom"/>
          </w:tcPr>
          <w:p>
            <w:pPr>
              <w:spacing w:after="0"/>
              <w:rPr>
                <w:sz w:val="1"/>
                <w:szCs w:val="1"/>
                <w:color w:val="auto"/>
              </w:rPr>
            </w:pPr>
          </w:p>
        </w:tc>
      </w:tr>
      <w:tr>
        <w:trPr>
          <w:trHeight w:val="264"/>
        </w:trPr>
        <w:tc>
          <w:tcPr>
            <w:tcW w:w="1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Macau</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8"/>
              </w:rPr>
              <w:t>Total Macau Operations</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232,680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88,831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51,056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376,125</w:t>
            </w:r>
          </w:p>
        </w:tc>
        <w:tc>
          <w:tcPr>
            <w:tcW w:w="0" w:type="dxa"/>
            <w:vAlign w:val="bottom"/>
          </w:tcPr>
          <w:p>
            <w:pPr>
              <w:spacing w:after="0"/>
              <w:rPr>
                <w:sz w:val="1"/>
                <w:szCs w:val="1"/>
                <w:color w:val="auto"/>
              </w:rPr>
            </w:pPr>
          </w:p>
        </w:tc>
      </w:tr>
      <w:tr>
        <w:trPr>
          <w:trHeight w:val="264"/>
        </w:trPr>
        <w:tc>
          <w:tcPr>
            <w:tcW w:w="162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37,338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45,318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17,352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8,995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104,101</w:t>
            </w: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31,401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7,769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(68,408)</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9,733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301,419</w:t>
            </w:r>
          </w:p>
        </w:tc>
        <w:tc>
          <w:tcPr>
            <w:tcW w:w="1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7,247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136,880</w:t>
            </w:r>
          </w:p>
        </w:tc>
        <w:tc>
          <w:tcPr>
            <w:tcW w:w="30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(8,918)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28,917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14,681</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480,226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Twelve Months Ended December 31, 2018</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Pre-opening</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12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00" w:type="dxa"/>
            <w:vAlign w:val="bottom"/>
          </w:tcPr>
          <w:p>
            <w:pPr>
              <w:spacing w:after="0"/>
              <w:rPr>
                <w:sz w:val="13"/>
                <w:szCs w:val="13"/>
                <w:color w:val="auto"/>
              </w:rPr>
            </w:pPr>
          </w:p>
        </w:tc>
        <w:tc>
          <w:tcPr>
            <w:tcW w:w="10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720" w:type="dxa"/>
            <w:vAlign w:val="bottom"/>
          </w:tcPr>
          <w:p>
            <w:pPr>
              <w:ind w:left="180"/>
              <w:spacing w:after="0"/>
              <w:rPr>
                <w:sz w:val="20"/>
                <w:szCs w:val="20"/>
                <w:color w:val="auto"/>
              </w:rPr>
            </w:pPr>
            <w:r>
              <w:rPr>
                <w:rFonts w:ascii="Arial" w:cs="Arial" w:eastAsia="Arial" w:hAnsi="Arial"/>
                <w:sz w:val="14"/>
                <w:szCs w:val="14"/>
                <w:color w:val="auto"/>
              </w:rPr>
              <w:t>Wynn Palace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459,336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259,898</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9,830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103,765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6,732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4,341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843,902</w:t>
            </w:r>
          </w:p>
        </w:tc>
        <w:tc>
          <w:tcPr>
            <w:tcW w:w="0" w:type="dxa"/>
            <w:vAlign w:val="bottom"/>
          </w:tcPr>
          <w:p>
            <w:pPr>
              <w:spacing w:after="0"/>
              <w:rPr>
                <w:sz w:val="1"/>
                <w:szCs w:val="1"/>
                <w:color w:val="auto"/>
              </w:rPr>
            </w:pPr>
          </w:p>
        </w:tc>
      </w:tr>
      <w:tr>
        <w:trPr>
          <w:trHeight w:val="276"/>
        </w:trPr>
        <w:tc>
          <w:tcPr>
            <w:tcW w:w="1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Wynn Macau</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532,377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87,135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733,238</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Macau</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8,189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Macau Operations</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978,303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351,620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21,486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190,900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22,638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1,577,140</w:t>
            </w:r>
          </w:p>
        </w:tc>
        <w:tc>
          <w:tcPr>
            <w:tcW w:w="0" w:type="dxa"/>
            <w:vAlign w:val="bottom"/>
          </w:tcPr>
          <w:p>
            <w:pPr>
              <w:spacing w:after="0"/>
              <w:rPr>
                <w:sz w:val="1"/>
                <w:szCs w:val="1"/>
                <w:color w:val="auto"/>
              </w:rPr>
            </w:pPr>
          </w:p>
        </w:tc>
      </w:tr>
      <w:tr>
        <w:trPr>
          <w:trHeight w:val="264"/>
        </w:trPr>
        <w:tc>
          <w:tcPr>
            <w:tcW w:w="172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170,007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186,758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14,886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77,537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14,134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3,491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467,273</w:t>
            </w: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 (1)</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(401,016)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53,030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23,884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(268,437)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559,514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747,294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53,490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550,596</w:t>
            </w:r>
          </w:p>
        </w:tc>
        <w:tc>
          <w:tcPr>
            <w:tcW w:w="12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60,256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596,286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36,491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2,044,413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Twelve Months Ended December 31, 2017</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Pre-opening</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12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00" w:type="dxa"/>
            <w:vAlign w:val="bottom"/>
          </w:tcPr>
          <w:p>
            <w:pPr>
              <w:spacing w:after="0"/>
              <w:rPr>
                <w:sz w:val="13"/>
                <w:szCs w:val="13"/>
                <w:color w:val="auto"/>
              </w:rPr>
            </w:pPr>
          </w:p>
        </w:tc>
        <w:tc>
          <w:tcPr>
            <w:tcW w:w="10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720" w:type="dxa"/>
            <w:vAlign w:val="bottom"/>
          </w:tcPr>
          <w:p>
            <w:pPr>
              <w:ind w:left="180"/>
              <w:spacing w:after="0"/>
              <w:rPr>
                <w:sz w:val="20"/>
                <w:szCs w:val="20"/>
                <w:color w:val="auto"/>
              </w:rPr>
            </w:pPr>
            <w:r>
              <w:rPr>
                <w:rFonts w:ascii="Arial" w:cs="Arial" w:eastAsia="Arial" w:hAnsi="Arial"/>
                <w:sz w:val="14"/>
                <w:szCs w:val="14"/>
                <w:color w:val="auto"/>
              </w:rPr>
              <w:t>Wynn Palace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157,886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258,224</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12,663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83,534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9,957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5,319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527,583</w:t>
            </w:r>
          </w:p>
        </w:tc>
        <w:tc>
          <w:tcPr>
            <w:tcW w:w="0" w:type="dxa"/>
            <w:vAlign w:val="bottom"/>
          </w:tcPr>
          <w:p>
            <w:pPr>
              <w:spacing w:after="0"/>
              <w:rPr>
                <w:sz w:val="1"/>
                <w:szCs w:val="1"/>
                <w:color w:val="auto"/>
              </w:rPr>
            </w:pPr>
          </w:p>
        </w:tc>
      </w:tr>
      <w:tr>
        <w:trPr>
          <w:trHeight w:val="276"/>
        </w:trPr>
        <w:tc>
          <w:tcPr>
            <w:tcW w:w="1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Wynn Macau</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540,341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97,292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96,769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760,752</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Macau</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(15,201)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Macau Operations</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683,026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359,999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19,530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180,303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30,917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1,288,335</w:t>
            </w:r>
          </w:p>
        </w:tc>
        <w:tc>
          <w:tcPr>
            <w:tcW w:w="0" w:type="dxa"/>
            <w:vAlign w:val="bottom"/>
          </w:tcPr>
          <w:p>
            <w:pPr>
              <w:spacing w:after="0"/>
              <w:rPr>
                <w:sz w:val="1"/>
                <w:szCs w:val="1"/>
                <w:color w:val="auto"/>
              </w:rPr>
            </w:pPr>
          </w:p>
        </w:tc>
      </w:tr>
      <w:tr>
        <w:trPr>
          <w:trHeight w:val="264"/>
        </w:trPr>
        <w:tc>
          <w:tcPr>
            <w:tcW w:w="172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242,457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181,879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4,598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64,598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26,578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522,397</w:t>
            </w: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130,082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26,466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10,490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5,448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(244,901)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45,065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27,350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1,055,565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26,692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552,368</w:t>
            </w:r>
          </w:p>
        </w:tc>
        <w:tc>
          <w:tcPr>
            <w:tcW w:w="30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29,576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102,560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43,971</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1,810,732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Corporate expenses and other includes litigation settlement expense of $463.6 million.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INCOME ATTRIBUTABLE TO WYNN RESORTS, LIMITED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70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Twelve Months Ended</w:t>
            </w:r>
          </w:p>
        </w:tc>
      </w:tr>
      <w:tr>
        <w:trPr>
          <w:trHeight w:val="192"/>
        </w:trPr>
        <w:tc>
          <w:tcPr>
            <w:tcW w:w="5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Wynn Resorts, Limited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476,616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584,180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747,181</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50,644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230,654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142,073</w:t>
            </w: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463,557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18,235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53,490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26,692</w:t>
            </w: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138,911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550,596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552,368</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29,584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60,256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29,576</w:t>
            </w: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132,729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102,560</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36,491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43,971</w:t>
            </w: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(31,193)</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100,717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96,789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381,849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388,664</w:t>
            </w: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69,331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59,700</w:t>
            </w: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55,360</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21,709</w:t>
            </w: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(372,713)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(497,344)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(328,985)</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499,367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480,226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2,044,413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1,810,732</w:t>
            </w:r>
          </w:p>
        </w:tc>
      </w:tr>
      <w:tr>
        <w:trPr>
          <w:trHeight w:val="27"/>
        </w:trPr>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56"/>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9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20"/>
          </w:cols>
          <w:pgMar w:left="300" w:top="796" w:right="279" w:bottom="1440" w:gutter="0" w:footer="0" w:header="0"/>
        </w:sectPr>
      </w:pPr>
    </w:p>
    <w:bookmarkStart w:id="12" w:name="page13"/>
    <w:bookmarkEnd w:id="12"/>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Twelve Months Ended December 31,</w:t>
            </w:r>
          </w:p>
        </w:tc>
      </w:tr>
      <w:tr>
        <w:trPr>
          <w:trHeight w:val="264"/>
        </w:trPr>
        <w:tc>
          <w:tcPr>
            <w:tcW w:w="49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r>
      <w:tr>
        <w:trPr>
          <w:trHeight w:val="270"/>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(as adjusted)</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(as adjusted)</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Wynn Palace:</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104</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16,156,992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16,232,654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61,097,527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52,573,258</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525,898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489,643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1,874,189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1,486,674</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50,057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47,395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45,006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39,325</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202</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1,300,388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1,124,702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4,926,347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3,490,363</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307,368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264,492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1,206,244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795,159</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16,084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14,623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15,834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10,759</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1,026</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1,011,482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920,641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3,933,064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3,053,614</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55,042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203,568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165,754</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443</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199</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191</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Wynn Macau:</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12,776,758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15,622,932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57,759,607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58,303,836</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364,783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451,486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1,588,002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1,907,625</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35,851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48,267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54,726</w:t>
            </w: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204</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1,258,696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1,250,994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5,058,332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4,525,727</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255,736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230,053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1,014,484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880,964</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13,698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11,820</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914</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878,393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937,622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3,740,096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3,526,747</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44,424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40,818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161,384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154,425</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463</w:t>
            </w: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Room statistics: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243</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237</w:t>
            </w:r>
          </w:p>
        </w:tc>
      </w:tr>
      <w:tr>
        <w:trPr>
          <w:trHeight w:val="27"/>
        </w:trPr>
        <w:tc>
          <w:tcPr>
            <w:tcW w:w="4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3" w:name="page14"/>
    <w:bookmarkEnd w:id="13"/>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Twelve Months Ended December 31,</w:t>
            </w:r>
          </w:p>
        </w:tc>
      </w:tr>
      <w:tr>
        <w:trPr>
          <w:trHeight w:val="264"/>
        </w:trPr>
        <w:tc>
          <w:tcPr>
            <w:tcW w:w="49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(as adjusted)</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(as adjusted)</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236</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508,472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430,821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1,852,816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1,804,988</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113,892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101,290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456,021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465,664</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4,692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5,282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5,415</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1,856</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904,385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833,207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3,237,085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3,183,369</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58,407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213,025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218,897</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323</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303</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264</w:t>
            </w:r>
          </w:p>
        </w:tc>
      </w:tr>
    </w:tbl>
    <w:p>
      <w:pPr>
        <w:spacing w:after="0" w:line="265" w:lineRule="exact"/>
        <w:rPr>
          <w:sz w:val="20"/>
          <w:szCs w:val="20"/>
          <w:color w:val="auto"/>
        </w:rPr>
      </w:pPr>
    </w:p>
    <w:p>
      <w:pPr>
        <w:ind w:left="260" w:right="220" w:hanging="252"/>
        <w:spacing w:after="0" w:line="250"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60" w:right="340" w:hanging="252"/>
        <w:spacing w:after="0" w:line="24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60" w:hanging="198"/>
        <w:spacing w:after="0"/>
        <w:tabs>
          <w:tab w:leader="none" w:pos="260" w:val="left"/>
        </w:tabs>
        <w:numPr>
          <w:ilvl w:val="1"/>
          <w:numId w:val="3"/>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 w:lineRule="exact"/>
        <w:rPr>
          <w:sz w:val="20"/>
          <w:szCs w:val="20"/>
          <w:color w:val="auto"/>
        </w:rPr>
      </w:pPr>
    </w:p>
    <w:p>
      <w:pPr>
        <w:ind w:left="260" w:right="20" w:hanging="252"/>
        <w:spacing w:after="0" w:line="24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 The prior period amounts have been adjusted to reflect the full retrospective adoption of ASC 606.</w:t>
      </w:r>
    </w:p>
    <w:p>
      <w:pPr>
        <w:ind w:left="260" w:right="360" w:hanging="252"/>
        <w:spacing w:after="0" w:line="255"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 The prior period amounts have been adjusted to reflect the full retrospective adoption of ASC 606.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Amerine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lvl w:ilvl="1">
      <w:lvlJc w:val="left"/>
      <w:lvlText w:val="(%2)"/>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2019-12-28T17:00:12Z</dcterms:created>
  <dcterms:modified xsi:type="dcterms:W3CDTF">2019-12-28T17:00:12Z</dcterms:modified>
</cp:coreProperties>
</file>