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11, 2017</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489"/>
        </w:trPr>
        <w:tc>
          <w:tcPr>
            <w:tcW w:w="2820" w:type="dxa"/>
            <w:vAlign w:val="bottom"/>
          </w:tcPr>
          <w:p>
            <w:pPr>
              <w:spacing w:after="0"/>
              <w:rPr>
                <w:sz w:val="24"/>
                <w:szCs w:val="24"/>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6"/>
                <w:szCs w:val="16"/>
                <w:color w:val="auto"/>
              </w:rPr>
            </w:pPr>
          </w:p>
        </w:tc>
      </w:tr>
      <w:tr>
        <w:trPr>
          <w:trHeight w:val="408"/>
        </w:trPr>
        <w:tc>
          <w:tcPr>
            <w:tcW w:w="2820" w:type="dxa"/>
            <w:vAlign w:val="bottom"/>
          </w:tcPr>
          <w:p>
            <w:pPr>
              <w:spacing w:after="0"/>
              <w:rPr>
                <w:sz w:val="24"/>
                <w:szCs w:val="24"/>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spacing w:after="0" w:line="167"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firstLine="459"/>
        <w:spacing w:after="0" w:line="272" w:lineRule="auto"/>
        <w:rPr>
          <w:sz w:val="20"/>
          <w:szCs w:val="20"/>
          <w:color w:val="auto"/>
        </w:rPr>
      </w:pPr>
      <w:r>
        <w:rPr>
          <w:rFonts w:ascii="Arial" w:cs="Arial" w:eastAsia="Arial" w:hAnsi="Arial"/>
          <w:sz w:val="17"/>
          <w:szCs w:val="17"/>
          <w:color w:val="auto"/>
        </w:rPr>
        <w:t>On September 11, 2017, Wynn Macau, Limited (“WML”), an indirect subsidiary of Wynn Resorts, Limited (the “Registrant”) with its ordinary shares of common stock listed on The Stock Exchange of Hong Kong Limited (the “HKSE”), filed with the HKSE an announcement of WML’s proposed issuance of senior notes and concurrent tender offer for any and all of the outstanding $1.35 billion aggregate principal amount of 5.25% Senior Notes due 2021, issued by WML (the “Announcement”). The Registrant owns approximately 72% of WML’s ordinary shares of common stock. The Announcement is furnished herewith as Exhibit 99.1. The information in this Form 8-K and the exhibit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9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49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485"/>
        </w:trPr>
        <w:tc>
          <w:tcPr>
            <w:tcW w:w="2960" w:type="dxa"/>
            <w:vAlign w:val="bottom"/>
          </w:tcPr>
          <w:p>
            <w:pPr>
              <w:spacing w:after="0"/>
              <w:rPr>
                <w:sz w:val="20"/>
                <w:szCs w:val="20"/>
                <w:color w:val="auto"/>
              </w:rPr>
            </w:pPr>
            <w:r>
              <w:rPr>
                <w:rFonts w:ascii="Arial" w:cs="Arial" w:eastAsia="Arial" w:hAnsi="Arial"/>
                <w:sz w:val="18"/>
                <w:szCs w:val="18"/>
                <w:color w:val="auto"/>
              </w:rPr>
              <w:t>99.1</w:t>
            </w:r>
          </w:p>
        </w:tc>
        <w:tc>
          <w:tcPr>
            <w:tcW w:w="4980" w:type="dxa"/>
            <w:vAlign w:val="bottom"/>
            <w:tcBorders>
              <w:bottom w:val="single" w:sz="8" w:color="0000FF"/>
            </w:tcBorders>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Announcement of Wynn Macau, Limited, dated September 11, 2017.</w:t>
              </w:r>
            </w:hyperlink>
          </w:p>
        </w:tc>
      </w:tr>
    </w:tbl>
    <w:p>
      <w:pPr>
        <w:sectPr>
          <w:pgSz w:w="11900" w:h="16838" w:orient="portrait"/>
          <w:cols w:equalWidth="0" w:num="1">
            <w:col w:w="11420"/>
          </w:cols>
          <w:pgMar w:left="240" w:top="1440" w:right="239" w:bottom="1440" w:gutter="0" w:footer="0" w:header="0"/>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September 11,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580" w:right="87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363220</wp:posOffset>
            </wp:positionV>
            <wp:extent cx="6667500" cy="9606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2019-12-29T04:38:34Z</dcterms:created>
  <dcterms:modified xsi:type="dcterms:W3CDTF">2019-12-29T04:38:34Z</dcterms:modified>
</cp:coreProperties>
</file>