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4580" w:type="dxa"/>
            <w:vAlign w:val="bottom"/>
          </w:tcPr>
          <w:p>
            <w:pPr>
              <w:jc w:val="right"/>
              <w:spacing w:after="0"/>
              <w:rPr>
                <w:sz w:val="20"/>
                <w:szCs w:val="20"/>
                <w:color w:val="auto"/>
              </w:rPr>
            </w:pPr>
            <w:r>
              <w:rPr>
                <w:rFonts w:ascii="Arial" w:cs="Arial" w:eastAsia="Arial" w:hAnsi="Arial"/>
                <w:sz w:val="18"/>
                <w:szCs w:val="18"/>
                <w:b w:val="1"/>
                <w:bCs w:val="1"/>
                <w:color w:val="auto"/>
              </w:rPr>
              <w:t>FILED PURSUANT TO</w:t>
            </w:r>
          </w:p>
        </w:tc>
      </w:tr>
      <w:tr>
        <w:trPr>
          <w:trHeight w:val="203"/>
        </w:trPr>
        <w:tc>
          <w:tcPr>
            <w:tcW w:w="6840" w:type="dxa"/>
            <w:vAlign w:val="bottom"/>
          </w:tcPr>
          <w:p>
            <w:pPr>
              <w:spacing w:after="0"/>
              <w:rPr>
                <w:sz w:val="17"/>
                <w:szCs w:val="17"/>
                <w:color w:val="auto"/>
              </w:rPr>
            </w:pPr>
          </w:p>
        </w:tc>
        <w:tc>
          <w:tcPr>
            <w:tcW w:w="4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RULE 424(B)(5)</w:t>
            </w:r>
          </w:p>
        </w:tc>
      </w:tr>
      <w:tr>
        <w:trPr>
          <w:trHeight w:val="246"/>
        </w:trPr>
        <w:tc>
          <w:tcPr>
            <w:tcW w:w="6840" w:type="dxa"/>
            <w:vAlign w:val="bottom"/>
          </w:tcPr>
          <w:p>
            <w:pPr>
              <w:spacing w:after="0"/>
              <w:rPr>
                <w:sz w:val="20"/>
                <w:szCs w:val="20"/>
                <w:color w:val="auto"/>
              </w:rPr>
            </w:pPr>
            <w:r>
              <w:rPr>
                <w:rFonts w:ascii="Arial" w:cs="Arial" w:eastAsia="Arial" w:hAnsi="Arial"/>
                <w:sz w:val="18"/>
                <w:szCs w:val="18"/>
                <w:b w:val="1"/>
                <w:bCs w:val="1"/>
                <w:color w:val="auto"/>
              </w:rPr>
              <w:t>Prospectus supplement to prospectus dated April 21, 2004</w:t>
            </w:r>
          </w:p>
        </w:tc>
        <w:tc>
          <w:tcPr>
            <w:tcW w:w="458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333-114022</w:t>
            </w:r>
          </w:p>
        </w:tc>
      </w:tr>
    </w:tbl>
    <w:p>
      <w:pPr>
        <w:spacing w:after="0" w:line="101"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99275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7,500,000 Shares</w:t>
      </w:r>
    </w:p>
    <w:p>
      <w:pPr>
        <w:spacing w:after="0" w:line="5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10" w:lineRule="exact"/>
        <w:rPr>
          <w:sz w:val="24"/>
          <w:szCs w:val="24"/>
          <w:color w:val="auto"/>
        </w:rPr>
      </w:pPr>
    </w:p>
    <w:p>
      <w:pPr>
        <w:ind w:right="120"/>
        <w:spacing w:after="0" w:line="238" w:lineRule="auto"/>
        <w:rPr>
          <w:sz w:val="20"/>
          <w:szCs w:val="20"/>
          <w:color w:val="auto"/>
        </w:rPr>
      </w:pPr>
      <w:r>
        <w:rPr>
          <w:rFonts w:ascii="Arial" w:cs="Arial" w:eastAsia="Arial" w:hAnsi="Arial"/>
          <w:sz w:val="18"/>
          <w:szCs w:val="18"/>
          <w:color w:val="auto"/>
        </w:rPr>
        <w:t>This is a public offering of common stock of Wynn Resorts, Limited. We are offering 7,500,000 shares of our common stock. Our common stock is quoted on The Nasdaq National Market under the symbol “WYNN.” On November 8, 2004, the last reported sale price of our common stock was $64.19 per share.</w:t>
      </w:r>
    </w:p>
    <w:p>
      <w:pPr>
        <w:spacing w:after="0" w:line="105" w:lineRule="exact"/>
        <w:rPr>
          <w:sz w:val="24"/>
          <w:szCs w:val="24"/>
          <w:color w:val="auto"/>
        </w:rPr>
      </w:pPr>
    </w:p>
    <w:p>
      <w:pPr>
        <w:ind w:right="420"/>
        <w:spacing w:after="0" w:line="261" w:lineRule="auto"/>
        <w:rPr>
          <w:sz w:val="20"/>
          <w:szCs w:val="20"/>
          <w:color w:val="auto"/>
        </w:rPr>
      </w:pPr>
      <w:r>
        <w:rPr>
          <w:rFonts w:ascii="Arial" w:cs="Arial" w:eastAsia="Arial" w:hAnsi="Arial"/>
          <w:sz w:val="22"/>
          <w:szCs w:val="22"/>
          <w:b w:val="1"/>
          <w:bCs w:val="1"/>
          <w:color w:val="auto"/>
        </w:rPr>
        <w:t>Investing in our common stock involves risks that are described beginning on page S-3 and in our periodic reports filed with the Securities and Exchange Commission.</w:t>
      </w:r>
    </w:p>
    <w:p>
      <w:pPr>
        <w:spacing w:after="0" w:line="98" w:lineRule="exact"/>
        <w:rPr>
          <w:sz w:val="24"/>
          <w:szCs w:val="24"/>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None of the Securities and Exchange Commission, the Nevada Gaming Commission, the Nevada State Gaming Control Board,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6500" w:type="dxa"/>
            <w:vAlign w:val="bottom"/>
          </w:tcPr>
          <w:p>
            <w:pPr>
              <w:spacing w:after="0"/>
              <w:rPr>
                <w:sz w:val="14"/>
                <w:szCs w:val="14"/>
                <w:color w:val="auto"/>
              </w:rPr>
            </w:pPr>
          </w:p>
        </w:tc>
        <w:tc>
          <w:tcPr>
            <w:tcW w:w="3340" w:type="dxa"/>
            <w:vAlign w:val="bottom"/>
            <w:gridSpan w:val="2"/>
          </w:tcPr>
          <w:p>
            <w:pPr>
              <w:ind w:left="2280"/>
              <w:spacing w:after="0"/>
              <w:rPr>
                <w:sz w:val="20"/>
                <w:szCs w:val="20"/>
                <w:color w:val="auto"/>
              </w:rPr>
            </w:pPr>
            <w:r>
              <w:rPr>
                <w:rFonts w:ascii="Arial" w:cs="Arial" w:eastAsia="Arial" w:hAnsi="Arial"/>
                <w:sz w:val="14"/>
                <w:szCs w:val="14"/>
                <w:b w:val="1"/>
                <w:bCs w:val="1"/>
                <w:color w:val="auto"/>
              </w:rPr>
              <w:t>Per Share</w:t>
            </w:r>
          </w:p>
        </w:tc>
        <w:tc>
          <w:tcPr>
            <w:tcW w:w="158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Public Offering Price</w:t>
            </w:r>
          </w:p>
        </w:tc>
        <w:tc>
          <w:tcPr>
            <w:tcW w:w="2440" w:type="dxa"/>
            <w:vAlign w:val="bottom"/>
          </w:tcPr>
          <w:p>
            <w:pPr>
              <w:ind w:left="22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61.00</w:t>
            </w:r>
          </w:p>
        </w:tc>
        <w:tc>
          <w:tcPr>
            <w:tcW w:w="56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w w:val="99"/>
              </w:rPr>
              <w:t>457,500,000</w:t>
            </w: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440" w:type="dxa"/>
            <w:vAlign w:val="bottom"/>
          </w:tcPr>
          <w:p>
            <w:pPr>
              <w:ind w:left="228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0.57</w:t>
            </w:r>
          </w:p>
        </w:tc>
        <w:tc>
          <w:tcPr>
            <w:tcW w:w="560" w:type="dxa"/>
            <w:vAlign w:val="bottom"/>
          </w:tcPr>
          <w:p>
            <w:pPr>
              <w:ind w:left="4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4,275,000</w:t>
            </w:r>
          </w:p>
        </w:tc>
      </w:tr>
      <w:tr>
        <w:trPr>
          <w:trHeight w:val="211"/>
        </w:trPr>
        <w:tc>
          <w:tcPr>
            <w:tcW w:w="6500" w:type="dxa"/>
            <w:vAlign w:val="bottom"/>
          </w:tcPr>
          <w:p>
            <w:pPr>
              <w:spacing w:after="0"/>
              <w:rPr>
                <w:sz w:val="20"/>
                <w:szCs w:val="20"/>
                <w:color w:val="auto"/>
              </w:rPr>
            </w:pPr>
            <w:r>
              <w:rPr>
                <w:rFonts w:ascii="Arial" w:cs="Arial" w:eastAsia="Arial" w:hAnsi="Arial"/>
                <w:sz w:val="18"/>
                <w:szCs w:val="18"/>
                <w:color w:val="auto"/>
              </w:rPr>
              <w:t>Proceeds to Wynn Resorts, Limited (before expenses)</w:t>
            </w:r>
          </w:p>
        </w:tc>
        <w:tc>
          <w:tcPr>
            <w:tcW w:w="2440" w:type="dxa"/>
            <w:vAlign w:val="bottom"/>
          </w:tcPr>
          <w:p>
            <w:pPr>
              <w:ind w:left="22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60.43</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453,225,000</w:t>
            </w:r>
          </w:p>
        </w:tc>
      </w:tr>
    </w:tbl>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We have granted the underwriter the right to purchase up to 1,125,000 additional shares of common stock to cover over-allotments.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Deutsche Bank Securities</w:t>
      </w:r>
    </w:p>
    <w:p>
      <w:pPr>
        <w:spacing w:after="0" w:line="50" w:lineRule="exact"/>
        <w:rPr>
          <w:sz w:val="24"/>
          <w:szCs w:val="24"/>
          <w:color w:val="auto"/>
        </w:rPr>
      </w:pPr>
    </w:p>
    <w:p>
      <w:pPr>
        <w:ind w:left="4580"/>
        <w:spacing w:after="0"/>
        <w:rPr>
          <w:sz w:val="20"/>
          <w:szCs w:val="20"/>
          <w:color w:val="auto"/>
        </w:rPr>
      </w:pPr>
      <w:r>
        <w:rPr>
          <w:rFonts w:ascii="Arial" w:cs="Arial" w:eastAsia="Arial" w:hAnsi="Arial"/>
          <w:sz w:val="18"/>
          <w:szCs w:val="18"/>
          <w:i w:val="1"/>
          <w:iCs w:val="1"/>
          <w:color w:val="auto"/>
        </w:rPr>
        <w:t>Sole Book-Running Manager</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The date of this prospectus supplement is November 9, 2004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supplement to “Wynn Resorts,” “the Company,” “we,” “us” or “our,” or similar terms, refer to Wynn Resorts, Limited and its consolidated subsidiaries, or, with respect to periods prior to September 24, 2002, to Valvino Lamore, LLC and its consolidated subsidiaries, as the predecessor company of Wynn Resorts, and all references to “Wynn Las Vegas entities” refer to our wholly owned subsidiaries, Valvino Lamore, LLC, Wynn Las Vegas, LLC and Wynn Las Vegas Capital Corp. and their consolidated subsidiaries (other than Desert Inn Improvement Co. and Wynn Completion Guarantor, LLC).</w:t>
      </w:r>
    </w:p>
    <w:p>
      <w:pPr>
        <w:spacing w:after="0" w:line="12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This prospectus supplement is a supplement to the accompanying prospectus that is also a part of this document. The accompanying prospectus is part of a registration statement that we filed with the Securities and Exchange Commission (the “SEC”) using a shelf registration process. Under the shelf registration process, from time to time and up to an aggregate amount of $1.0 billion (including this offering), we may offer debt securities, shares of preferred stock, shares of common stock and depositary shares. Of this amount, approximately $271.3 million of common stock has been sold as of the date of this prospectus supplement. In the accompanying prospectus, we provide you with a general description of the securities we may offer from time to time under our shelf registration statement. In this prospectus supplement, we provide you with a general description of the shares of our common stock that we will offer under this prospectus supplement and specific information about the terms of this offering. Both this prospectus supplement and the prospectus include, or incorporate by reference, important information about us, our common stock and other information you should know before investing. This prospectus supplement also adds to, updates and changes information contained in the prospectus. If any specific statement that we make in this prospectus supplement is inconsistent with the statements made in the accompanying prospectus, the statements made in the accompanying prospectus are deemed modified or superceded by the statements made in this prospectus supplement. You should read both this prospectus supplement and the prospectus, as well as the additional information described under “Where You Can Find More Information” in this prospectus supplement before investing in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 supplement and the accompanying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 supplement and the accompanying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incorporating by reference in this prospectus supplement and the accompanying prospectus the following documents filed with the SEC:</w:t>
      </w:r>
    </w:p>
    <w:p>
      <w:pPr>
        <w:spacing w:after="0" w:line="100" w:lineRule="exact"/>
        <w:rPr>
          <w:sz w:val="20"/>
          <w:szCs w:val="20"/>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2004, filed on May 5, 2004;</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2004, filed with the SEC on August 3, 2004, and amended by our quarterly report on Form 10-Q/A filed with the SEC on August 4, 2004;</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2004, filed with the SEC on November 4, 2004;</w:t>
      </w:r>
    </w:p>
    <w:p>
      <w:pPr>
        <w:spacing w:after="0" w:line="76" w:lineRule="exact"/>
        <w:rPr>
          <w:rFonts w:ascii="Arial" w:cs="Arial" w:eastAsia="Arial" w:hAnsi="Arial"/>
          <w:sz w:val="18"/>
          <w:szCs w:val="18"/>
          <w:color w:val="auto"/>
        </w:rPr>
      </w:pPr>
    </w:p>
    <w:p>
      <w:pPr>
        <w:ind w:left="800" w:right="260" w:hanging="346"/>
        <w:spacing w:after="0" w:line="259"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April 20, 2004; April 30, 2004; May 5, 2004; May 12, 2004; May 13, 2004; May 20, 2004; June 10, 2004; June 22, 2004; July 26, 2004; August 9, 2004; September 2, 2004; September 8, 2004; September 14, 2004; September 17, 2004; October 20, 2004; and November 9, 2004 (two reports);</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2002 (File No. 000-50028); and</w:t>
      </w:r>
    </w:p>
    <w:p>
      <w:pPr>
        <w:spacing w:after="0" w:line="99" w:lineRule="exact"/>
        <w:rPr>
          <w:rFonts w:ascii="Arial" w:cs="Arial" w:eastAsia="Arial" w:hAnsi="Arial"/>
          <w:sz w:val="16"/>
          <w:szCs w:val="16"/>
          <w:color w:val="auto"/>
        </w:rPr>
      </w:pPr>
    </w:p>
    <w:p>
      <w:pPr>
        <w:ind w:left="800" w:hanging="346"/>
        <w:spacing w:after="0" w:line="259"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supplement and prior to termination of the offering of the securities hereunder (other than current reports furnished under Item 9 or Item 12 of Form 8-K).</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We have not authorized anyone to provide you with any additional information. Any statement contained in this prospectus supplement, or a document incorporated or deemed to be incorporated by reference in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documents incorporated by reference in this prospectus supplement and the accompanying prospectus are available from us upon request. We will provide a copy of any and all of the information that is incorporated by reference in this prospectus supplement and the accompanying prospectus to any person, without charge, upon written or telephonic request. Exhibits to SEC filings will not be sent, however, unless those exhibits have specifically been incorporated by reference in this prospectus supplement and the accompanying prospectus. Requests for such copies should be directed to the following:</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 supplement or the accompanying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You should carefully consider the risks described below and the risks incorporated by reference from our Annual Report on Form 10-K, filed on March 15, 2004, before making an investment decision. The risks and uncertainties described below and incorporated by reference herein are not the only ones facing our company. Additional risks and uncertainties not presently known to us or that we currently deem immaterial may also impair our business operations. If any of these risks actually occurs, our business, financial condition and results of operations could be materially adversely affected. In that case, the value of our common stock could decline substantially.</w:t>
      </w:r>
    </w:p>
    <w:p>
      <w:pPr>
        <w:spacing w:after="0" w:line="12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Risks Related to Encore at Wynn Las Vegas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development costs of Encore at Wynn Las Vegas are estimates only, and actual development costs may be higher than expected.</w:t>
      </w:r>
    </w:p>
    <w:p>
      <w:pPr>
        <w:spacing w:after="0" w:line="18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begun preparing initial building plans and specifications for Encore at Wynn Las Vegas. We expect Encore at Wynn Las Vegas to cost approximately $900.0 million. The project may include an approximately 1,500 suite hotel tower, additional casino space, restaurants, retail and meeting space, and a spa and swimming pools, all designed to capitalize on the significant infrastructure of our Wynn Las Vegas project. However, these development costs are estimates based upon the initial plans and specifications, and actual development costs may be higher than expected.</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intend to fund a portion of the development costs of Encore at Wynn Las Vegas with anticipated cash flows generated at Wynn Las Vegas, which may not be sufficient to fund such development costs.</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After Wynn Las Vegas opens, our ability to fund a portion of the development costs of Encore at Wynn Las Vegas will depend on our ability to generate sufficient cash flow from operations. We cannot assure you that Wynn Las Vegas will begin operations by the scheduled opening date, or that it will be able to generate sufficient cash flow to fund such development costs. Our ability to generate cash flow will depend upon many factors, including:</w:t>
      </w:r>
    </w:p>
    <w:p>
      <w:pPr>
        <w:spacing w:after="0" w:line="12"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Some of these factors are beyond our control. Any inability to generate sufficient cash flows to fund the development of Encore at Wynn Las Vegas would have a material adverse effect on our operating results and financial condition. In addition, the financing documents for our Wynn Macau project contain restrictions or prohibitions on the distribution to Wynn Resorts of any cash flow generated by the Wynn Macau casino. Thus, any cash flow generated by Wynn Macau may not be available to fund development costs.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Relating to the Offering</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fluctuate significantly, which may make it difficult for you to resell the common stock issuable when you want or at prices you find attractive.</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price of shares of our common stock on the Nasdaq National Market constantly changes. We expect that the market price of our common stock will continue to fluctuate. Holders of our common stock will be subject to the risk of volatility and depressed prices of our common stock.</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any expansion thereof) or Wynn Macau;</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General market fluctuations, industry factors and general economic and geopolitical conditions and events, such as economic slowdowns or recessions, consumer confidence in the economy, recent terrorist attacks and ongoing military conflicts, could also cause our stock price to decrease.</w:t>
      </w:r>
    </w:p>
    <w:p>
      <w:pPr>
        <w:spacing w:after="0" w:line="7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of common stock that will be eligible for sale in the near future could cause the market price of our common stock to decline.</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substantial number of shares of our common stock were issued by us in private transactions not involving a public offering and are therefore treated as “restricted securities” for purposes of Rule 144 under the Securities Act of 1933, as amended (the “Securities Act”). On June 20, 2003, we entered into a strategic business alliance with SBM, and in connection therewith, we sold 3,000,000 shares of our common stock to SBM for $45.0 million in a privately negotiated, all cash transaction. In return, SBM has agreed, subject to certain exceptions, to refrain from transferring its shares prior to April 1, 2005, and will be entitled to certain registration rights thereafter. As of September 30, 2004, we had outstanding 43,000,000 such “restricted” shares of common stock, 40,000,000 of which are held by certain of our affiliates and 3,000,000 of which are held by SBM. If these “affiliated” holders comply with the applicable holding periods, volume limits and other conditions prescribed in Rule 144 under the Securities Act, these unregistered shares of common stock may be freely tradable. In addition, as of September 30, 2004, there were 2,140,750 shares of common stock reserved and subject to issuance upon exercise of outstanding options, warrants or other convertible rights. Lastly, we have granted our Chairman and Chief Executive Officer, Stephen A. Wynn, demand and piggyback registration rights with respect to any shares of our common stock he purchases from Aruze USA.</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predictions can be made as to the effect, if any, that the issuance and availability for future market sales of shares of our common stock will have on the market price of our common stock prevailing from time to time. Sales of substantial amounts of our common stock (including shares issued upon the conversion of convertible securities), or the perception that such sales could occur, could materially adversely affect the prevailing market price for our common stock and could impair our future ability to raise capital through an offering of equity or equity-linked securities.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net proceeds from the sale of the common stock will be approximately $453.0 million, after deducting underwriting discounts and estimated offering expenses payable by us. We intend to use the net proceeds from this offering to repay or reduce indebtedness, for the development of our Encore at Wynn Las Vegas and Wynn Macau projects, or for general corporate purposes.</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not yet determined with specificity the amounts we plan to spend on any of the areas listed above. As a result, our management will have broad discretion to allocate the net proceeds from this offering. Pending such uses, we intend to invest the net proceeds from this offering primarily in short-term, interest-bearing, U.S. government or other investment grade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8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common stock began trading on the Nasdaq National Market under the symbol “WYNN” on October 25, 2002, at a price of $13.00 per share. The following table sets forth the high and low sale prices for the indicated periods as reported on the Nasdaq National Market.</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jc w:val="right"/>
              <w:ind w:right="4952"/>
              <w:spacing w:after="0"/>
              <w:rPr>
                <w:sz w:val="20"/>
                <w:szCs w:val="20"/>
                <w:color w:val="auto"/>
              </w:rPr>
            </w:pPr>
            <w:r>
              <w:rPr>
                <w:rFonts w:ascii="Arial" w:cs="Arial" w:eastAsia="Arial" w:hAnsi="Arial"/>
                <w:sz w:val="18"/>
                <w:szCs w:val="18"/>
                <w:b w:val="1"/>
                <w:bCs w:val="1"/>
                <w:color w:val="auto"/>
                <w:w w:val="79"/>
              </w:rPr>
              <w:t>2002</w:t>
            </w:r>
          </w:p>
        </w:tc>
        <w:tc>
          <w:tcPr>
            <w:tcW w:w="2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Fourth Quarter(1)</w:t>
            </w:r>
          </w:p>
        </w:tc>
        <w:tc>
          <w:tcPr>
            <w:tcW w:w="2800" w:type="dxa"/>
            <w:vAlign w:val="bottom"/>
            <w:gridSpan w:val="2"/>
          </w:tcPr>
          <w:p>
            <w:pPr>
              <w:jc w:val="center"/>
              <w:ind w:left="2212"/>
              <w:spacing w:after="0"/>
              <w:rPr>
                <w:sz w:val="20"/>
                <w:szCs w:val="20"/>
                <w:color w:val="auto"/>
              </w:rPr>
            </w:pPr>
            <w:r>
              <w:rPr>
                <w:rFonts w:ascii="Arial" w:cs="Arial" w:eastAsia="Arial" w:hAnsi="Arial"/>
                <w:sz w:val="18"/>
                <w:szCs w:val="18"/>
                <w:color w:val="auto"/>
                <w:w w:val="90"/>
              </w:rPr>
              <w:t>$14.39</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$10.76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jc w:val="right"/>
              <w:ind w:right="4952"/>
              <w:spacing w:after="0"/>
              <w:rPr>
                <w:sz w:val="20"/>
                <w:szCs w:val="20"/>
                <w:color w:val="auto"/>
              </w:rPr>
            </w:pPr>
            <w:r>
              <w:rPr>
                <w:rFonts w:ascii="Arial" w:cs="Arial" w:eastAsia="Arial" w:hAnsi="Arial"/>
                <w:sz w:val="18"/>
                <w:szCs w:val="18"/>
                <w:b w:val="1"/>
                <w:bCs w:val="1"/>
                <w:color w:val="auto"/>
                <w:w w:val="79"/>
              </w:rPr>
              <w:t>2003</w:t>
            </w:r>
          </w:p>
        </w:tc>
        <w:tc>
          <w:tcPr>
            <w:tcW w:w="2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First Quarter</w:t>
            </w:r>
          </w:p>
        </w:tc>
        <w:tc>
          <w:tcPr>
            <w:tcW w:w="2800" w:type="dxa"/>
            <w:vAlign w:val="bottom"/>
            <w:gridSpan w:val="2"/>
          </w:tcPr>
          <w:p>
            <w:pPr>
              <w:jc w:val="center"/>
              <w:ind w:left="2212"/>
              <w:spacing w:after="0"/>
              <w:rPr>
                <w:sz w:val="20"/>
                <w:szCs w:val="20"/>
                <w:color w:val="auto"/>
              </w:rPr>
            </w:pPr>
            <w:r>
              <w:rPr>
                <w:rFonts w:ascii="Arial" w:cs="Arial" w:eastAsia="Arial" w:hAnsi="Arial"/>
                <w:sz w:val="18"/>
                <w:szCs w:val="18"/>
                <w:color w:val="auto"/>
                <w:w w:val="90"/>
              </w:rPr>
              <w:t>$15.50</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800" w:type="dxa"/>
            <w:vAlign w:val="bottom"/>
            <w:gridSpan w:val="2"/>
            <w:shd w:val="clear" w:color="auto" w:fill="CCEEFF"/>
          </w:tcPr>
          <w:p>
            <w:pPr>
              <w:jc w:val="center"/>
              <w:ind w:left="2212"/>
              <w:spacing w:after="0"/>
              <w:rPr>
                <w:sz w:val="20"/>
                <w:szCs w:val="20"/>
                <w:color w:val="auto"/>
              </w:rPr>
            </w:pPr>
            <w:r>
              <w:rPr>
                <w:rFonts w:ascii="Arial" w:cs="Arial" w:eastAsia="Arial" w:hAnsi="Arial"/>
                <w:sz w:val="18"/>
                <w:szCs w:val="18"/>
                <w:color w:val="auto"/>
                <w:w w:val="83"/>
              </w:rPr>
              <w:t>$ 19.11</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Third Quarter</w:t>
            </w:r>
          </w:p>
        </w:tc>
        <w:tc>
          <w:tcPr>
            <w:tcW w:w="2800" w:type="dxa"/>
            <w:vAlign w:val="bottom"/>
            <w:gridSpan w:val="2"/>
          </w:tcPr>
          <w:p>
            <w:pPr>
              <w:jc w:val="center"/>
              <w:ind w:left="2212"/>
              <w:spacing w:after="0"/>
              <w:rPr>
                <w:sz w:val="20"/>
                <w:szCs w:val="20"/>
                <w:color w:val="auto"/>
              </w:rPr>
            </w:pPr>
            <w:r>
              <w:rPr>
                <w:rFonts w:ascii="Arial" w:cs="Arial" w:eastAsia="Arial" w:hAnsi="Arial"/>
                <w:sz w:val="18"/>
                <w:szCs w:val="18"/>
                <w:color w:val="auto"/>
                <w:w w:val="90"/>
              </w:rPr>
              <w:t>$18.50</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800" w:type="dxa"/>
            <w:vAlign w:val="bottom"/>
            <w:gridSpan w:val="2"/>
            <w:shd w:val="clear" w:color="auto" w:fill="CCEEFF"/>
          </w:tcPr>
          <w:p>
            <w:pPr>
              <w:jc w:val="center"/>
              <w:ind w:left="2212"/>
              <w:spacing w:after="0"/>
              <w:rPr>
                <w:sz w:val="20"/>
                <w:szCs w:val="20"/>
                <w:color w:val="auto"/>
              </w:rPr>
            </w:pPr>
            <w:r>
              <w:rPr>
                <w:rFonts w:ascii="Arial" w:cs="Arial" w:eastAsia="Arial" w:hAnsi="Arial"/>
                <w:sz w:val="18"/>
                <w:szCs w:val="18"/>
                <w:color w:val="auto"/>
                <w:w w:val="90"/>
              </w:rPr>
              <w:t>$28.61</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$18.19</w:t>
            </w:r>
          </w:p>
        </w:tc>
        <w:tc>
          <w:tcPr>
            <w:tcW w:w="0" w:type="dxa"/>
            <w:vAlign w:val="bottom"/>
          </w:tcPr>
          <w:p>
            <w:pPr>
              <w:spacing w:after="0"/>
              <w:rPr>
                <w:sz w:val="1"/>
                <w:szCs w:val="1"/>
                <w:color w:val="auto"/>
              </w:rPr>
            </w:pPr>
          </w:p>
        </w:tc>
      </w:tr>
      <w:tr>
        <w:trPr>
          <w:trHeight w:val="322"/>
        </w:trPr>
        <w:tc>
          <w:tcPr>
            <w:tcW w:w="5400" w:type="dxa"/>
            <w:vAlign w:val="bottom"/>
            <w:gridSpan w:val="2"/>
          </w:tcPr>
          <w:p>
            <w:pPr>
              <w:jc w:val="right"/>
              <w:ind w:right="4952"/>
              <w:spacing w:after="0"/>
              <w:rPr>
                <w:sz w:val="20"/>
                <w:szCs w:val="20"/>
                <w:color w:val="auto"/>
              </w:rPr>
            </w:pPr>
            <w:r>
              <w:rPr>
                <w:rFonts w:ascii="Arial" w:cs="Arial" w:eastAsia="Arial" w:hAnsi="Arial"/>
                <w:sz w:val="18"/>
                <w:szCs w:val="18"/>
                <w:b w:val="1"/>
                <w:bCs w:val="1"/>
                <w:color w:val="auto"/>
                <w:w w:val="84"/>
              </w:rPr>
              <w:t>2004</w:t>
            </w:r>
          </w:p>
        </w:tc>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00" w:type="dxa"/>
            <w:vAlign w:val="bottom"/>
            <w:gridSpan w:val="2"/>
            <w:shd w:val="clear" w:color="auto" w:fill="CCEEFF"/>
          </w:tcPr>
          <w:p>
            <w:pPr>
              <w:jc w:val="center"/>
              <w:ind w:left="2212"/>
              <w:spacing w:after="0"/>
              <w:rPr>
                <w:sz w:val="20"/>
                <w:szCs w:val="20"/>
                <w:color w:val="auto"/>
              </w:rPr>
            </w:pPr>
            <w:r>
              <w:rPr>
                <w:rFonts w:ascii="Arial" w:cs="Arial" w:eastAsia="Arial" w:hAnsi="Arial"/>
                <w:sz w:val="18"/>
                <w:szCs w:val="18"/>
                <w:color w:val="auto"/>
                <w:w w:val="90"/>
              </w:rPr>
              <w:t>$40.26</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Second Quarter</w:t>
            </w:r>
          </w:p>
        </w:tc>
        <w:tc>
          <w:tcPr>
            <w:tcW w:w="2800" w:type="dxa"/>
            <w:vAlign w:val="bottom"/>
            <w:gridSpan w:val="2"/>
          </w:tcPr>
          <w:p>
            <w:pPr>
              <w:jc w:val="center"/>
              <w:ind w:left="2212"/>
              <w:spacing w:after="0"/>
              <w:rPr>
                <w:sz w:val="20"/>
                <w:szCs w:val="20"/>
                <w:color w:val="auto"/>
              </w:rPr>
            </w:pPr>
            <w:r>
              <w:rPr>
                <w:rFonts w:ascii="Arial" w:cs="Arial" w:eastAsia="Arial" w:hAnsi="Arial"/>
                <w:sz w:val="18"/>
                <w:szCs w:val="18"/>
                <w:color w:val="auto"/>
                <w:w w:val="90"/>
              </w:rPr>
              <w:t>$43.77</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00" w:type="dxa"/>
            <w:vAlign w:val="bottom"/>
            <w:gridSpan w:val="2"/>
            <w:shd w:val="clear" w:color="auto" w:fill="CCEEFF"/>
          </w:tcPr>
          <w:p>
            <w:pPr>
              <w:jc w:val="center"/>
              <w:ind w:left="2212"/>
              <w:spacing w:after="0"/>
              <w:rPr>
                <w:sz w:val="20"/>
                <w:szCs w:val="20"/>
                <w:color w:val="auto"/>
              </w:rPr>
            </w:pPr>
            <w:r>
              <w:rPr>
                <w:rFonts w:ascii="Arial" w:cs="Arial" w:eastAsia="Arial" w:hAnsi="Arial"/>
                <w:sz w:val="18"/>
                <w:szCs w:val="18"/>
                <w:color w:val="auto"/>
                <w:w w:val="90"/>
              </w:rPr>
              <w:t>$52.97</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$34.18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Fourth Quarter (through November 8, 2004)</w:t>
            </w:r>
          </w:p>
        </w:tc>
        <w:tc>
          <w:tcPr>
            <w:tcW w:w="2800" w:type="dxa"/>
            <w:vAlign w:val="bottom"/>
            <w:gridSpan w:val="2"/>
          </w:tcPr>
          <w:p>
            <w:pPr>
              <w:jc w:val="center"/>
              <w:ind w:left="2212"/>
              <w:spacing w:after="0"/>
              <w:rPr>
                <w:sz w:val="20"/>
                <w:szCs w:val="20"/>
                <w:color w:val="auto"/>
              </w:rPr>
            </w:pPr>
            <w:r>
              <w:rPr>
                <w:rFonts w:ascii="Arial" w:cs="Arial" w:eastAsia="Arial" w:hAnsi="Arial"/>
                <w:sz w:val="18"/>
                <w:szCs w:val="18"/>
                <w:color w:val="auto"/>
                <w:w w:val="90"/>
              </w:rPr>
              <w:t>$64.30</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$50.51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90170</wp:posOffset>
            </wp:positionV>
            <wp:extent cx="685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89" w:lineRule="exact"/>
        <w:rPr>
          <w:sz w:val="20"/>
          <w:szCs w:val="20"/>
          <w:color w:val="auto"/>
        </w:rPr>
      </w:pPr>
    </w:p>
    <w:p>
      <w:pPr>
        <w:ind w:left="460" w:right="720" w:firstLine="453"/>
        <w:spacing w:after="0" w:line="471" w:lineRule="auto"/>
        <w:tabs>
          <w:tab w:leader="none" w:pos="1476"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high and low sale prices for our common stock during the period from the start of trading through December 31, 2002. On November 8, 2004, the last sale price of our common stock, as reported on the Nasdaq National Market, was $64.19 per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8,350 holders of our common stock as of March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 in the foreseeable future.</w:t>
      </w:r>
    </w:p>
    <w:p>
      <w:pPr>
        <w:spacing w:after="0" w:line="4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 holding company and, as a result, our ability to pay dividends is primarily dependent on our subsidiaries’ ability to provide funds to us. Restrictions imposed by our subsidiaries’ debt instruments significantly restrict certain key subsidiaries holding a majority of our assets, including Wynn Las Vegas, LLC, from making any dividends or distributions to us. Specifically, the Wynn Las Vegas entities are restricted under the indenture governing the 12% Second Mortgage Notes due 2010 from making certain “restricted payments” as defined in such indenture. These restricted payments include the payment of any dividend or distribution to any direct or indirect holders of equity interests of the Wynn Las Vegas entities. These restricted payments may not be made until certain financial and non-financial thresholds have been exceeded. In addition, the debt facilities of the Wynn Las Vegas entities and of Wynn Resorts (Macau) S.A. contain similar restrictions.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following table sets forth our capitalization, on a consolidated basis, as of September 30, 2004 and as adjusted to give effect to the consummation of the offering of the shares of common stock and the temporary increase in cash and cash equivalents pending the application of the net proceeds of the offering as provided under “Use of Proceeds.” The following data should be read in conjunction with the consolidated financial statements and notes thereto included in the documents incorporated by reference in this prospectus supplement and the accompanying prospectus.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9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10" w:type="dxa"/>
            <w:vAlign w:val="bottom"/>
          </w:tcPr>
          <w:p>
            <w:pPr>
              <w:jc w:val="right"/>
              <w:ind w:right="196"/>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209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Restricted cash and investments[1]</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394,167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10" w:type="dxa"/>
            <w:vAlign w:val="bottom"/>
          </w:tcPr>
          <w:p>
            <w:pPr>
              <w:spacing w:after="0"/>
              <w:rPr>
                <w:sz w:val="9"/>
                <w:szCs w:val="9"/>
                <w:color w:val="auto"/>
              </w:rPr>
            </w:pPr>
          </w:p>
        </w:tc>
        <w:tc>
          <w:tcPr>
            <w:tcW w:w="81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w w:val="93"/>
              </w:rPr>
              <w:t>12% Second Mortgage Notes, net of original issue discount of approximately $13.6 million, due 2010; effective interest</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640"/>
              <w:spacing w:after="0"/>
              <w:rPr>
                <w:sz w:val="20"/>
                <w:szCs w:val="20"/>
                <w:color w:val="auto"/>
              </w:rPr>
            </w:pPr>
            <w:r>
              <w:rPr>
                <w:rFonts w:ascii="Arial" w:cs="Arial" w:eastAsia="Arial" w:hAnsi="Arial"/>
                <w:sz w:val="18"/>
                <w:szCs w:val="18"/>
                <w:color w:val="auto"/>
              </w:rPr>
              <w:t>at approximately 12.9%</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tcPr>
          <w:p>
            <w:pPr>
              <w:jc w:val="right"/>
              <w:spacing w:after="0"/>
              <w:rPr>
                <w:sz w:val="20"/>
                <w:szCs w:val="20"/>
                <w:color w:val="auto"/>
              </w:rPr>
            </w:pPr>
            <w:r>
              <w:rPr>
                <w:rFonts w:ascii="Arial" w:cs="Arial" w:eastAsia="Arial" w:hAnsi="Arial"/>
                <w:sz w:val="18"/>
                <w:szCs w:val="18"/>
                <w:color w:val="auto"/>
              </w:rPr>
              <w:t>233,973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233,973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 Convertible Subordinated Debentures due 2015</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w w:val="98"/>
              </w:rPr>
              <w:t>$250 million Delay Draw Term Loan Facility; interest at LIBOR plus 5.5% (approximately 7.3% at September 30,</w:t>
            </w: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gridSpan w:val="2"/>
          </w:tcPr>
          <w:p>
            <w:pPr>
              <w:ind w:left="660"/>
              <w:spacing w:after="0"/>
              <w:rPr>
                <w:sz w:val="20"/>
                <w:szCs w:val="20"/>
                <w:color w:val="auto"/>
              </w:rPr>
            </w:pPr>
            <w:r>
              <w:rPr>
                <w:rFonts w:ascii="Arial" w:cs="Arial" w:eastAsia="Arial" w:hAnsi="Arial"/>
                <w:sz w:val="18"/>
                <w:szCs w:val="18"/>
                <w:color w:val="auto"/>
              </w:rPr>
              <w:t>2004)</w:t>
            </w:r>
          </w:p>
        </w:tc>
        <w:tc>
          <w:tcPr>
            <w:tcW w:w="80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Land Loan; interest at LIBOR plus 5.5% (7.3% at September 30, 2004)</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$198.5 million FF&amp;E Facility; interest at LIBOR plus 4% (approximately 5.8% at September 30, 2004)</w:t>
            </w:r>
          </w:p>
        </w:tc>
        <w:tc>
          <w:tcPr>
            <w:tcW w:w="11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70,309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$800 million Revolving Credit Facility; interest at LIBOR plus 4% (approximately 5.8% at September 30, 2004)</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15,056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1,002,985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w w:val="97"/>
              </w:rPr>
              <w:t>1,244,938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1,697,963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2,247,923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2,700,948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-2411095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-2411095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-2411095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-2411095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-2411095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-2411095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-172720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-172720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-172720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-172720</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8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amount is restricted for development and construction of our Wynn Las Vegas and Wynn Macau projects and certain other specific costs in accordance with agreements governing our debt facilities including, but not limited to, $184.5 million restricted for the development, construction and preopening expenses of Wynn Macau, $80.0 million restricted for a Wynn Las Vegas liquidity reserve and completion guarantee (of which $9.1 million has been committed to the project budget as of September 30, 2004), approximately $42.6 million restricted for the payment of interest on the second mortgage notes, approximately $29.6 million restricted for the payment of interest on the convertible subordinated debentures, $46.2 million restricted for costs associated with the development of, and construction on, the real property securing the land loan, and approximately $11.3 million restricted for aircraft enhancements, insurance and sales tax deposits and certain other costs. Cash equivalents are comprised of investments in overnight money market funds. Restricted investments are kept in money market funds or relatively short-term, government-backed, marketable debt securities as required by agreements governing our debt facilities.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jc w:val="both"/>
        <w:ind w:right="360" w:firstLine="456"/>
        <w:spacing w:after="0" w:line="370" w:lineRule="auto"/>
        <w:rPr>
          <w:sz w:val="20"/>
          <w:szCs w:val="20"/>
          <w:color w:val="auto"/>
        </w:rPr>
      </w:pPr>
      <w:r>
        <w:rPr>
          <w:rFonts w:ascii="Arial" w:cs="Arial" w:eastAsia="Arial" w:hAnsi="Arial"/>
          <w:sz w:val="15"/>
          <w:szCs w:val="15"/>
          <w:color w:val="auto"/>
        </w:rPr>
        <w:t>Subject to the terms and conditions of the underwriting agreement, Deutsche Bank Securities Inc. (“DBSI”), has agreed to purchase from us 7,500,000 shares of common stock at a public offering price less the underwriting discounts and commissions set forth on the cover page of this prospectus supplement.</w:t>
      </w:r>
    </w:p>
    <w:p>
      <w:pPr>
        <w:spacing w:after="0" w:line="4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underwriting agreement provides that the obligations of DBSI to purchase the shares of common stock offered hereby are subject to certain conditions precedent, including receipt of an opinion from the National Association of Securities Dealers (the “NASD”) that it has “no objections” to the proposed underwriting terms and arrangements among the Company and DBSI set forth in the underwriting agreement. The underwriting agreement also provides that DBSI will purchase all of the shares of common stock offered by this prospectus supplement, other than those covered by the over-allotment option described below, if any of these shares are purchased.</w:t>
      </w:r>
    </w:p>
    <w:p>
      <w:pPr>
        <w:spacing w:after="0" w:line="12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been advised by DBSI that it proposes to offer the shares of common stock to the public at the public offering price set forth on the cover of this prospectus. After the initial offering of the shares of common stock, DBSI may change the public offering price.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8"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We have granted to DBSI an option, exercisable not later than 30 days after the date of this prospectus supplement, to purchase up to 1,125,000 additional shares of common stock at the public offering price less the underwriting discounts and commissions set forth on the cover page of this prospectus supplement. DBSI may exercise this option only to cover over-allotments made in connection with the sale of the common stock offered by this prospectus supplement. We will be obligated, pursuant to the option, to sell these additional shares of common stock to DBSI to the extent the option is exercised. If any additional shares of common stock are purchased, DBSI will offer the additional shares on the same terms as those on which the 7,500,000 shares are being offered.</w:t>
      </w:r>
    </w:p>
    <w:p>
      <w:pPr>
        <w:spacing w:after="0" w:line="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discounts and commissions per share are equal to the public offering price per share of common stock less the amount paid by DBSI to us per share of common stock. We have agreed to pay DBSI the following discounts and commissions, assuming either no exercise or full exercise by DBSI of the over-allotment option:</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w w:val="89"/>
              </w:rPr>
              <w:t>Total Fees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gridSpan w:val="3"/>
          </w:tcPr>
          <w:p>
            <w:pPr>
              <w:jc w:val="center"/>
              <w:ind w:left="702"/>
              <w:spacing w:after="0"/>
              <w:rPr>
                <w:sz w:val="20"/>
                <w:szCs w:val="20"/>
                <w:color w:val="auto"/>
              </w:rPr>
            </w:pPr>
            <w:r>
              <w:rPr>
                <w:rFonts w:ascii="Arial" w:cs="Arial" w:eastAsia="Arial" w:hAnsi="Arial"/>
                <w:sz w:val="14"/>
                <w:szCs w:val="14"/>
                <w:b w:val="1"/>
                <w:bCs w:val="1"/>
                <w:color w:val="auto"/>
                <w:w w:val="87"/>
              </w:rPr>
              <w:t>Without Exercise of</w:t>
            </w:r>
          </w:p>
        </w:tc>
        <w:tc>
          <w:tcPr>
            <w:tcW w:w="1860" w:type="dxa"/>
            <w:vAlign w:val="bottom"/>
            <w:gridSpan w:val="3"/>
          </w:tcPr>
          <w:p>
            <w:pPr>
              <w:jc w:val="center"/>
              <w:ind w:left="666"/>
              <w:spacing w:after="0"/>
              <w:rPr>
                <w:sz w:val="20"/>
                <w:szCs w:val="20"/>
                <w:color w:val="auto"/>
              </w:rPr>
            </w:pPr>
            <w:r>
              <w:rPr>
                <w:rFonts w:ascii="Arial" w:cs="Arial" w:eastAsia="Arial" w:hAnsi="Arial"/>
                <w:sz w:val="14"/>
                <w:szCs w:val="14"/>
                <w:b w:val="1"/>
                <w:bCs w:val="1"/>
                <w:color w:val="auto"/>
                <w:w w:val="89"/>
              </w:rPr>
              <w:t>With Full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00" w:type="dxa"/>
            <w:vAlign w:val="bottom"/>
            <w:gridSpan w:val="2"/>
          </w:tcPr>
          <w:p>
            <w:pPr>
              <w:jc w:val="center"/>
              <w:ind w:left="1582"/>
              <w:spacing w:after="0" w:line="149" w:lineRule="exact"/>
              <w:rPr>
                <w:sz w:val="20"/>
                <w:szCs w:val="20"/>
                <w:color w:val="auto"/>
              </w:rPr>
            </w:pPr>
            <w:r>
              <w:rPr>
                <w:rFonts w:ascii="Arial" w:cs="Arial" w:eastAsia="Arial" w:hAnsi="Arial"/>
                <w:sz w:val="14"/>
                <w:szCs w:val="14"/>
                <w:b w:val="1"/>
                <w:bCs w:val="1"/>
                <w:color w:val="auto"/>
                <w:w w:val="88"/>
              </w:rPr>
              <w:t>Fee per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9"/>
              </w:rPr>
              <w:t>Over-allotment</w:t>
            </w:r>
          </w:p>
        </w:tc>
        <w:tc>
          <w:tcPr>
            <w:tcW w:w="7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of Over-allotment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2"/>
              </w:rPr>
              <w:t>Share</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46"/>
              <w:spacing w:after="0"/>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2100" w:type="dxa"/>
            <w:vAlign w:val="bottom"/>
            <w:gridSpan w:val="2"/>
            <w:shd w:val="clear" w:color="auto" w:fill="CCEEFF"/>
          </w:tcPr>
          <w:p>
            <w:pPr>
              <w:jc w:val="center"/>
              <w:ind w:left="1582"/>
              <w:spacing w:after="0"/>
              <w:rPr>
                <w:sz w:val="20"/>
                <w:szCs w:val="20"/>
                <w:color w:val="auto"/>
              </w:rPr>
            </w:pPr>
            <w:r>
              <w:rPr>
                <w:rFonts w:ascii="Arial" w:cs="Arial" w:eastAsia="Arial" w:hAnsi="Arial"/>
                <w:sz w:val="18"/>
                <w:szCs w:val="18"/>
                <w:color w:val="auto"/>
                <w:w w:val="87"/>
              </w:rPr>
              <w:t>$ 0.57</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4,275,000</w:t>
            </w:r>
          </w:p>
        </w:tc>
        <w:tc>
          <w:tcPr>
            <w:tcW w:w="9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4,916,250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$200,000.</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agreed to indemnify DBSI against some specified types of liabilities, including liabilities under the Securities Act, and to contribute to payments DBSI may be required to make in respect of any of these liabilities.</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Certain of our executive officers, directors and shareholders have agreed, subject to certain exceptions, not to directly or indirectly offer, sell, pledge, contract to sell, sell any option or contract to purchase, purchase any option or contract to sell, grant any option, right or warrant to purchase, lend or otherwise transfer or dispose of any shares of common stock, shares of common stock which may be issued upon exercise of a stock option or warrant and any other security convertible into or exchangeable for common stock, or enter into any hedging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transaction relating to the common stock for a period of 60 days after the date of this prospectus supplement without the prior written consent of DBSI. This consent may be given at any time without public notice. Transfers or dispositions can be made during the lock-up period in the case of gifts or for estate planning purposes where the donee signs a lock-up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DBSI has advised us that it does not intend to confirm sales to any account over which they exercise discretionary authority.</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the offering, DBSI may purchase and sell shares of our common stock in the open market. These transactions may include short sales, purchases to cover positions created by short sales and stabilizing transactions.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Short sales involve the sale by DBSI of a greater number of shares than they are required to purchase in the offering. Covered short sales are sales made in an amount not greater than DBSI’s option to purchase additional shares of common stock from us in the offering. DBSI may close out any covered short position by either exercising their option to purchase additional shares or purchasing shares in the open market. In determining the source of shares to close out the covered short position, DBSI will consider, among other things, the price of shares available for purchase in the open market as compared to the price at which they may purchase shares through the over-allotment option.</w:t>
      </w:r>
    </w:p>
    <w:p>
      <w:pPr>
        <w:spacing w:after="0" w:line="102"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Naked short sales are any sales in excess of the over-allotment option. DBSI must close out any naked short position by purchasing shares in the open market. A naked short position is more likely to be created if DBSI is concerned that there may be downward pressure on the price of the shares in the open market prior to the completion of the offering.</w:t>
      </w:r>
    </w:p>
    <w:p>
      <w:pPr>
        <w:spacing w:after="0" w:line="127"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DBSI in the open market prior to the completion of the offering.</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may stabilize, maintain or otherwise affect the market price of our common stock. As a result, the price of our common stock may be higher than the price that might otherwise exist in the open market. These transactions may be effected on the Nasdaq National Market, in the over-the-counter market or otherwise.</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prospectus in electronic format is being made available on the Internet web site maintained by DBSI. Other than the prospectus in electronic format, the information on DBSI’s web site and any information contained in any other web site maintained by DBSI is not part of the prospectus supplement or the registration statement of which the prospectus supplement forms a part.</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Deutsche Bank Trust Company Americas, an affiliate of DBSI, is the administrative agent, and DBSI acted as a lead arranger and joint-book running manager, under a $1.05 billion credit facility entered into by one of our affiliates on October 30, 2002.</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DBSI acted as an arranger of a $198.5 million furniture, fixtures and equipment loan facility with one of our affiliates effective October 20, 2003.</w:t>
      </w:r>
    </w:p>
    <w:p>
      <w:pPr>
        <w:spacing w:after="0" w:line="18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Deutsche Bank Trust Company Americas, an affiliate of DBSI, is the administrative agent under a $143.4 million credit facility entered into by one of our affiliates on May 3, 2004.</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Deutsche Bank AG, Hong Kong Branch, an affiliate of DBSI, is a global coordinating lead arranger of a $397.0 million senior secured bank facility entered into by one of our affiliates on September 14,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DBSI and its affiliates have provided investment banking services to us in the past and may do so in the future. They receive customary fees and commissions for these services.</w:t>
      </w:r>
    </w:p>
    <w:p>
      <w:pPr>
        <w:spacing w:after="0" w:line="11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DBSI has represented and agreed that (i) it has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complied with and will comply with all applicable provisions of the Financial Services Act 1986 with respect to anything done by it in relation to the shares of our common stock in, form or otherwise involving the United Kingdom; and (iii) it has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Certain legal matters regarding the securities being affected hereby will be passed upon for us by Skadden, Arps, Slate, Meagher &amp; Flom LLP, Los Angeles, California. Certain matters of Nevada law, including the validity of the shares of common stock offered hereby, will be passed upon for us by Schreck Brignone, Las Vegas, Nevada. Certain legal matters in connection with this offering will be passed upon for DBSI by Latham &amp; Watkins LLP, Los Angeles, California.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Wynn Resorts, Limited</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118110</wp:posOffset>
            </wp:positionV>
            <wp:extent cx="2992755" cy="128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Wynn Resorts, Limited may:</w:t>
      </w:r>
    </w:p>
    <w:p>
      <w:pPr>
        <w:spacing w:after="0" w:line="77"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common stock to the public;</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preferred stock to the public;</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depositary shares representing preferred stock to the public;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debt securities to the public.</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“WYNN.” Our principal executive offices are located at 3131 Las Vegas Boulevard South, Las Vegas, Nevada 89109.</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We urge you to read carefully this prospectus and the accompanying prospectus supplement, which will describe the specific terms of the securities being offered to you, before you make your investment decision.</w:t>
      </w:r>
    </w:p>
    <w:p>
      <w:pPr>
        <w:spacing w:after="0" w:line="112"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16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The date of this prospectus is April 21, 2004.</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980" w:type="dxa"/>
            <w:vAlign w:val="bottom"/>
            <w:gridSpan w:val="3"/>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940" w:type="dxa"/>
            <w:vAlign w:val="bottom"/>
          </w:tcPr>
          <w:p>
            <w:pPr>
              <w:spacing w:after="0"/>
              <w:rPr>
                <w:sz w:val="19"/>
                <w:szCs w:val="19"/>
                <w:color w:val="auto"/>
              </w:rPr>
            </w:pPr>
          </w:p>
        </w:tc>
      </w:tr>
      <w:tr>
        <w:trPr>
          <w:trHeight w:val="326"/>
        </w:trPr>
        <w:tc>
          <w:tcPr>
            <w:tcW w:w="7480" w:type="dxa"/>
            <w:vAlign w:val="bottom"/>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ABOUT THIS PROSPECTUS</w:t>
              </w:r>
            </w:hyperlink>
          </w:p>
        </w:tc>
        <w:tc>
          <w:tcPr>
            <w:tcW w:w="39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WHERE YOU CAN FIND MORE INFORMATION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w:t>
            </w:r>
          </w:p>
        </w:tc>
      </w:tr>
      <w:tr>
        <w:trPr>
          <w:trHeight w:val="196"/>
        </w:trPr>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4"/>
          </w:tcPr>
          <w:p>
            <w:pPr>
              <w:spacing w:after="0"/>
              <w:rPr>
                <w:sz w:val="17"/>
                <w:szCs w:val="17"/>
                <w:color w:val="auto"/>
              </w:rPr>
            </w:pPr>
          </w:p>
        </w:tc>
        <w:tc>
          <w:tcPr>
            <w:tcW w:w="3760" w:type="dxa"/>
            <w:vAlign w:val="bottom"/>
            <w:gridSpan w:val="4"/>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52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SPECIAL NOTE REGARDING FORWARD-LOOKING STATEMENTS</w:t>
              </w:r>
            </w:hyperlink>
          </w:p>
        </w:tc>
        <w:tc>
          <w:tcPr>
            <w:tcW w:w="2260" w:type="dxa"/>
            <w:vAlign w:val="bottom"/>
            <w:gridSpan w:val="2"/>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WYNN RESORTS, LIMITED</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RATIO OF EARNINGS TO COMBINED FIXED CHARGES AND PREFERRED STOCK DIVIDENDS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SECURITIES</w:t>
              </w:r>
            </w:hyperlink>
          </w:p>
        </w:tc>
        <w:tc>
          <w:tcPr>
            <w:tcW w:w="5020" w:type="dxa"/>
            <w:vAlign w:val="bottom"/>
            <w:gridSpan w:val="9"/>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DESCRIPTION OF CAPITAL STOCK</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DEPOSITARY SHARES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DESCRIPTION OF DEBT SECURITIES</w:t>
              </w:r>
            </w:hyperlink>
          </w:p>
        </w:tc>
        <w:tc>
          <w:tcPr>
            <w:tcW w:w="280" w:type="dxa"/>
            <w:vAlign w:val="bottom"/>
            <w:tcBorders>
              <w:top w:val="single" w:sz="8" w:color="0000EE"/>
            </w:tcBorders>
          </w:tcPr>
          <w:p>
            <w:pPr>
              <w:spacing w:after="0"/>
              <w:rPr>
                <w:sz w:val="17"/>
                <w:szCs w:val="17"/>
                <w:color w:val="auto"/>
              </w:rPr>
            </w:pPr>
          </w:p>
        </w:tc>
        <w:tc>
          <w:tcPr>
            <w:tcW w:w="4240" w:type="dxa"/>
            <w:vAlign w:val="bottom"/>
            <w:gridSpan w:val="5"/>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480" w:type="dxa"/>
            <w:vAlign w:val="bottom"/>
            <w:gridSpan w:val="1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PLAN OF DISTRIBUTION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5480" w:type="dxa"/>
            <w:vAlign w:val="bottom"/>
            <w:gridSpan w:val="11"/>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4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EXPERTS</w:t>
              </w:r>
            </w:hyperlink>
          </w:p>
        </w:tc>
        <w:tc>
          <w:tcPr>
            <w:tcW w:w="6060" w:type="dxa"/>
            <w:vAlign w:val="bottom"/>
            <w:gridSpan w:val="13"/>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77"/>
        </w:trPr>
        <w:tc>
          <w:tcPr>
            <w:tcW w:w="7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pacing w:after="0" w:line="24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Unless the context otherwise requires or unless otherwise specified, all references in this prospectus to “Wynn Resorts,” “the Company,” “we,” “us” or “our,” or similar terms, refer to Wynn Resorts, Limited and its consolidated subsidiaries, or, with respect to periods prior to September 24, 2002, to Valvino Lamore, LLC and its consolidated subsidiaries, as the predecessor company of Wynn Resorts, all references to “Wynn Las Vegas entities” refer to our wholly owned subsidiaries, Valvino Lamore, LLC, Wynn Las Vegas, LLC and Wynn Las Vegas Capital Corp. and their consolidated subsidiaries (other than Desert Inn Improvement Co. and Wynn Completion Guarantor, LLC), and all references to the “Wynn Macau Companies” refer to Wynn Resorts (Macau), S.A. and each of its direct and indirect parent companies (other than Wynn Resorts).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using a “shelf” registration process. Under this shelf process, we may sell any combination of the securities described in this prospectus in one or more offerings up to a total dollar amount of $1,000,000,000.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public reference facilities of the SEC, Room 1024, Judiciary Plaza, 450 Fifth Street, N.W., Washington, D.C. 20549. Please call the SEC at 1-800-SEC-0330 for further information about the public reference room. Wynn Resorts’ filings with the SEC are also available to the public from the SEC’s internet site at http://www.sec.gov.</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INCORPORATION BY REFERENCE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report on Form 8-K, filed on April 20,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2003, filed on March 15,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description of our common stock set forth in our Registration Statement on Form 8-A, filed on October 7, 2003 (File No. 000-50028); and</w:t>
      </w:r>
    </w:p>
    <w:p>
      <w:pPr>
        <w:spacing w:after="0" w:line="99" w:lineRule="exact"/>
        <w:rPr>
          <w:rFonts w:ascii="Arial" w:cs="Arial" w:eastAsia="Arial" w:hAnsi="Arial"/>
          <w:sz w:val="16"/>
          <w:szCs w:val="16"/>
          <w:color w:val="auto"/>
        </w:rPr>
      </w:pPr>
    </w:p>
    <w:p>
      <w:pPr>
        <w:ind w:left="800" w:right="200" w:hanging="346"/>
        <w:spacing w:after="0" w:line="332"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the securities hereunder (other than current reports furnished under Item 9 or Item 12 of Form 8-K).</w:t>
      </w:r>
    </w:p>
    <w:p>
      <w:pPr>
        <w:spacing w:after="0" w:line="7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02" w:lineRule="exact"/>
        <w:rPr>
          <w:sz w:val="20"/>
          <w:szCs w:val="20"/>
          <w:color w:val="auto"/>
        </w:rPr>
      </w:pPr>
    </w:p>
    <w:p>
      <w:pPr>
        <w:ind w:right="120" w:firstLine="456"/>
        <w:spacing w:after="0" w:line="331" w:lineRule="auto"/>
        <w:rPr>
          <w:sz w:val="20"/>
          <w:szCs w:val="20"/>
          <w:color w:val="auto"/>
        </w:rPr>
      </w:pPr>
      <w:r>
        <w:rPr>
          <w:rFonts w:ascii="Arial" w:cs="Arial" w:eastAsia="Arial" w:hAnsi="Arial"/>
          <w:sz w:val="15"/>
          <w:szCs w:val="15"/>
          <w:color w:val="auto"/>
        </w:rPr>
        <w:t>The documents incorporated by reference in this prospectus are available from us upon request. We will provide a copy of any and all of the information that is incorporated by reference in this prospectus to any person, without charge, upon written or telephonic request. Exhibits to SEC filings will not be sent, however, unless those exhibits have specifically been incorporated by reference in this prospectus. Requests for such copies should be directed to the following:</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(702) 770-7555</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including our opportunity in Macau, as well as other capital spending, financing sources, the effects of regulation (including gaming and tax regulations), expectations concerning future operations, margins, profitability and competition.</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our Wynn Las Vegas casino resort on time and within budget;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800" w:right="66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diseases, such as Severe Acute Respiratory Syndrome (SARS), may have on the travel and leisure industry; and</w:t>
      </w:r>
    </w:p>
    <w:p>
      <w:pPr>
        <w:spacing w:after="0" w:line="37" w:lineRule="exact"/>
        <w:rPr>
          <w:rFonts w:ascii="Arial" w:cs="Arial" w:eastAsia="Arial" w:hAnsi="Arial"/>
          <w:sz w:val="18"/>
          <w:szCs w:val="18"/>
          <w:color w:val="auto"/>
        </w:rPr>
      </w:pPr>
    </w:p>
    <w:p>
      <w:pPr>
        <w:ind w:left="800" w:right="340" w:hanging="346"/>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our filings with the SEC.</w:t>
      </w:r>
    </w:p>
    <w:p>
      <w:pPr>
        <w:spacing w:after="0" w:line="18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was formed in June 2002 and consummated its initial public offering in October 2002. Our efforts have been devoted principally to the design, development, financing and construction of a new resort casino/hotel project in Las Vegas named “Wynn Las Vegas” and the design and pre-construction efforts related to our anticipated casino/hotel project in Macau, made possible by our concession agreement with the government of Macau.</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a holding company, with no operations of our own, and our cash flow needs and ability to fund debt service obligations are primarily dependent on our subsidiaries. Our subsidiaries have no obligation to pay any amounts due on any debt securities or to provide us with funds for our payment obligations. Our subsidiaries currently have no material operations or earnings, and the debt agreements of the Wynn Las Vegas entities contain significant restrictions on those entities’ ability to distribute funds to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through our wholly owned indirect subsidiary Wynn Las Vegas, LLC, are constructing and will own and operate Wynn Las Vegas, which we have designed to be the preeminent luxury hotel and destination casino resort in Las Vegas. Wynn Las Vegas is the concept of Stephen A. Wynn, one of Wynn Resorts’ principal stockholders and its Chairman of the Board and Chief Executive Officer. Mr. Wynn was previously Chairman of the Board, President and Chief Executive Officer of Mirage Resorts, Incorporated and its predecessor from 1973 to 2000. In that role, he was responsible for the development of Bellagio, The Mirage, Treasure Island at The Mirage and the Golden Nugget in Las Vegas, Nevada, as well as the Atlantic City Golden Nugget in New Jersey and Beau Rivage in Biloxi, Mississippi.</w:t>
      </w:r>
    </w:p>
    <w:p>
      <w:pPr>
        <w:spacing w:after="0" w:line="13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Wynn Las Vegas is being constructed on Las Vegas Boulevard, also commonly known as the Las Vegas Strip or the Strip, on the site of the former Desert Inn Resort &amp; Casino, at the northeast corner of the intersection of the Strip and Sands Avenue, one-half block north of The Venetian and Treasure Island at The Mirage, and across the Strip from the Fashion Show Mall. When completed, we expect Wynn Las Vegas to feature approximately 2,700 luxurious guest rooms, a casually elegant casino of approximately 111,000 square feet, 18 distinctive dining outlets, an exclusive on-site 18-hole championship golf course and a new water-based entertainment production.</w:t>
      </w:r>
    </w:p>
    <w:p>
      <w:pPr>
        <w:spacing w:after="0" w:line="1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expect Wynn Las Vegas, including the new golf course construction, to cost approximately $2.4 billion to design, construct, develop, equip and open, including the cost of more than 212 acres of land, capitalized interest on indebtedness of the Wynn Las Vegas entities, pre-opening expenses and all financing fees. Ground-breaking for Wynn Las Vegas occurred on October 31, 2002, with an opening to the general public scheduled for April 2005. We have funded approximately $1.1 billion of project costs through December 31, 2003, with equity contributions and debt. As of December 31, 2003, we had more than $1.1 billion available under our existing credit agreements and approximately $220 million of long-term restricted cash available for the project. The overall scope and general design of Wynn Las Vegas is complete and the construction of the project is tracking on schedule and within budget. We continue to evaluate and refine certain elements of the project design and expect to implement certain project design changes that will not significantly increase the project cost or extend the construction schedule. We are also actively exploring certain additions on the Wynn Las Vegas site as well as the development of our adjacent parcel of approximately 20 acres fronting the Strip. These additional developments might be initiated before the completion of Wynn Las Vegas. We expect to complete the project on time and on budget. However, there are significant risks associated with any major construction project, and unexpected developments may occur; therefore, we cannot assure you that the funds available will be sufficient for the construction, development and opening of Wynn Las Vegas or that it will be completed by April 2005.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June 2002, our 82.5% owned indirect subsidiary, Wynn Resorts (Macau), S.A. (“Wynn Macau, S.A.”), entered into a 20-year concession agreement with the government of Macau to construct and operate one or more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casino gaming properties in the Macau Special Administrative Region of the People’s Republic of China (“Macau”). Macau is located in southeast China bordering the South China Sea, approximately 37 miles southwest of Hong Kong. Macau has been an established gaming market for at least 40 years and, according to the Innovation Group, a gaming research company, casinos in Macau reportedly generated approximately $3.5 billion in gaming revenues in 2003. Wynn Macau, S.A. currently is one of three concessionaires permitted to operate a casino gaming business in Macau.</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invested approximately $23.8 million in Wynn Macau, S.A. to date. In addition, in January 2004, we loaned $5 million to Wynn Macau, S.A., bearing interest at 6.25% and payable on demand. We will invest additional capital in the Wynn Macau Companies as part of the financing of the Macau opportunity, in addition to the approximately $23.8 million we have already invested. We have additional capital available from a portion of the net proceeds we received from our initial public offering (including as a result of the exercise of the overallotment option in connection therewith) and the net proceeds of the issuance of our 6% Convertible Subordinated Debentures due 2015. The minority investors in the Wynn Macau Companies are obligated, subject to certain limitations, to make additional capital contributions in proportion to their economic interests to fund the construction, development and other activities of the Wynn Macau Companies. Wynn Macau, S.A. has obtained the services of architects and designers, and has also begun preliminary discussions to arrange the additional financing that would be required to complete its first casino resort, but, at the present time, has not yet determined the amount of financing that will be required to complete the project. The Wynn Macau Companies’ first casino resort in Macau is referred to herein as “Wynn Macau.”</w:t>
      </w:r>
    </w:p>
    <w:p>
      <w:pPr>
        <w:spacing w:after="0" w:line="106"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We are continuing work on the design of Wynn Macau, as well as our efforts to lease the land and obtain the financing to be used for Wynn Macau. We have not yet finalized the budget for the construction and development of Wynn Macau, and we will not begin construction or operation of Wynn Macau until a number of objectives and conditions are met. Those conditions include obtaining sufficient financing to commence construction of Wynn Macau, and obtaining the ability to extend credit to gaming customers and enforce gaming debts in Macau (which are not currently permitted under Macau law). In February 2004, legislative changes relating to credit extension and the collection of gaming debts were introduced in the Macau Legislative Assembly. Although we expect the legislation to be enacted in the second quarter of 2004, we cannot assure you that any of the proposed legislative changes will be enacted. We are also seeking to obtain, prior to commencing casino operations, determinations from the Macau government with respect to certain tax treatment, but cannot assure you that we will obtain the requested tax treatment determinations. In addition, we cannot assure you that we will be able to obtain sufficient financing for Wynn Macau.</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 The address of our internet site is http://www.wynnresorts.com, which provides a hyperlink to a third party SEC filing website that posts filings we make with the SEC as soon as reasonably practicable, where such filings can be reviewed without charge.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DIVIDENDS</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earnings were insufficient to cover our fixed charges by $16.9 million, $17.7 million, $46.1 million and $139.3 million for the period from inception to December 31, 2000, and for the years ended December 31, 2001, 2002 and 2003, respectively. For purposes of these calculations, earnings consist of income from continuing operations before provision for income taxes and before fixed charges. Combined fixed charges include interest expense and a portion of rental expense deemed a reasonable approximation of the interest factor. We had no preferred stock outstanding for any of the periods presented.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Unless otherwise stated in the applicable prospectus supplement, we intend to use the net proceeds of any securities sold by us for general corporate purposes, including working capital, acquisitions, possible repurchases of our outstanding securities and other business opportunities.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SECURITIES</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contains a summary of our common stock, preferred stock, depositary shares and debt securities. These summaries are not meant to be a complete description of each security. The particular terms of any security to be issued pursuant to this Registration Statement will be set forth in a related prospectus supplement. This prospectus and the accompanying prospectus supplement will contain the material terms and conditions for each security. As used in this “Description of Securities” section, the words “Wynn Resorts,” “we,” “our,” “us,” or similar terms refer only to Wynn Resorts and not to any of its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is a description of our capital stock and certain provisions of our articles of incorporation, bylaws and agreements with our stockholders as well as certain provisions of applicable law. The following is only a summary and is qualified by applicable law and by the provisions of our articles of incorporation, bylaws and such other agreements, copies of which are available as set forth under the caption entitled “Where You Can Find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authorized to issue 400,000,000 shares of common stock, $0.01 par value per share, and 40,000,000 shares of undesignated preferred stock, $0.01 par value per share. The following is a summary of the rights of our common stock and preferred stock. For more detailed information, see our articles of incorporation and bylaws, which are included as exhibits to the registration statement of which this prospectus forms a part, and the provisions of applicable Nevada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of December 31, 2003, there were 82,358,207 shares of common stock outstanding. In addition, as of December 31, 2003, there were 1,732,500 shares of common stock reserved and subject to issuance upon exercise of outstanding options, warrants or other convertible rights (including 12,500 shares of common stock subject to option grants that have been approved by the board of directors but not yet granted).</w:t>
      </w:r>
    </w:p>
    <w:p>
      <w:pPr>
        <w:spacing w:after="0" w:line="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Except as otherwise provided by our articles of incorporation or Nevada law, the holders of common stock are entitled to one vote per share on all matters to be voted upon by the stockholders. Subject to preferences that may be applicable to any outstanding preferred stock and except as otherwise provided by our articles of incorporation or Nevada law, the holders of common stock are entitled to receive ratably such dividends, if any, as may be declared from time to time by the board of directors out of funds legally available for that purpose. In the event of our liquidation, dissolution or winding up, the holders of common stock are entitled to share ratably in all assets remaining after payment of liabilities, subject to prior distribution rights of preferred stock, if any, then outstanding. A merger, conversion, exchange or consolidation of us with or into any other person or sale or transfer of all or any part of our assets (which does not in fact result in our liquidation and distribution of assets) will not be deemed to be a voluntary or involuntary liquidation, dissolution or winding up of our affairs. The holders of common stock have no preemptive or conversion rights or other subscription rights. There are no redemption or sinking fund provisions applicable to the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restricting dividends on the common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diluting the voting power of the common stock;</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impairing the liquidation rights of the common stock;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delaying or preventing a change in control of us without further action by the stockholders.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2003, there were no shares of preferred stock authorized or outstanding.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prohibit anyone who is an unsuitable person or an affiliate of an unsuitable person from:</w:t>
      </w:r>
    </w:p>
    <w:p>
      <w:pPr>
        <w:spacing w:after="0" w:line="77"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receiving dividends or interest with regard to its capital stock;</w:t>
      </w:r>
    </w:p>
    <w:p>
      <w:pPr>
        <w:spacing w:after="0" w:line="76" w:lineRule="exact"/>
        <w:rPr>
          <w:rFonts w:ascii="Arial" w:cs="Arial" w:eastAsia="Arial" w:hAnsi="Arial"/>
          <w:sz w:val="18"/>
          <w:szCs w:val="18"/>
          <w:color w:val="auto"/>
        </w:rPr>
      </w:pPr>
    </w:p>
    <w:p>
      <w:pPr>
        <w:ind w:left="800" w:right="460" w:hanging="346"/>
        <w:spacing w:after="0" w:line="268"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exercising, directly or indirectly, voting or other rights conferred by its capital stock (and such capital stock shall not be included in the shares of capital stock of Wynn Resorts entitled to vote);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receiving any remuneration in any form from it or an affiliated company for services rendered or otherwise.</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of directors determines that a person or its affiliate is unsuitable and continue until the securities are owned or controlled by persons found suitable by a gaming authority and/or the board of directors to own them. An “unsuitable person” is any person who is determined by a gaming authority to be unsuitable to own or control any of Wynn Resorts’ capital stock or to be connected or affiliated with a person in engaged in gaming activities or who causes Wynn Resorts or any affiliated company to lose or to be threatened with the loss of, or who, in the sole discretion of Wynn Resorts’ board of directors, is deemed likely to jeopardize our or any of our affiliates’ application for, right to the use of, or entitlement to, any gaming license.</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“Gaming authorities” include all international, foreign, federal, state, local and other regulatory and licensing bodies and agencies with authority over the conduct of gaming and gambling activities, or the use of gaming devices, equipment and supplies in the operation of a casino or other enterprise. “Affiliated companies” are those companies indirectly affiliated or under common ownership or control with Wynn Resorts, including without limitation, subsidiaries, holding companies and intermediary companies (as those terms are defined in gaming laws of applicable gaming jurisdictions) that are registered or licensed under applicable gaming laws. The articles of incorporation define “ownership” or “control” to mean ownership of record, beneficial ownership as defined in Rule 13d-3 of the Exchange Act, or the power to direct and manage, by agreement, contract, agency or other manner, the management or policies of a person or the disposition of our capital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Wynn Resorts’ articles of incorporation provide that capital stock of Wynn Resorts that is owned or controlled by an unsuitable person or an affiliate of an unsuitable person is redeemable by Wynn Resorts, out of funds legally available for that redemption, by appropriate action of the board of directors to the extent required by the gaming authorities making the determination of unsuitability or to the extent deemed necessary or advisable by Wynn Resorts. From and after the redemption date, the securities will not be considered outstanding and all rights of the unsuitable person or affiliate will cease, other than the right to receive the redemption price. The redemption date will be the date specified by the board of directors on which the capital stock owned by an unsuitable person or an affiliate of an unsuitable person is to be redeemed. The redemption price will be the price, if any, required to be paid by the gaming authority making the finding of unsuitability or, if the gaming authority does not require a price to be paid, the sum deemed to be the fair value of the securities by the board of directors. If determined by Wynn Resorts, the price of capital stock will not exceed the closing price per share of the shares on the principal national securities exchange on which the shares are then listed on the trading date 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day before the redemption notice is given. If the shares are not then listed, the redemption price will not exceed the closing sales price of the shares as quoted on the Nasdaq National Market or SmallCap Market, or if the closing price is not then reported, the mean between the bid and asked prices, as quoted by any other generally recognized reporting system. Wynn Resorts’ rights of redemption are not exclusive of any other rights that it may have or later acquire under any agreement, its bylaws or otherwise. The redemption price for shares of unvested restricted stock will be a nominal amount pursuant to the applicable restricted stock agreement. The redemption price may be paid in cash, by promissory note, or both, as required by the applicable gaming authority or, if not, as Wynn Resorts elects.</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articles of incorporation of Wynn Resorts require any unsuitable person and any affiliate of an unsuitable person to indemnify Wynn Resorts and its affiliated companies for any and all costs, including attorneys’ fees, incurred by Wynn Resorts and its affiliated companies as a result of the unsuitable person’s or affiliate’s ownership or control or failure to promptly divest itself of any capital stock, securities of or interests in Wynn Resorts.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Buy-Out of Aruze USA Stock</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Stephen A. Wynn, Kazuo Okada, Aruze USA and Aruze Corp. have entered into a buy-sell agreement which provides that upon certain events, including if any gaming application of Aruze USA, Aruze Corp. or Mr. Okada is recommended for denial by the Nevada gaming authorities, is denied by Nevada gaming authorities, or is requested to be withdrawn by Mr. Okada, Aruze USA and/or Aruze Corp., or if a gaming application of Aruze USA, Aruze Corp. or Mr. Okada concerning Aruze USA’s ownership of the Company’s stock is not filed within 90 days after the filing of the Company’s application, Mr. Wynn shall have 60 days to elect to purchase some or all of the shares owned by Aruze USA in the Company for a price equal to the lesser of (1) the fair market value of the shares as of the date Mr. Wynn elects to purchase such shares or (2) Aruze USA’s investment amount as determined pursuant to the buy-sell agreement. Pursuant to the buy-sell agreement, Mr. Wynn may pay this purchase price with a promissory note. In addition, Mr. Wynn has entered into an agreement with us that gives us the right to require Mr. Wynn to purchase all of the shares owned by Aruze USA in accordance with the terms of the buy-sell agreement. The Company has granted Mr. Wynn certain demand registration rights and piggyback registration rights with respect to any shares he purchases from Aruze USA under these buy-out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Anti-Takeover Law and Certain Charter and Bylaw Provisions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Nevada law and our articles of incorporation and bylaws could make the following more difficult:</w:t>
      </w:r>
    </w:p>
    <w:p>
      <w:pPr>
        <w:spacing w:after="0" w:line="77"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of us by means of a tender offer;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of us by means of a proxy contest or otherwise;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5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These provisions, summarized below, are expected to discourage certain types of coercive takeover practices and inadequate takeover bids. These provisions are also designed to encourage persons seeking to acquire control of us to first negotiate with our board of directors. Our bylaws may be adopted, repealed, altered, amended by our board of directors or the vote of at least two-thirds of the outstanding voting power, voting as a single class.</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Wynn Resorts’ articles of incorporation and bylaws provide for its board of directors to be divided into three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serving staggered three-year terms, with as near as possible to one-third, and at least one-fourth, of the board of directors being elected each year. In addition, Wynn Resorts’ articles of incorporation require the vote of two-thirds of the outstanding stock entitled to vote in the election of directors to amend the classified board provision. As a result, at least two annual meetings of stockholders may be necessary to change a majority of the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Stockholder Meetings. </w:t>
      </w:r>
      <w:r>
        <w:rPr>
          <w:rFonts w:ascii="Arial" w:cs="Arial" w:eastAsia="Arial" w:hAnsi="Arial"/>
          <w:sz w:val="18"/>
          <w:szCs w:val="18"/>
          <w:color w:val="auto"/>
        </w:rPr>
        <w:t>Wynn Resorts’ bylaws provide that subject to the rights, if any, of the holders of the preferred stock, only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number of directors, the chairman of the board or the chief executive officer (or should there be no chairman and no chief executive officer, by the president) may call special meetings of stockholders.</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Wynn Resorts’ bylaws establish advance notice procedures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 proposals and the nomination of candidates for election as directors, other than nominations made by or at the direction of the board of directors or a committee of the board of directors.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No Action by Written Consent. </w:t>
      </w:r>
      <w:r>
        <w:rPr>
          <w:rFonts w:ascii="Arial" w:cs="Arial" w:eastAsia="Arial" w:hAnsi="Arial"/>
          <w:sz w:val="18"/>
          <w:szCs w:val="18"/>
          <w:color w:val="auto"/>
        </w:rPr>
        <w:t>Wynn Resorts’ articles of incorporation and bylaws provide that stockholders may only take action at an annual or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may not act by written consent.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Sale of All or Substantially All of Our Assets. </w:t>
      </w:r>
      <w:r>
        <w:rPr>
          <w:rFonts w:ascii="Arial" w:cs="Arial" w:eastAsia="Arial" w:hAnsi="Arial"/>
          <w:sz w:val="18"/>
          <w:szCs w:val="18"/>
          <w:color w:val="auto"/>
        </w:rPr>
        <w:t>Wynn Resorts’ bylaws require a two-thirds approval of the directors for the sale of all or substantially all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assets.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 xml:space="preserve">Nevada Control Share Laws. </w:t>
      </w:r>
      <w:r>
        <w:rPr>
          <w:rFonts w:ascii="Arial" w:cs="Arial" w:eastAsia="Arial" w:hAnsi="Arial"/>
          <w:sz w:val="15"/>
          <w:szCs w:val="15"/>
          <w:color w:val="auto"/>
        </w:rPr>
        <w:t>Wynn Resorts may become subject to Nevada’s laws that govern the “acquisition” of a “controlling interest” of “issuing</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These laws will apply to Wynn Resorts if it has 200 or more stockholders of record, at least 100 of whom have addresses in Nevada, unless its articles or bylaws in effect on the tenth day after the acquisition of a controlling interest provide otherwise. These laws provide generally that any person that acquires a “controlling interest” acquires voting rights in the control shares, as defined, only as conferred by the stockholders of the corporation at a special or annual meeting. In the event control shares are accorded full voting rights and the acquiring person has acquired at least a majority of all of the voting power, any stockholder of record who has not voted in favor of authorizing voting rights for the control shares is entitled to demand payment for the fair value of its shares.</w:t>
      </w:r>
    </w:p>
    <w:p>
      <w:pPr>
        <w:spacing w:after="0" w:line="9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person acquires a “controlling interest” whenever a person acquires shares of a subject corporation that, but for the application of these provisions of the Nevada Revised Statutes,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7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Nevada Regulatory Approvals. </w:t>
      </w:r>
      <w:r>
        <w:rPr>
          <w:rFonts w:ascii="Arial" w:cs="Arial" w:eastAsia="Arial" w:hAnsi="Arial"/>
          <w:sz w:val="18"/>
          <w:szCs w:val="18"/>
          <w:color w:val="auto"/>
        </w:rPr>
        <w:t>Once Wynn Resorts becomes a registered company under Nevada’s gaming laws, it will be required to obtain the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Nevada Gaming Commission with respect to a change of control. In addition, persons seeking to acquire control will be required to meet the requirements of the Nevada gaming authorities before assuming control. These requirements may have the effect of preventing, delaying or making an acquisition of Wynn Resorts more difficult.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Our articles of incorporation and bylaws do not provide for cumulative voting in the election of directors.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authorization of undesignated preferred stock makes it possible for our board of directors to issue preferred stock with</w:t>
      </w:r>
      <w:r>
        <w:rPr>
          <w:rFonts w:ascii="Arial" w:cs="Arial" w:eastAsia="Arial" w:hAnsi="Arial"/>
          <w:sz w:val="18"/>
          <w:szCs w:val="18"/>
          <w:i w:val="1"/>
          <w:iCs w:val="1"/>
          <w:color w:val="auto"/>
        </w:rPr>
        <w:t xml:space="preserve"> </w:t>
      </w:r>
      <w:r>
        <w:rPr>
          <w:rFonts w:ascii="Arial" w:cs="Arial" w:eastAsia="Arial" w:hAnsi="Arial"/>
          <w:sz w:val="18"/>
          <w:szCs w:val="18"/>
          <w:color w:val="auto"/>
        </w:rPr>
        <w:t>voting or other rights or preferences that could impede the success of any attempt to change control of us. These and other provisions may have the effect of deferring hostile takeovers or delaying changes in control or management of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Indemnification of Directors and Officers</w:t>
      </w:r>
      <w:r>
        <w:rPr>
          <w:rFonts w:ascii="Arial" w:cs="Arial" w:eastAsia="Arial" w:hAnsi="Arial"/>
          <w:sz w:val="16"/>
          <w:szCs w:val="16"/>
          <w:color w:val="auto"/>
        </w:rPr>
        <w:t>. Wynn Resorts’ articles of incorporation and bylaws provide that it will indemnify its directors and officers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 These indemnification provisions and the indemnification agreements may be sufficiently broad to permit indemnification of Wynn Resorts’ directors, officers and controlling persons for liabilities, including reimbursement of expenses incurred, arising under the Securities Act. To the extent that Wynn Resorts’ directors, officers and controlling persons are indemnified under the provisions contained in Wynn Resorts’ articles of incorporation, bylaws, Nevada law or contractual arrangements against liabilities arising under the Securities Act, we have been advised that in the opinion of the Securities and Exchange Commission such indemnification is against public policy as expressed in the Securities act and is therefore unenforceable.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American Stock Transfer &amp; Trust.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“WYNN.”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DEPOSITARY SHARES</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description of the depositary shares does not purport to be complete and is subject to and qualified in its entirety by the Deposit Agreement and the depositary receipt relating to the preferred stock that is attached to the Deposit Agreement. You should read these documents as they, and not this description, define your rights as a holder of depositary shares. Forms of these documents have been filed with the SEC as an exhibit to the registration statement of which this prospectus is a part.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If we elect to offer fractional interests in shares of preferred stock, we will provide for the issuance by a depositary to the public of receipts for depositary shares. Each depositary share will represent fractional interests of preferred stock. We will deposit the shares of preferred stock underlying the depositary shares under a Deposit Agreement between us and a bank or trust company selected by us. The bank or trust company must have its principal office in the United States and a combined capital and surplus of at least $50 million. The depositary receipts will evidence the depositary shares issued under the Deposit Agreement.</w:t>
      </w:r>
    </w:p>
    <w:p>
      <w:pPr>
        <w:spacing w:after="0" w:line="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Deposit Agreement will contain terms applicable to the holders of depositary shares in addition to the terms stated in the depositary receipts. Each owner of depositary shares will be entitled to all the rights and preferences of the preferred stock underlying the depositary shares in proportion to the applicable fractional interest in the underlying shares of preferred stock. The depositary will issue the depositary receipts to individuals purchasing the fractional interests in shares of the related preferred stock according to the terms of the offering described in a prospectus supplement.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depositary will distribute all cash dividends or other cash distributions received for the preferred stock to the entitled record holders of depositary shares in proportion to the number of depositary shares that the holder owns on the relevant record date. The depositary will distribute only an amount that can be distributed without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attributing to any holder of depositary shares a fraction of one cent. The depositary will add the undistributed balance and treat it as part of the next sum received by the depositary for distribution to holders of depositary shares.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and Redemption</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any series of preferred stock underlying the depositary shares may be converted or exchanged, each record holder of depositary receipts will have the right or obligation to convert or exchange the depositary shares represented by the depositary receipts.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at the same time, the number of depositary shares representing the preferred stock. The depositary will redeem the depositary shares from the proceeds it receives from the corresponding redemption, in whole or in part, of the applicable series of preferred stock. The depositary will mail notice of redemption to the record holders of the depositary shares that are to be redeemed between 30 and 60 days before the date fixed for redemption. The redemption price per depositary share will be equal to the applicable fraction of the redemption price per share on the applicable series of preferred stock. If less than all the depositary shares are to be redeemed, the depositary will select which shares to be redeemed by lot, proportionate allocation or any other method.</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After the date fixed for redemption, the depositary shares called for redemption will no longer be outstanding. When the depositary shares are no longer outstanding, all rights of the holders will end, except the right to receive money, securities or other property payable upon redemption.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When the depositary receives notice of a meeting at which the holders of the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actions requested by the depositary to enable it to vote as instructed.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and the depositary may agree to amend the Deposit Agreement and the depositary receipt evidencing the depositary shares. Any amendment that (a) imposes or increases certain fees, taxes or other charges payable by the holders of the depositary shares as described in the Deposit Agreement or that (b) otherwise prejudices any substantial existing right of holders of depositary shares, will not take effect until 30 days after the depositary has mailed notice of the amendment to the record holders of depositary shares. Any holder of depositary shares that continues to hold its shares at the end of the 30-day period will be deemed to have agreed to the amendment.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direct the depositary to terminate the Deposit Agreement by mailing a notice of termination to holders of depositary shares at least 30 days prior to termination. In addition, a Deposit Agreement will automatically terminate if:</w:t>
      </w:r>
    </w:p>
    <w:p>
      <w:pPr>
        <w:spacing w:after="0" w:line="37" w:lineRule="exact"/>
        <w:rPr>
          <w:sz w:val="20"/>
          <w:szCs w:val="20"/>
          <w:color w:val="auto"/>
        </w:rPr>
      </w:pPr>
    </w:p>
    <w:p>
      <w:pPr>
        <w:ind w:left="800" w:hanging="346"/>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depositary has redeemed all related outstanding depositary shares, or</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liquidated, terminated or wound up our business and the depositary has distributed the preferred stock of the relevant series to the holders of the related depositary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Fees and Expenses</w:t>
      </w:r>
    </w:p>
    <w:p>
      <w:pPr>
        <w:spacing w:after="0" w:line="8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any time, the depositary may resign by delivering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depositary will forward to the holders of depositary shares all reports and communications from us that are delivered to the depositary and that we are required by law, the rules of an applicable securities exchange or quotation service or our second amended and restated articles of incorporation, as amended,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Neither we nor the depositary will be obligated to prosecute or defend any legal proceeding connected with any depositary shares or preferred stock unless the holders of depositary shares requesting us to do so furnish us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DEBT SECURITIES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descriptions of the debt securities do not purport to be complete and are subject to and qualified in their entirety by reference to the indenture, a form of which has been filed with the SEC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issue, from time to time, debt securities, in one or more series, that will consist of either our senior debt (“Senior Debt Securities”), our senior subordinated debt (“Senior Subordinated Debt Securities”), our subordinated debt (“Subordinated Debt Securities”) or our junior subordinated debt (“Junior Subordinated Debt Securities” and, together with the Senior Subordinated Debt Securities and the Subordinated Debt Securities, the “Subordinated Securities”). The debt securities we offer will be issued under an indenture between us and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Bank National Association, acting as trustee. Debt securities, whether senior, senior subordinated, subordinated or junior subordinated, may be issued as convertible debt securities or exchangeable debt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37"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issued in fully registered form without coupons or in a form registered as to principal only with coupons or in bearer form with coupons;</w:t>
      </w:r>
    </w:p>
    <w:p>
      <w:pPr>
        <w:spacing w:after="0" w:line="99" w:lineRule="exact"/>
        <w:rPr>
          <w:rFonts w:ascii="Arial" w:cs="Arial" w:eastAsia="Arial" w:hAnsi="Arial"/>
          <w:sz w:val="16"/>
          <w:szCs w:val="16"/>
          <w:color w:val="auto"/>
        </w:rPr>
      </w:pPr>
    </w:p>
    <w:p>
      <w:pPr>
        <w:ind w:left="800" w:right="280" w:hanging="346"/>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issued in the form of one or more global securities and whether all or a portion of the principal amount of the debt securities is represented thereby;</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issued;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premium or interest will be payable and the place or places where the debt securities may be presented for transfer and, if applicable, conversion or exchange;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will accrue, and the dates when interest is payable;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rights or obligations to redeem or purchase the debt securities, including sinking fund or partial redemption payments;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currencies of payment of principal or interest;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if any, pursuant to which any debt securities will be subordinate to any of our other debt;</w:t>
      </w:r>
    </w:p>
    <w:p>
      <w:pPr>
        <w:spacing w:after="0" w:line="76" w:lineRule="exact"/>
        <w:rPr>
          <w:rFonts w:ascii="Arial" w:cs="Arial" w:eastAsia="Arial" w:hAnsi="Arial"/>
          <w:sz w:val="18"/>
          <w:szCs w:val="18"/>
          <w:color w:val="auto"/>
        </w:rPr>
      </w:pPr>
    </w:p>
    <w:p>
      <w:pPr>
        <w:ind w:left="800" w:right="280" w:hanging="346"/>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hanging="346"/>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and the terms and conditions of any acceleration;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applicable, covenants affording holders of debt protection with respect to our operations, financial condition or transactions involving us;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applicable prospectus supplement will set forth material U.S. federal income tax considerations for holders of any debt securities and the securities exchange or quotation system on which any debt securities are listed or quoted, if any.</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Debt securities issued by us will be structurally subordinated to all indebtedness and other liabilities of our subsidiaries, except to the extent any such subsidiary guarantees or is otherwise obligated to make payment on such debt securities.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Debt Securities</w:t>
      </w:r>
    </w:p>
    <w:p>
      <w:pPr>
        <w:spacing w:after="0" w:line="83"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unsecured and unsubordinated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Subordinated Debt Securities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Payment of the principal of, premium, if any, and interest on Senior Subordinated Debt Securities will be junior in right of payment to the prior payment in full of all of our unsubordinated debt. We will set forth in the applicable prospectus supplement relating to any Senior Subordinated Debt Securities the subordination terms of such securities as well as the aggregate amount of outstanding debt, as of the most recent practicable date, that by its terms would be senior to the Senior Subordinated Debt Securities. We will also set forth in such prospectus supplement limitations, if any, on issuance of additional senior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Debt Securities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senior debt.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83" w:lineRule="exact"/>
        <w:rPr>
          <w:sz w:val="20"/>
          <w:szCs w:val="20"/>
          <w:color w:val="auto"/>
        </w:rPr>
      </w:pPr>
    </w:p>
    <w:p>
      <w:pPr>
        <w:ind w:right="520" w:firstLine="456"/>
        <w:spacing w:after="0" w:line="325" w:lineRule="auto"/>
        <w:rPr>
          <w:sz w:val="20"/>
          <w:szCs w:val="20"/>
          <w:color w:val="auto"/>
        </w:rPr>
      </w:pPr>
      <w:r>
        <w:rPr>
          <w:rFonts w:ascii="Arial" w:cs="Arial" w:eastAsia="Arial" w:hAnsi="Arial"/>
          <w:sz w:val="16"/>
          <w:szCs w:val="16"/>
          <w:color w:val="auto"/>
        </w:rPr>
        <w:t>Debt securities may be convertible into or exchangeable for other securities or property of Wynn Resorts. The terms and conditions of conversion or exchange will be set forth in the applicable prospectus supplement. The terms will include, among others, the following:</w:t>
      </w:r>
    </w:p>
    <w:p>
      <w:pPr>
        <w:spacing w:after="0" w:line="1"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regarding the ability of Wynn Resorts or the holder to convert or exchange the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8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cannot consolidate or merge with or into, or transfer or lease all or substantially all of our assets to, any person unless (a) we will be the continuing corporation or (b) the successor corporation or person to which our assets are transferred or leased is a corporation organized under the laws of the United States, any state of the United States or the District of Columbia and it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91"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This covenant would not apply to any recapitalization transaction, a change of control of Wynn Resorts or a highly leveraged transaction, unless the transaction or change of control were structured to include a merger or consolidation or transfer or lease of all or substantially all of our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the term “Event of Default,” when used in the indenture, means any of the following:</w:t>
      </w:r>
    </w:p>
    <w:p>
      <w:pPr>
        <w:spacing w:after="0" w:line="77" w:lineRule="exact"/>
        <w:rPr>
          <w:sz w:val="20"/>
          <w:szCs w:val="20"/>
          <w:color w:val="auto"/>
        </w:rPr>
      </w:pPr>
    </w:p>
    <w:p>
      <w:pPr>
        <w:ind w:left="800" w:right="2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 provided that an extension of an interest payment period by Wynn Resorts in accordance with the terms of the debt securities shall not constitute a failure to pay interest;</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make sinking fund payments when due;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perform any other covenant for 90 days after notice that performance was required;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events of bankruptcy, insolvency or reorganization of Wynn Resorts; or</w:t>
      </w:r>
    </w:p>
    <w:p>
      <w:pPr>
        <w:spacing w:after="0" w:line="76"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series of debt securities.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 Event of Default for a particular series of debt securities does not necessarily constitute an Event of Default for any other series of debt securities issued under the indenture. Unless otherwise indicated in the applicable prospectus supplement, an Event of Default relating to the payment of interest, principal or any sinking fund installment involving any series of debt securities has occurred and is continuing, the trustee or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holders of not less than 25% in aggregate principal amount of the debt securities of each affected series may declare the entire principal of all the debt securities of that series to be due and payable immediately.</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Unless otherwise indicated in the applicable prospectus supplement, an Event of Default relating to the performance of other covenants occurs and is continuing for a period of 90 days after notice of such, or if any other Event of Default occurs and is continuing involving all of the series of Senior Debt Securities, then the trustee or the holders of not less than 25% in aggregate principal amount of all of the series of Senior Debt Securities may declare the entire principal amount of all of the series of Senior Debt Securities due and payable immediately.</w:t>
      </w:r>
    </w:p>
    <w:p>
      <w:pPr>
        <w:spacing w:after="0" w:line="99"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Similarly, unless otherwise indicated in the applicable prospectus supplement, if an Event of Default relating to the performance of other covenants occurs and is continuing for a period of 90 days after notice of such, or if any other Event of Default occurs and is continuing involving all of the series of Subordinated Securities, then the trustee or the holders of not less than 25% in aggregate principal amount of all of the series of Subordinated Securities may declare the entire principal amount of all of the series of Subordinated Securities due and payable immediately.</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however, the Event of Default relating to the performance of other covenants or any other Event of Default that has occurred and is continuing is for less than all of the series of Senior Debt Securities or Subordinated Securities, as the case may be, then, unless otherwise indicated in the applicable prospectus supplement, the trustee or the holders of not less than 25% in aggregate principal amount of each affected series of the Senior Debt Securities or the Subordinated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Event of Default relating to events of bankruptcy, insolvency or reorganization of Wynn Resorts occurs and is continuing, then the principal amount of all of the debt securities outstanding, and any accrued interest, will automatically become due and payable immediately, without any declaration or other act by the trustee or any holder.</w:t>
      </w:r>
    </w:p>
    <w:p>
      <w:pPr>
        <w:spacing w:after="0" w:line="12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37" w:lineRule="exact"/>
        <w:rPr>
          <w:sz w:val="20"/>
          <w:szCs w:val="20"/>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that default;</w:t>
      </w:r>
    </w:p>
    <w:p>
      <w:pPr>
        <w:spacing w:after="0" w:line="76" w:lineRule="exact"/>
        <w:rPr>
          <w:rFonts w:ascii="Arial" w:cs="Arial" w:eastAsia="Arial" w:hAnsi="Arial"/>
          <w:sz w:val="18"/>
          <w:szCs w:val="18"/>
          <w:color w:val="auto"/>
        </w:rPr>
      </w:pPr>
    </w:p>
    <w:p>
      <w:pPr>
        <w:ind w:left="800" w:right="440" w:hanging="346"/>
        <w:spacing w:after="0" w:line="268"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requesting holders have offered the trustee reasonable indemnity for expenses and liabilities that may be incurred by bringing the action;</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trustee has not received inconsistent direction by the holders of a majority in principal amount of the outstanding debt securities of the series.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be required to file annually with the Trustee a certificate, signed by an officer of Wynn Resorts, stating whether or not the officer knows of any default by us in the performance, observance or fulfillment of any condition or covenant of the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9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37" w:lineRule="exact"/>
        <w:rPr>
          <w:sz w:val="20"/>
          <w:szCs w:val="20"/>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the depositary for such registered global security to its nominee;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58" w:lineRule="exact"/>
        <w:rPr>
          <w:sz w:val="20"/>
          <w:szCs w:val="20"/>
          <w:color w:val="auto"/>
        </w:rPr>
      </w:pPr>
    </w:p>
    <w:p>
      <w:pPr>
        <w:ind w:right="20" w:firstLine="456"/>
        <w:spacing w:after="0" w:line="347" w:lineRule="auto"/>
        <w:rPr>
          <w:sz w:val="20"/>
          <w:szCs w:val="20"/>
          <w:color w:val="auto"/>
        </w:rPr>
      </w:pPr>
      <w:r>
        <w:rPr>
          <w:rFonts w:ascii="Arial" w:cs="Arial" w:eastAsia="Arial" w:hAnsi="Arial"/>
          <w:sz w:val="15"/>
          <w:szCs w:val="15"/>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pacing w:after="0" w:line="1" w:lineRule="exact"/>
        <w:rPr>
          <w:sz w:val="20"/>
          <w:szCs w:val="20"/>
          <w:color w:val="auto"/>
        </w:rPr>
      </w:pPr>
    </w:p>
    <w:p>
      <w:pPr>
        <w:ind w:left="800" w:right="360" w:hanging="346"/>
        <w:spacing w:after="0" w:line="325"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1" w:lineRule="exact"/>
        <w:rPr>
          <w:rFonts w:ascii="Arial" w:cs="Arial" w:eastAsia="Arial" w:hAnsi="Arial"/>
          <w:sz w:val="16"/>
          <w:szCs w:val="16"/>
          <w:color w:val="auto"/>
        </w:rPr>
      </w:pPr>
    </w:p>
    <w:p>
      <w:pPr>
        <w:jc w:val="both"/>
        <w:ind w:left="800" w:hanging="346"/>
        <w:spacing w:after="0" w:line="259"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99" w:lineRule="exact"/>
        <w:rPr>
          <w:rFonts w:ascii="Arial" w:cs="Arial" w:eastAsia="Arial" w:hAnsi="Arial"/>
          <w:sz w:val="16"/>
          <w:szCs w:val="16"/>
          <w:color w:val="auto"/>
        </w:rPr>
      </w:pPr>
    </w:p>
    <w:p>
      <w:pPr>
        <w:ind w:left="800" w:right="60" w:hanging="346"/>
        <w:spacing w:after="0" w:line="259"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12"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indenture.</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procedures of a participant through which the person owns its interest, to exercise any rights of a holder under the indenture.</w:t>
      </w:r>
    </w:p>
    <w:p>
      <w:pPr>
        <w:spacing w:after="0" w:line="158"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Wynn Resorts, the trustee or any other agent of Wynn Resorts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may also issue bearer debt securities of a series in the form of one or more global securities, referred to as “bearer global securities.” We will deposit these bearer global securities with a common depositary for Euroclear System and Clearstream Bank Luxembourg, Societe Anonyme, or with a nominee for the depositary identified in the prospectus supplement relating to that series. The prospectus supplement relating to a series of debt securities represented by a bearer global security will describe the specific terms and procedures, including the specific terms of the depositary arrangement and any specific procedures for the issuance of debt securities in definitive form in exchange for a bearer global security, with respect to the position of the series represented by a bearer global security.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can discharge or defease our obligations under the indenture as set forth below. Unless otherwise set forth in the applicable prospectus supplement, the subordination provisions applicable to any Subordinated Securities will be expressly subject to the discharge and defeasance provisions of the indenture.</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discharge some of our obligations to holders of any series of debt securities that have not already been delivered to the trustee for cancellation and that have either become due and payable or are by their terms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become due and payable within one year (or are scheduled for redemption within one year). We may effect a discharge by irrevocably depositing with the trustee cash or 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9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49" w:lineRule="exact"/>
        <w:rPr>
          <w:sz w:val="20"/>
          <w:szCs w:val="20"/>
          <w:color w:val="auto"/>
        </w:rPr>
      </w:pPr>
    </w:p>
    <w:p>
      <w:pPr>
        <w:ind w:left="800" w:hanging="346"/>
        <w:spacing w:after="0" w:line="26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37" w:lineRule="exact"/>
        <w:rPr>
          <w:rFonts w:ascii="Arial" w:cs="Arial" w:eastAsia="Arial" w:hAnsi="Arial"/>
          <w:sz w:val="18"/>
          <w:szCs w:val="18"/>
          <w:color w:val="auto"/>
        </w:rPr>
      </w:pPr>
    </w:p>
    <w:p>
      <w:pPr>
        <w:ind w:left="800" w:right="60" w:hanging="346"/>
        <w:spacing w:after="0" w:line="255"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provides that we and the trustee may enter into supplemental indentures without the consent of the holders of debt securities to:</w:t>
      </w:r>
    </w:p>
    <w:p>
      <w:pPr>
        <w:spacing w:after="0" w:line="100" w:lineRule="exact"/>
        <w:rPr>
          <w:sz w:val="20"/>
          <w:szCs w:val="20"/>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cure any ambiguity or correct any inconsistency in the indenture;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5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all series of Senior Debt Securities or Subordinated Securities, as the case may be, then outstanding and affected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w:t>
      </w:r>
    </w:p>
    <w:p>
      <w:pPr>
        <w:spacing w:after="0" w:line="18" w:lineRule="exact"/>
        <w:rPr>
          <w:sz w:val="20"/>
          <w:szCs w:val="20"/>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 the currency in which the principal (other than as may be provided otherwise with respect to a series), premium, if any, or interest is payable;</w:t>
      </w:r>
    </w:p>
    <w:p>
      <w:pPr>
        <w:spacing w:after="0" w:line="99" w:lineRule="exact"/>
        <w:rPr>
          <w:rFonts w:ascii="Arial" w:cs="Arial" w:eastAsia="Arial" w:hAnsi="Arial"/>
          <w:sz w:val="16"/>
          <w:szCs w:val="16"/>
          <w:color w:val="auto"/>
        </w:rPr>
      </w:pPr>
    </w:p>
    <w:p>
      <w:pPr>
        <w:ind w:left="800" w:right="74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 or provable in bankruptcy;</w:t>
      </w:r>
    </w:p>
    <w:p>
      <w:pPr>
        <w:spacing w:after="0" w:line="37" w:lineRule="exact"/>
        <w:rPr>
          <w:rFonts w:ascii="Arial" w:cs="Arial" w:eastAsia="Arial" w:hAnsi="Arial"/>
          <w:sz w:val="18"/>
          <w:szCs w:val="18"/>
          <w:color w:val="auto"/>
        </w:rPr>
      </w:pPr>
    </w:p>
    <w:p>
      <w:pPr>
        <w:ind w:left="800" w:right="200" w:hanging="346"/>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modify any of the subordination provisions or the definition of senior indebtedness applicable to any Subordinated Securities in a manner adverse to the holders of those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alter provisions of the indenture relating to the debt securities not denominated in U.S. dollars;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w:t>
      </w:r>
    </w:p>
    <w:p>
      <w:pPr>
        <w:spacing w:after="0" w:line="158" w:lineRule="exact"/>
        <w:rPr>
          <w:sz w:val="20"/>
          <w:szCs w:val="20"/>
          <w:color w:val="auto"/>
        </w:rPr>
      </w:pPr>
    </w:p>
    <w:p>
      <w:pPr>
        <w:ind w:right="1240" w:firstLine="456"/>
        <w:spacing w:after="0" w:line="375" w:lineRule="auto"/>
        <w:rPr>
          <w:sz w:val="20"/>
          <w:szCs w:val="20"/>
          <w:color w:val="auto"/>
        </w:rPr>
      </w:pPr>
      <w:r>
        <w:rPr>
          <w:rFonts w:ascii="Arial" w:cs="Arial" w:eastAsia="Arial" w:hAnsi="Arial"/>
          <w:sz w:val="18"/>
          <w:szCs w:val="18"/>
          <w:color w:val="auto"/>
        </w:rPr>
        <w:t xml:space="preserve">A prospectus supplement may set forth modifications or additions to these provisions with respect to a particular series of Debt Securities. </w:t>
      </w:r>
      <w:r>
        <w:rPr>
          <w:rFonts w:ascii="Arial" w:cs="Arial" w:eastAsia="Arial" w:hAnsi="Arial"/>
          <w:sz w:val="18"/>
          <w:szCs w:val="18"/>
          <w:b w:val="1"/>
          <w:bCs w:val="1"/>
          <w:color w:val="auto"/>
        </w:rPr>
        <w:t>Concerning the Trustee</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in New York, New York.</w:t>
      </w:r>
    </w:p>
    <w:p>
      <w:pPr>
        <w:spacing w:after="0" w:line="10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indenture contains limitations on the right of the trustee, should it become a creditor of Wynn Resorts,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indenture provides that no incorporator and no past, present or future shareholder, officer or director, of Wynn Resorts or any successor corporation in their capacity as such shall have any individual liability for any of our obligations, covenants or agreements under the debt securities or the indenture.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Wynn Resorts may sell common stock, preferred stock, depositary shares or any series of debt securities in one or more of the following ways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70" w:lineRule="exact"/>
        <w:rPr>
          <w:sz w:val="20"/>
          <w:szCs w:val="20"/>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by itself directly;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prospectus supplements relating to an offering of offered securities will set forth the terms of such offering, including:</w:t>
      </w:r>
    </w:p>
    <w:p>
      <w:pPr>
        <w:spacing w:after="0" w:line="77" w:lineRule="exact"/>
        <w:rPr>
          <w:sz w:val="20"/>
          <w:szCs w:val="20"/>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of the offered securities and the proceeds to Wynn Resorts from the sale;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underwriting discounts and commissions or agency fees and other items constituting underwriters’ or agents’ compensation; and</w:t>
      </w:r>
    </w:p>
    <w:p>
      <w:pPr>
        <w:spacing w:after="0" w:line="76" w:lineRule="exact"/>
        <w:rPr>
          <w:rFonts w:ascii="Arial" w:cs="Arial" w:eastAsia="Arial" w:hAnsi="Arial"/>
          <w:sz w:val="18"/>
          <w:szCs w:val="18"/>
          <w:color w:val="auto"/>
        </w:rPr>
      </w:pPr>
    </w:p>
    <w:p>
      <w:pPr>
        <w:ind w:left="800" w:right="360" w:hanging="346"/>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initial public offering price, any discounts or concessions allowed or reallowed or paid to dealers and any securities exchanges on which such offered securities may be listed.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initial public offering prices, discounts or concessions allowed or reallowed or paid to dealers may be changed from time to time.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w:t>
      </w:r>
    </w:p>
    <w:p>
      <w:pPr>
        <w:spacing w:after="0" w:line="10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93" w:lineRule="exact"/>
        <w:rPr>
          <w:sz w:val="20"/>
          <w:szCs w:val="20"/>
          <w:color w:val="auto"/>
        </w:rPr>
      </w:pPr>
    </w:p>
    <w:p>
      <w:pPr>
        <w:ind w:left="800" w:right="54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37" w:lineRule="exact"/>
        <w:rPr>
          <w:rFonts w:ascii="Arial" w:cs="Arial" w:eastAsia="Arial" w:hAnsi="Arial"/>
          <w:sz w:val="18"/>
          <w:szCs w:val="18"/>
          <w:color w:val="auto"/>
        </w:rPr>
      </w:pPr>
    </w:p>
    <w:p>
      <w:pPr>
        <w:ind w:left="800" w:right="320" w:hanging="346"/>
        <w:spacing w:after="0" w:line="268"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37" w:lineRule="exact"/>
        <w:rPr>
          <w:rFonts w:ascii="Arial" w:cs="Arial" w:eastAsia="Arial" w:hAnsi="Arial"/>
          <w:sz w:val="18"/>
          <w:szCs w:val="18"/>
          <w:color w:val="auto"/>
        </w:rPr>
      </w:pPr>
    </w:p>
    <w:p>
      <w:pPr>
        <w:ind w:left="800" w:right="240" w:hanging="346"/>
        <w:spacing w:after="0" w:line="332" w:lineRule="auto"/>
        <w:tabs>
          <w:tab w:leader="none" w:pos="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These transactions may be effected on any securities exchange, in the over-the-counter market, or otherwise. Underwriters are not required to engage in any of these activities, or to continue such activities if commenced.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dealer is used in the sale, Wynn Resorts will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Offered securities may be sold directly by Wynn Resorts to one or more institutional purchasers, or through agents designated by Wynn Resorts from time to time, at a fixed price or prices, which may be changed, or at varying prices determined at the time of sale. Any agent involved in the offer or sale of the offered securities in respect of which this prospectus is delivered will be named, and any commissions payable by Wynn Resorts to such agent will be set forth, in the prospectus supplement relating to that offering. Unless otherwise indicated in such prospectus supplement, any such agent will be acting on a best efforts basis for the period of its appointment.</w:t>
      </w:r>
    </w:p>
    <w:p>
      <w:pPr>
        <w:spacing w:after="0" w:line="129"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Underwriters, dealers and agents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in the ordinary course of business.</w:t>
      </w:r>
    </w:p>
    <w:p>
      <w:pPr>
        <w:spacing w:after="0" w:line="7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Other than our common stock, which is currently listed on the Nasdaq National Market, each of the securities issued hereunder will be a new issue of securities, will have no prior trading market, and may or may not be listed on a national securities exchange or the Nasdaq Stock Market. Any common stock sold pursuant to a prospectus supplement will be listed on the over-the-counter market or national securities exchange on which our common stock is then listed, subject to official notice of issuance. Any underwriters to whom Wynn Resorts sells securities for public offering and sale may make a market in the securities, but such underwriters will not be obligated to do so and may discontinue any market making at any time without notice. We cannot assure you that there will be a market for the offered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legal matters regarding the securities being affected hereby will be passed upon for us by Skadden, Arps, Slate, Meagher &amp; Flom LLP (and affiliated partnerships), Los Angeles, California. Certain matters of Nevada law, including the validity of the common stock offered hereby, will be passed upon for us by Schreck Brignone, Las Vegas, Nevada.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consolidated financial statements incorporated in this prospectus by reference from Wynn Resorts’ Annual Report on Form 10-K for the year ended December 31, 2003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supplement and the accompanying prospectus. We have not authorized anyone to provide you with different information. We are offering to sell, and seeking offers to buy, shares of common stock only in jurisdictions where offers and sales are permitted. The information contained in this prospectus supplement and the accompanying prospectus is accurate only as of the date of this prospectus supplement, regardless of the time of delivery of this prospectus supplement or the accompanying prospectus or any sale of our common stock.</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780" w:type="dxa"/>
            <w:vAlign w:val="bottom"/>
            <w:gridSpan w:val="2"/>
          </w:tcPr>
          <w:p>
            <w:pPr>
              <w:jc w:val="center"/>
              <w:ind w:right="4552"/>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9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780" w:type="dxa"/>
            <w:vAlign w:val="bottom"/>
            <w:gridSpan w:val="2"/>
          </w:tcPr>
          <w:p>
            <w:pPr>
              <w:jc w:val="center"/>
              <w:ind w:right="4572"/>
              <w:spacing w:after="0"/>
              <w:rPr>
                <w:sz w:val="20"/>
                <w:szCs w:val="20"/>
                <w:color w:val="auto"/>
              </w:rPr>
            </w:pPr>
            <w:r>
              <w:rPr>
                <w:rFonts w:ascii="Arial" w:cs="Arial" w:eastAsia="Arial" w:hAnsi="Arial"/>
                <w:sz w:val="14"/>
                <w:szCs w:val="14"/>
                <w:b w:val="1"/>
                <w:bCs w:val="1"/>
                <w:color w:val="auto"/>
                <w:w w:val="96"/>
              </w:rPr>
              <w:t>Prospectus Supplement</w:t>
            </w:r>
          </w:p>
        </w:tc>
        <w:tc>
          <w:tcPr>
            <w:tcW w:w="0" w:type="dxa"/>
            <w:vAlign w:val="bottom"/>
          </w:tcPr>
          <w:p>
            <w:pPr>
              <w:spacing w:after="0"/>
              <w:rPr>
                <w:sz w:val="1"/>
                <w:szCs w:val="1"/>
                <w:color w:val="auto"/>
              </w:rPr>
            </w:pPr>
          </w:p>
        </w:tc>
      </w:tr>
      <w:tr>
        <w:trPr>
          <w:trHeight w:val="136"/>
        </w:trPr>
        <w:tc>
          <w:tcPr>
            <w:tcW w:w="4640" w:type="dxa"/>
            <w:vAlign w:val="bottom"/>
            <w:gridSpan w:val="18"/>
          </w:tcPr>
          <w:p>
            <w:pPr>
              <w:spacing w:after="0" w:line="136" w:lineRule="exact"/>
              <w:rPr>
                <w:rFonts w:ascii="Arial" w:cs="Arial" w:eastAsia="Arial" w:hAnsi="Arial"/>
                <w:sz w:val="14"/>
                <w:szCs w:val="14"/>
                <w:color w:val="0000EE"/>
              </w:rPr>
            </w:pPr>
            <w:hyperlink w:anchor="page2">
              <w:r>
                <w:rPr>
                  <w:rFonts w:ascii="Arial" w:cs="Arial" w:eastAsia="Arial" w:hAnsi="Arial"/>
                  <w:sz w:val="14"/>
                  <w:szCs w:val="14"/>
                  <w:color w:val="0000EE"/>
                </w:rPr>
                <w:t>About This Prospectus Supplement</w:t>
              </w:r>
            </w:hyperlink>
          </w:p>
        </w:tc>
        <w:tc>
          <w:tcPr>
            <w:tcW w:w="59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S-1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2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S-1</w:t>
            </w:r>
          </w:p>
        </w:tc>
        <w:tc>
          <w:tcPr>
            <w:tcW w:w="0" w:type="dxa"/>
            <w:vAlign w:val="bottom"/>
          </w:tcPr>
          <w:p>
            <w:pPr>
              <w:spacing w:after="0" w:line="20" w:lineRule="exact"/>
              <w:rPr>
                <w:sz w:val="1"/>
                <w:szCs w:val="1"/>
                <w:color w:val="auto"/>
              </w:rPr>
            </w:pPr>
          </w:p>
        </w:tc>
      </w:tr>
      <w:tr>
        <w:trPr>
          <w:trHeight w:val="129"/>
        </w:trPr>
        <w:tc>
          <w:tcPr>
            <w:tcW w:w="4640" w:type="dxa"/>
            <w:vAlign w:val="bottom"/>
            <w:gridSpan w:val="18"/>
          </w:tcPr>
          <w:p>
            <w:pPr>
              <w:spacing w:after="0" w:line="129" w:lineRule="exact"/>
              <w:rPr>
                <w:rFonts w:ascii="Arial" w:cs="Arial" w:eastAsia="Arial" w:hAnsi="Arial"/>
                <w:sz w:val="14"/>
                <w:szCs w:val="14"/>
                <w:color w:val="0000EE"/>
              </w:rPr>
            </w:pPr>
            <w:hyperlink w:anchor="page2">
              <w:r>
                <w:rPr>
                  <w:rFonts w:ascii="Arial" w:cs="Arial" w:eastAsia="Arial" w:hAnsi="Arial"/>
                  <w:sz w:val="14"/>
                  <w:szCs w:val="14"/>
                  <w:color w:val="0000EE"/>
                </w:rPr>
                <w:t>Where You Can Find More Information</w:t>
              </w:r>
            </w:hyperlink>
          </w:p>
        </w:tc>
        <w:tc>
          <w:tcPr>
            <w:tcW w:w="59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2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Incorporation by Reference</w:t>
              </w:r>
            </w:hyperlink>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S-2</w:t>
            </w:r>
          </w:p>
        </w:tc>
        <w:tc>
          <w:tcPr>
            <w:tcW w:w="0" w:type="dxa"/>
            <w:vAlign w:val="bottom"/>
          </w:tcPr>
          <w:p>
            <w:pPr>
              <w:spacing w:after="0"/>
              <w:rPr>
                <w:sz w:val="1"/>
                <w:szCs w:val="1"/>
                <w:color w:val="auto"/>
              </w:rPr>
            </w:pPr>
          </w:p>
        </w:tc>
      </w:tr>
      <w:tr>
        <w:trPr>
          <w:trHeight w:val="129"/>
        </w:trPr>
        <w:tc>
          <w:tcPr>
            <w:tcW w:w="76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95"/>
              </w:rPr>
            </w:pPr>
            <w:hyperlink w:anchor="page4">
              <w:r>
                <w:rPr>
                  <w:rFonts w:ascii="Arial" w:cs="Arial" w:eastAsia="Arial" w:hAnsi="Arial"/>
                  <w:sz w:val="14"/>
                  <w:szCs w:val="14"/>
                  <w:color w:val="0000EE"/>
                  <w:w w:val="95"/>
                </w:rPr>
                <w:t>Risk Factors</w:t>
              </w:r>
            </w:hyperlink>
          </w:p>
        </w:tc>
        <w:tc>
          <w:tcPr>
            <w:tcW w:w="880" w:type="dxa"/>
            <w:vAlign w:val="bottom"/>
            <w:tcBorders>
              <w:top w:val="single" w:sz="8" w:color="0000EE"/>
            </w:tcBorders>
            <w:gridSpan w:val="8"/>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S-3</w:t>
            </w:r>
          </w:p>
        </w:tc>
        <w:tc>
          <w:tcPr>
            <w:tcW w:w="0" w:type="dxa"/>
            <w:vAlign w:val="bottom"/>
          </w:tcPr>
          <w:p>
            <w:pPr>
              <w:spacing w:after="0"/>
              <w:rPr>
                <w:sz w:val="1"/>
                <w:szCs w:val="1"/>
                <w:color w:val="auto"/>
              </w:rPr>
            </w:pPr>
          </w:p>
        </w:tc>
      </w:tr>
      <w:tr>
        <w:trPr>
          <w:trHeight w:val="129"/>
        </w:trPr>
        <w:tc>
          <w:tcPr>
            <w:tcW w:w="4640" w:type="dxa"/>
            <w:vAlign w:val="bottom"/>
            <w:gridSpan w:val="18"/>
          </w:tcPr>
          <w:p>
            <w:pPr>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Use of Proceeds</w:t>
              </w:r>
            </w:hyperlink>
          </w:p>
        </w:tc>
        <w:tc>
          <w:tcPr>
            <w:tcW w:w="59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S-5</w:t>
            </w:r>
          </w:p>
        </w:tc>
        <w:tc>
          <w:tcPr>
            <w:tcW w:w="0" w:type="dxa"/>
            <w:vAlign w:val="bottom"/>
          </w:tcPr>
          <w:p>
            <w:pPr>
              <w:spacing w:after="0"/>
              <w:rPr>
                <w:sz w:val="1"/>
                <w:szCs w:val="1"/>
                <w:color w:val="auto"/>
              </w:rPr>
            </w:pPr>
          </w:p>
        </w:tc>
      </w:tr>
      <w:tr>
        <w:trPr>
          <w:trHeight w:val="129"/>
        </w:trPr>
        <w:tc>
          <w:tcPr>
            <w:tcW w:w="1000" w:type="dxa"/>
            <w:vAlign w:val="bottom"/>
            <w:tcBorders>
              <w:top w:val="single" w:sz="8" w:color="0000EE"/>
            </w:tcBorders>
            <w:gridSpan w:val="5"/>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Price Range of</w:t>
              </w:r>
            </w:hyperlink>
          </w:p>
        </w:tc>
        <w:tc>
          <w:tcPr>
            <w:tcW w:w="3640" w:type="dxa"/>
            <w:vAlign w:val="bottom"/>
            <w:gridSpan w:val="13"/>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Common Stock and Dividend Policy</w:t>
              </w:r>
            </w:hyperlink>
          </w:p>
        </w:tc>
        <w:tc>
          <w:tcPr>
            <w:tcW w:w="5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7"/>
        </w:trPr>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S-6</w:t>
            </w:r>
          </w:p>
        </w:tc>
        <w:tc>
          <w:tcPr>
            <w:tcW w:w="0" w:type="dxa"/>
            <w:vAlign w:val="bottom"/>
          </w:tcPr>
          <w:p>
            <w:pPr>
              <w:spacing w:after="0"/>
              <w:rPr>
                <w:sz w:val="1"/>
                <w:szCs w:val="1"/>
                <w:color w:val="auto"/>
              </w:rPr>
            </w:pPr>
          </w:p>
        </w:tc>
      </w:tr>
      <w:tr>
        <w:trPr>
          <w:trHeight w:val="136"/>
        </w:trPr>
        <w:tc>
          <w:tcPr>
            <w:tcW w:w="4640" w:type="dxa"/>
            <w:vAlign w:val="bottom"/>
            <w:gridSpan w:val="18"/>
          </w:tcPr>
          <w:p>
            <w:pPr>
              <w:spacing w:after="0" w:line="136" w:lineRule="exact"/>
              <w:rPr>
                <w:rFonts w:ascii="Arial" w:cs="Arial" w:eastAsia="Arial" w:hAnsi="Arial"/>
                <w:sz w:val="14"/>
                <w:szCs w:val="14"/>
                <w:color w:val="0000EE"/>
              </w:rPr>
            </w:pPr>
            <w:hyperlink w:anchor="page8">
              <w:r>
                <w:rPr>
                  <w:rFonts w:ascii="Arial" w:cs="Arial" w:eastAsia="Arial" w:hAnsi="Arial"/>
                  <w:sz w:val="14"/>
                  <w:szCs w:val="14"/>
                  <w:color w:val="0000EE"/>
                </w:rPr>
                <w:t>Capitalization</w:t>
              </w:r>
            </w:hyperlink>
          </w:p>
        </w:tc>
        <w:tc>
          <w:tcPr>
            <w:tcW w:w="59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S-7</w:t>
            </w:r>
          </w:p>
        </w:tc>
        <w:tc>
          <w:tcPr>
            <w:tcW w:w="0" w:type="dxa"/>
            <w:vAlign w:val="bottom"/>
          </w:tcPr>
          <w:p>
            <w:pPr>
              <w:spacing w:after="0"/>
              <w:rPr>
                <w:sz w:val="1"/>
                <w:szCs w:val="1"/>
                <w:color w:val="auto"/>
              </w:rPr>
            </w:pPr>
          </w:p>
        </w:tc>
      </w:tr>
      <w:tr>
        <w:trPr>
          <w:trHeight w:val="129"/>
        </w:trPr>
        <w:tc>
          <w:tcPr>
            <w:tcW w:w="82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9">
              <w:r>
                <w:rPr>
                  <w:rFonts w:ascii="Arial" w:cs="Arial" w:eastAsia="Arial" w:hAnsi="Arial"/>
                  <w:sz w:val="14"/>
                  <w:szCs w:val="14"/>
                  <w:color w:val="0000EE"/>
                </w:rPr>
                <w:t>Underwriting</w:t>
              </w:r>
            </w:hyperlink>
          </w:p>
        </w:tc>
        <w:tc>
          <w:tcPr>
            <w:tcW w:w="20" w:type="dxa"/>
            <w:vAlign w:val="bottom"/>
          </w:tcPr>
          <w:p>
            <w:pPr>
              <w:spacing w:after="0"/>
              <w:rPr>
                <w:sz w:val="11"/>
                <w:szCs w:val="11"/>
                <w:color w:val="auto"/>
              </w:rPr>
            </w:pPr>
          </w:p>
        </w:tc>
        <w:tc>
          <w:tcPr>
            <w:tcW w:w="30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tcPr>
          <w:p>
            <w:pPr>
              <w:spacing w:after="0"/>
              <w:rPr>
                <w:sz w:val="11"/>
                <w:szCs w:val="11"/>
                <w:color w:val="auto"/>
              </w:rPr>
            </w:pPr>
          </w:p>
        </w:tc>
        <w:tc>
          <w:tcPr>
            <w:tcW w:w="14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S-8</w:t>
            </w:r>
          </w:p>
        </w:tc>
        <w:tc>
          <w:tcPr>
            <w:tcW w:w="0" w:type="dxa"/>
            <w:vAlign w:val="bottom"/>
          </w:tcPr>
          <w:p>
            <w:pPr>
              <w:spacing w:after="0"/>
              <w:rPr>
                <w:sz w:val="1"/>
                <w:szCs w:val="1"/>
                <w:color w:val="auto"/>
              </w:rPr>
            </w:pPr>
          </w:p>
        </w:tc>
      </w:tr>
      <w:tr>
        <w:trPr>
          <w:trHeight w:val="129"/>
        </w:trPr>
        <w:tc>
          <w:tcPr>
            <w:tcW w:w="760" w:type="dxa"/>
            <w:vAlign w:val="bottom"/>
            <w:tcBorders>
              <w:top w:val="single" w:sz="8" w:color="0000EE"/>
              <w:bottom w:val="single" w:sz="8" w:color="0000EE"/>
            </w:tcBorders>
            <w:gridSpan w:val="2"/>
          </w:tcPr>
          <w:p>
            <w:pPr>
              <w:spacing w:after="0" w:line="129" w:lineRule="exact"/>
              <w:rPr>
                <w:rFonts w:ascii="Arial" w:cs="Arial" w:eastAsia="Arial" w:hAnsi="Arial"/>
                <w:sz w:val="14"/>
                <w:szCs w:val="14"/>
                <w:color w:val="0000EE"/>
                <w:w w:val="87"/>
              </w:rPr>
            </w:pPr>
            <w:hyperlink w:anchor="page11">
              <w:r>
                <w:rPr>
                  <w:rFonts w:ascii="Arial" w:cs="Arial" w:eastAsia="Arial" w:hAnsi="Arial"/>
                  <w:sz w:val="14"/>
                  <w:szCs w:val="14"/>
                  <w:color w:val="0000EE"/>
                  <w:w w:val="87"/>
                </w:rPr>
                <w:t>Legal Matters</w:t>
              </w:r>
            </w:hyperlink>
          </w:p>
        </w:tc>
        <w:tc>
          <w:tcPr>
            <w:tcW w:w="80" w:type="dxa"/>
            <w:vAlign w:val="bottom"/>
            <w:tcBorders>
              <w:bottom w:val="single" w:sz="8" w:color="0000EE"/>
            </w:tcBorders>
            <w:gridSpan w:val="2"/>
          </w:tcPr>
          <w:p>
            <w:pPr>
              <w:spacing w:after="0"/>
              <w:rPr>
                <w:sz w:val="11"/>
                <w:szCs w:val="11"/>
                <w:color w:val="auto"/>
              </w:rPr>
            </w:pPr>
          </w:p>
        </w:tc>
        <w:tc>
          <w:tcPr>
            <w:tcW w:w="30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4"/>
          </w:tcPr>
          <w:p>
            <w:pPr>
              <w:spacing w:after="0"/>
              <w:rPr>
                <w:sz w:val="11"/>
                <w:szCs w:val="11"/>
                <w:color w:val="auto"/>
              </w:rPr>
            </w:pPr>
          </w:p>
        </w:tc>
        <w:tc>
          <w:tcPr>
            <w:tcW w:w="14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S-10</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80" w:type="dxa"/>
            <w:vAlign w:val="bottom"/>
            <w:gridSpan w:val="2"/>
          </w:tcPr>
          <w:p>
            <w:pPr>
              <w:jc w:val="center"/>
              <w:ind w:right="4572"/>
              <w:spacing w:after="0"/>
              <w:rPr>
                <w:sz w:val="20"/>
                <w:szCs w:val="20"/>
                <w:color w:val="auto"/>
              </w:rPr>
            </w:pPr>
            <w:r>
              <w:rPr>
                <w:rFonts w:ascii="Arial" w:cs="Arial" w:eastAsia="Arial" w:hAnsi="Arial"/>
                <w:sz w:val="14"/>
                <w:szCs w:val="14"/>
                <w:b w:val="1"/>
                <w:bCs w:val="1"/>
                <w:color w:val="auto"/>
                <w:w w:val="96"/>
              </w:rPr>
              <w:t>Prospectus</w:t>
            </w:r>
          </w:p>
        </w:tc>
        <w:tc>
          <w:tcPr>
            <w:tcW w:w="0" w:type="dxa"/>
            <w:vAlign w:val="bottom"/>
          </w:tcPr>
          <w:p>
            <w:pPr>
              <w:spacing w:after="0"/>
              <w:rPr>
                <w:sz w:val="1"/>
                <w:szCs w:val="1"/>
                <w:color w:val="auto"/>
              </w:rPr>
            </w:pPr>
          </w:p>
        </w:tc>
      </w:tr>
      <w:tr>
        <w:trPr>
          <w:trHeight w:val="136"/>
        </w:trPr>
        <w:tc>
          <w:tcPr>
            <w:tcW w:w="4640" w:type="dxa"/>
            <w:vAlign w:val="bottom"/>
            <w:gridSpan w:val="18"/>
          </w:tcPr>
          <w:p>
            <w:pPr>
              <w:spacing w:after="0" w:line="136" w:lineRule="exact"/>
              <w:rPr>
                <w:rFonts w:ascii="Arial" w:cs="Arial" w:eastAsia="Arial" w:hAnsi="Arial"/>
                <w:sz w:val="14"/>
                <w:szCs w:val="14"/>
                <w:color w:val="0000EE"/>
              </w:rPr>
            </w:pPr>
            <w:hyperlink w:anchor="page13">
              <w:r>
                <w:rPr>
                  <w:rFonts w:ascii="Arial" w:cs="Arial" w:eastAsia="Arial" w:hAnsi="Arial"/>
                  <w:sz w:val="14"/>
                  <w:szCs w:val="14"/>
                  <w:color w:val="0000EE"/>
                </w:rPr>
                <w:t>About This Prospectus</w:t>
              </w:r>
            </w:hyperlink>
          </w:p>
        </w:tc>
        <w:tc>
          <w:tcPr>
            <w:tcW w:w="59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129"/>
        </w:trPr>
        <w:tc>
          <w:tcPr>
            <w:tcW w:w="138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w:anchor="page13">
              <w:r>
                <w:rPr>
                  <w:rFonts w:ascii="Arial" w:cs="Arial" w:eastAsia="Arial" w:hAnsi="Arial"/>
                  <w:sz w:val="14"/>
                  <w:szCs w:val="14"/>
                  <w:color w:val="0000EE"/>
                </w:rPr>
                <w:t>Where You Can Find</w:t>
              </w:r>
            </w:hyperlink>
          </w:p>
        </w:tc>
        <w:tc>
          <w:tcPr>
            <w:tcW w:w="3260" w:type="dxa"/>
            <w:vAlign w:val="bottom"/>
            <w:gridSpan w:val="10"/>
          </w:tcPr>
          <w:p>
            <w:pPr>
              <w:spacing w:after="0" w:line="129" w:lineRule="exact"/>
              <w:rPr>
                <w:rFonts w:ascii="Arial" w:cs="Arial" w:eastAsia="Arial" w:hAnsi="Arial"/>
                <w:sz w:val="14"/>
                <w:szCs w:val="14"/>
                <w:color w:val="0000EE"/>
              </w:rPr>
            </w:pPr>
            <w:hyperlink w:anchor="page13">
              <w:r>
                <w:rPr>
                  <w:rFonts w:ascii="Arial" w:cs="Arial" w:eastAsia="Arial" w:hAnsi="Arial"/>
                  <w:sz w:val="14"/>
                  <w:szCs w:val="14"/>
                  <w:color w:val="0000EE"/>
                </w:rPr>
                <w:t>More Information</w:t>
              </w:r>
            </w:hyperlink>
          </w:p>
        </w:tc>
        <w:tc>
          <w:tcPr>
            <w:tcW w:w="59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129"/>
        </w:trPr>
        <w:tc>
          <w:tcPr>
            <w:tcW w:w="1640" w:type="dxa"/>
            <w:vAlign w:val="bottom"/>
            <w:tcBorders>
              <w:top w:val="single" w:sz="8" w:color="0000EE"/>
              <w:bottom w:val="single" w:sz="8" w:color="0000EE"/>
            </w:tcBorders>
            <w:gridSpan w:val="10"/>
          </w:tcPr>
          <w:p>
            <w:pPr>
              <w:spacing w:after="0" w:line="129" w:lineRule="exact"/>
              <w:rPr>
                <w:rFonts w:ascii="Arial" w:cs="Arial" w:eastAsia="Arial" w:hAnsi="Arial"/>
                <w:sz w:val="14"/>
                <w:szCs w:val="14"/>
                <w:color w:val="0000EE"/>
                <w:w w:val="95"/>
              </w:rPr>
            </w:pPr>
            <w:hyperlink w:anchor="page14">
              <w:r>
                <w:rPr>
                  <w:rFonts w:ascii="Arial" w:cs="Arial" w:eastAsia="Arial" w:hAnsi="Arial"/>
                  <w:sz w:val="14"/>
                  <w:szCs w:val="14"/>
                  <w:color w:val="0000EE"/>
                  <w:w w:val="95"/>
                </w:rPr>
                <w:t>Incorporation by Reference</w:t>
              </w:r>
            </w:hyperlink>
          </w:p>
        </w:tc>
        <w:tc>
          <w:tcPr>
            <w:tcW w:w="680" w:type="dxa"/>
            <w:vAlign w:val="bottom"/>
            <w:tcBorders>
              <w:top w:val="single" w:sz="8" w:color="0000EE"/>
            </w:tcBorders>
            <w:gridSpan w:val="5"/>
          </w:tcPr>
          <w:p>
            <w:pPr>
              <w:spacing w:after="0"/>
              <w:rPr>
                <w:sz w:val="11"/>
                <w:szCs w:val="11"/>
                <w:color w:val="auto"/>
              </w:rPr>
            </w:pPr>
          </w:p>
        </w:tc>
        <w:tc>
          <w:tcPr>
            <w:tcW w:w="880" w:type="dxa"/>
            <w:vAlign w:val="bottom"/>
            <w:gridSpan w:val="2"/>
          </w:tcPr>
          <w:p>
            <w:pPr>
              <w:spacing w:after="0"/>
              <w:rPr>
                <w:sz w:val="11"/>
                <w:szCs w:val="11"/>
                <w:color w:val="auto"/>
              </w:rPr>
            </w:pPr>
          </w:p>
        </w:tc>
        <w:tc>
          <w:tcPr>
            <w:tcW w:w="14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ii</w:t>
            </w:r>
          </w:p>
        </w:tc>
        <w:tc>
          <w:tcPr>
            <w:tcW w:w="0" w:type="dxa"/>
            <w:vAlign w:val="bottom"/>
          </w:tcPr>
          <w:p>
            <w:pPr>
              <w:spacing w:after="0"/>
              <w:rPr>
                <w:sz w:val="1"/>
                <w:szCs w:val="1"/>
                <w:color w:val="auto"/>
              </w:rPr>
            </w:pPr>
          </w:p>
        </w:tc>
      </w:tr>
      <w:tr>
        <w:trPr>
          <w:trHeight w:val="129"/>
        </w:trPr>
        <w:tc>
          <w:tcPr>
            <w:tcW w:w="4640" w:type="dxa"/>
            <w:vAlign w:val="bottom"/>
            <w:gridSpan w:val="18"/>
          </w:tcPr>
          <w:p>
            <w:pPr>
              <w:spacing w:after="0" w:line="129" w:lineRule="exact"/>
              <w:rPr>
                <w:rFonts w:ascii="Arial" w:cs="Arial" w:eastAsia="Arial" w:hAnsi="Arial"/>
                <w:sz w:val="14"/>
                <w:szCs w:val="14"/>
                <w:color w:val="0000EE"/>
              </w:rPr>
            </w:pPr>
            <w:hyperlink w:anchor="page15">
              <w:r>
                <w:rPr>
                  <w:rFonts w:ascii="Arial" w:cs="Arial" w:eastAsia="Arial" w:hAnsi="Arial"/>
                  <w:sz w:val="14"/>
                  <w:szCs w:val="14"/>
                  <w:color w:val="0000EE"/>
                </w:rPr>
                <w:t>Special Note Regarding Forward-Looking Statements</w:t>
              </w:r>
            </w:hyperlink>
          </w:p>
        </w:tc>
        <w:tc>
          <w:tcPr>
            <w:tcW w:w="59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iii</w:t>
            </w:r>
          </w:p>
        </w:tc>
        <w:tc>
          <w:tcPr>
            <w:tcW w:w="0" w:type="dxa"/>
            <w:vAlign w:val="bottom"/>
          </w:tcPr>
          <w:p>
            <w:pPr>
              <w:spacing w:after="0"/>
              <w:rPr>
                <w:sz w:val="1"/>
                <w:szCs w:val="1"/>
                <w:color w:val="auto"/>
              </w:rPr>
            </w:pPr>
          </w:p>
        </w:tc>
      </w:tr>
      <w:tr>
        <w:trPr>
          <w:trHeight w:val="129"/>
        </w:trPr>
        <w:tc>
          <w:tcPr>
            <w:tcW w:w="3200" w:type="dxa"/>
            <w:vAlign w:val="bottom"/>
            <w:tcBorders>
              <w:top w:val="single" w:sz="8" w:color="0000EE"/>
            </w:tcBorders>
            <w:gridSpan w:val="17"/>
          </w:tcPr>
          <w:p>
            <w:pPr>
              <w:spacing w:after="0" w:line="129" w:lineRule="exact"/>
              <w:rPr>
                <w:rFonts w:ascii="Arial" w:cs="Arial" w:eastAsia="Arial" w:hAnsi="Arial"/>
                <w:sz w:val="14"/>
                <w:szCs w:val="14"/>
                <w:color w:val="0000EE"/>
              </w:rPr>
            </w:pPr>
            <w:hyperlink w:anchor="page16">
              <w:r>
                <w:rPr>
                  <w:rFonts w:ascii="Arial" w:cs="Arial" w:eastAsia="Arial" w:hAnsi="Arial"/>
                  <w:sz w:val="14"/>
                  <w:szCs w:val="14"/>
                  <w:color w:val="0000EE"/>
                </w:rPr>
                <w:t>Wynn Resorts, Limited</w:t>
              </w:r>
            </w:hyperlink>
          </w:p>
        </w:tc>
        <w:tc>
          <w:tcPr>
            <w:tcW w:w="1440" w:type="dxa"/>
            <w:vAlign w:val="bottom"/>
          </w:tcPr>
          <w:p>
            <w:pPr>
              <w:spacing w:after="0"/>
              <w:rPr>
                <w:sz w:val="11"/>
                <w:szCs w:val="11"/>
                <w:color w:val="auto"/>
              </w:rPr>
            </w:pPr>
          </w:p>
        </w:tc>
        <w:tc>
          <w:tcPr>
            <w:tcW w:w="67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136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rPr>
            </w:pPr>
            <w:hyperlink w:anchor="page18">
              <w:r>
                <w:rPr>
                  <w:rFonts w:ascii="Arial" w:cs="Arial" w:eastAsia="Arial" w:hAnsi="Arial"/>
                  <w:sz w:val="14"/>
                  <w:szCs w:val="14"/>
                  <w:color w:val="0000EE"/>
                </w:rPr>
                <w:t>Ratio of Earnings to</w:t>
              </w:r>
            </w:hyperlink>
          </w:p>
        </w:tc>
        <w:tc>
          <w:tcPr>
            <w:tcW w:w="3280" w:type="dxa"/>
            <w:vAlign w:val="bottom"/>
            <w:tcBorders>
              <w:bottom w:val="single" w:sz="8" w:color="0000EE"/>
            </w:tcBorders>
            <w:gridSpan w:val="11"/>
          </w:tcPr>
          <w:p>
            <w:pPr>
              <w:spacing w:after="0" w:line="129" w:lineRule="exact"/>
              <w:rPr>
                <w:rFonts w:ascii="Arial" w:cs="Arial" w:eastAsia="Arial" w:hAnsi="Arial"/>
                <w:sz w:val="14"/>
                <w:szCs w:val="14"/>
                <w:color w:val="0000EE"/>
                <w:w w:val="92"/>
              </w:rPr>
            </w:pPr>
            <w:hyperlink w:anchor="page18">
              <w:r>
                <w:rPr>
                  <w:rFonts w:ascii="Arial" w:cs="Arial" w:eastAsia="Arial" w:hAnsi="Arial"/>
                  <w:sz w:val="14"/>
                  <w:szCs w:val="14"/>
                  <w:color w:val="0000EE"/>
                  <w:w w:val="92"/>
                </w:rPr>
                <w:t>Combined Fixed Charges and Preferred Stock Dividends</w:t>
              </w:r>
            </w:hyperlink>
          </w:p>
        </w:tc>
        <w:tc>
          <w:tcPr>
            <w:tcW w:w="67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4640" w:type="dxa"/>
            <w:vAlign w:val="bottom"/>
            <w:gridSpan w:val="18"/>
          </w:tcPr>
          <w:p>
            <w:pPr>
              <w:spacing w:after="0" w:line="129" w:lineRule="exact"/>
              <w:rPr>
                <w:rFonts w:ascii="Arial" w:cs="Arial" w:eastAsia="Arial" w:hAnsi="Arial"/>
                <w:sz w:val="14"/>
                <w:szCs w:val="14"/>
                <w:color w:val="0000EE"/>
              </w:rPr>
            </w:pPr>
            <w:hyperlink w:anchor="page18">
              <w:r>
                <w:rPr>
                  <w:rFonts w:ascii="Arial" w:cs="Arial" w:eastAsia="Arial" w:hAnsi="Arial"/>
                  <w:sz w:val="14"/>
                  <w:szCs w:val="14"/>
                  <w:color w:val="0000EE"/>
                </w:rPr>
                <w:t>Use of Proceeds</w:t>
              </w:r>
            </w:hyperlink>
          </w:p>
        </w:tc>
        <w:tc>
          <w:tcPr>
            <w:tcW w:w="67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1000" w:type="dxa"/>
            <w:vAlign w:val="bottom"/>
            <w:tcBorders>
              <w:top w:val="single" w:sz="8" w:color="0000EE"/>
            </w:tcBorders>
            <w:gridSpan w:val="5"/>
          </w:tcPr>
          <w:p>
            <w:pPr>
              <w:spacing w:after="0" w:line="129" w:lineRule="exact"/>
              <w:rPr>
                <w:rFonts w:ascii="Arial" w:cs="Arial" w:eastAsia="Arial" w:hAnsi="Arial"/>
                <w:sz w:val="14"/>
                <w:szCs w:val="14"/>
                <w:color w:val="0000EE"/>
              </w:rPr>
            </w:pPr>
            <w:hyperlink w:anchor="page19">
              <w:r>
                <w:rPr>
                  <w:rFonts w:ascii="Arial" w:cs="Arial" w:eastAsia="Arial" w:hAnsi="Arial"/>
                  <w:sz w:val="14"/>
                  <w:szCs w:val="14"/>
                  <w:color w:val="0000EE"/>
                </w:rPr>
                <w:t>Description of</w:t>
              </w:r>
            </w:hyperlink>
          </w:p>
        </w:tc>
        <w:tc>
          <w:tcPr>
            <w:tcW w:w="3640" w:type="dxa"/>
            <w:vAlign w:val="bottom"/>
            <w:gridSpan w:val="13"/>
          </w:tcPr>
          <w:p>
            <w:pPr>
              <w:spacing w:after="0" w:line="129" w:lineRule="exact"/>
              <w:rPr>
                <w:rFonts w:ascii="Arial" w:cs="Arial" w:eastAsia="Arial" w:hAnsi="Arial"/>
                <w:sz w:val="14"/>
                <w:szCs w:val="14"/>
                <w:color w:val="0000EE"/>
              </w:rPr>
            </w:pPr>
            <w:hyperlink w:anchor="page19">
              <w:r>
                <w:rPr>
                  <w:rFonts w:ascii="Arial" w:cs="Arial" w:eastAsia="Arial" w:hAnsi="Arial"/>
                  <w:sz w:val="14"/>
                  <w:szCs w:val="14"/>
                  <w:color w:val="0000EE"/>
                </w:rPr>
                <w:t>Securities</w:t>
              </w:r>
            </w:hyperlink>
          </w:p>
        </w:tc>
        <w:tc>
          <w:tcPr>
            <w:tcW w:w="67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7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line="20" w:lineRule="exact"/>
              <w:rPr>
                <w:sz w:val="1"/>
                <w:szCs w:val="1"/>
                <w:color w:val="auto"/>
              </w:rPr>
            </w:pPr>
          </w:p>
        </w:tc>
      </w:tr>
      <w:tr>
        <w:trPr>
          <w:trHeight w:val="129"/>
        </w:trPr>
        <w:tc>
          <w:tcPr>
            <w:tcW w:w="4640" w:type="dxa"/>
            <w:vAlign w:val="bottom"/>
            <w:gridSpan w:val="18"/>
          </w:tcPr>
          <w:p>
            <w:pPr>
              <w:spacing w:after="0" w:line="129" w:lineRule="exact"/>
              <w:rPr>
                <w:rFonts w:ascii="Arial" w:cs="Arial" w:eastAsia="Arial" w:hAnsi="Arial"/>
                <w:sz w:val="14"/>
                <w:szCs w:val="14"/>
                <w:color w:val="0000EE"/>
              </w:rPr>
            </w:pPr>
            <w:hyperlink w:anchor="page19">
              <w:r>
                <w:rPr>
                  <w:rFonts w:ascii="Arial" w:cs="Arial" w:eastAsia="Arial" w:hAnsi="Arial"/>
                  <w:sz w:val="14"/>
                  <w:szCs w:val="14"/>
                  <w:color w:val="0000EE"/>
                </w:rPr>
                <w:t>Description of Capital Stock</w:t>
              </w:r>
            </w:hyperlink>
          </w:p>
        </w:tc>
        <w:tc>
          <w:tcPr>
            <w:tcW w:w="6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7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line="20" w:lineRule="exact"/>
              <w:rPr>
                <w:sz w:val="1"/>
                <w:szCs w:val="1"/>
                <w:color w:val="auto"/>
              </w:rPr>
            </w:pPr>
          </w:p>
        </w:tc>
      </w:tr>
      <w:tr>
        <w:trPr>
          <w:trHeight w:val="129"/>
        </w:trPr>
        <w:tc>
          <w:tcPr>
            <w:tcW w:w="4640" w:type="dxa"/>
            <w:vAlign w:val="bottom"/>
            <w:gridSpan w:val="18"/>
          </w:tcPr>
          <w:p>
            <w:pPr>
              <w:spacing w:after="0" w:line="129" w:lineRule="exact"/>
              <w:rPr>
                <w:rFonts w:ascii="Arial" w:cs="Arial" w:eastAsia="Arial" w:hAnsi="Arial"/>
                <w:sz w:val="14"/>
                <w:szCs w:val="14"/>
                <w:color w:val="0000EE"/>
              </w:rPr>
            </w:pPr>
            <w:hyperlink w:anchor="page23">
              <w:r>
                <w:rPr>
                  <w:rFonts w:ascii="Arial" w:cs="Arial" w:eastAsia="Arial" w:hAnsi="Arial"/>
                  <w:sz w:val="14"/>
                  <w:szCs w:val="14"/>
                  <w:color w:val="0000EE"/>
                </w:rPr>
                <w:t>Description of Depositary Shares</w:t>
              </w:r>
            </w:hyperlink>
          </w:p>
        </w:tc>
        <w:tc>
          <w:tcPr>
            <w:tcW w:w="6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8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25">
              <w:r>
                <w:rPr>
                  <w:rFonts w:ascii="Arial" w:cs="Arial" w:eastAsia="Arial" w:hAnsi="Arial"/>
                  <w:sz w:val="14"/>
                  <w:szCs w:val="14"/>
                  <w:color w:val="0000EE"/>
                </w:rPr>
                <w:t>Description of Debt Securities</w:t>
              </w:r>
            </w:hyperlink>
          </w:p>
        </w:tc>
        <w:tc>
          <w:tcPr>
            <w:tcW w:w="2660" w:type="dxa"/>
            <w:vAlign w:val="bottom"/>
            <w:gridSpan w:val="5"/>
          </w:tcPr>
          <w:p>
            <w:pPr>
              <w:spacing w:after="0"/>
              <w:rPr>
                <w:sz w:val="11"/>
                <w:szCs w:val="11"/>
                <w:color w:val="auto"/>
              </w:rPr>
            </w:pPr>
          </w:p>
        </w:tc>
        <w:tc>
          <w:tcPr>
            <w:tcW w:w="67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29"/>
        </w:trPr>
        <w:tc>
          <w:tcPr>
            <w:tcW w:w="178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34">
              <w:r>
                <w:rPr>
                  <w:rFonts w:ascii="Arial" w:cs="Arial" w:eastAsia="Arial" w:hAnsi="Arial"/>
                  <w:sz w:val="14"/>
                  <w:szCs w:val="14"/>
                  <w:color w:val="0000EE"/>
                </w:rPr>
                <w:t>Plan of Distribution</w:t>
              </w:r>
            </w:hyperlink>
          </w:p>
        </w:tc>
        <w:tc>
          <w:tcPr>
            <w:tcW w:w="2860" w:type="dxa"/>
            <w:vAlign w:val="bottom"/>
            <w:gridSpan w:val="6"/>
          </w:tcPr>
          <w:p>
            <w:pPr>
              <w:spacing w:after="0"/>
              <w:rPr>
                <w:sz w:val="11"/>
                <w:szCs w:val="11"/>
                <w:color w:val="auto"/>
              </w:rPr>
            </w:pPr>
          </w:p>
        </w:tc>
        <w:tc>
          <w:tcPr>
            <w:tcW w:w="67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29"/>
        </w:trPr>
        <w:tc>
          <w:tcPr>
            <w:tcW w:w="1140" w:type="dxa"/>
            <w:vAlign w:val="bottom"/>
            <w:tcBorders>
              <w:top w:val="single" w:sz="8" w:color="0000EE"/>
            </w:tcBorders>
            <w:gridSpan w:val="6"/>
          </w:tcPr>
          <w:p>
            <w:pPr>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Legal Matters</w:t>
              </w:r>
            </w:hyperlink>
          </w:p>
        </w:tc>
        <w:tc>
          <w:tcPr>
            <w:tcW w:w="3500" w:type="dxa"/>
            <w:vAlign w:val="bottom"/>
            <w:gridSpan w:val="12"/>
          </w:tcPr>
          <w:p>
            <w:pPr>
              <w:spacing w:after="0"/>
              <w:rPr>
                <w:sz w:val="11"/>
                <w:szCs w:val="11"/>
                <w:color w:val="auto"/>
              </w:rPr>
            </w:pPr>
          </w:p>
        </w:tc>
        <w:tc>
          <w:tcPr>
            <w:tcW w:w="67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9"/>
        </w:trPr>
        <w:tc>
          <w:tcPr>
            <w:tcW w:w="840" w:type="dxa"/>
            <w:vAlign w:val="bottom"/>
            <w:tcBorders>
              <w:top w:val="single" w:sz="8" w:color="0000EE"/>
            </w:tcBorders>
            <w:gridSpan w:val="4"/>
          </w:tcPr>
          <w:p>
            <w:pPr>
              <w:spacing w:after="0" w:line="129" w:lineRule="exact"/>
              <w:rPr>
                <w:rFonts w:ascii="Arial" w:cs="Arial" w:eastAsia="Arial" w:hAnsi="Arial"/>
                <w:sz w:val="14"/>
                <w:szCs w:val="14"/>
                <w:color w:val="0000EE"/>
              </w:rPr>
            </w:pPr>
            <w:hyperlink w:anchor="page35">
              <w:r>
                <w:rPr>
                  <w:rFonts w:ascii="Arial" w:cs="Arial" w:eastAsia="Arial" w:hAnsi="Arial"/>
                  <w:sz w:val="14"/>
                  <w:szCs w:val="14"/>
                  <w:color w:val="0000EE"/>
                </w:rPr>
                <w:t>Experts</w:t>
              </w:r>
            </w:hyperlink>
          </w:p>
        </w:tc>
        <w:tc>
          <w:tcPr>
            <w:tcW w:w="3800" w:type="dxa"/>
            <w:vAlign w:val="bottom"/>
            <w:gridSpan w:val="14"/>
          </w:tcPr>
          <w:p>
            <w:pPr>
              <w:spacing w:after="0"/>
              <w:rPr>
                <w:sz w:val="11"/>
                <w:szCs w:val="11"/>
                <w:color w:val="auto"/>
              </w:rPr>
            </w:pPr>
          </w:p>
        </w:tc>
        <w:tc>
          <w:tcPr>
            <w:tcW w:w="67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94615</wp:posOffset>
            </wp:positionV>
            <wp:extent cx="2392680" cy="1029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9268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32"/>
          <w:szCs w:val="32"/>
          <w:b w:val="1"/>
          <w:bCs w:val="1"/>
          <w:color w:val="auto"/>
        </w:rPr>
        <w:t>7,500,000 Shares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Common Stock</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24"/>
          <w:szCs w:val="24"/>
          <w:b w:val="1"/>
          <w:bCs w:val="1"/>
          <w:color w:val="auto"/>
        </w:rPr>
        <w:t>Deutsche Bank Securities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Prospectus Supplement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(to Prospectus dated April 21, 2004)</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November 9, 2004</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2019-12-15T07:58:06Z</dcterms:created>
  <dcterms:modified xsi:type="dcterms:W3CDTF">2019-12-15T07:58:06Z</dcterms:modified>
</cp:coreProperties>
</file>