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983134107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1,745,487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1,745,493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1,745,493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7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Wynn Resorts, Ltd.</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right="42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3131 Las Vegas Boulevard South, 3131 Las Vegas Blvd S Spa Level, Executive Offices, Las Vegas, NV 89109</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983134107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1,745,493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1,745,487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1,745,493</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440"/>
        <w:spacing w:after="0" w:line="255"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management services under the name "Capital World Investors." CWI is deemed to be the beneficial owner of 1,745,493 shares or 1.6% of the 107,870,602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J. Triessl</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Michael J. Triessl</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2021-02-16T13:05:59Z</dcterms:created>
  <dcterms:modified xsi:type="dcterms:W3CDTF">2021-02-16T13:05:59Z</dcterms:modified>
</cp:coreProperties>
</file>