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287020</wp:posOffset>
            </wp:positionV>
            <wp:extent cx="2897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178435</wp:posOffset>
            </wp:positionV>
            <wp:extent cx="2897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191135</wp:posOffset>
            </wp:positionV>
            <wp:extent cx="2897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2780" w:type="dxa"/>
            <w:vAlign w:val="bottom"/>
          </w:tcPr>
          <w:p>
            <w:pPr>
              <w:jc w:val="center"/>
              <w:ind w:right="199"/>
              <w:spacing w:after="0"/>
              <w:rPr>
                <w:sz w:val="20"/>
                <w:szCs w:val="20"/>
                <w:color w:val="auto"/>
              </w:rPr>
            </w:pPr>
            <w:r>
              <w:rPr>
                <w:rFonts w:ascii="Arial" w:cs="Arial" w:eastAsia="Arial" w:hAnsi="Arial"/>
                <w:sz w:val="18"/>
                <w:szCs w:val="18"/>
                <w:b w:val="1"/>
                <w:bCs w:val="1"/>
                <w:color w:val="auto"/>
                <w:w w:val="90"/>
              </w:rPr>
              <w:t>Nevada</w:t>
            </w:r>
          </w:p>
        </w:tc>
        <w:tc>
          <w:tcPr>
            <w:tcW w:w="4560" w:type="dxa"/>
            <w:vAlign w:val="bottom"/>
          </w:tcPr>
          <w:p>
            <w:pPr>
              <w:ind w:left="1800"/>
              <w:spacing w:after="0"/>
              <w:rPr>
                <w:sz w:val="20"/>
                <w:szCs w:val="20"/>
                <w:color w:val="auto"/>
              </w:rPr>
            </w:pPr>
            <w:r>
              <w:rPr>
                <w:rFonts w:ascii="Arial" w:cs="Arial" w:eastAsia="Arial" w:hAnsi="Arial"/>
                <w:sz w:val="18"/>
                <w:szCs w:val="18"/>
                <w:b w:val="1"/>
                <w:bCs w:val="1"/>
                <w:color w:val="auto"/>
              </w:rPr>
              <w:t>000-50028</w:t>
            </w:r>
          </w:p>
        </w:tc>
        <w:tc>
          <w:tcPr>
            <w:tcW w:w="20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78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(State or other jurisdiction</w:t>
            </w:r>
          </w:p>
        </w:tc>
        <w:tc>
          <w:tcPr>
            <w:tcW w:w="4560" w:type="dxa"/>
            <w:vAlign w:val="bottom"/>
          </w:tcPr>
          <w:p>
            <w:pPr>
              <w:ind w:left="1780"/>
              <w:spacing w:after="0"/>
              <w:rPr>
                <w:sz w:val="20"/>
                <w:szCs w:val="20"/>
                <w:color w:val="auto"/>
              </w:rPr>
            </w:pPr>
            <w:r>
              <w:rPr>
                <w:rFonts w:ascii="Arial" w:cs="Arial" w:eastAsia="Arial" w:hAnsi="Arial"/>
                <w:sz w:val="14"/>
                <w:szCs w:val="14"/>
                <w:b w:val="1"/>
                <w:bCs w:val="1"/>
                <w:color w:val="auto"/>
              </w:rPr>
              <w:t>(Commission</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of incorporation)</w:t>
            </w:r>
          </w:p>
        </w:tc>
        <w:tc>
          <w:tcPr>
            <w:tcW w:w="4560" w:type="dxa"/>
            <w:vAlign w:val="bottom"/>
          </w:tcPr>
          <w:p>
            <w:pPr>
              <w:ind w:left="1780"/>
              <w:spacing w:after="0"/>
              <w:rPr>
                <w:sz w:val="20"/>
                <w:szCs w:val="20"/>
                <w:color w:val="auto"/>
              </w:rPr>
            </w:pPr>
            <w:r>
              <w:rPr>
                <w:rFonts w:ascii="Arial" w:cs="Arial" w:eastAsia="Arial" w:hAnsi="Arial"/>
                <w:sz w:val="14"/>
                <w:szCs w:val="14"/>
                <w:b w:val="1"/>
                <w:bCs w:val="1"/>
                <w:color w:val="auto"/>
              </w:rPr>
              <w:t>File Number)</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2780" w:type="dxa"/>
            <w:vAlign w:val="bottom"/>
          </w:tcPr>
          <w:p>
            <w:pPr>
              <w:jc w:val="center"/>
              <w:ind w:right="179"/>
              <w:spacing w:after="0"/>
              <w:rPr>
                <w:sz w:val="20"/>
                <w:szCs w:val="20"/>
                <w:color w:val="auto"/>
              </w:rPr>
            </w:pPr>
            <w:r>
              <w:rPr>
                <w:rFonts w:ascii="Arial" w:cs="Arial" w:eastAsia="Arial" w:hAnsi="Arial"/>
                <w:sz w:val="18"/>
                <w:szCs w:val="18"/>
                <w:b w:val="1"/>
                <w:bCs w:val="1"/>
                <w:color w:val="auto"/>
                <w:w w:val="88"/>
              </w:rPr>
              <w:t>3131 Las Vegas Boulevard South</w:t>
            </w:r>
          </w:p>
        </w:tc>
        <w:tc>
          <w:tcPr>
            <w:tcW w:w="456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70"/>
        </w:trPr>
        <w:tc>
          <w:tcPr>
            <w:tcW w:w="2780" w:type="dxa"/>
            <w:vAlign w:val="bottom"/>
          </w:tcPr>
          <w:p>
            <w:pPr>
              <w:ind w:left="440"/>
              <w:spacing w:after="0"/>
              <w:rPr>
                <w:sz w:val="20"/>
                <w:szCs w:val="20"/>
                <w:color w:val="auto"/>
              </w:rPr>
            </w:pPr>
            <w:r>
              <w:rPr>
                <w:rFonts w:ascii="Arial" w:cs="Arial" w:eastAsia="Arial" w:hAnsi="Arial"/>
                <w:sz w:val="18"/>
                <w:szCs w:val="18"/>
                <w:b w:val="1"/>
                <w:bCs w:val="1"/>
                <w:color w:val="auto"/>
              </w:rPr>
              <w:t>Las Vegas, Nevada</w:t>
            </w:r>
          </w:p>
        </w:tc>
        <w:tc>
          <w:tcPr>
            <w:tcW w:w="4560" w:type="dxa"/>
            <w:vAlign w:val="bottom"/>
          </w:tcPr>
          <w:p>
            <w:pPr>
              <w:spacing w:after="0"/>
              <w:rPr>
                <w:sz w:val="23"/>
                <w:szCs w:val="23"/>
                <w:color w:val="auto"/>
              </w:rPr>
            </w:pPr>
          </w:p>
        </w:tc>
        <w:tc>
          <w:tcPr>
            <w:tcW w:w="20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7"/>
        </w:trPr>
        <w:tc>
          <w:tcPr>
            <w:tcW w:w="278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spacing w:after="0"/>
              <w:rPr>
                <w:sz w:val="18"/>
                <w:szCs w:val="18"/>
                <w:color w:val="auto"/>
              </w:rPr>
            </w:pP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8"/>
              </w:rPr>
              <w:t>(Zip Code)</w:t>
            </w:r>
          </w:p>
        </w:tc>
      </w:tr>
      <w:tr>
        <w:trPr>
          <w:trHeight w:val="691"/>
        </w:trPr>
        <w:tc>
          <w:tcPr>
            <w:tcW w:w="27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000" w:type="dxa"/>
            <w:vAlign w:val="bottom"/>
          </w:tcPr>
          <w:p>
            <w:pPr>
              <w:spacing w:after="0"/>
              <w:rPr>
                <w:sz w:val="24"/>
                <w:szCs w:val="24"/>
                <w:color w:val="auto"/>
              </w:rPr>
            </w:pPr>
          </w:p>
        </w:tc>
      </w:tr>
      <w:tr>
        <w:trPr>
          <w:trHeight w:val="186"/>
        </w:trPr>
        <w:tc>
          <w:tcPr>
            <w:tcW w:w="278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00" w:type="dxa"/>
            <w:vAlign w:val="bottom"/>
          </w:tcPr>
          <w:p>
            <w:pPr>
              <w:spacing w:after="0"/>
              <w:rPr>
                <w:sz w:val="16"/>
                <w:szCs w:val="16"/>
                <w:color w:val="auto"/>
              </w:rPr>
            </w:pPr>
          </w:p>
        </w:tc>
      </w:tr>
      <w:tr>
        <w:trPr>
          <w:trHeight w:val="408"/>
        </w:trPr>
        <w:tc>
          <w:tcPr>
            <w:tcW w:w="27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000" w:type="dxa"/>
            <w:vAlign w:val="bottom"/>
          </w:tcPr>
          <w:p>
            <w:pPr>
              <w:spacing w:after="0"/>
              <w:rPr>
                <w:sz w:val="24"/>
                <w:szCs w:val="24"/>
                <w:color w:val="auto"/>
              </w:rPr>
            </w:pPr>
          </w:p>
        </w:tc>
      </w:tr>
      <w:tr>
        <w:trPr>
          <w:trHeight w:val="186"/>
        </w:trPr>
        <w:tc>
          <w:tcPr>
            <w:tcW w:w="278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00" w:type="dxa"/>
            <w:vAlign w:val="bottom"/>
          </w:tcPr>
          <w:p>
            <w:pPr>
              <w:spacing w:after="0"/>
              <w:rPr>
                <w:sz w:val="16"/>
                <w:szCs w:val="16"/>
                <w:color w:val="auto"/>
              </w:rPr>
            </w:pPr>
          </w:p>
        </w:tc>
      </w:tr>
      <w:tr>
        <w:trPr>
          <w:trHeight w:val="25"/>
        </w:trPr>
        <w:tc>
          <w:tcPr>
            <w:tcW w:w="27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4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74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3460" w:type="dxa"/>
            <w:vAlign w:val="bottom"/>
            <w:gridSpan w:val="3"/>
          </w:tcPr>
          <w:p>
            <w:pPr>
              <w:jc w:val="center"/>
              <w:ind w:right="1180"/>
              <w:spacing w:after="0"/>
              <w:rPr>
                <w:sz w:val="20"/>
                <w:szCs w:val="20"/>
                <w:color w:val="auto"/>
              </w:rPr>
            </w:pPr>
            <w:r>
              <w:rPr>
                <w:rFonts w:ascii="Arial" w:cs="Arial" w:eastAsia="Arial" w:hAnsi="Arial"/>
                <w:sz w:val="18"/>
                <w:szCs w:val="18"/>
                <w:color w:val="auto"/>
                <w:w w:val="89"/>
              </w:rPr>
              <w:t>Common stock, par value $0.01</w:t>
            </w:r>
          </w:p>
        </w:tc>
        <w:tc>
          <w:tcPr>
            <w:tcW w:w="3180" w:type="dxa"/>
            <w:vAlign w:val="bottom"/>
            <w:gridSpan w:val="2"/>
          </w:tcPr>
          <w:p>
            <w:pPr>
              <w:jc w:val="center"/>
              <w:ind w:right="1740"/>
              <w:spacing w:after="0"/>
              <w:rPr>
                <w:sz w:val="20"/>
                <w:szCs w:val="20"/>
                <w:color w:val="auto"/>
              </w:rPr>
            </w:pPr>
            <w:r>
              <w:rPr>
                <w:rFonts w:ascii="Arial" w:cs="Arial" w:eastAsia="Arial" w:hAnsi="Arial"/>
                <w:sz w:val="18"/>
                <w:szCs w:val="18"/>
                <w:color w:val="auto"/>
              </w:rPr>
              <w:t>WYNN</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August 4, 2020, Wynn Resorts, Limited issued a press release announcing its results of operations for the quarter ended June 30, 2020.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65"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51"/>
        </w:trPr>
        <w:tc>
          <w:tcPr>
            <w:tcW w:w="2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986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August 4, 2020, of Wynn Resorts, Limited.</w:t>
              </w:r>
            </w:hyperlink>
          </w:p>
        </w:tc>
      </w:tr>
      <w:tr>
        <w:trPr>
          <w:trHeight w:val="243"/>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1"/>
                <w:szCs w:val="21"/>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63"/>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6460" w:val="left"/>
          <w:tab w:leader="none" w:pos="7180" w:val="left"/>
        </w:tabs>
        <w:rPr>
          <w:sz w:val="20"/>
          <w:szCs w:val="20"/>
          <w:color w:val="auto"/>
        </w:rPr>
      </w:pPr>
      <w:r>
        <w:rPr>
          <w:rFonts w:ascii="Arial" w:cs="Arial" w:eastAsia="Arial" w:hAnsi="Arial"/>
          <w:sz w:val="18"/>
          <w:szCs w:val="18"/>
          <w:color w:val="auto"/>
        </w:rPr>
        <w:t>Dated: August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31750</wp:posOffset>
            </wp:positionV>
            <wp:extent cx="261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Second Quarter 2020 Results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 VEGAS, August 4, 2020 — Wynn Resorts, Limited (NASDAQ: WYNN) (the "Company") today reported financial results for the quarter ended June 30, 2020.</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revenues were $85.7 million for the second quarter of 2020, a decrease of 94.8%, or $1.57 billion, from $1.66 billion for the second quarter of 2019. Net loss attributable to Wynn Resorts, Limited was $637.6 million, or $5.97 per diluted share, for the second quarter of 2020, compared to net income attributable to Wynn Resorts, Limited of $94.6 million, or $0.88 per diluted share, in the second quarter of 2019. Net loss attributable to Wynn Resorts, Limited for the second quarter of 2020 excludes the impact of $75.7 million of expense related to our commitment to pay salary, tips, and benefits continuation for all of our U.S. employees for the period from April 1 through May 15, 2020, which we accrued during the first quarter of 2020. Adjusted Property EBITDA (1) was $(322.9) million for the second quarter of 2020, compared to Adjusted Property EBITDA of $480.6 million in the second quarter of 2019.</w:t>
      </w: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leadership team continues to work closely with our host communities, fellow industry leaders and world-class medical experts to implement and advance strategies to mitigate the impact of the virus on our team members, our guests and our broader communities," said Matt Maddox, CEO of Wynn Resorts, Limited. "We are pleased to be up and running again in each of our markets. In early June, we reopened nearly our entire Wynn Las Vegas and Encore campus with an intense focus on cleanliness and safety. Similarly, in Boston, we reopened Encore Boston Harbor on July 12 to a positive reception as many of our customers currently prefer to stay close to home. In Macau, the authorities have begun to gradually and thoughtfully ease some visitation restrictions, and we are confident the market will benefit from the return of the Chinese consumer as we move through the back half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revenues were $85.7 million for the second quarter of 2020, a decrease of 94.8%, or $1.57 billion, from $1.66 billion for the second quarter of 2019. Operating revenues decreased $620.2 million, $534.6 million, and $399.3 million at Wynn Palace, Wynn Macau, and our Las Vegas Operations, respectively, from the second quarter of 2019.</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 U.S. generally accepted accounting principles ("GAAP") basis, net loss attributable to Wynn Resorts, Limited was $637.6 million, or $5.97 per diluted share, for the second quarter of 2020, compared to net income attributable to Wynn Resorts, Limited of $94.6 million, or $0.88 per diluted share, in the second quarter of 2019. Net loss attributable to Wynn Resorts, Limited for the second quarter of 2020 excludes the impact of $75.7 million of expense related to our commitment to pay salary, tips, and benefits continuation for all of our U.S. employees for the period from April 1 through May 15, 2020, which we accrued during the first quarter of 2020. Adjusted net loss attributable to Wynn Resorts, Limited (2) was $655.7 million, or $6.14 per diluted share, for the second quarter of 2020, compared to adjusted net income attributable to Wynn Resorts, Limited of $153.9 million, or $1.44 per diluted share, for the second quarter of 2019.</w:t>
      </w: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Adjusted Property EBITDA was $(322.9) million for the second quarter of 2020, compared to $480.6 million for the second quarter of 2019. Adjusted Property EBITDA decreased $278.1 million, $258.5 million and $213.0 million at Wynn Palace, Wynn Macau, and our Las Vegas Operations,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Operations</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casino operations at Wynn Palace and Wynn Macau were closed for a 15-day period in February 2020 and resumed operations on a reduced basis on February 20, 2020. Our casinos’ operations have since been fully restored; however, certain public health safeguards, such as traveler quarantines, limiting the number of seats per table game, slot machine spacing, temperature checks, mask protection, COVID-19 negative test results requirements for entry to gaming areas, and health declarations remain in effect at the present time. We are currently unable to determine when these measures will be lifted. On July 15, 2020, authorities eased certain quarantine requirements for persons traveling between Guangdong Province and Macau, subject to certain testing requirements and health declarations.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revenues from Wynn Palace were $8.7 million for the second quarter of 2020, a 98.6% decrease from $628.9 million for the second quarter of 2019. Adjusted Property EBITDA from Wynn Palace was $(110.9) million for the second quarter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2020, a 166.3% decrease from $167.2 million for the second quarter of 2019. VIP table games win as a percentage of turnover was (1.73)%, below the property's expected range of 2.7% to 3.0% and below the 3.02% experienced in the second quarter of 2019. Table games win percentage in mass market operations was 32.5%, above the 23.4% experienced in the second quarter of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revenues from Wynn Macau were $11.9 million for the second quarter of 2020, a 97.8% decrease from $546.5 million for the second quarter of 2019. Adjusted Property EBITDA was $(82.6) million for the second quarter of 2020, a 147.0% decrease from $175.9 million for the second quarter of</w:t>
      </w:r>
    </w:p>
    <w:p>
      <w:pPr>
        <w:jc w:val="both"/>
        <w:spacing w:after="0" w:line="255" w:lineRule="auto"/>
        <w:rPr>
          <w:sz w:val="20"/>
          <w:szCs w:val="20"/>
          <w:color w:val="auto"/>
        </w:rPr>
      </w:pPr>
      <w:r>
        <w:rPr>
          <w:rFonts w:ascii="Arial" w:cs="Arial" w:eastAsia="Arial" w:hAnsi="Arial"/>
          <w:sz w:val="18"/>
          <w:szCs w:val="18"/>
          <w:color w:val="auto"/>
        </w:rPr>
        <w:t>2019. VIP Table games win as a percentage of turnover was (2.00)%, below the property's expected range of 2.7% to 3.0% and below the 3.30% experienced in the second quarter of 2019. Table games win percentage in mass market operations was 8.3%, below the 20.7% experienced in the second quarter of 2019.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casino operations at Wynn Las Vegas were closed on March 17, 2020, and reopened on June 4, 2020 with certain health safeguards in place, such as limiting the number of seats per table game, slot machine spacing, temperature checks, mask protection, and suspension of certain entertainment and nightlife offerings. We are currently unable to determine when certain of these measures will be lifted. Operating revenues from our Las Vegas Operations were $64.9 million for the second quarter of 2020, an 86.0% decrease from $464.1 million for the second quarter of 2019. Adjusted Property EBITDA from our Las Vegas Operations for the second quarter of 2020 was $(75.6) million, compared to $137.4 million for the second quarter of 2019. Our Las Vegas Operations' operating loss for the second quarter of 2020 excludes the impact of $56.4 million of expense related to our commitment to pay salary, tips, and benefits continuation for all of our U.S. employees for the period from April 1 through May 15, 2020, which we accrued within operating expenses during the first quarter of 2020. Table games win percentage was 19.7%, below the property's expected range of 22% to 26% and below the 28.7% experienced in the second quarter of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Encore Boston Harbor</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Encore Boston Harbor ceased all operations and closed to the public on March 15, 2020, for the remainder of the first and second quarters of 2020. On July 12, 2020, Encore Boston Harbor reopened with certain health safeguards in place, such as limiting the number of seats per table game, slot machine spacing, temperature checks, and mask protection. We are currently unable to determine when these measures will be lifted. In addition, certain food and beverage outlets remain closed, and hotel reservations have been limited to Thursday through Sunday. Adjusted Property EBITDA from Encore Boston Harbor for the second quarter of 2020 was $(53.8) million. Encore Boston Harbor's operating loss for the second quarter of 2020 excludes the impact of $19.3 million of expense related to our commitment to pay salary, tips, and benefits continuation for all of our U.S. employees for the period from April 1 through May 15, 2020, which we accrued within operating expenses during the first quarter of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restricted cash as of June 30, 2020 totaled $3.80 billion.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2020, the available borrowing capacity under the Wynn Macau Revolver was $24.1 million, and the available borrowing capacity under the Wynn Resorts Finance Revolver was $15.9 million.</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current and long-term debt outstanding at June 30, 2020 was $12.78 billion, comprised of $5.94 billion of Macau related debt, $3.12 billion of Wynn Las Vegas debt, $3.11 billion of Wynn Resorts Finance debt, and $612.0 million of debt held by the retail joint venture which we consolidate.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on June 19, 2020, Wynn Macau, Limited (“WML”), issued $750.0 million aggregate principal amount of 5.500% Senior Notes due 2026 (the “2026 WML Notes”). WML intends to use the net proceeds from the 2026 WML Notes for general corporate purposes until WML's business recovers from the effects of the COVID-19 pandemic, and then to facilitate the repayment of a portion of the amounts outstanding under the Wynn Macau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hold a conference call to discuss its results, including the results of Wynn Resorts Finance, LLC and Wynn Las Vegas, LLC, on August 4, 2020 at 1:30 p.m. PT (4:30 p.m. ET). Interested parties are invited to join the call by accessing a live audio webcast at http://www.wynnresorts.com.</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or before August 14, 2020, the Company will make Wynn Resorts Finance, LLC and Wynn Las Vegas, LLC financial information for the quarter ended June 30, 2020 available to noteholders, prospective investors, broker-dealers and securities analysts. Please contact our investor relations office at 702-770-7555 or at investorrelations@wynnresorts.com, to obtain access to such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the recent global pandemic of COVID-19, caused by a novel strain of the coronavirus, and the continued impact of its consequences, extensive regulation of our business, pending or future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2019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ind w:firstLine="8"/>
        <w:spacing w:after="0" w:line="285" w:lineRule="auto"/>
        <w:tabs>
          <w:tab w:leader="none" w:pos="258"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03" w:lineRule="exact"/>
        <w:rPr>
          <w:rFonts w:ascii="Arial" w:cs="Arial" w:eastAsia="Arial" w:hAnsi="Arial"/>
          <w:sz w:val="16"/>
          <w:szCs w:val="16"/>
          <w:color w:val="auto"/>
        </w:rPr>
      </w:pPr>
    </w:p>
    <w:p>
      <w:pPr>
        <w:jc w:val="both"/>
        <w:ind w:firstLine="8"/>
        <w:spacing w:after="0" w:line="270" w:lineRule="auto"/>
        <w:tabs>
          <w:tab w:leader="none" w:pos="276"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net income (loss) attributable to Wynn Resorts, Limited" is net income (loss) attributable to Wynn Resorts, Limited before nonrecurring regulatory expense, litigation settlement net gain, pre-opening expenses, property charges and other, change in derivatives fair value, loss on extinguishment of debt, foreign currency remeasurement gain (loss), and the impact from the enactment of U.S. tax reform, net of noncontrolling interests and income taxes calculated using the specific tax treatment applicable to the adjustments based on their respective jurisdictions.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per share computed in accordance with GAAP, as an additional basis for assessing period-to-period results of our business.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1"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Adjusted net income (loss) attributable to Wynn Resorts, Limited and adjusted net income (loss) attributable to Wynn Resorts, Limited per diluted share may be different from the calculation methods used by other companies and, therefore, comparability may be limited.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Limited to adjusted net income (loss) attributable to Wynn Resorts, Limited, (ii) operating income (loss) to Adjusted Property EBITDA, and (iii) net income (loss) attributable to Wynn Resorts, Limited to Adjusted Property EBITDA.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6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36"/>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Casino</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9,413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1,142,503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580,202</w:t>
            </w:r>
          </w:p>
        </w:tc>
        <w:tc>
          <w:tcPr>
            <w:tcW w:w="3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2,327,604</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198,807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170,096</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390,077</w:t>
            </w: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24,007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218,022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173,421</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391,241</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34,863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115,695</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200,956</w:t>
            </w:r>
          </w:p>
        </w:tc>
      </w:tr>
      <w:tr>
        <w:trPr>
          <w:trHeight w:val="237"/>
        </w:trPr>
        <w:tc>
          <w:tcPr>
            <w:tcW w:w="5660" w:type="dxa"/>
            <w:vAlign w:val="bottom"/>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85,698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1,658,332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1,039,414</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3,309,878</w:t>
            </w:r>
          </w:p>
        </w:tc>
      </w:tr>
      <w:tr>
        <w:trPr>
          <w:trHeight w:val="27"/>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Casino</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131,138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724,987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573,828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1,475,058</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103,847</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129,854</w:t>
            </w: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61,889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182,080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237,799</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330,841</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62,453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87,558</w:t>
            </w: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152,081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202,224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386,409</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419,546</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48,960</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9,003</w:t>
            </w: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69,883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4,737</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97,596</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358,012</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276,826</w:t>
            </w: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33,796</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9,704</w:t>
            </w:r>
          </w:p>
        </w:tc>
      </w:tr>
      <w:tr>
        <w:trPr>
          <w:trHeight w:val="27"/>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608,714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1,439,616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1,809,841</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2,835,986</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(523,016)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218,716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(770,427)</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473,892</w:t>
            </w:r>
          </w:p>
        </w:tc>
      </w:tr>
      <w:tr>
        <w:trPr>
          <w:trHeight w:val="27"/>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11,936</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13,552</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(262,045)</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(186,329)</w:t>
            </w: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(18,954)</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(4,813)</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11,715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12,568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5,357</w:t>
            </w:r>
          </w:p>
        </w:tc>
      </w:tr>
      <w:tr>
        <w:trPr>
          <w:trHeight w:val="27"/>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(130,915)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(78,473)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(257,957)</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(172,233)</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(653,931)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140,243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(1,028,384)</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301,659</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(156,738)</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306</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(734,869)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142,234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(1,185,122)</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301,965</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97,305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145,521</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(102,542)</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(637,564)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94,551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(1,039,601)</w:t>
            </w:r>
          </w:p>
        </w:tc>
        <w:tc>
          <w:tcPr>
            <w:tcW w:w="3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199,423</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income (loss) per common share:</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43"/>
        </w:trPr>
        <w:tc>
          <w:tcPr>
            <w:tcW w:w="5660" w:type="dxa"/>
            <w:vAlign w:val="bottom"/>
          </w:tcPr>
          <w:p>
            <w:pPr>
              <w:ind w:left="340"/>
              <w:spacing w:after="0"/>
              <w:rPr>
                <w:sz w:val="20"/>
                <w:szCs w:val="20"/>
                <w:color w:val="auto"/>
              </w:rPr>
            </w:pPr>
            <w:r>
              <w:rPr>
                <w:rFonts w:ascii="Arial" w:cs="Arial" w:eastAsia="Arial" w:hAnsi="Arial"/>
                <w:sz w:val="18"/>
                <w:szCs w:val="18"/>
                <w:color w:val="auto"/>
              </w:rPr>
              <w:t>Net income (loss) attributable to Wynn Resorts, Limited:</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w:t>
            </w: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(9.74)</w:t>
            </w:r>
          </w:p>
        </w:tc>
        <w:tc>
          <w:tcPr>
            <w:tcW w:w="3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1.86</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106,713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106,876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106,688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106,834</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106,713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106,688</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107,089</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1.75</w:t>
            </w: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891" w:right="339" w:bottom="1440" w:gutter="0" w:footer="0" w:header="0"/>
          <w:type w:val="continuous"/>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RECONCILIATION OF NET INCOME (LOSS) ATTRIBUTABLE TO WYNN RESORTS, LIMITED TO ADJUSTED NET INCOME (LOSS) ATTRIBUTABLE TO WYNN RESORTS, LIMITED (in thousands, except per share data)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2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Wynn Resorts, Limited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94,551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(1,039,601)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199,423</w:t>
            </w:r>
          </w:p>
        </w:tc>
        <w:tc>
          <w:tcPr>
            <w:tcW w:w="0" w:type="dxa"/>
            <w:vAlign w:val="bottom"/>
          </w:tcPr>
          <w:p>
            <w:pPr>
              <w:spacing w:after="0"/>
              <w:rPr>
                <w:sz w:val="1"/>
                <w:szCs w:val="1"/>
                <w:color w:val="auto"/>
              </w:rPr>
            </w:pPr>
          </w:p>
        </w:tc>
      </w:tr>
      <w:tr>
        <w:trPr>
          <w:trHeight w:val="243"/>
        </w:trPr>
        <w:tc>
          <w:tcPr>
            <w:tcW w:w="6240" w:type="dxa"/>
            <w:vAlign w:val="bottom"/>
          </w:tcPr>
          <w:p>
            <w:pPr>
              <w:ind w:left="340"/>
              <w:spacing w:after="0"/>
              <w:rPr>
                <w:sz w:val="20"/>
                <w:szCs w:val="20"/>
                <w:color w:val="auto"/>
              </w:rPr>
            </w:pPr>
            <w:r>
              <w:rPr>
                <w:rFonts w:ascii="Arial" w:cs="Arial" w:eastAsia="Arial" w:hAnsi="Arial"/>
                <w:sz w:val="18"/>
                <w:szCs w:val="18"/>
                <w:color w:val="auto"/>
              </w:rPr>
              <w:t>Nonrecurring regulatory expense</w:t>
            </w:r>
          </w:p>
        </w:tc>
        <w:tc>
          <w:tcPr>
            <w:tcW w:w="2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Litigation settlement net gain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ind w:left="340"/>
              <w:spacing w:after="0"/>
              <w:rPr>
                <w:sz w:val="20"/>
                <w:szCs w:val="20"/>
                <w:color w:val="auto"/>
              </w:rPr>
            </w:pPr>
            <w:r>
              <w:rPr>
                <w:rFonts w:ascii="Arial" w:cs="Arial" w:eastAsia="Arial" w:hAnsi="Arial"/>
                <w:sz w:val="18"/>
                <w:szCs w:val="18"/>
                <w:color w:val="auto"/>
              </w:rPr>
              <w:t>Pre-opening expenses</w:t>
            </w:r>
          </w:p>
        </w:tc>
        <w:tc>
          <w:tcPr>
            <w:tcW w:w="2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69,883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4,737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97,596</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33,796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43"/>
        </w:trPr>
        <w:tc>
          <w:tcPr>
            <w:tcW w:w="624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2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18,954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ind w:left="340"/>
              <w:spacing w:after="0"/>
              <w:rPr>
                <w:sz w:val="20"/>
                <w:szCs w:val="20"/>
                <w:color w:val="auto"/>
              </w:rPr>
            </w:pPr>
            <w:r>
              <w:rPr>
                <w:rFonts w:ascii="Arial" w:cs="Arial" w:eastAsia="Arial" w:hAnsi="Arial"/>
                <w:sz w:val="18"/>
                <w:szCs w:val="18"/>
                <w:color w:val="auto"/>
              </w:rPr>
              <w:t>Foreign currency remeasurement gain</w:t>
            </w: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(12,568)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 impact 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(13,043)</w:t>
            </w:r>
          </w:p>
        </w:tc>
        <w:tc>
          <w:tcPr>
            <w:tcW w:w="0" w:type="dxa"/>
            <w:vAlign w:val="bottom"/>
          </w:tcPr>
          <w:p>
            <w:pPr>
              <w:spacing w:after="0"/>
              <w:rPr>
                <w:sz w:val="1"/>
                <w:szCs w:val="1"/>
                <w:color w:val="auto"/>
              </w:rPr>
            </w:pPr>
          </w:p>
        </w:tc>
      </w:tr>
      <w:tr>
        <w:trPr>
          <w:trHeight w:val="243"/>
        </w:trPr>
        <w:tc>
          <w:tcPr>
            <w:tcW w:w="6240" w:type="dxa"/>
            <w:vAlign w:val="bottom"/>
          </w:tcPr>
          <w:p>
            <w:pPr>
              <w:ind w:left="340"/>
              <w:spacing w:after="0"/>
              <w:rPr>
                <w:sz w:val="20"/>
                <w:szCs w:val="20"/>
                <w:color w:val="auto"/>
              </w:rPr>
            </w:pPr>
            <w:r>
              <w:rPr>
                <w:rFonts w:ascii="Arial" w:cs="Arial" w:eastAsia="Arial" w:hAnsi="Arial"/>
                <w:sz w:val="18"/>
                <w:szCs w:val="18"/>
                <w:color w:val="auto"/>
              </w:rPr>
              <w:t>Noncontrolling interests impact on adjustments</w:t>
            </w: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(13,498)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(loss) attributable to Wynn Resorts, Limited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(655,666)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153,905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5"/>
              </w:rPr>
              <w:t>(1,033,586)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326,489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5"/>
              </w:rPr>
              <w:t>Adjusted net income (loss) attributable to Wynn Resorts, Limited per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40" w:type="dxa"/>
            <w:vAlign w:val="bottom"/>
            <w:vMerge w:val="continue"/>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(6.14)</w:t>
            </w:r>
          </w:p>
        </w:tc>
        <w:tc>
          <w:tcPr>
            <w:tcW w:w="10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(9.69)</w:t>
            </w:r>
          </w:p>
        </w:tc>
        <w:tc>
          <w:tcPr>
            <w:tcW w:w="8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3.05</w:t>
            </w:r>
          </w:p>
        </w:tc>
        <w:tc>
          <w:tcPr>
            <w:tcW w:w="0" w:type="dxa"/>
            <w:vAlign w:val="bottom"/>
          </w:tcPr>
          <w:p>
            <w:pPr>
              <w:spacing w:after="0"/>
              <w:rPr>
                <w:sz w:val="1"/>
                <w:szCs w:val="1"/>
                <w:color w:val="auto"/>
              </w:rPr>
            </w:pPr>
          </w:p>
        </w:tc>
      </w:tr>
      <w:tr>
        <w:trPr>
          <w:trHeight w:val="23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share</w:t>
            </w:r>
          </w:p>
        </w:tc>
        <w:tc>
          <w:tcPr>
            <w:tcW w:w="20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106,713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107,141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106,688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107,089</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60" w:hanging="252"/>
        <w:spacing w:after="0" w:line="273" w:lineRule="auto"/>
        <w:tabs>
          <w:tab w:leader="none" w:pos="221"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months ended June 30, 2020, excludes $75.7 million of expense accrued during the first quarter of 2020 related to our commitment to pay salary, tips, and benefits continuation for all of our U.S. employees for the period from April 1 through May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7"/>
              </w:rPr>
              <w:t>Three Months Ended June 30, 2020</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Pre-opening</w:t>
            </w:r>
          </w:p>
        </w:tc>
        <w:tc>
          <w:tcPr>
            <w:tcW w:w="120" w:type="dxa"/>
            <w:vAlign w:val="bottom"/>
          </w:tcPr>
          <w:p>
            <w:pPr>
              <w:spacing w:after="0"/>
              <w:rPr>
                <w:sz w:val="13"/>
                <w:szCs w:val="13"/>
                <w:color w:val="auto"/>
              </w:rPr>
            </w:pPr>
          </w:p>
        </w:tc>
        <w:tc>
          <w:tcPr>
            <w:tcW w:w="10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Depreciation</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Property</w:t>
            </w: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and license fees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other (2)</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9"/>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14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(185,342)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67,222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2,250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1,360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1,994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(110,908)</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(82,646)</w:t>
            </w:r>
          </w:p>
        </w:tc>
        <w:tc>
          <w:tcPr>
            <w:tcW w:w="0" w:type="dxa"/>
            <w:vAlign w:val="bottom"/>
          </w:tcPr>
          <w:p>
            <w:pPr>
              <w:spacing w:after="0"/>
              <w:rPr>
                <w:sz w:val="1"/>
                <w:szCs w:val="1"/>
                <w:color w:val="auto"/>
              </w:rPr>
            </w:pPr>
          </w:p>
        </w:tc>
      </w:tr>
      <w:tr>
        <w:trPr>
          <w:trHeight w:val="196"/>
        </w:trPr>
        <w:tc>
          <w:tcPr>
            <w:tcW w:w="204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(302,368)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91,337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4,500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4,209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6,677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(193,554)</w:t>
            </w: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(136,790)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48,395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2,850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6,945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2,303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(75,564)</w:t>
            </w: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(99,430)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(53,779)</w:t>
            </w:r>
          </w:p>
        </w:tc>
        <w:tc>
          <w:tcPr>
            <w:tcW w:w="0" w:type="dxa"/>
            <w:vAlign w:val="bottom"/>
          </w:tcPr>
          <w:p>
            <w:pPr>
              <w:spacing w:after="0"/>
              <w:rPr>
                <w:sz w:val="1"/>
                <w:szCs w:val="1"/>
                <w:color w:val="auto"/>
              </w:rPr>
            </w:pPr>
          </w:p>
        </w:tc>
      </w:tr>
      <w:tr>
        <w:trPr>
          <w:trHeight w:val="197"/>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1,778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(7,359)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(24,371)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11,206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(523,016)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179,266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21,084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(322,897)</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60" w:hanging="252"/>
        <w:spacing w:after="0" w:line="250" w:lineRule="auto"/>
        <w:tabs>
          <w:tab w:leader="none" w:pos="234"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$56.4 million and $19.3 million of expense accrued during the first quarter of 2020 related to our commitment to pay salary, tips, and benefits continuation for all of our U.S. employees for the period from April 1 through May 15, 2020, for our Las Vegas Operations and Encore Boston Harbor, respectively.</w:t>
      </w: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Corporate and other includes a $27.7 million net gain recorded in relation to a derivative litigation settlement.</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6"/>
              </w:rPr>
              <w:t>Three Months Ended June 30, 2019</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Pre-opening</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Property</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Stock-based</w:t>
            </w:r>
          </w:p>
        </w:tc>
        <w:tc>
          <w:tcPr>
            <w:tcW w:w="140" w:type="dxa"/>
            <w:vAlign w:val="bottom"/>
          </w:tcPr>
          <w:p>
            <w:pPr>
              <w:spacing w:after="0"/>
              <w:rPr>
                <w:sz w:val="13"/>
                <w:szCs w:val="13"/>
                <w:color w:val="auto"/>
              </w:rPr>
            </w:pPr>
          </w:p>
        </w:tc>
        <w:tc>
          <w:tcPr>
            <w:tcW w:w="8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expenses and</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other</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and license fees</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8"/>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20" w:type="dxa"/>
            <w:vAlign w:val="bottom"/>
          </w:tcPr>
          <w:p>
            <w:pPr>
              <w:ind w:left="14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76,044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66,227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(1,409)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23,628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1,447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1,228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167,165</w:t>
            </w:r>
          </w:p>
        </w:tc>
        <w:tc>
          <w:tcPr>
            <w:tcW w:w="0" w:type="dxa"/>
            <w:vAlign w:val="bottom"/>
          </w:tcPr>
          <w:p>
            <w:pPr>
              <w:spacing w:after="0"/>
              <w:rPr>
                <w:sz w:val="1"/>
                <w:szCs w:val="1"/>
                <w:color w:val="auto"/>
              </w:rPr>
            </w:pPr>
          </w:p>
        </w:tc>
      </w:tr>
      <w:tr>
        <w:trPr>
          <w:trHeight w:val="208"/>
        </w:trPr>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128,264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175,873</w:t>
            </w:r>
          </w:p>
        </w:tc>
        <w:tc>
          <w:tcPr>
            <w:tcW w:w="0" w:type="dxa"/>
            <w:vAlign w:val="bottom"/>
          </w:tcPr>
          <w:p>
            <w:pPr>
              <w:spacing w:after="0"/>
              <w:rPr>
                <w:sz w:val="1"/>
                <w:szCs w:val="1"/>
                <w:color w:val="auto"/>
              </w:rPr>
            </w:pPr>
          </w:p>
        </w:tc>
      </w:tr>
      <w:tr>
        <w:trPr>
          <w:trHeight w:val="197"/>
        </w:trPr>
        <w:tc>
          <w:tcPr>
            <w:tcW w:w="2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2,291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200,621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89,267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43,277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5,585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343,038</w:t>
            </w:r>
          </w:p>
        </w:tc>
        <w:tc>
          <w:tcPr>
            <w:tcW w:w="0" w:type="dxa"/>
            <w:vAlign w:val="bottom"/>
          </w:tcPr>
          <w:p>
            <w:pPr>
              <w:spacing w:after="0"/>
              <w:rPr>
                <w:sz w:val="1"/>
                <w:szCs w:val="1"/>
                <w:color w:val="auto"/>
              </w:rPr>
            </w:pPr>
          </w:p>
        </w:tc>
      </w:tr>
      <w:tr>
        <w:trPr>
          <w:trHeight w:val="197"/>
        </w:trPr>
        <w:tc>
          <w:tcPr>
            <w:tcW w:w="202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60,207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44,237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6,274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21,457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3,640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1,584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137,399</w:t>
            </w:r>
          </w:p>
        </w:tc>
        <w:tc>
          <w:tcPr>
            <w:tcW w:w="0" w:type="dxa"/>
            <w:vAlign w:val="bottom"/>
          </w:tcPr>
          <w:p>
            <w:pPr>
              <w:spacing w:after="0"/>
              <w:rPr>
                <w:sz w:val="1"/>
                <w:szCs w:val="1"/>
                <w:color w:val="auto"/>
              </w:rPr>
            </w:pPr>
          </w:p>
        </w:tc>
      </w:tr>
      <w:tr>
        <w:trPr>
          <w:trHeight w:val="208"/>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(83,406)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7"/>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41,294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2,268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(69,841)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21,455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3,932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218,716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69,883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140,269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6,930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35,295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480,583</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89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3"/>
              </w:rPr>
              <w:t>Six Months Ended June 30, 2020</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Pre-opening</w:t>
            </w:r>
          </w:p>
        </w:tc>
        <w:tc>
          <w:tcPr>
            <w:tcW w:w="120" w:type="dxa"/>
            <w:vAlign w:val="bottom"/>
          </w:tcPr>
          <w:p>
            <w:pPr>
              <w:spacing w:after="0"/>
              <w:rPr>
                <w:sz w:val="13"/>
                <w:szCs w:val="13"/>
                <w:color w:val="auto"/>
              </w:rPr>
            </w:pPr>
          </w:p>
        </w:tc>
        <w:tc>
          <w:tcPr>
            <w:tcW w:w="10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Depreciation</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Property</w:t>
            </w: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and license fees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other (1)</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9"/>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(277,004)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134,231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23,292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11,675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2,931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3,528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(100,732)</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(130,239)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46,884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(63,438)</w:t>
            </w: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(6,387)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2,226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3,393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(413,630)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183,341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25,629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22,088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9,604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8,183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(164,170)</w:t>
            </w:r>
          </w:p>
        </w:tc>
        <w:tc>
          <w:tcPr>
            <w:tcW w:w="0" w:type="dxa"/>
            <w:vAlign w:val="bottom"/>
          </w:tcPr>
          <w:p>
            <w:pPr>
              <w:spacing w:after="0"/>
              <w:rPr>
                <w:sz w:val="1"/>
                <w:szCs w:val="1"/>
                <w:color w:val="auto"/>
              </w:rPr>
            </w:pPr>
          </w:p>
        </w:tc>
      </w:tr>
      <w:tr>
        <w:trPr>
          <w:trHeight w:val="197"/>
        </w:trPr>
        <w:tc>
          <w:tcPr>
            <w:tcW w:w="204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(230,227)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2,176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95,640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18,055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13,234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3,672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(97,641)</w:t>
            </w:r>
          </w:p>
        </w:tc>
        <w:tc>
          <w:tcPr>
            <w:tcW w:w="0" w:type="dxa"/>
            <w:vAlign w:val="bottom"/>
          </w:tcPr>
          <w:p>
            <w:pPr>
              <w:spacing w:after="0"/>
              <w:rPr>
                <w:sz w:val="1"/>
                <w:szCs w:val="1"/>
                <w:color w:val="auto"/>
              </w:rPr>
            </w:pPr>
          </w:p>
        </w:tc>
      </w:tr>
      <w:tr>
        <w:trPr>
          <w:trHeight w:val="20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(160,048)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(66,415)</w:t>
            </w:r>
          </w:p>
        </w:tc>
        <w:tc>
          <w:tcPr>
            <w:tcW w:w="0" w:type="dxa"/>
            <w:vAlign w:val="bottom"/>
          </w:tcPr>
          <w:p>
            <w:pPr>
              <w:spacing w:after="0"/>
              <w:rPr>
                <w:sz w:val="1"/>
                <w:szCs w:val="1"/>
                <w:color w:val="auto"/>
              </w:rPr>
            </w:pPr>
          </w:p>
        </w:tc>
      </w:tr>
      <w:tr>
        <w:trPr>
          <w:trHeight w:val="197"/>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33,478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1,946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5,263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4,493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(47,101)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(14,995)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16,916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(770,427)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4,737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358,012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33,796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15,208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30,448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(328,226)</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 Corporate and other includes a $27.7 million net gain recorded in relation to a derivative litigation settlement.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3"/>
              </w:rPr>
              <w:t>Six Months Ended June 30, 2019</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Pre-opening</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Depreciation</w:t>
            </w:r>
          </w:p>
        </w:tc>
        <w:tc>
          <w:tcPr>
            <w:tcW w:w="120" w:type="dxa"/>
            <w:vAlign w:val="bottom"/>
          </w:tcPr>
          <w:p>
            <w:pPr>
              <w:spacing w:after="0"/>
              <w:rPr>
                <w:sz w:val="13"/>
                <w:szCs w:val="13"/>
                <w:color w:val="auto"/>
              </w:rPr>
            </w:pPr>
          </w:p>
        </w:tc>
        <w:tc>
          <w:tcPr>
            <w:tcW w:w="10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Property</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Stock-based</w:t>
            </w:r>
          </w:p>
        </w:tc>
        <w:tc>
          <w:tcPr>
            <w:tcW w:w="160" w:type="dxa"/>
            <w:vAlign w:val="bottom"/>
          </w:tcPr>
          <w:p>
            <w:pPr>
              <w:spacing w:after="0"/>
              <w:rPr>
                <w:sz w:val="13"/>
                <w:szCs w:val="13"/>
                <w:color w:val="auto"/>
              </w:rPr>
            </w:pPr>
          </w:p>
        </w:tc>
        <w:tc>
          <w:tcPr>
            <w:tcW w:w="8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expenses and</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and license fees</w:t>
            </w: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89"/>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201,835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132,293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50,848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2,731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2,333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389,751</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246,661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43,836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38,635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339,762</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Macau</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(6,990)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2,233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4,204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441,506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178,362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89,483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10,277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7,712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729,513</w:t>
            </w: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99,131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88,827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6,784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40,178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7,605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3,176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245,701</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(119,775)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95,979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53,030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4,263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(139,268)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71,696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7,940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473,892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97,596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276,826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9,704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97,844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19,498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975,360</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(LOSS) ATTRIBUTABLE TO WYNN RESORTS, LIMITED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5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4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Wynn Resorts, Limited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(637,564)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94,551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(1,039,601)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199,423</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(97,305)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47,683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(145,521)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102,542</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97,596</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179,266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140,269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358,012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276,826</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33,796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9,704</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Corporate expenses and other</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35,295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15,208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97,844</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19,498</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(13,552)</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133,218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262,045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186,329</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4,813</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(12,568)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(5,357)</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80,938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156,738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(322,897)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480,583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(328,226)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975,360</w:t>
            </w: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2"/>
        <w:spacing w:after="0" w:line="273" w:lineRule="auto"/>
        <w:tabs>
          <w:tab w:leader="none" w:pos="221"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months ended June 30, 2020, excludes $75.7 million of expense accrued during the first quarter of 2020 related to our commitment to pay salary, tips, and benefits continuation for all of our U.S. employees for the period from April 1 through May 15, 2020.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1" w:right="339" w:bottom="1440" w:gutter="0" w:footer="0" w:header="0"/>
        </w:sectPr>
      </w:pPr>
    </w:p>
    <w:bookmarkStart w:id="12" w:name="page13"/>
    <w:bookmarkEnd w:id="12"/>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2"/>
                <w:szCs w:val="12"/>
                <w:color w:val="auto"/>
              </w:rPr>
            </w:pPr>
          </w:p>
        </w:tc>
        <w:tc>
          <w:tcPr>
            <w:tcW w:w="9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Wynn Palace Supplemental</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528,545</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(102.2)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196,148</w:t>
            </w: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1,151,720</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3040" w:type="dxa"/>
            <w:vAlign w:val="bottom"/>
          </w:tcPr>
          <w:p>
            <w:pPr>
              <w:ind w:left="340"/>
              <w:spacing w:after="0"/>
              <w:rPr>
                <w:sz w:val="20"/>
                <w:szCs w:val="20"/>
                <w:color w:val="auto"/>
              </w:rPr>
            </w:pPr>
            <w:r>
              <w:rPr>
                <w:rFonts w:ascii="Arial" w:cs="Arial" w:eastAsia="Arial" w:hAnsi="Arial"/>
                <w:sz w:val="16"/>
                <w:szCs w:val="16"/>
                <w:color w:val="auto"/>
              </w:rPr>
              <w:t>Rooms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2,431</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43,183</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(94.4)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22,141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86,498</w:t>
            </w:r>
          </w:p>
        </w:tc>
        <w:tc>
          <w:tcPr>
            <w:tcW w:w="1120" w:type="dxa"/>
            <w:vAlign w:val="bottom"/>
            <w:gridSpan w:val="3"/>
          </w:tcPr>
          <w:p>
            <w:pPr>
              <w:jc w:val="right"/>
              <w:ind w:right="28"/>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(85.3)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17,529</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57,434</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43"/>
        </w:trPr>
        <w:tc>
          <w:tcPr>
            <w:tcW w:w="3040" w:type="dxa"/>
            <w:vAlign w:val="bottom"/>
          </w:tcPr>
          <w:p>
            <w:pPr>
              <w:ind w:left="340"/>
              <w:spacing w:after="0"/>
              <w:rPr>
                <w:sz w:val="20"/>
                <w:szCs w:val="20"/>
                <w:color w:val="auto"/>
              </w:rPr>
            </w:pPr>
            <w:r>
              <w:rPr>
                <w:rFonts w:ascii="Arial" w:cs="Arial" w:eastAsia="Arial" w:hAnsi="Arial"/>
                <w:sz w:val="16"/>
                <w:szCs w:val="16"/>
                <w:color w:val="auto"/>
              </w:rPr>
              <w:t>Entertainment, retail and other</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13,484</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28,378</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32,413</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59,886</w:t>
            </w:r>
          </w:p>
        </w:tc>
        <w:tc>
          <w:tcPr>
            <w:tcW w:w="1120" w:type="dxa"/>
            <w:vAlign w:val="bottom"/>
            <w:gridSpan w:val="3"/>
          </w:tcPr>
          <w:p>
            <w:pPr>
              <w:jc w:val="right"/>
              <w:ind w:right="28"/>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8,718</w:t>
            </w: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628,916</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(98.6)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268,231</w:t>
            </w: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1,355,538</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(80.2)</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(110,908)</w:t>
            </w: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167,165</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(166.3)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(100,732)</w:t>
            </w: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389,751</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(125.8)</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340"/>
              <w:spacing w:after="0"/>
              <w:rPr>
                <w:sz w:val="20"/>
                <w:szCs w:val="20"/>
                <w:color w:val="auto"/>
              </w:rPr>
            </w:pPr>
            <w:r>
              <w:rPr>
                <w:rFonts w:ascii="Arial" w:cs="Arial" w:eastAsia="Arial" w:hAnsi="Arial"/>
                <w:sz w:val="16"/>
                <w:szCs w:val="16"/>
                <w:color w:val="auto"/>
              </w:rPr>
              <w:t>VIP:</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304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1,719,825</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13,388,646</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6,512,279</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26,015,909</w:t>
            </w:r>
          </w:p>
        </w:tc>
        <w:tc>
          <w:tcPr>
            <w:tcW w:w="1120" w:type="dxa"/>
            <w:vAlign w:val="bottom"/>
            <w:gridSpan w:val="3"/>
          </w:tcPr>
          <w:p>
            <w:pPr>
              <w:jc w:val="right"/>
              <w:ind w:right="28"/>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(29,806)</w:t>
            </w: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404,408</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(107.4)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109,763</w:t>
            </w: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897,592</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0"/>
        </w:trPr>
        <w:tc>
          <w:tcPr>
            <w:tcW w:w="3040" w:type="dxa"/>
            <w:vAlign w:val="bottom"/>
          </w:tcPr>
          <w:p>
            <w:pPr>
              <w:ind w:left="540"/>
              <w:spacing w:after="0"/>
              <w:rPr>
                <w:sz w:val="20"/>
                <w:szCs w:val="20"/>
                <w:color w:val="auto"/>
              </w:rPr>
            </w:pPr>
            <w:r>
              <w:rPr>
                <w:rFonts w:ascii="Arial" w:cs="Arial" w:eastAsia="Arial" w:hAnsi="Arial"/>
                <w:sz w:val="16"/>
                <w:szCs w:val="16"/>
                <w:color w:val="auto"/>
              </w:rPr>
              <w:t>VIP table games win as a % of</w:t>
            </w:r>
          </w:p>
        </w:tc>
        <w:tc>
          <w:tcPr>
            <w:tcW w:w="3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(1.73)</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3.02</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3.45</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40" w:type="dxa"/>
            <w:vAlign w:val="bottom"/>
          </w:tcPr>
          <w:p>
            <w:pPr>
              <w:ind w:left="540"/>
              <w:spacing w:after="0"/>
              <w:rPr>
                <w:sz w:val="20"/>
                <w:szCs w:val="20"/>
                <w:color w:val="auto"/>
              </w:rPr>
            </w:pPr>
            <w:r>
              <w:rPr>
                <w:rFonts w:ascii="Arial" w:cs="Arial" w:eastAsia="Arial" w:hAnsi="Arial"/>
                <w:sz w:val="16"/>
                <w:szCs w:val="16"/>
                <w:color w:val="auto"/>
              </w:rPr>
              <w:t>turnover</w:t>
            </w: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39,827</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(108.2)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44,464</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3"/>
        </w:trPr>
        <w:tc>
          <w:tcPr>
            <w:tcW w:w="304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14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040" w:type="dxa"/>
            <w:vAlign w:val="bottom"/>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22,029</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1,267,153</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497,252</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2,571,076</w:t>
            </w:r>
          </w:p>
        </w:tc>
        <w:tc>
          <w:tcPr>
            <w:tcW w:w="1120" w:type="dxa"/>
            <w:vAlign w:val="bottom"/>
            <w:gridSpan w:val="3"/>
          </w:tcPr>
          <w:p>
            <w:pPr>
              <w:jc w:val="right"/>
              <w:ind w:right="28"/>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296,852</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(97.6)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137,882</w:t>
            </w: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612,320</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304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(97.7)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15,929</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43"/>
        </w:trPr>
        <w:tc>
          <w:tcPr>
            <w:tcW w:w="304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1,099</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1,095</w:t>
            </w:r>
          </w:p>
        </w:tc>
        <w:tc>
          <w:tcPr>
            <w:tcW w:w="1120" w:type="dxa"/>
            <w:vAlign w:val="bottom"/>
            <w:gridSpan w:val="3"/>
          </w:tcPr>
          <w:p>
            <w:pPr>
              <w:jc w:val="right"/>
              <w:ind w:right="28"/>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39,415</w:t>
            </w: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937,842</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(95.8)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464,129</w:t>
            </w: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1,912,890</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3040" w:type="dxa"/>
            <w:vAlign w:val="bottom"/>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2,395</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43,567</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20,800</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94,968</w:t>
            </w:r>
          </w:p>
        </w:tc>
        <w:tc>
          <w:tcPr>
            <w:tcW w:w="1120" w:type="dxa"/>
            <w:vAlign w:val="bottom"/>
            <w:gridSpan w:val="3"/>
          </w:tcPr>
          <w:p>
            <w:pPr>
              <w:jc w:val="right"/>
              <w:ind w:right="28"/>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(87.4)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1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3"/>
        </w:trPr>
        <w:tc>
          <w:tcPr>
            <w:tcW w:w="304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040" w:type="dxa"/>
            <w:vAlign w:val="bottom"/>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1140" w:type="dxa"/>
            <w:vAlign w:val="bottom"/>
            <w:gridSpan w:val="3"/>
          </w:tcPr>
          <w:p>
            <w:pPr>
              <w:jc w:val="right"/>
              <w:ind w:right="88"/>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1120" w:type="dxa"/>
            <w:vAlign w:val="bottom"/>
            <w:gridSpan w:val="3"/>
          </w:tcPr>
          <w:p>
            <w:pPr>
              <w:jc w:val="right"/>
              <w:ind w:right="68"/>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6"/>
        </w:trPr>
        <w:tc>
          <w:tcPr>
            <w:tcW w:w="3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1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1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3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Note: Our casino operations in Macau were closed for a 15-day period in February 2020 and resumed operations on a reduced basis on February 20, 2020. Our casinos’ operations have since been fully restored; however, certain public health safeguards, such as traveler quarantines, limiting the number of seats per table game, slot machine spacing, temperature checks, mask protection, COVID-19 negative test results requirements for entry to gaming areas, and health declarations remain in effect at the present time. We are currently unable to determine when these measures will be lifted.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91" w:right="339" w:bottom="1440" w:gutter="0" w:footer="0" w:header="0"/>
          <w:type w:val="continuous"/>
        </w:sectPr>
      </w:pPr>
    </w:p>
    <w:bookmarkStart w:id="13" w:name="page14"/>
    <w:bookmarkEnd w:id="13"/>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2"/>
                <w:szCs w:val="12"/>
                <w:color w:val="auto"/>
              </w:rPr>
            </w:pPr>
          </w:p>
        </w:tc>
        <w:tc>
          <w:tcPr>
            <w:tcW w:w="9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Wynn Macau Supplemental</w:t>
            </w: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481,204</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(100.7)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186,604</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931,446</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3120" w:type="dxa"/>
            <w:vAlign w:val="bottom"/>
          </w:tcPr>
          <w:p>
            <w:pPr>
              <w:ind w:left="340"/>
              <w:spacing w:after="0"/>
              <w:rPr>
                <w:sz w:val="20"/>
                <w:szCs w:val="20"/>
                <w:color w:val="auto"/>
              </w:rPr>
            </w:pPr>
            <w:r>
              <w:rPr>
                <w:rFonts w:ascii="Arial" w:cs="Arial" w:eastAsia="Arial" w:hAnsi="Arial"/>
                <w:sz w:val="16"/>
                <w:szCs w:val="16"/>
                <w:color w:val="auto"/>
              </w:rPr>
              <w:t>Rooms</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2,631</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26,465</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18,542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55,331</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20,129</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(81.7)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41,105</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3120" w:type="dxa"/>
            <w:vAlign w:val="bottom"/>
          </w:tcPr>
          <w:p>
            <w:pPr>
              <w:ind w:left="340"/>
              <w:spacing w:after="0"/>
              <w:rPr>
                <w:sz w:val="20"/>
                <w:szCs w:val="20"/>
                <w:color w:val="auto"/>
              </w:rPr>
            </w:pPr>
            <w:r>
              <w:rPr>
                <w:rFonts w:ascii="Arial" w:cs="Arial" w:eastAsia="Arial" w:hAnsi="Arial"/>
                <w:sz w:val="16"/>
                <w:szCs w:val="16"/>
                <w:color w:val="auto"/>
              </w:rPr>
              <w:t>Entertainment, retail and other</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9,097</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18,676</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23,016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42,483</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11,888</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546,474</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(97.8)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241,377</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1,070,365</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(77.4)</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(82,646)</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175,873</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(147.0)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(63,438)</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339,762</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(118.7)</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120" w:type="dxa"/>
            <w:vAlign w:val="bottom"/>
          </w:tcPr>
          <w:p>
            <w:pPr>
              <w:ind w:left="340"/>
              <w:spacing w:after="0"/>
              <w:rPr>
                <w:sz w:val="20"/>
                <w:szCs w:val="20"/>
                <w:color w:val="auto"/>
              </w:rPr>
            </w:pPr>
            <w:r>
              <w:rPr>
                <w:rFonts w:ascii="Arial" w:cs="Arial" w:eastAsia="Arial" w:hAnsi="Arial"/>
                <w:sz w:val="16"/>
                <w:szCs w:val="16"/>
                <w:color w:val="auto"/>
              </w:rPr>
              <w:t>VIP:</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(17.3)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312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607,144</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9,275,628</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3,571,290</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19,469,660</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(12,161)</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305,809</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110,464</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601,107</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0"/>
        </w:trPr>
        <w:tc>
          <w:tcPr>
            <w:tcW w:w="3120" w:type="dxa"/>
            <w:vAlign w:val="bottom"/>
          </w:tcPr>
          <w:p>
            <w:pPr>
              <w:ind w:left="540"/>
              <w:spacing w:after="0"/>
              <w:rPr>
                <w:sz w:val="20"/>
                <w:szCs w:val="20"/>
                <w:color w:val="auto"/>
              </w:rPr>
            </w:pPr>
            <w:r>
              <w:rPr>
                <w:rFonts w:ascii="Arial" w:cs="Arial" w:eastAsia="Arial" w:hAnsi="Arial"/>
                <w:sz w:val="16"/>
                <w:szCs w:val="16"/>
                <w:color w:val="auto"/>
              </w:rPr>
              <w:t>VIP table games win as a % of</w:t>
            </w:r>
          </w:p>
        </w:tc>
        <w:tc>
          <w:tcPr>
            <w:tcW w:w="3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3.30</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3.09</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3.09</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120" w:type="dxa"/>
            <w:vAlign w:val="bottom"/>
          </w:tcPr>
          <w:p>
            <w:pPr>
              <w:ind w:left="540"/>
              <w:spacing w:after="0"/>
              <w:rPr>
                <w:sz w:val="20"/>
                <w:szCs w:val="20"/>
                <w:color w:val="auto"/>
              </w:rPr>
            </w:pPr>
            <w:r>
              <w:rPr>
                <w:rFonts w:ascii="Arial" w:cs="Arial" w:eastAsia="Arial" w:hAnsi="Arial"/>
                <w:sz w:val="16"/>
                <w:szCs w:val="16"/>
                <w:color w:val="auto"/>
              </w:rPr>
              <w:t>turnover</w:t>
            </w: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30,560</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29,824</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3"/>
        </w:trPr>
        <w:tc>
          <w:tcPr>
            <w:tcW w:w="312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14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14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120" w:type="dxa"/>
            <w:vAlign w:val="bottom"/>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40,817</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1,347,435</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619,052</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2,699,128</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279,127</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(98.8)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121,333</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543,669</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43"/>
        </w:trPr>
        <w:tc>
          <w:tcPr>
            <w:tcW w:w="312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14,929</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(98.9)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43"/>
        </w:trPr>
        <w:tc>
          <w:tcPr>
            <w:tcW w:w="312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827</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827</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62,011</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925,784</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(93.3)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428,549</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1,720,151</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3"/>
        </w:trPr>
        <w:tc>
          <w:tcPr>
            <w:tcW w:w="3120" w:type="dxa"/>
            <w:vAlign w:val="bottom"/>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2,626</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42,815</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15,921</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80,709</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1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(88.5)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3"/>
        </w:trPr>
        <w:tc>
          <w:tcPr>
            <w:tcW w:w="3120" w:type="dxa"/>
            <w:vAlign w:val="bottom"/>
          </w:tcPr>
          <w:p>
            <w:pPr>
              <w:ind w:left="540"/>
              <w:spacing w:after="0"/>
              <w:rPr>
                <w:sz w:val="20"/>
                <w:szCs w:val="20"/>
                <w:color w:val="auto"/>
              </w:rPr>
            </w:pPr>
            <w:r>
              <w:rPr>
                <w:rFonts w:ascii="Arial" w:cs="Arial" w:eastAsia="Arial" w:hAnsi="Arial"/>
                <w:sz w:val="16"/>
                <w:szCs w:val="16"/>
                <w:color w:val="auto"/>
              </w:rPr>
              <w:t>Poker rake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4,674</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2,083</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10,426</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Room statistics:</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540"/>
              <w:spacing w:after="0"/>
              <w:rPr>
                <w:sz w:val="20"/>
                <w:szCs w:val="20"/>
                <w:color w:val="auto"/>
              </w:rPr>
            </w:pPr>
            <w:r>
              <w:rPr>
                <w:rFonts w:ascii="Arial" w:cs="Arial" w:eastAsia="Arial" w:hAnsi="Arial"/>
                <w:sz w:val="16"/>
                <w:szCs w:val="16"/>
                <w:color w:val="auto"/>
              </w:rPr>
              <w:t>Occupancy</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1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1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3120" w:type="dxa"/>
            <w:vAlign w:val="bottom"/>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278</w:t>
            </w:r>
          </w:p>
        </w:tc>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Note: Our casino operations in Macau were closed for a 15-day period in February 2020 and resumed operations on a reduced basis on February 20, 2020. Our casinos’ operations have since been fully restored; however, certain public health safeguards, such as traveler quarantines, limiting the number of seats per table game, slot machine spacing, temperature checks, mask protection, COVID-19 negative test results requirements for entry to gaming areas, and health declarations remain in effect at the present time. We are currently unable to determine when these measures will be lifted.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91" w:right="339" w:bottom="1440" w:gutter="0" w:footer="0" w:header="0"/>
          <w:type w:val="continuous"/>
        </w:sectPr>
      </w:pPr>
    </w:p>
    <w:bookmarkStart w:id="14" w:name="page15"/>
    <w:bookmarkEnd w:id="14"/>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251"/>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Percent</w:t>
            </w:r>
          </w:p>
        </w:tc>
        <w:tc>
          <w:tcPr>
            <w:tcW w:w="360" w:type="dxa"/>
            <w:vAlign w:val="bottom"/>
          </w:tcPr>
          <w:p>
            <w:pPr>
              <w:spacing w:after="0"/>
              <w:rPr>
                <w:sz w:val="12"/>
                <w:szCs w:val="12"/>
                <w:color w:val="auto"/>
              </w:rPr>
            </w:pP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Las Vegas Operations Supplemental</w:t>
            </w: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24,365</w:t>
            </w:r>
          </w:p>
        </w:tc>
        <w:tc>
          <w:tcPr>
            <w:tcW w:w="7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119,753</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95,660</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231,437</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3140" w:type="dxa"/>
            <w:vAlign w:val="bottom"/>
          </w:tcPr>
          <w:p>
            <w:pPr>
              <w:ind w:left="340"/>
              <w:spacing w:after="0"/>
              <w:rPr>
                <w:sz w:val="20"/>
                <w:szCs w:val="20"/>
                <w:color w:val="auto"/>
              </w:rPr>
            </w:pPr>
            <w:r>
              <w:rPr>
                <w:rFonts w:ascii="Arial" w:cs="Arial" w:eastAsia="Arial" w:hAnsi="Arial"/>
                <w:sz w:val="16"/>
                <w:szCs w:val="16"/>
                <w:color w:val="auto"/>
              </w:rPr>
              <w:t>Rooms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12,353</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127,554</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118,458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246,644</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165,197</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122,071</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288,816</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3140" w:type="dxa"/>
            <w:vAlign w:val="bottom"/>
          </w:tcPr>
          <w:p>
            <w:pPr>
              <w:ind w:left="340"/>
              <w:spacing w:after="0"/>
              <w:rPr>
                <w:sz w:val="20"/>
                <w:szCs w:val="20"/>
                <w:color w:val="auto"/>
              </w:rPr>
            </w:pPr>
            <w:r>
              <w:rPr>
                <w:rFonts w:ascii="Arial" w:cs="Arial" w:eastAsia="Arial" w:hAnsi="Arial"/>
                <w:sz w:val="16"/>
                <w:szCs w:val="16"/>
                <w:color w:val="auto"/>
              </w:rPr>
              <w:t>Entertainment, retail and other</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12,076</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51,638</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52,521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98,278</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64,886</w:t>
            </w:r>
          </w:p>
        </w:tc>
        <w:tc>
          <w:tcPr>
            <w:tcW w:w="7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464,142</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388,710</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865,175</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(55.1)</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89"/>
              </w:rPr>
              <w:t>(75,564)</w:t>
            </w:r>
          </w:p>
        </w:tc>
        <w:tc>
          <w:tcPr>
            <w:tcW w:w="7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137,399</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89"/>
              </w:rPr>
              <w:t>(97,641)</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245,701</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(139.7)</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90,873</w:t>
            </w:r>
          </w:p>
        </w:tc>
        <w:tc>
          <w:tcPr>
            <w:tcW w:w="7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440,766</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505,806</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844,839</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3140" w:type="dxa"/>
            <w:vAlign w:val="bottom"/>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17,918</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126,395</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100,584</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237,765</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2,998</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5,832</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4,152</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5,517</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14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246,393</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811,639</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911,226</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1,600,949</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7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55,128</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64,197</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109,672</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3"/>
        </w:trPr>
        <w:tc>
          <w:tcPr>
            <w:tcW w:w="314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371</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w:t>
            </w:r>
          </w:p>
        </w:tc>
        <w:tc>
          <w:tcPr>
            <w:tcW w:w="1140" w:type="dxa"/>
            <w:vAlign w:val="bottom"/>
            <w:gridSpan w:val="3"/>
          </w:tcPr>
          <w:p>
            <w:pPr>
              <w:jc w:val="right"/>
              <w:ind w:right="88"/>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c>
          <w:tcPr>
            <w:tcW w:w="1140" w:type="dxa"/>
            <w:vAlign w:val="bottom"/>
            <w:gridSpan w:val="3"/>
          </w:tcPr>
          <w:p>
            <w:pPr>
              <w:jc w:val="right"/>
              <w:ind w:right="88"/>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11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3"/>
        </w:trPr>
        <w:tc>
          <w:tcPr>
            <w:tcW w:w="314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140" w:type="dxa"/>
            <w:vAlign w:val="bottom"/>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333</w:t>
            </w:r>
          </w:p>
        </w:tc>
        <w:tc>
          <w:tcPr>
            <w:tcW w:w="1140" w:type="dxa"/>
            <w:vAlign w:val="bottom"/>
            <w:gridSpan w:val="3"/>
          </w:tcPr>
          <w:p>
            <w:pPr>
              <w:jc w:val="right"/>
              <w:ind w:right="28"/>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335</w:t>
            </w:r>
          </w:p>
        </w:tc>
        <w:tc>
          <w:tcPr>
            <w:tcW w:w="1140" w:type="dxa"/>
            <w:vAlign w:val="bottom"/>
            <w:gridSpan w:val="3"/>
          </w:tcPr>
          <w:p>
            <w:pPr>
              <w:jc w:val="right"/>
              <w:ind w:right="88"/>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3"/>
        </w:trPr>
        <w:tc>
          <w:tcPr>
            <w:tcW w:w="3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1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Note: Wynn Las Vegas ceased all operations and closed to the public on March 17, 2020 and reopened on June 4, 2020 with certain health safeguards in place, such as limiting the number of seats per table game, slot machine spacing, temperature checks, mask protection, and suspension of certain entertainment and nightlife offerings. We are currently unable to determine when these measures will be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1" w:right="339" w:bottom="1440" w:gutter="0" w:footer="0" w:header="0"/>
        </w:sectPr>
      </w:pPr>
    </w:p>
    <w:bookmarkStart w:id="15" w:name="page16"/>
    <w:bookmarkEnd w:id="15"/>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82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Percent</w:t>
            </w: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720" w:type="dxa"/>
            <w:vAlign w:val="bottom"/>
          </w:tcPr>
          <w:p>
            <w:pPr>
              <w:ind w:left="120"/>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32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rPr>
              <w:t>Encore Boston Harbor Supplemental</w:t>
            </w:r>
          </w:p>
        </w:tc>
        <w:tc>
          <w:tcPr>
            <w:tcW w:w="3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Information </w:t>
            </w:r>
            <w:r>
              <w:rPr>
                <w:rFonts w:ascii="Arial" w:cs="Arial" w:eastAsia="Arial" w:hAnsi="Arial"/>
                <w:sz w:val="14"/>
                <w:szCs w:val="14"/>
                <w:b w:val="1"/>
                <w:bCs w:val="1"/>
                <w:color w:val="auto"/>
              </w:rPr>
              <w:t>(7)</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13,001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101,790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13,001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340"/>
              <w:spacing w:after="0"/>
              <w:rPr>
                <w:sz w:val="20"/>
                <w:szCs w:val="20"/>
                <w:color w:val="auto"/>
              </w:rPr>
            </w:pPr>
            <w:r>
              <w:rPr>
                <w:rFonts w:ascii="Arial" w:cs="Arial" w:eastAsia="Arial" w:hAnsi="Arial"/>
                <w:sz w:val="16"/>
                <w:szCs w:val="16"/>
                <w:color w:val="auto"/>
              </w:rPr>
              <w:t>Rooms</w:t>
            </w:r>
          </w:p>
        </w:tc>
        <w:tc>
          <w:tcPr>
            <w:tcW w:w="360" w:type="dxa"/>
            <w:vAlign w:val="bottom"/>
          </w:tcPr>
          <w:p>
            <w:pPr>
              <w:spacing w:after="0"/>
              <w:rPr>
                <w:sz w:val="21"/>
                <w:szCs w:val="21"/>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10,955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3,716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20,606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3,716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340"/>
              <w:spacing w:after="0"/>
              <w:rPr>
                <w:sz w:val="20"/>
                <w:szCs w:val="20"/>
                <w:color w:val="auto"/>
              </w:rPr>
            </w:pPr>
            <w:r>
              <w:rPr>
                <w:rFonts w:ascii="Arial" w:cs="Arial" w:eastAsia="Arial" w:hAnsi="Arial"/>
                <w:sz w:val="16"/>
                <w:szCs w:val="16"/>
                <w:color w:val="auto"/>
              </w:rPr>
              <w:t>Entertainment, retail and other</w:t>
            </w:r>
          </w:p>
        </w:tc>
        <w:tc>
          <w:tcPr>
            <w:tcW w:w="360" w:type="dxa"/>
            <w:vAlign w:val="bottom"/>
          </w:tcPr>
          <w:p>
            <w:pPr>
              <w:spacing w:after="0"/>
              <w:rPr>
                <w:sz w:val="21"/>
                <w:szCs w:val="21"/>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7,745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141,096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(53,779)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(66,415)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360" w:type="dxa"/>
            <w:vAlign w:val="bottom"/>
          </w:tcPr>
          <w:p>
            <w:pPr>
              <w:spacing w:after="0"/>
              <w:rPr>
                <w:sz w:val="21"/>
                <w:szCs w:val="21"/>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275,631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57,286</w:t>
            </w:r>
          </w:p>
        </w:tc>
        <w:tc>
          <w:tcPr>
            <w:tcW w:w="1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20.8 %</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4,826</w:t>
            </w:r>
          </w:p>
        </w:tc>
        <w:tc>
          <w:tcPr>
            <w:tcW w:w="1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2,837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767,739</w:t>
            </w:r>
          </w:p>
        </w:tc>
        <w:tc>
          <w:tcPr>
            <w:tcW w:w="1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59,448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5,105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tcPr>
          <w:p>
            <w:pPr>
              <w:ind w:left="340"/>
              <w:spacing w:after="0"/>
              <w:rPr>
                <w:sz w:val="20"/>
                <w:szCs w:val="20"/>
                <w:color w:val="auto"/>
              </w:rPr>
            </w:pPr>
            <w:r>
              <w:rPr>
                <w:rFonts w:ascii="Arial" w:cs="Arial" w:eastAsia="Arial" w:hAnsi="Arial"/>
                <w:sz w:val="16"/>
                <w:szCs w:val="16"/>
                <w:color w:val="auto"/>
              </w:rPr>
              <w:t>Room statistics: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75.8 %</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Note: Encore Boston Harbor ceased all operations and closed to the public on March 15, 2020, for the remainder of the first and second quarters of 2020. On July 12, 2020, Encore Boston Harbor reopened with certain health safeguards in place, such as limiting the number of seats per table game, slot machine spacing, temperature checks, and mask protection. We are currently unable to determine when these measures will be lifted. In addition, the results of the eight days of its operations during the second quarter of 2019 are not considered material to our consolidated results of operations for the three and six months ended June 30, 2019. Accordingly, Encore Boston Harbor key operating measures for the three and six months ended June 30, 2019 have been omitted from the table.</w:t>
      </w:r>
    </w:p>
    <w:p>
      <w:pPr>
        <w:spacing w:after="0" w:line="195" w:lineRule="exact"/>
        <w:rPr>
          <w:sz w:val="20"/>
          <w:szCs w:val="20"/>
          <w:color w:val="auto"/>
        </w:rPr>
      </w:pPr>
    </w:p>
    <w:p>
      <w:pPr>
        <w:ind w:left="260" w:right="20" w:hanging="252"/>
        <w:spacing w:after="0" w:line="250" w:lineRule="auto"/>
        <w:tabs>
          <w:tab w:leader="none" w:pos="222" w:val="left"/>
        </w:tabs>
        <w:numPr>
          <w:ilvl w:val="0"/>
          <w:numId w:val="6"/>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60" w:hanging="252"/>
        <w:spacing w:after="0" w:line="260" w:lineRule="auto"/>
        <w:tabs>
          <w:tab w:leader="none" w:pos="221"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Refer to accompanying reconciliations of Operating Income (Loss) to Adjusted Property EBITDA and Net Income (Loss) Attributable to Wynn Resorts, Limited to Adjusted Property</w:t>
      </w:r>
    </w:p>
    <w:p>
      <w:pPr>
        <w:spacing w:after="0" w:line="12"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4"/>
          <w:szCs w:val="14"/>
          <w:color w:val="auto"/>
        </w:rPr>
        <w:t>EBITDA.</w:t>
      </w:r>
    </w:p>
    <w:p>
      <w:pPr>
        <w:spacing w:after="0" w:line="1" w:lineRule="exact"/>
        <w:rPr>
          <w:rFonts w:ascii="Arial" w:cs="Arial" w:eastAsia="Arial" w:hAnsi="Arial"/>
          <w:sz w:val="13"/>
          <w:szCs w:val="13"/>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Encore Boston Harbor opened on June 23, 2019.</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3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14</w:t>
      </w:r>
    </w:p>
    <w:sectPr>
      <w:pgSz w:w="11900" w:h="16838" w:orient="portrait"/>
      <w:cols w:equalWidth="0" w:num="1">
        <w:col w:w="10139"/>
      </w:cols>
      <w:pgMar w:left="320" w:top="1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2020-08-04T15:11:22Z</dcterms:created>
  <dcterms:modified xsi:type="dcterms:W3CDTF">2020-08-04T15:11:22Z</dcterms:modified>
</cp:coreProperties>
</file>