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Wynn Resorts, Limited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983134107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88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1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6,863,324</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2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00" w:hanging="1138"/>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Fertitta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00" w:hanging="1138"/>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1200" w:hanging="1138"/>
        <w:spacing w:after="0"/>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4000" w:hanging="1117"/>
        <w:spacing w:after="0"/>
        <w:tabs>
          <w:tab w:leader="none" w:pos="4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7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234"/>
        </w:trPr>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Beneficially Owned</w:t>
            </w:r>
          </w:p>
        </w:tc>
        <w:tc>
          <w:tcPr>
            <w:tcW w:w="1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9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77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7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6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8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00" w:hanging="1138"/>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3 of 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left="1280" w:hanging="121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1280" w:hanging="1218"/>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p>
      <w:pPr>
        <w:ind w:left="1280" w:hanging="1218"/>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1280" w:hanging="1218"/>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ind w:left="3620" w:hanging="1007"/>
        <w:spacing w:after="0"/>
        <w:tabs>
          <w:tab w:leader="none" w:pos="3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99,425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8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52"/>
        </w:trPr>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9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6,873,324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Beneficially Owned</w:t>
            </w:r>
          </w:p>
        </w:tc>
        <w:tc>
          <w:tcPr>
            <w:tcW w:w="10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by Each Reporting</w:t>
            </w: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80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8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99,425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8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9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6,873,324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012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6,972,749</w:t>
            </w:r>
          </w:p>
        </w:tc>
        <w:tc>
          <w:tcPr>
            <w:tcW w:w="6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ind w:left="1280" w:hanging="1218"/>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1"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116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4 of 8</w:t>
            </w:r>
          </w:p>
        </w:tc>
      </w:tr>
      <w:tr>
        <w:trPr>
          <w:trHeight w:val="426"/>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(a)</w:t>
            </w:r>
          </w:p>
        </w:tc>
        <w:tc>
          <w:tcPr>
            <w:tcW w:w="3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35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Wynn Resorts, Limited (the “Issuer”).</w:t>
            </w:r>
          </w:p>
        </w:tc>
        <w:tc>
          <w:tcPr>
            <w:tcW w:w="264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194" w:lineRule="exact"/>
        <w:rPr>
          <w:sz w:val="20"/>
          <w:szCs w:val="20"/>
          <w:color w:val="auto"/>
        </w:rPr>
      </w:pPr>
    </w:p>
    <w:p>
      <w:pPr>
        <w:ind w:left="1560" w:hanging="648"/>
        <w:spacing w:after="0"/>
        <w:tabs>
          <w:tab w:leader="none" w:pos="15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3131 Las Vegas Boulevard South, Las Vegas, NV 89109</w:t>
      </w:r>
    </w:p>
    <w:p>
      <w:pPr>
        <w:spacing w:after="0" w:line="221" w:lineRule="exact"/>
        <w:rPr>
          <w:sz w:val="20"/>
          <w:szCs w:val="20"/>
          <w:color w:val="auto"/>
        </w:rPr>
      </w:pPr>
    </w:p>
    <w:p>
      <w:pPr>
        <w:spacing w:after="0"/>
        <w:tabs>
          <w:tab w:leader="none" w:pos="900" w:val="left"/>
          <w:tab w:leader="none" w:pos="1540" w:val="left"/>
        </w:tabs>
        <w:rPr>
          <w:sz w:val="20"/>
          <w:szCs w:val="20"/>
          <w:color w:val="auto"/>
        </w:rPr>
      </w:pPr>
      <w:r>
        <w:rPr>
          <w:rFonts w:ascii="Times New Roman" w:cs="Times New Roman" w:eastAsia="Times New Roman" w:hAnsi="Times New Roman"/>
          <w:sz w:val="18"/>
          <w:szCs w:val="18"/>
          <w:b w:val="1"/>
          <w:bCs w:val="1"/>
          <w:color w:val="auto"/>
        </w:rPr>
        <w:t>ITEM 2.</w:t>
        <w:tab/>
        <w:t>(a)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560" w:right="20" w:firstLine="389"/>
        <w:spacing w:after="0" w:line="282" w:lineRule="auto"/>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 This statement is filed on behalf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Hospitality Headquarters,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Fertitta Entertainment,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Tilman J. Fertitta</w:t>
      </w:r>
    </w:p>
    <w:p>
      <w:pPr>
        <w:spacing w:after="0" w:line="203" w:lineRule="exact"/>
        <w:rPr>
          <w:sz w:val="20"/>
          <w:szCs w:val="20"/>
          <w:color w:val="auto"/>
        </w:rPr>
      </w:pPr>
    </w:p>
    <w:p>
      <w:pPr>
        <w:ind w:left="1560" w:hanging="648"/>
        <w:spacing w:after="0"/>
        <w:tabs>
          <w:tab w:leader="none" w:pos="15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w:t>
      </w:r>
    </w:p>
    <w:p>
      <w:pPr>
        <w:spacing w:after="0" w:line="229" w:lineRule="exact"/>
        <w:rPr>
          <w:sz w:val="20"/>
          <w:szCs w:val="20"/>
          <w:color w:val="auto"/>
        </w:rPr>
      </w:pPr>
    </w:p>
    <w:p>
      <w:pPr>
        <w:ind w:left="1560" w:right="480" w:firstLine="389"/>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each of the Reporting Persons is c/o Fertitta Entertainment, Inc., 1510 West Loop South, Houston, TX 77027.</w:t>
      </w:r>
    </w:p>
    <w:p>
      <w:pPr>
        <w:spacing w:after="0" w:line="158" w:lineRule="exact"/>
        <w:rPr>
          <w:sz w:val="20"/>
          <w:szCs w:val="20"/>
          <w:color w:val="auto"/>
        </w:rPr>
      </w:pPr>
    </w:p>
    <w:p>
      <w:pPr>
        <w:ind w:left="1560" w:hanging="648"/>
        <w:spacing w:after="0"/>
        <w:tabs>
          <w:tab w:leader="none" w:pos="15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of each Reporting Person is:</w:t>
      </w:r>
    </w:p>
    <w:p>
      <w:pPr>
        <w:spacing w:after="0" w:line="229" w:lineRule="exact"/>
        <w:rPr>
          <w:sz w:val="20"/>
          <w:szCs w:val="20"/>
          <w:color w:val="auto"/>
        </w:rPr>
      </w:pPr>
    </w:p>
    <w:p>
      <w:pPr>
        <w:ind w:left="1560" w:right="80" w:firstLine="388"/>
        <w:spacing w:after="0" w:line="282" w:lineRule="auto"/>
        <w:rPr>
          <w:sz w:val="20"/>
          <w:szCs w:val="20"/>
          <w:color w:val="auto"/>
        </w:rPr>
      </w:pPr>
      <w:r>
        <w:rPr>
          <w:rFonts w:ascii="Times New Roman" w:cs="Times New Roman" w:eastAsia="Times New Roman" w:hAnsi="Times New Roman"/>
          <w:sz w:val="18"/>
          <w:szCs w:val="18"/>
          <w:color w:val="auto"/>
        </w:rPr>
        <w:t>Each of Hospitality Headquarters, Inc. and Fertitta Entertainment, Inc. is organized under the laws of the State of Texas. Tilman J. Fertitta is a citizen of the United States.</w:t>
      </w:r>
    </w:p>
    <w:p>
      <w:pPr>
        <w:spacing w:after="0" w:line="158" w:lineRule="exact"/>
        <w:rPr>
          <w:sz w:val="20"/>
          <w:szCs w:val="20"/>
          <w:color w:val="auto"/>
        </w:rPr>
      </w:pPr>
    </w:p>
    <w:p>
      <w:pPr>
        <w:ind w:left="1560" w:hanging="648"/>
        <w:spacing w:after="0"/>
        <w:tabs>
          <w:tab w:leader="none" w:pos="15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Common Stock, par value $0.01 per share (“Common Stock”).</w:t>
      </w:r>
    </w:p>
    <w:p>
      <w:pPr>
        <w:spacing w:after="0" w:line="221" w:lineRule="exact"/>
        <w:rPr>
          <w:sz w:val="20"/>
          <w:szCs w:val="20"/>
          <w:color w:val="auto"/>
        </w:rPr>
      </w:pPr>
    </w:p>
    <w:p>
      <w:pPr>
        <w:ind w:left="1960" w:right="8400" w:hanging="1048"/>
        <w:spacing w:after="0" w:line="530" w:lineRule="auto"/>
        <w:tabs>
          <w:tab w:leader="none" w:pos="1569"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983134107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5 of 8</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(a-c)</w:t>
      </w:r>
    </w:p>
    <w:p>
      <w:pPr>
        <w:spacing w:after="0" w:line="229" w:lineRule="exact"/>
        <w:rPr>
          <w:sz w:val="20"/>
          <w:szCs w:val="20"/>
          <w:color w:val="auto"/>
        </w:rPr>
      </w:pPr>
    </w:p>
    <w:p>
      <w:pPr>
        <w:jc w:val="both"/>
        <w:ind w:left="900" w:right="140" w:firstLine="405"/>
        <w:spacing w:after="0" w:line="266" w:lineRule="auto"/>
        <w:rPr>
          <w:sz w:val="20"/>
          <w:szCs w:val="20"/>
          <w:color w:val="auto"/>
        </w:rPr>
      </w:pPr>
      <w:r>
        <w:rPr>
          <w:rFonts w:ascii="Times New Roman" w:cs="Times New Roman" w:eastAsia="Times New Roman" w:hAnsi="Times New Roman"/>
          <w:sz w:val="18"/>
          <w:szCs w:val="18"/>
          <w:color w:val="auto"/>
        </w:rPr>
        <w:t>The ownership information presented below represents beneficial ownership of Common Stock of the Issuer as of the date of this filing, based upon 112,945,993 shares of Common Stock outstanding as of October 31, 2023, as disclosed in the Issuer’s Quarterly Report on Form 10-Q filed with the Securities and Exchange Commission on November 9,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power to</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power to</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dispose or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dispose or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direct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Shared power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direct the</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vote or to</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disposition</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2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00" w:type="dxa"/>
            <w:vAlign w:val="bottom"/>
          </w:tcPr>
          <w:p>
            <w:pPr>
              <w:spacing w:after="0"/>
              <w:rPr>
                <w:sz w:val="20"/>
                <w:szCs w:val="20"/>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0"/>
        </w:trPr>
        <w:tc>
          <w:tcPr>
            <w:tcW w:w="37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Headquarters, Inc.</w:t>
            </w:r>
          </w:p>
        </w:tc>
        <w:tc>
          <w:tcPr>
            <w:tcW w:w="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6,863,324</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6,863,324</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6,863,324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Fertitta Entertainment, Inc.</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Tilman J. Fertitta</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6,972,749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99,425</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6,873,324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6,873,324</w:t>
            </w:r>
          </w:p>
        </w:tc>
        <w:tc>
          <w:tcPr>
            <w:tcW w:w="0" w:type="dxa"/>
            <w:vAlign w:val="bottom"/>
          </w:tcPr>
          <w:p>
            <w:pPr>
              <w:spacing w:after="0"/>
              <w:rPr>
                <w:sz w:val="1"/>
                <w:szCs w:val="1"/>
                <w:color w:val="auto"/>
              </w:rPr>
            </w:pPr>
          </w:p>
        </w:tc>
      </w:tr>
      <w:tr>
        <w:trPr>
          <w:trHeight w:val="432"/>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Represents less than 0.1%</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right="20" w:firstLine="403"/>
        <w:spacing w:after="0" w:line="276" w:lineRule="auto"/>
        <w:rPr>
          <w:sz w:val="20"/>
          <w:szCs w:val="20"/>
          <w:color w:val="auto"/>
        </w:rPr>
      </w:pPr>
      <w:r>
        <w:rPr>
          <w:rFonts w:ascii="Times New Roman" w:cs="Times New Roman" w:eastAsia="Times New Roman" w:hAnsi="Times New Roman"/>
          <w:sz w:val="17"/>
          <w:szCs w:val="17"/>
          <w:color w:val="auto"/>
        </w:rPr>
        <w:t>The amount of Common Stock reported as beneficially owned above includes (i) 6,863,324 shares of Common Stock that are beneficially owned by Hospitality Headquarters, Inc.; (ii) 10,000 shares of Common Stock that are beneficially owned by Fertitta Entertainment, Inc.; and</w:t>
      </w:r>
    </w:p>
    <w:p>
      <w:pPr>
        <w:spacing w:after="0" w:line="1" w:lineRule="exact"/>
        <w:rPr>
          <w:sz w:val="20"/>
          <w:szCs w:val="20"/>
          <w:color w:val="auto"/>
        </w:rPr>
      </w:pPr>
    </w:p>
    <w:p>
      <w:pPr>
        <w:ind w:left="900" w:right="80" w:firstLine="1"/>
        <w:spacing w:after="0" w:line="255" w:lineRule="auto"/>
        <w:tabs>
          <w:tab w:leader="none" w:pos="1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99,425 shares of Common Stock that are beneficially owned by Mr. Fertitta. Mr. Fertitta is the sole shareholder of Fertitta Entertainment, Inc. and Hospitality Headquarters, Inc. As such, Mr. Fertitta may be deemed to share beneficial ownership of the securities beneficially owned by Fertitta Entertainment, Inc. and Hospitality Headquarters, Inc.</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6 of 8</w:t>
            </w: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7 of 8</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Hospitality Headquarters,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Fertitta Entertainment,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CEO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Tilman J. Fertitta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CUSIP No. 983134107</w:t>
            </w: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Schedule 13G</w:t>
            </w:r>
          </w:p>
        </w:tc>
        <w:tc>
          <w:tcPr>
            <w:tcW w:w="3700" w:type="dxa"/>
            <w:vAlign w:val="bottom"/>
            <w:tcBorders>
              <w:top w:val="single" w:sz="8" w:color="auto"/>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Page 8 of 8</w:t>
            </w:r>
          </w:p>
        </w:tc>
      </w:tr>
      <w:tr>
        <w:trPr>
          <w:trHeight w:val="426"/>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LIST OF EXHIBITS</w:t>
            </w:r>
          </w:p>
        </w:tc>
        <w:tc>
          <w:tcPr>
            <w:tcW w:w="3700" w:type="dxa"/>
            <w:vAlign w:val="bottom"/>
          </w:tcPr>
          <w:p>
            <w:pPr>
              <w:spacing w:after="0"/>
              <w:rPr>
                <w:sz w:val="24"/>
                <w:szCs w:val="24"/>
                <w:color w:val="auto"/>
              </w:rPr>
            </w:pPr>
          </w:p>
        </w:tc>
      </w:tr>
      <w:tr>
        <w:trPr>
          <w:trHeight w:val="432"/>
        </w:trPr>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85"/>
        </w:trPr>
        <w:tc>
          <w:tcPr>
            <w:tcW w:w="66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99</w:t>
              </w:r>
            </w:hyperlink>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Joint Filing Agreement (previously filed).</w:t>
              </w:r>
            </w:hyperlink>
          </w:p>
        </w:tc>
        <w:tc>
          <w:tcPr>
            <w:tcW w:w="294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r>
      <w:tr>
        <w:trPr>
          <w:trHeight w:val="696"/>
        </w:trPr>
        <w:tc>
          <w:tcPr>
            <w:tcW w:w="4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3"/>
      <w:numFmt w:val="bullet"/>
      <w:start w:val="1"/>
    </w:lvl>
  </w:abstractNum>
  <w:abstractNum w:abstractNumId="5">
    <w:nsid w:val="6B68079A"/>
    <w:multiLevelType w:val="hybridMultilevel"/>
    <w:lvl w:ilvl="0">
      <w:lvlJc w:val="left"/>
      <w:lvlText w:val="4"/>
      <w:numFmt w:val="bullet"/>
      <w:start w:val="1"/>
    </w:lvl>
  </w:abstractNum>
  <w:abstractNum w:abstractNumId="6">
    <w:nsid w:val="4E6AFB66"/>
    <w:multiLevelType w:val="hybridMultilevel"/>
    <w:lvl w:ilvl="0">
      <w:lvlJc w:val="left"/>
      <w:lvlText w:val="5"/>
      <w:numFmt w:val="bullet"/>
      <w:start w:val="1"/>
    </w:lvl>
  </w:abstractNum>
  <w:abstractNum w:abstractNumId="7">
    <w:nsid w:val="25E45D32"/>
    <w:multiLevelType w:val="hybridMultilevel"/>
    <w:lvl w:ilvl="0">
      <w:lvlJc w:val="left"/>
      <w:lvlText w:val="%1"/>
      <w:numFmt w:val="decimal"/>
      <w:start w:val="12"/>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3"/>
      <w:numFmt w:val="bullet"/>
      <w:start w:val="1"/>
    </w:lvl>
  </w:abstractNum>
  <w:abstractNum w:abstractNumId="11">
    <w:nsid w:val="7C83E458"/>
    <w:multiLevelType w:val="hybridMultilevel"/>
    <w:lvl w:ilvl="0">
      <w:lvlJc w:val="left"/>
      <w:lvlText w:val="4"/>
      <w:numFmt w:val="bullet"/>
      <w:start w:val="1"/>
    </w:lvl>
  </w:abstractNum>
  <w:abstractNum w:abstractNumId="12">
    <w:nsid w:val="257130A3"/>
    <w:multiLevelType w:val="hybridMultilevel"/>
    <w:lvl w:ilvl="0">
      <w:lvlJc w:val="left"/>
      <w:lvlText w:val="5"/>
      <w:numFmt w:val="bullet"/>
      <w:start w:val="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4"/>
      <w:numFmt w:val="bullet"/>
      <w:start w:val="1"/>
    </w:lvl>
  </w:abstractNum>
  <w:abstractNum w:abstractNumId="18">
    <w:nsid w:val="2443A858"/>
    <w:multiLevelType w:val="hybridMultilevel"/>
    <w:lvl w:ilvl="0">
      <w:lvlJc w:val="left"/>
      <w:lvlText w:val="5"/>
      <w:numFmt w:val="bullet"/>
      <w:start w:val="1"/>
    </w:lvl>
  </w:abstractNum>
  <w:abstractNum w:abstractNumId="19">
    <w:nsid w:val="2D1D5AE9"/>
    <w:multiLevelType w:val="hybridMultilevel"/>
    <w:lvl w:ilvl="0">
      <w:lvlJc w:val="left"/>
      <w:lvlText w:val="%1"/>
      <w:numFmt w:val="decimal"/>
      <w:start w:val="12"/>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lowerLetter"/>
      <w:start w:val="4"/>
    </w:lvl>
  </w:abstractNum>
  <w:abstractNum w:abstractNumId="24">
    <w:nsid w:val="4353D0CD"/>
    <w:multiLevelType w:val="hybridMultilevel"/>
    <w:lvl w:ilvl="0">
      <w:lvlJc w:val="left"/>
      <w:lvlText w:val="(%1)"/>
      <w:numFmt w:val="lowerLetter"/>
      <w:start w:val="5"/>
    </w:lvl>
  </w:abstractNum>
  <w:abstractNum w:abstractNumId="25">
    <w:nsid w:val="B03E0C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hyperlink" Target="https://www.sec.gov/Archives/edgar/data/1080301/000110465922112628/tm2229230d1_ex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2024-02-14T10:34:43Z</dcterms:created>
  <dcterms:modified xsi:type="dcterms:W3CDTF">2024-02-14T10:34:43Z</dcterms:modified>
</cp:coreProperties>
</file>