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8"/>
        <w:spacing w:after="0"/>
        <w:rPr>
          <w:rFonts w:ascii="Arial" w:cs="Arial" w:eastAsia="Arial" w:hAnsi="Arial"/>
          <w:sz w:val="12"/>
          <w:szCs w:val="12"/>
          <w:b w:val="1"/>
          <w:bCs w:val="1"/>
          <w:u w:val="single" w:color="auto"/>
          <w:color w:val="0000EE"/>
        </w:rPr>
      </w:pPr>
      <w:hyperlink w:anchor="page2">
        <w:r>
          <w:rPr>
            <w:rFonts w:ascii="Arial" w:cs="Arial" w:eastAsia="Arial" w:hAnsi="Arial"/>
            <w:sz w:val="12"/>
            <w:szCs w:val="12"/>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136525</wp:posOffset>
            </wp:positionV>
            <wp:extent cx="7292340" cy="571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92340" cy="571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153670</wp:posOffset>
            </wp:positionV>
            <wp:extent cx="7292340" cy="571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92340" cy="5715"/>
                    </a:xfrm>
                    <a:prstGeom prst="rect">
                      <a:avLst/>
                    </a:prstGeom>
                    <a:noFill/>
                  </pic:spPr>
                </pic:pic>
              </a:graphicData>
            </a:graphic>
          </wp:anchor>
        </w:drawing>
      </w:r>
    </w:p>
    <w:p>
      <w:pPr>
        <w:spacing w:after="0" w:line="239" w:lineRule="exact"/>
        <w:rPr>
          <w:sz w:val="24"/>
          <w:szCs w:val="24"/>
          <w:color w:val="auto"/>
        </w:rPr>
      </w:pPr>
    </w:p>
    <w:p>
      <w:pPr>
        <w:jc w:val="center"/>
        <w:ind w:right="-7"/>
        <w:spacing w:after="0"/>
        <w:rPr>
          <w:sz w:val="20"/>
          <w:szCs w:val="20"/>
          <w:color w:val="auto"/>
        </w:rPr>
      </w:pPr>
      <w:r>
        <w:rPr>
          <w:rFonts w:ascii="Arial" w:cs="Arial" w:eastAsia="Arial" w:hAnsi="Arial"/>
          <w:sz w:val="22"/>
          <w:szCs w:val="22"/>
          <w:b w:val="1"/>
          <w:bCs w:val="1"/>
          <w:color w:val="auto"/>
        </w:rPr>
        <w:t>UNITED STATES</w:t>
      </w:r>
    </w:p>
    <w:p>
      <w:pPr>
        <w:spacing w:after="0" w:line="6" w:lineRule="exact"/>
        <w:rPr>
          <w:sz w:val="24"/>
          <w:szCs w:val="24"/>
          <w:color w:val="auto"/>
        </w:rPr>
      </w:pPr>
    </w:p>
    <w:p>
      <w:pPr>
        <w:jc w:val="center"/>
        <w:ind w:right="-7"/>
        <w:spacing w:after="0"/>
        <w:rPr>
          <w:sz w:val="20"/>
          <w:szCs w:val="20"/>
          <w:color w:val="auto"/>
        </w:rPr>
      </w:pPr>
      <w:r>
        <w:rPr>
          <w:rFonts w:ascii="Arial" w:cs="Arial" w:eastAsia="Arial" w:hAnsi="Arial"/>
          <w:sz w:val="22"/>
          <w:szCs w:val="22"/>
          <w:b w:val="1"/>
          <w:bCs w:val="1"/>
          <w:color w:val="auto"/>
        </w:rPr>
        <w:t>SECURITIES AND EXCHANGE COMMISSION</w:t>
      </w:r>
    </w:p>
    <w:p>
      <w:pPr>
        <w:jc w:val="center"/>
        <w:ind w:right="-7"/>
        <w:spacing w:after="0"/>
        <w:rPr>
          <w:sz w:val="20"/>
          <w:szCs w:val="20"/>
          <w:color w:val="auto"/>
        </w:rPr>
      </w:pPr>
      <w:r>
        <w:rPr>
          <w:rFonts w:ascii="Arial" w:cs="Arial" w:eastAsia="Arial" w:hAnsi="Arial"/>
          <w:sz w:val="14"/>
          <w:szCs w:val="14"/>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2882900</wp:posOffset>
            </wp:positionH>
            <wp:positionV relativeFrom="paragraph">
              <wp:posOffset>71120</wp:posOffset>
            </wp:positionV>
            <wp:extent cx="1527175" cy="571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27175" cy="5715"/>
                    </a:xfrm>
                    <a:prstGeom prst="rect">
                      <a:avLst/>
                    </a:prstGeom>
                    <a:noFill/>
                  </pic:spPr>
                </pic:pic>
              </a:graphicData>
            </a:graphic>
          </wp:anchor>
        </w:drawing>
      </w:r>
    </w:p>
    <w:p>
      <w:pPr>
        <w:spacing w:after="0" w:line="109" w:lineRule="exact"/>
        <w:rPr>
          <w:sz w:val="24"/>
          <w:szCs w:val="24"/>
          <w:color w:val="auto"/>
        </w:rPr>
      </w:pPr>
    </w:p>
    <w:p>
      <w:pPr>
        <w:jc w:val="center"/>
        <w:ind w:right="-7"/>
        <w:spacing w:after="0"/>
        <w:rPr>
          <w:sz w:val="20"/>
          <w:szCs w:val="20"/>
          <w:color w:val="auto"/>
        </w:rPr>
      </w:pPr>
      <w:r>
        <w:rPr>
          <w:rFonts w:ascii="Arial" w:cs="Arial" w:eastAsia="Arial" w:hAnsi="Arial"/>
          <w:sz w:val="22"/>
          <w:szCs w:val="22"/>
          <w:b w:val="1"/>
          <w:bCs w:val="1"/>
          <w:color w:val="auto"/>
        </w:rPr>
        <w:t>FORM 10-Q</w:t>
      </w:r>
    </w:p>
    <w:p>
      <w:pPr>
        <w:spacing w:after="0" w:line="44" w:lineRule="exact"/>
        <w:rPr>
          <w:sz w:val="24"/>
          <w:szCs w:val="24"/>
          <w:color w:val="auto"/>
        </w:rPr>
      </w:pPr>
    </w:p>
    <w:p>
      <w:pPr>
        <w:ind w:left="468" w:hanging="468"/>
        <w:spacing w:after="0"/>
        <w:tabs>
          <w:tab w:leader="none" w:pos="468" w:val="left"/>
        </w:tabs>
        <w:numPr>
          <w:ilvl w:val="0"/>
          <w:numId w:val="1"/>
        </w:numPr>
        <w:rPr>
          <w:rFonts w:ascii="MS PGothic" w:cs="MS PGothic" w:eastAsia="MS PGothic" w:hAnsi="MS PGothic"/>
          <w:sz w:val="14"/>
          <w:szCs w:val="14"/>
          <w:color w:val="auto"/>
        </w:rPr>
      </w:pPr>
      <w:r>
        <w:rPr>
          <w:rFonts w:ascii="Arial" w:cs="Arial" w:eastAsia="Arial" w:hAnsi="Arial"/>
          <w:sz w:val="14"/>
          <w:szCs w:val="14"/>
          <w:b w:val="1"/>
          <w:bCs w:val="1"/>
          <w:color w:val="auto"/>
        </w:rPr>
        <w:t>QUARTERLY REPORT PURSUANT TO SECTION 13 OR 15(d) OF THE SECURITIES EXCHANGE ACT OF 1934</w:t>
      </w:r>
    </w:p>
    <w:p>
      <w:pPr>
        <w:spacing w:after="0" w:line="56" w:lineRule="exact"/>
        <w:rPr>
          <w:sz w:val="24"/>
          <w:szCs w:val="24"/>
          <w:color w:val="auto"/>
        </w:rPr>
      </w:pPr>
    </w:p>
    <w:p>
      <w:pPr>
        <w:jc w:val="center"/>
        <w:ind w:right="-7"/>
        <w:spacing w:after="0"/>
        <w:rPr>
          <w:sz w:val="20"/>
          <w:szCs w:val="20"/>
          <w:color w:val="auto"/>
        </w:rPr>
      </w:pPr>
      <w:r>
        <w:rPr>
          <w:rFonts w:ascii="Arial" w:cs="Arial" w:eastAsia="Arial" w:hAnsi="Arial"/>
          <w:sz w:val="12"/>
          <w:szCs w:val="12"/>
          <w:b w:val="1"/>
          <w:bCs w:val="1"/>
          <w:color w:val="auto"/>
        </w:rPr>
        <w:t>For the quarterly period ended September 30, 2013</w:t>
      </w:r>
    </w:p>
    <w:p>
      <w:pPr>
        <w:spacing w:after="0" w:line="42" w:lineRule="exact"/>
        <w:rPr>
          <w:sz w:val="24"/>
          <w:szCs w:val="24"/>
          <w:color w:val="auto"/>
        </w:rPr>
      </w:pPr>
    </w:p>
    <w:p>
      <w:pPr>
        <w:jc w:val="center"/>
        <w:ind w:right="-7"/>
        <w:spacing w:after="0"/>
        <w:rPr>
          <w:sz w:val="20"/>
          <w:szCs w:val="20"/>
          <w:color w:val="auto"/>
        </w:rPr>
      </w:pPr>
      <w:r>
        <w:rPr>
          <w:rFonts w:ascii="Arial" w:cs="Arial" w:eastAsia="Arial" w:hAnsi="Arial"/>
          <w:sz w:val="12"/>
          <w:szCs w:val="12"/>
          <w:b w:val="1"/>
          <w:bCs w:val="1"/>
          <w:color w:val="auto"/>
        </w:rPr>
        <w:t>OR</w:t>
      </w:r>
    </w:p>
    <w:p>
      <w:pPr>
        <w:spacing w:after="0" w:line="41" w:lineRule="exact"/>
        <w:rPr>
          <w:sz w:val="24"/>
          <w:szCs w:val="24"/>
          <w:color w:val="auto"/>
        </w:rPr>
      </w:pPr>
    </w:p>
    <w:p>
      <w:pPr>
        <w:ind w:left="468" w:hanging="468"/>
        <w:spacing w:after="0"/>
        <w:tabs>
          <w:tab w:leader="none" w:pos="468" w:val="left"/>
        </w:tabs>
        <w:numPr>
          <w:ilvl w:val="0"/>
          <w:numId w:val="2"/>
        </w:numPr>
        <w:rPr>
          <w:rFonts w:ascii="MS PGothic" w:cs="MS PGothic" w:eastAsia="MS PGothic" w:hAnsi="MS PGothic"/>
          <w:sz w:val="14"/>
          <w:szCs w:val="14"/>
          <w:color w:val="auto"/>
        </w:rPr>
      </w:pPr>
      <w:r>
        <w:rPr>
          <w:rFonts w:ascii="Arial" w:cs="Arial" w:eastAsia="Arial" w:hAnsi="Arial"/>
          <w:sz w:val="14"/>
          <w:szCs w:val="14"/>
          <w:b w:val="1"/>
          <w:bCs w:val="1"/>
          <w:color w:val="auto"/>
        </w:rPr>
        <w:t>TRANSITION REPORT PURSUANT TO SECTION 13 OR 15(d) OF THE SECURITIES EXCHANGE ACT OF 1934</w:t>
      </w:r>
    </w:p>
    <w:p>
      <w:pPr>
        <w:spacing w:after="0" w:line="44" w:lineRule="exact"/>
        <w:rPr>
          <w:sz w:val="24"/>
          <w:szCs w:val="24"/>
          <w:color w:val="auto"/>
        </w:rPr>
      </w:pPr>
    </w:p>
    <w:tbl>
      <w:tblPr>
        <w:tblLayout w:type="fixed"/>
        <w:tblInd w:w="4308" w:type="dxa"/>
        <w:tblCellMar>
          <w:top w:w="0" w:type="dxa"/>
          <w:left w:w="0" w:type="dxa"/>
          <w:bottom w:w="0" w:type="dxa"/>
          <w:right w:w="0" w:type="dxa"/>
        </w:tblCellMar>
      </w:tblPr>
      <w:tr>
        <w:trPr>
          <w:trHeight w:val="138"/>
        </w:trPr>
        <w:tc>
          <w:tcPr>
            <w:tcW w:w="1540" w:type="dxa"/>
            <w:vAlign w:val="bottom"/>
          </w:tcPr>
          <w:p>
            <w:pPr>
              <w:spacing w:after="0"/>
              <w:rPr>
                <w:sz w:val="20"/>
                <w:szCs w:val="20"/>
                <w:color w:val="auto"/>
              </w:rPr>
            </w:pPr>
            <w:r>
              <w:rPr>
                <w:rFonts w:ascii="Arial" w:cs="Arial" w:eastAsia="Arial" w:hAnsi="Arial"/>
                <w:sz w:val="12"/>
                <w:szCs w:val="12"/>
                <w:b w:val="1"/>
                <w:bCs w:val="1"/>
                <w:color w:val="auto"/>
                <w:w w:val="90"/>
              </w:rPr>
              <w:t>For the transition period from</w:t>
            </w:r>
          </w:p>
        </w:tc>
        <w:tc>
          <w:tcPr>
            <w:tcW w:w="580" w:type="dxa"/>
            <w:vAlign w:val="bottom"/>
            <w:tcBorders>
              <w:bottom w:val="single" w:sz="8" w:color="auto"/>
            </w:tcBorders>
          </w:tcPr>
          <w:p>
            <w:pPr>
              <w:spacing w:after="0"/>
              <w:rPr>
                <w:sz w:val="12"/>
                <w:szCs w:val="12"/>
                <w:color w:val="auto"/>
              </w:rPr>
            </w:pPr>
          </w:p>
        </w:tc>
        <w:tc>
          <w:tcPr>
            <w:tcW w:w="140" w:type="dxa"/>
            <w:vAlign w:val="bottom"/>
          </w:tcPr>
          <w:p>
            <w:pPr>
              <w:ind w:left="40"/>
              <w:spacing w:after="0"/>
              <w:rPr>
                <w:sz w:val="20"/>
                <w:szCs w:val="20"/>
                <w:color w:val="auto"/>
              </w:rPr>
            </w:pPr>
            <w:r>
              <w:rPr>
                <w:rFonts w:ascii="Arial" w:cs="Arial" w:eastAsia="Arial" w:hAnsi="Arial"/>
                <w:sz w:val="12"/>
                <w:szCs w:val="12"/>
                <w:b w:val="1"/>
                <w:bCs w:val="1"/>
                <w:color w:val="auto"/>
                <w:w w:val="70"/>
              </w:rPr>
              <w:t>to</w:t>
            </w:r>
          </w:p>
        </w:tc>
      </w:tr>
      <w:tr>
        <w:trPr>
          <w:trHeight w:val="185"/>
        </w:trPr>
        <w:tc>
          <w:tcPr>
            <w:tcW w:w="2260" w:type="dxa"/>
            <w:vAlign w:val="bottom"/>
            <w:gridSpan w:val="3"/>
          </w:tcPr>
          <w:p>
            <w:pPr>
              <w:ind w:left="640"/>
              <w:spacing w:after="0"/>
              <w:rPr>
                <w:sz w:val="20"/>
                <w:szCs w:val="20"/>
                <w:color w:val="auto"/>
              </w:rPr>
            </w:pPr>
            <w:r>
              <w:rPr>
                <w:rFonts w:ascii="Arial" w:cs="Arial" w:eastAsia="Arial" w:hAnsi="Arial"/>
                <w:sz w:val="12"/>
                <w:szCs w:val="12"/>
                <w:b w:val="1"/>
                <w:bCs w:val="1"/>
                <w:color w:val="auto"/>
                <w:w w:val="89"/>
              </w:rPr>
              <w:t>Commission File No. 000-50028</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2882900</wp:posOffset>
            </wp:positionH>
            <wp:positionV relativeFrom="paragraph">
              <wp:posOffset>64135</wp:posOffset>
            </wp:positionV>
            <wp:extent cx="1527175" cy="57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27175" cy="5715"/>
                    </a:xfrm>
                    <a:prstGeom prst="rect">
                      <a:avLst/>
                    </a:prstGeom>
                    <a:noFill/>
                  </pic:spPr>
                </pic:pic>
              </a:graphicData>
            </a:graphic>
          </wp:anchor>
        </w:drawing>
        <w:drawing>
          <wp:anchor simplePos="0" relativeHeight="251657728" behindDoc="1" locked="0" layoutInCell="0" allowOverlap="1">
            <wp:simplePos x="0" y="0"/>
            <wp:positionH relativeFrom="column">
              <wp:posOffset>4166870</wp:posOffset>
            </wp:positionH>
            <wp:positionV relativeFrom="paragraph">
              <wp:posOffset>-129540</wp:posOffset>
            </wp:positionV>
            <wp:extent cx="390525" cy="57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90525" cy="5715"/>
                    </a:xfrm>
                    <a:prstGeom prst="rect">
                      <a:avLst/>
                    </a:prstGeom>
                    <a:noFill/>
                  </pic:spPr>
                </pic:pic>
              </a:graphicData>
            </a:graphic>
          </wp:anchor>
        </w:drawing>
      </w:r>
    </w:p>
    <w:p>
      <w:pPr>
        <w:spacing w:after="0" w:line="99" w:lineRule="exact"/>
        <w:rPr>
          <w:sz w:val="24"/>
          <w:szCs w:val="24"/>
          <w:color w:val="auto"/>
        </w:rPr>
      </w:pPr>
    </w:p>
    <w:tbl>
      <w:tblPr>
        <w:tblLayout w:type="fixed"/>
        <w:tblInd w:w="2288" w:type="dxa"/>
        <w:tblCellMar>
          <w:top w:w="0" w:type="dxa"/>
          <w:left w:w="0" w:type="dxa"/>
          <w:bottom w:w="0" w:type="dxa"/>
          <w:right w:w="0" w:type="dxa"/>
        </w:tblCellMar>
      </w:tblPr>
      <w:tr>
        <w:trPr>
          <w:trHeight w:val="353"/>
        </w:trPr>
        <w:tc>
          <w:tcPr>
            <w:tcW w:w="1380" w:type="dxa"/>
            <w:vAlign w:val="bottom"/>
          </w:tcPr>
          <w:p>
            <w:pPr>
              <w:spacing w:after="0"/>
              <w:rPr>
                <w:sz w:val="24"/>
                <w:szCs w:val="24"/>
                <w:color w:val="auto"/>
              </w:rPr>
            </w:pPr>
          </w:p>
        </w:tc>
        <w:tc>
          <w:tcPr>
            <w:tcW w:w="5400" w:type="dxa"/>
            <w:vAlign w:val="bottom"/>
            <w:gridSpan w:val="3"/>
          </w:tcPr>
          <w:p>
            <w:pPr>
              <w:jc w:val="center"/>
              <w:ind w:right="1215"/>
              <w:spacing w:after="0"/>
              <w:rPr>
                <w:sz w:val="20"/>
                <w:szCs w:val="20"/>
                <w:color w:val="auto"/>
              </w:rPr>
            </w:pPr>
            <w:r>
              <w:rPr>
                <w:rFonts w:ascii="Arial" w:cs="Arial" w:eastAsia="Arial" w:hAnsi="Arial"/>
                <w:sz w:val="29"/>
                <w:szCs w:val="29"/>
                <w:b w:val="1"/>
                <w:bCs w:val="1"/>
                <w:color w:val="auto"/>
              </w:rPr>
              <w:t>WYNN RESORTS, LIMITED</w:t>
            </w:r>
          </w:p>
        </w:tc>
      </w:tr>
      <w:tr>
        <w:trPr>
          <w:trHeight w:val="150"/>
        </w:trPr>
        <w:tc>
          <w:tcPr>
            <w:tcW w:w="1380" w:type="dxa"/>
            <w:vAlign w:val="bottom"/>
          </w:tcPr>
          <w:p>
            <w:pPr>
              <w:spacing w:after="0"/>
              <w:rPr>
                <w:sz w:val="13"/>
                <w:szCs w:val="13"/>
                <w:color w:val="auto"/>
              </w:rPr>
            </w:pPr>
          </w:p>
        </w:tc>
        <w:tc>
          <w:tcPr>
            <w:tcW w:w="5400" w:type="dxa"/>
            <w:vAlign w:val="bottom"/>
            <w:gridSpan w:val="3"/>
          </w:tcPr>
          <w:p>
            <w:pPr>
              <w:jc w:val="center"/>
              <w:ind w:right="1215"/>
              <w:spacing w:after="0"/>
              <w:rPr>
                <w:sz w:val="20"/>
                <w:szCs w:val="20"/>
                <w:color w:val="auto"/>
              </w:rPr>
            </w:pPr>
            <w:r>
              <w:rPr>
                <w:rFonts w:ascii="Arial" w:cs="Arial" w:eastAsia="Arial" w:hAnsi="Arial"/>
                <w:sz w:val="12"/>
                <w:szCs w:val="12"/>
                <w:b w:val="1"/>
                <w:bCs w:val="1"/>
                <w:color w:val="auto"/>
                <w:w w:val="87"/>
              </w:rPr>
              <w:t>(Exact name of registrant as specified in its charter)</w:t>
            </w:r>
          </w:p>
        </w:tc>
      </w:tr>
      <w:tr>
        <w:trPr>
          <w:trHeight w:val="182"/>
        </w:trPr>
        <w:tc>
          <w:tcPr>
            <w:tcW w:w="1380" w:type="dxa"/>
            <w:vAlign w:val="bottom"/>
          </w:tcPr>
          <w:p>
            <w:pPr>
              <w:jc w:val="center"/>
              <w:ind w:right="150"/>
              <w:spacing w:after="0"/>
              <w:rPr>
                <w:sz w:val="20"/>
                <w:szCs w:val="20"/>
                <w:color w:val="auto"/>
              </w:rPr>
            </w:pPr>
            <w:r>
              <w:rPr>
                <w:rFonts w:ascii="Arial" w:cs="Arial" w:eastAsia="Arial" w:hAnsi="Arial"/>
                <w:sz w:val="12"/>
                <w:szCs w:val="12"/>
                <w:b w:val="1"/>
                <w:bCs w:val="1"/>
                <w:color w:val="auto"/>
              </w:rPr>
              <w:t>N</w:t>
            </w:r>
            <w:r>
              <w:rPr>
                <w:rFonts w:ascii="Arial" w:cs="Arial" w:eastAsia="Arial" w:hAnsi="Arial"/>
                <w:sz w:val="9"/>
                <w:szCs w:val="9"/>
                <w:b w:val="1"/>
                <w:bCs w:val="1"/>
                <w:color w:val="auto"/>
              </w:rPr>
              <w:t>EVADA</w:t>
            </w:r>
          </w:p>
        </w:tc>
        <w:tc>
          <w:tcPr>
            <w:tcW w:w="5400" w:type="dxa"/>
            <w:vAlign w:val="bottom"/>
            <w:gridSpan w:val="3"/>
          </w:tcPr>
          <w:p>
            <w:pPr>
              <w:jc w:val="center"/>
              <w:ind w:left="4649"/>
              <w:spacing w:after="0"/>
              <w:rPr>
                <w:sz w:val="20"/>
                <w:szCs w:val="20"/>
                <w:color w:val="auto"/>
              </w:rPr>
            </w:pPr>
            <w:r>
              <w:rPr>
                <w:rFonts w:ascii="Arial" w:cs="Arial" w:eastAsia="Arial" w:hAnsi="Arial"/>
                <w:sz w:val="12"/>
                <w:szCs w:val="12"/>
                <w:b w:val="1"/>
                <w:bCs w:val="1"/>
                <w:color w:val="auto"/>
                <w:w w:val="87"/>
              </w:rPr>
              <w:t>46-0484987</w:t>
            </w:r>
          </w:p>
        </w:tc>
      </w:tr>
      <w:tr>
        <w:trPr>
          <w:trHeight w:val="99"/>
        </w:trPr>
        <w:tc>
          <w:tcPr>
            <w:tcW w:w="1380" w:type="dxa"/>
            <w:vAlign w:val="bottom"/>
          </w:tcPr>
          <w:p>
            <w:pPr>
              <w:jc w:val="center"/>
              <w:ind w:right="170"/>
              <w:spacing w:after="0" w:line="99" w:lineRule="exact"/>
              <w:rPr>
                <w:sz w:val="20"/>
                <w:szCs w:val="20"/>
                <w:color w:val="auto"/>
              </w:rPr>
            </w:pPr>
            <w:r>
              <w:rPr>
                <w:rFonts w:ascii="Arial" w:cs="Arial" w:eastAsia="Arial" w:hAnsi="Arial"/>
                <w:sz w:val="9"/>
                <w:szCs w:val="9"/>
                <w:b w:val="1"/>
                <w:bCs w:val="1"/>
                <w:color w:val="auto"/>
                <w:w w:val="90"/>
              </w:rPr>
              <w:t>(State or other jurisdiction of</w:t>
            </w:r>
          </w:p>
        </w:tc>
        <w:tc>
          <w:tcPr>
            <w:tcW w:w="880" w:type="dxa"/>
            <w:vAlign w:val="bottom"/>
          </w:tcPr>
          <w:p>
            <w:pPr>
              <w:spacing w:after="0"/>
              <w:rPr>
                <w:sz w:val="8"/>
                <w:szCs w:val="8"/>
                <w:color w:val="auto"/>
              </w:rPr>
            </w:pPr>
          </w:p>
        </w:tc>
        <w:tc>
          <w:tcPr>
            <w:tcW w:w="2400" w:type="dxa"/>
            <w:vAlign w:val="bottom"/>
          </w:tcPr>
          <w:p>
            <w:pPr>
              <w:spacing w:after="0"/>
              <w:rPr>
                <w:sz w:val="8"/>
                <w:szCs w:val="8"/>
                <w:color w:val="auto"/>
              </w:rPr>
            </w:pPr>
          </w:p>
        </w:tc>
        <w:tc>
          <w:tcPr>
            <w:tcW w:w="2120" w:type="dxa"/>
            <w:vAlign w:val="bottom"/>
          </w:tcPr>
          <w:p>
            <w:pPr>
              <w:jc w:val="center"/>
              <w:ind w:left="1395"/>
              <w:spacing w:after="0" w:line="99" w:lineRule="exact"/>
              <w:rPr>
                <w:sz w:val="20"/>
                <w:szCs w:val="20"/>
                <w:color w:val="auto"/>
              </w:rPr>
            </w:pPr>
            <w:r>
              <w:rPr>
                <w:rFonts w:ascii="Arial" w:cs="Arial" w:eastAsia="Arial" w:hAnsi="Arial"/>
                <w:sz w:val="9"/>
                <w:szCs w:val="9"/>
                <w:b w:val="1"/>
                <w:bCs w:val="1"/>
                <w:color w:val="auto"/>
                <w:w w:val="92"/>
              </w:rPr>
              <w:t>(I.R.S. Employer</w:t>
            </w:r>
          </w:p>
        </w:tc>
      </w:tr>
      <w:tr>
        <w:trPr>
          <w:trHeight w:val="116"/>
        </w:trPr>
        <w:tc>
          <w:tcPr>
            <w:tcW w:w="1380" w:type="dxa"/>
            <w:vAlign w:val="bottom"/>
          </w:tcPr>
          <w:p>
            <w:pPr>
              <w:jc w:val="center"/>
              <w:ind w:right="170"/>
              <w:spacing w:after="0"/>
              <w:rPr>
                <w:sz w:val="20"/>
                <w:szCs w:val="20"/>
                <w:color w:val="auto"/>
              </w:rPr>
            </w:pPr>
            <w:r>
              <w:rPr>
                <w:rFonts w:ascii="Arial" w:cs="Arial" w:eastAsia="Arial" w:hAnsi="Arial"/>
                <w:sz w:val="9"/>
                <w:szCs w:val="9"/>
                <w:b w:val="1"/>
                <w:bCs w:val="1"/>
                <w:color w:val="auto"/>
                <w:w w:val="90"/>
              </w:rPr>
              <w:t>incorporation or organization)</w:t>
            </w:r>
          </w:p>
        </w:tc>
        <w:tc>
          <w:tcPr>
            <w:tcW w:w="88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2120" w:type="dxa"/>
            <w:vAlign w:val="bottom"/>
          </w:tcPr>
          <w:p>
            <w:pPr>
              <w:jc w:val="center"/>
              <w:ind w:left="1375"/>
              <w:spacing w:after="0"/>
              <w:rPr>
                <w:sz w:val="20"/>
                <w:szCs w:val="20"/>
                <w:color w:val="auto"/>
              </w:rPr>
            </w:pPr>
            <w:r>
              <w:rPr>
                <w:rFonts w:ascii="Arial" w:cs="Arial" w:eastAsia="Arial" w:hAnsi="Arial"/>
                <w:sz w:val="9"/>
                <w:szCs w:val="9"/>
                <w:b w:val="1"/>
                <w:bCs w:val="1"/>
                <w:color w:val="auto"/>
                <w:w w:val="92"/>
              </w:rPr>
              <w:t>Identification No.)</w:t>
            </w:r>
          </w:p>
        </w:tc>
      </w:tr>
      <w:tr>
        <w:trPr>
          <w:trHeight w:val="163"/>
        </w:trPr>
        <w:tc>
          <w:tcPr>
            <w:tcW w:w="1380" w:type="dxa"/>
            <w:vAlign w:val="bottom"/>
          </w:tcPr>
          <w:p>
            <w:pPr>
              <w:spacing w:after="0"/>
              <w:rPr>
                <w:sz w:val="14"/>
                <w:szCs w:val="14"/>
                <w:color w:val="auto"/>
              </w:rPr>
            </w:pPr>
          </w:p>
        </w:tc>
        <w:tc>
          <w:tcPr>
            <w:tcW w:w="5400" w:type="dxa"/>
            <w:vAlign w:val="bottom"/>
            <w:gridSpan w:val="3"/>
          </w:tcPr>
          <w:p>
            <w:pPr>
              <w:jc w:val="center"/>
              <w:ind w:right="1215"/>
              <w:spacing w:after="0"/>
              <w:rPr>
                <w:sz w:val="20"/>
                <w:szCs w:val="20"/>
                <w:color w:val="auto"/>
              </w:rPr>
            </w:pPr>
            <w:r>
              <w:rPr>
                <w:rFonts w:ascii="Arial" w:cs="Arial" w:eastAsia="Arial" w:hAnsi="Arial"/>
                <w:sz w:val="12"/>
                <w:szCs w:val="12"/>
                <w:b w:val="1"/>
                <w:bCs w:val="1"/>
                <w:color w:val="auto"/>
                <w:w w:val="86"/>
              </w:rPr>
              <w:t>3131 Las Vegas Boulevard South - Las Vegas, Nevada 89109</w:t>
            </w:r>
          </w:p>
        </w:tc>
      </w:tr>
      <w:tr>
        <w:trPr>
          <w:trHeight w:val="116"/>
        </w:trPr>
        <w:tc>
          <w:tcPr>
            <w:tcW w:w="138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4520" w:type="dxa"/>
            <w:vAlign w:val="bottom"/>
            <w:gridSpan w:val="2"/>
          </w:tcPr>
          <w:p>
            <w:pPr>
              <w:jc w:val="center"/>
              <w:ind w:right="2095"/>
              <w:spacing w:after="0"/>
              <w:rPr>
                <w:sz w:val="20"/>
                <w:szCs w:val="20"/>
                <w:color w:val="auto"/>
              </w:rPr>
            </w:pPr>
            <w:r>
              <w:rPr>
                <w:rFonts w:ascii="Arial" w:cs="Arial" w:eastAsia="Arial" w:hAnsi="Arial"/>
                <w:sz w:val="9"/>
                <w:szCs w:val="9"/>
                <w:b w:val="1"/>
                <w:bCs w:val="1"/>
                <w:color w:val="auto"/>
                <w:w w:val="90"/>
              </w:rPr>
              <w:t>(Address of principal executive offices) (Zip Code)</w:t>
            </w:r>
          </w:p>
        </w:tc>
      </w:tr>
      <w:tr>
        <w:trPr>
          <w:trHeight w:val="163"/>
        </w:trPr>
        <w:tc>
          <w:tcPr>
            <w:tcW w:w="1380" w:type="dxa"/>
            <w:vAlign w:val="bottom"/>
          </w:tcPr>
          <w:p>
            <w:pPr>
              <w:spacing w:after="0"/>
              <w:rPr>
                <w:sz w:val="14"/>
                <w:szCs w:val="14"/>
                <w:color w:val="auto"/>
              </w:rPr>
            </w:pPr>
          </w:p>
        </w:tc>
        <w:tc>
          <w:tcPr>
            <w:tcW w:w="3280" w:type="dxa"/>
            <w:vAlign w:val="bottom"/>
            <w:gridSpan w:val="2"/>
          </w:tcPr>
          <w:p>
            <w:pPr>
              <w:jc w:val="center"/>
              <w:ind w:left="789"/>
              <w:spacing w:after="0"/>
              <w:rPr>
                <w:sz w:val="20"/>
                <w:szCs w:val="20"/>
                <w:color w:val="auto"/>
              </w:rPr>
            </w:pPr>
            <w:r>
              <w:rPr>
                <w:rFonts w:ascii="Arial" w:cs="Arial" w:eastAsia="Arial" w:hAnsi="Arial"/>
                <w:sz w:val="12"/>
                <w:szCs w:val="12"/>
                <w:b w:val="1"/>
                <w:bCs w:val="1"/>
                <w:color w:val="auto"/>
                <w:w w:val="90"/>
              </w:rPr>
              <w:t>(702) 770-7555</w:t>
            </w:r>
          </w:p>
        </w:tc>
        <w:tc>
          <w:tcPr>
            <w:tcW w:w="2120" w:type="dxa"/>
            <w:vAlign w:val="bottom"/>
          </w:tcPr>
          <w:p>
            <w:pPr>
              <w:spacing w:after="0"/>
              <w:rPr>
                <w:sz w:val="14"/>
                <w:szCs w:val="14"/>
                <w:color w:val="auto"/>
              </w:rPr>
            </w:pPr>
          </w:p>
        </w:tc>
      </w:tr>
      <w:tr>
        <w:trPr>
          <w:trHeight w:val="116"/>
        </w:trPr>
        <w:tc>
          <w:tcPr>
            <w:tcW w:w="138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4520" w:type="dxa"/>
            <w:vAlign w:val="bottom"/>
            <w:gridSpan w:val="2"/>
          </w:tcPr>
          <w:p>
            <w:pPr>
              <w:jc w:val="center"/>
              <w:ind w:right="2075"/>
              <w:spacing w:after="0"/>
              <w:rPr>
                <w:sz w:val="20"/>
                <w:szCs w:val="20"/>
                <w:color w:val="auto"/>
              </w:rPr>
            </w:pPr>
            <w:r>
              <w:rPr>
                <w:rFonts w:ascii="Arial" w:cs="Arial" w:eastAsia="Arial" w:hAnsi="Arial"/>
                <w:sz w:val="9"/>
                <w:szCs w:val="9"/>
                <w:b w:val="1"/>
                <w:bCs w:val="1"/>
                <w:color w:val="auto"/>
                <w:w w:val="89"/>
              </w:rPr>
              <w:t>(Registrant’s telephone number, including area code)</w:t>
            </w:r>
          </w:p>
        </w:tc>
      </w:tr>
      <w:tr>
        <w:trPr>
          <w:trHeight w:val="91"/>
        </w:trPr>
        <w:tc>
          <w:tcPr>
            <w:tcW w:w="1380" w:type="dxa"/>
            <w:vAlign w:val="bottom"/>
          </w:tcPr>
          <w:p>
            <w:pPr>
              <w:spacing w:after="0"/>
              <w:rPr>
                <w:sz w:val="7"/>
                <w:szCs w:val="7"/>
                <w:color w:val="auto"/>
              </w:rPr>
            </w:pPr>
          </w:p>
        </w:tc>
        <w:tc>
          <w:tcPr>
            <w:tcW w:w="880" w:type="dxa"/>
            <w:vAlign w:val="bottom"/>
          </w:tcPr>
          <w:p>
            <w:pPr>
              <w:spacing w:after="0"/>
              <w:rPr>
                <w:sz w:val="7"/>
                <w:szCs w:val="7"/>
                <w:color w:val="auto"/>
              </w:rPr>
            </w:pPr>
          </w:p>
        </w:tc>
        <w:tc>
          <w:tcPr>
            <w:tcW w:w="2400" w:type="dxa"/>
            <w:vAlign w:val="bottom"/>
            <w:tcBorders>
              <w:bottom w:val="single" w:sz="8" w:color="auto"/>
            </w:tcBorders>
          </w:tcPr>
          <w:p>
            <w:pPr>
              <w:spacing w:after="0"/>
              <w:rPr>
                <w:sz w:val="7"/>
                <w:szCs w:val="7"/>
                <w:color w:val="auto"/>
              </w:rPr>
            </w:pPr>
          </w:p>
        </w:tc>
        <w:tc>
          <w:tcPr>
            <w:tcW w:w="2120" w:type="dxa"/>
            <w:vAlign w:val="bottom"/>
          </w:tcPr>
          <w:p>
            <w:pPr>
              <w:spacing w:after="0"/>
              <w:rPr>
                <w:sz w:val="7"/>
                <w:szCs w:val="7"/>
                <w:color w:val="auto"/>
              </w:rPr>
            </w:pPr>
          </w:p>
        </w:tc>
      </w:tr>
      <w:tr>
        <w:trPr>
          <w:trHeight w:val="160"/>
        </w:trPr>
        <w:tc>
          <w:tcPr>
            <w:tcW w:w="13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4520" w:type="dxa"/>
            <w:vAlign w:val="bottom"/>
            <w:gridSpan w:val="2"/>
          </w:tcPr>
          <w:p>
            <w:pPr>
              <w:jc w:val="center"/>
              <w:ind w:right="2075"/>
              <w:spacing w:after="0"/>
              <w:rPr>
                <w:sz w:val="20"/>
                <w:szCs w:val="20"/>
                <w:color w:val="auto"/>
              </w:rPr>
            </w:pPr>
            <w:r>
              <w:rPr>
                <w:rFonts w:ascii="Arial" w:cs="Arial" w:eastAsia="Arial" w:hAnsi="Arial"/>
                <w:sz w:val="12"/>
                <w:szCs w:val="12"/>
                <w:b w:val="1"/>
                <w:bCs w:val="1"/>
                <w:color w:val="auto"/>
                <w:w w:val="96"/>
              </w:rPr>
              <w:t>N/A</w:t>
            </w:r>
          </w:p>
        </w:tc>
      </w:tr>
      <w:tr>
        <w:trPr>
          <w:trHeight w:val="116"/>
        </w:trPr>
        <w:tc>
          <w:tcPr>
            <w:tcW w:w="1380" w:type="dxa"/>
            <w:vAlign w:val="bottom"/>
          </w:tcPr>
          <w:p>
            <w:pPr>
              <w:spacing w:after="0"/>
              <w:rPr>
                <w:sz w:val="10"/>
                <w:szCs w:val="10"/>
                <w:color w:val="auto"/>
              </w:rPr>
            </w:pPr>
          </w:p>
        </w:tc>
        <w:tc>
          <w:tcPr>
            <w:tcW w:w="5400" w:type="dxa"/>
            <w:vAlign w:val="bottom"/>
            <w:gridSpan w:val="3"/>
          </w:tcPr>
          <w:p>
            <w:pPr>
              <w:jc w:val="center"/>
              <w:ind w:right="1195"/>
              <w:spacing w:after="0"/>
              <w:rPr>
                <w:sz w:val="20"/>
                <w:szCs w:val="20"/>
                <w:color w:val="auto"/>
              </w:rPr>
            </w:pPr>
            <w:r>
              <w:rPr>
                <w:rFonts w:ascii="Arial" w:cs="Arial" w:eastAsia="Arial" w:hAnsi="Arial"/>
                <w:sz w:val="9"/>
                <w:szCs w:val="9"/>
                <w:b w:val="1"/>
                <w:bCs w:val="1"/>
                <w:color w:val="auto"/>
                <w:w w:val="89"/>
              </w:rPr>
              <w:t>(Former name, former address and former fiscal year, if changed since last report)</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2882900</wp:posOffset>
            </wp:positionH>
            <wp:positionV relativeFrom="paragraph">
              <wp:posOffset>63500</wp:posOffset>
            </wp:positionV>
            <wp:extent cx="1527175" cy="571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27175" cy="5715"/>
                    </a:xfrm>
                    <a:prstGeom prst="rect">
                      <a:avLst/>
                    </a:prstGeom>
                    <a:noFill/>
                  </pic:spPr>
                </pic:pic>
              </a:graphicData>
            </a:graphic>
          </wp:anchor>
        </w:drawing>
      </w:r>
    </w:p>
    <w:p>
      <w:pPr>
        <w:spacing w:after="0" w:line="119" w:lineRule="exact"/>
        <w:rPr>
          <w:sz w:val="24"/>
          <w:szCs w:val="24"/>
          <w:color w:val="auto"/>
        </w:rPr>
      </w:pPr>
    </w:p>
    <w:p>
      <w:pPr>
        <w:ind w:left="8" w:right="80" w:firstLine="459"/>
        <w:spacing w:after="0" w:line="153" w:lineRule="exact"/>
        <w:rPr>
          <w:sz w:val="20"/>
          <w:szCs w:val="20"/>
          <w:color w:val="auto"/>
        </w:rPr>
      </w:pPr>
      <w:r>
        <w:rPr>
          <w:rFonts w:ascii="Arial" w:cs="Arial" w:eastAsia="Arial" w:hAnsi="Arial"/>
          <w:sz w:val="12"/>
          <w:szCs w:val="12"/>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2"/>
          <w:szCs w:val="12"/>
          <w:color w:val="auto"/>
        </w:rPr>
        <w:t>☒</w:t>
      </w:r>
      <w:r>
        <w:rPr>
          <w:rFonts w:ascii="Arial" w:cs="Arial" w:eastAsia="Arial" w:hAnsi="Arial"/>
          <w:sz w:val="12"/>
          <w:szCs w:val="12"/>
          <w:color w:val="auto"/>
        </w:rPr>
        <w:t xml:space="preserve"> No </w:t>
      </w:r>
      <w:r>
        <w:rPr>
          <w:rFonts w:ascii="MS PGothic" w:cs="MS PGothic" w:eastAsia="MS PGothic" w:hAnsi="MS PGothic"/>
          <w:sz w:val="12"/>
          <w:szCs w:val="12"/>
          <w:color w:val="auto"/>
        </w:rPr>
        <w:t>☐</w:t>
      </w:r>
    </w:p>
    <w:p>
      <w:pPr>
        <w:spacing w:after="0" w:line="18" w:lineRule="exact"/>
        <w:rPr>
          <w:sz w:val="24"/>
          <w:szCs w:val="24"/>
          <w:color w:val="auto"/>
        </w:rPr>
      </w:pPr>
    </w:p>
    <w:p>
      <w:pPr>
        <w:ind w:left="8" w:right="120" w:firstLine="459"/>
        <w:spacing w:after="0" w:line="153" w:lineRule="exact"/>
        <w:rPr>
          <w:sz w:val="20"/>
          <w:szCs w:val="20"/>
          <w:color w:val="auto"/>
        </w:rPr>
      </w:pPr>
      <w:r>
        <w:rPr>
          <w:rFonts w:ascii="Arial" w:cs="Arial" w:eastAsia="Arial" w:hAnsi="Arial"/>
          <w:sz w:val="12"/>
          <w:szCs w:val="12"/>
          <w:color w:val="auto"/>
        </w:rPr>
        <w:t xml:space="preserve">Indicate by check mark whether the registrant has submitted electronically and posted on its corporate Website, if any, every Interactive Data File required to be submitted and posted pursuant to Rule 405 of Regulation S-T (§232.405 of this chapter) during the preceding 12 months (or for such shorter period that the registrant was required to submit and post such files). Yes </w:t>
      </w:r>
      <w:r>
        <w:rPr>
          <w:rFonts w:ascii="MS PGothic" w:cs="MS PGothic" w:eastAsia="MS PGothic" w:hAnsi="MS PGothic"/>
          <w:sz w:val="12"/>
          <w:szCs w:val="12"/>
          <w:color w:val="auto"/>
        </w:rPr>
        <w:t>☒</w:t>
      </w:r>
      <w:r>
        <w:rPr>
          <w:rFonts w:ascii="Arial" w:cs="Arial" w:eastAsia="Arial" w:hAnsi="Arial"/>
          <w:sz w:val="12"/>
          <w:szCs w:val="12"/>
          <w:color w:val="auto"/>
        </w:rPr>
        <w:t xml:space="preserve"> No </w:t>
      </w:r>
      <w:r>
        <w:rPr>
          <w:rFonts w:ascii="MS PGothic" w:cs="MS PGothic" w:eastAsia="MS PGothic" w:hAnsi="MS PGothic"/>
          <w:sz w:val="12"/>
          <w:szCs w:val="12"/>
          <w:color w:val="auto"/>
        </w:rPr>
        <w:t>☐</w:t>
      </w:r>
    </w:p>
    <w:p>
      <w:pPr>
        <w:spacing w:after="0" w:line="18" w:lineRule="exact"/>
        <w:rPr>
          <w:sz w:val="24"/>
          <w:szCs w:val="24"/>
          <w:color w:val="auto"/>
        </w:rPr>
      </w:pPr>
    </w:p>
    <w:p>
      <w:pPr>
        <w:ind w:left="8" w:right="300" w:firstLine="459"/>
        <w:spacing w:after="0" w:line="268" w:lineRule="auto"/>
        <w:rPr>
          <w:sz w:val="20"/>
          <w:szCs w:val="20"/>
          <w:color w:val="auto"/>
        </w:rPr>
      </w:pPr>
      <w:r>
        <w:rPr>
          <w:rFonts w:ascii="Arial" w:cs="Arial" w:eastAsia="Arial" w:hAnsi="Arial"/>
          <w:sz w:val="12"/>
          <w:szCs w:val="12"/>
          <w:color w:val="auto"/>
        </w:rPr>
        <w:t>Indicate by check mark whether the registrant is a large accelerated filer, an accelerated filer, a non- accelerated filer, or a smaller reporting company. See the definitions of “large accelerated filer,” “accelerated filer,” and “smaller reporting company” in Rule 12b-2 of the Exchange Act.</w:t>
      </w:r>
    </w:p>
    <w:p>
      <w:pPr>
        <w:spacing w:after="0" w:line="5" w:lineRule="exact"/>
        <w:rPr>
          <w:sz w:val="24"/>
          <w:szCs w:val="24"/>
          <w:color w:val="auto"/>
        </w:rPr>
      </w:pPr>
    </w:p>
    <w:tbl>
      <w:tblPr>
        <w:tblLayout w:type="fixed"/>
        <w:tblInd w:w="8" w:type="dxa"/>
        <w:tblCellMar>
          <w:top w:w="0" w:type="dxa"/>
          <w:left w:w="0" w:type="dxa"/>
          <w:bottom w:w="0" w:type="dxa"/>
          <w:right w:w="0" w:type="dxa"/>
        </w:tblCellMar>
      </w:tblPr>
      <w:tr>
        <w:trPr>
          <w:trHeight w:val="144"/>
        </w:trPr>
        <w:tc>
          <w:tcPr>
            <w:tcW w:w="1680" w:type="dxa"/>
            <w:vAlign w:val="bottom"/>
          </w:tcPr>
          <w:p>
            <w:pPr>
              <w:spacing w:after="0"/>
              <w:rPr>
                <w:sz w:val="20"/>
                <w:szCs w:val="20"/>
                <w:color w:val="auto"/>
              </w:rPr>
            </w:pPr>
            <w:r>
              <w:rPr>
                <w:rFonts w:ascii="Arial" w:cs="Arial" w:eastAsia="Arial" w:hAnsi="Arial"/>
                <w:sz w:val="12"/>
                <w:szCs w:val="12"/>
                <w:color w:val="auto"/>
              </w:rPr>
              <w:t>Large accelerated filer</w:t>
            </w:r>
          </w:p>
        </w:tc>
        <w:tc>
          <w:tcPr>
            <w:tcW w:w="4560" w:type="dxa"/>
            <w:vAlign w:val="bottom"/>
            <w:gridSpan w:val="3"/>
          </w:tcPr>
          <w:p>
            <w:pPr>
              <w:ind w:left="620"/>
              <w:spacing w:after="0" w:line="121" w:lineRule="exact"/>
              <w:rPr>
                <w:sz w:val="20"/>
                <w:szCs w:val="20"/>
                <w:color w:val="auto"/>
              </w:rPr>
            </w:pPr>
            <w:r>
              <w:rPr>
                <w:rFonts w:ascii="MS PGothic" w:cs="MS PGothic" w:eastAsia="MS PGothic" w:hAnsi="MS PGothic"/>
                <w:sz w:val="12"/>
                <w:szCs w:val="12"/>
                <w:color w:val="auto"/>
              </w:rPr>
              <w:t>☒</w:t>
            </w:r>
          </w:p>
        </w:tc>
        <w:tc>
          <w:tcPr>
            <w:tcW w:w="2060" w:type="dxa"/>
            <w:vAlign w:val="bottom"/>
          </w:tcPr>
          <w:p>
            <w:pPr>
              <w:spacing w:after="0"/>
              <w:rPr>
                <w:sz w:val="12"/>
                <w:szCs w:val="12"/>
                <w:color w:val="auto"/>
              </w:rPr>
            </w:pPr>
          </w:p>
        </w:tc>
        <w:tc>
          <w:tcPr>
            <w:tcW w:w="2160" w:type="dxa"/>
            <w:vAlign w:val="bottom"/>
            <w:gridSpan w:val="2"/>
          </w:tcPr>
          <w:p>
            <w:pPr>
              <w:ind w:left="80"/>
              <w:spacing w:after="0"/>
              <w:rPr>
                <w:sz w:val="20"/>
                <w:szCs w:val="20"/>
                <w:color w:val="auto"/>
              </w:rPr>
            </w:pPr>
            <w:r>
              <w:rPr>
                <w:rFonts w:ascii="Arial" w:cs="Arial" w:eastAsia="Arial" w:hAnsi="Arial"/>
                <w:sz w:val="12"/>
                <w:szCs w:val="12"/>
                <w:color w:val="auto"/>
              </w:rPr>
              <w:t>Accelerated filer</w:t>
            </w:r>
          </w:p>
        </w:tc>
        <w:tc>
          <w:tcPr>
            <w:tcW w:w="1020" w:type="dxa"/>
            <w:vAlign w:val="bottom"/>
          </w:tcPr>
          <w:p>
            <w:pPr>
              <w:ind w:left="800"/>
              <w:spacing w:after="0" w:line="121" w:lineRule="exact"/>
              <w:rPr>
                <w:sz w:val="20"/>
                <w:szCs w:val="20"/>
                <w:color w:val="auto"/>
              </w:rPr>
            </w:pPr>
            <w:r>
              <w:rPr>
                <w:rFonts w:ascii="MS PGothic" w:cs="MS PGothic" w:eastAsia="MS PGothic" w:hAnsi="MS PGothic"/>
                <w:sz w:val="12"/>
                <w:szCs w:val="12"/>
                <w:color w:val="auto"/>
              </w:rPr>
              <w:t>☐</w:t>
            </w:r>
          </w:p>
        </w:tc>
      </w:tr>
      <w:tr>
        <w:trPr>
          <w:trHeight w:val="180"/>
        </w:trPr>
        <w:tc>
          <w:tcPr>
            <w:tcW w:w="1680" w:type="dxa"/>
            <w:vAlign w:val="bottom"/>
          </w:tcPr>
          <w:p>
            <w:pPr>
              <w:spacing w:after="0"/>
              <w:rPr>
                <w:sz w:val="20"/>
                <w:szCs w:val="20"/>
                <w:color w:val="auto"/>
              </w:rPr>
            </w:pPr>
            <w:r>
              <w:rPr>
                <w:rFonts w:ascii="Arial" w:cs="Arial" w:eastAsia="Arial" w:hAnsi="Arial"/>
                <w:sz w:val="12"/>
                <w:szCs w:val="12"/>
                <w:color w:val="auto"/>
              </w:rPr>
              <w:t>Non-accelerated filer</w:t>
            </w:r>
          </w:p>
        </w:tc>
        <w:tc>
          <w:tcPr>
            <w:tcW w:w="4560" w:type="dxa"/>
            <w:vAlign w:val="bottom"/>
            <w:gridSpan w:val="3"/>
          </w:tcPr>
          <w:p>
            <w:pPr>
              <w:ind w:left="620"/>
              <w:spacing w:after="0" w:line="121" w:lineRule="exact"/>
              <w:rPr>
                <w:sz w:val="20"/>
                <w:szCs w:val="20"/>
                <w:color w:val="auto"/>
              </w:rPr>
            </w:pPr>
            <w:r>
              <w:rPr>
                <w:rFonts w:ascii="MS PGothic" w:cs="MS PGothic" w:eastAsia="MS PGothic" w:hAnsi="MS PGothic"/>
                <w:sz w:val="12"/>
                <w:szCs w:val="12"/>
                <w:color w:val="auto"/>
              </w:rPr>
              <w:t>☐</w:t>
            </w:r>
          </w:p>
        </w:tc>
        <w:tc>
          <w:tcPr>
            <w:tcW w:w="2060" w:type="dxa"/>
            <w:vAlign w:val="bottom"/>
          </w:tcPr>
          <w:p>
            <w:pPr>
              <w:spacing w:after="0"/>
              <w:rPr>
                <w:sz w:val="15"/>
                <w:szCs w:val="15"/>
                <w:color w:val="auto"/>
              </w:rPr>
            </w:pPr>
          </w:p>
        </w:tc>
        <w:tc>
          <w:tcPr>
            <w:tcW w:w="2160" w:type="dxa"/>
            <w:vAlign w:val="bottom"/>
            <w:gridSpan w:val="2"/>
          </w:tcPr>
          <w:p>
            <w:pPr>
              <w:ind w:left="80"/>
              <w:spacing w:after="0"/>
              <w:rPr>
                <w:sz w:val="20"/>
                <w:szCs w:val="20"/>
                <w:color w:val="auto"/>
              </w:rPr>
            </w:pPr>
            <w:r>
              <w:rPr>
                <w:rFonts w:ascii="Arial" w:cs="Arial" w:eastAsia="Arial" w:hAnsi="Arial"/>
                <w:sz w:val="12"/>
                <w:szCs w:val="12"/>
                <w:color w:val="auto"/>
              </w:rPr>
              <w:t>Smaller reporting company</w:t>
            </w:r>
          </w:p>
        </w:tc>
        <w:tc>
          <w:tcPr>
            <w:tcW w:w="1020" w:type="dxa"/>
            <w:vAlign w:val="bottom"/>
          </w:tcPr>
          <w:p>
            <w:pPr>
              <w:ind w:left="800"/>
              <w:spacing w:after="0" w:line="121" w:lineRule="exact"/>
              <w:rPr>
                <w:sz w:val="20"/>
                <w:szCs w:val="20"/>
                <w:color w:val="auto"/>
              </w:rPr>
            </w:pPr>
            <w:r>
              <w:rPr>
                <w:rFonts w:ascii="MS PGothic" w:cs="MS PGothic" w:eastAsia="MS PGothic" w:hAnsi="MS PGothic"/>
                <w:sz w:val="12"/>
                <w:szCs w:val="12"/>
                <w:color w:val="auto"/>
              </w:rPr>
              <w:t>☐</w:t>
            </w:r>
          </w:p>
        </w:tc>
      </w:tr>
      <w:tr>
        <w:trPr>
          <w:trHeight w:val="183"/>
        </w:trPr>
        <w:tc>
          <w:tcPr>
            <w:tcW w:w="6240" w:type="dxa"/>
            <w:vAlign w:val="bottom"/>
            <w:gridSpan w:val="4"/>
          </w:tcPr>
          <w:p>
            <w:pPr>
              <w:ind w:left="460"/>
              <w:spacing w:after="0" w:line="138" w:lineRule="exact"/>
              <w:rPr>
                <w:sz w:val="20"/>
                <w:szCs w:val="20"/>
                <w:color w:val="auto"/>
              </w:rPr>
            </w:pPr>
            <w:r>
              <w:rPr>
                <w:rFonts w:ascii="Arial" w:cs="Arial" w:eastAsia="Arial" w:hAnsi="Arial"/>
                <w:sz w:val="12"/>
                <w:szCs w:val="12"/>
                <w:color w:val="auto"/>
                <w:w w:val="90"/>
              </w:rPr>
              <w:t xml:space="preserve">Indicate by check mark whether the registrant is a shell company (as defined in Rule12b-2 of the Exchange Act).  Yes </w:t>
            </w:r>
            <w:r>
              <w:rPr>
                <w:rFonts w:ascii="MS PGothic" w:cs="MS PGothic" w:eastAsia="MS PGothic" w:hAnsi="MS PGothic"/>
                <w:sz w:val="12"/>
                <w:szCs w:val="12"/>
                <w:color w:val="auto"/>
                <w:w w:val="90"/>
              </w:rPr>
              <w:t>☐</w:t>
            </w:r>
          </w:p>
        </w:tc>
        <w:tc>
          <w:tcPr>
            <w:tcW w:w="4220" w:type="dxa"/>
            <w:vAlign w:val="bottom"/>
            <w:gridSpan w:val="3"/>
          </w:tcPr>
          <w:p>
            <w:pPr>
              <w:ind w:left="60"/>
              <w:spacing w:after="0" w:line="138" w:lineRule="exact"/>
              <w:rPr>
                <w:sz w:val="20"/>
                <w:szCs w:val="20"/>
                <w:color w:val="auto"/>
              </w:rPr>
            </w:pPr>
            <w:r>
              <w:rPr>
                <w:rFonts w:ascii="Arial" w:cs="Arial" w:eastAsia="Arial" w:hAnsi="Arial"/>
                <w:sz w:val="12"/>
                <w:szCs w:val="12"/>
                <w:color w:val="auto"/>
              </w:rPr>
              <w:t xml:space="preserve">No </w:t>
            </w:r>
            <w:r>
              <w:rPr>
                <w:rFonts w:ascii="MS PGothic" w:cs="MS PGothic" w:eastAsia="MS PGothic" w:hAnsi="MS PGothic"/>
                <w:sz w:val="12"/>
                <w:szCs w:val="12"/>
                <w:color w:val="auto"/>
              </w:rPr>
              <w:t>☒</w:t>
            </w:r>
          </w:p>
        </w:tc>
        <w:tc>
          <w:tcPr>
            <w:tcW w:w="1020" w:type="dxa"/>
            <w:vAlign w:val="bottom"/>
          </w:tcPr>
          <w:p>
            <w:pPr>
              <w:spacing w:after="0"/>
              <w:rPr>
                <w:sz w:val="15"/>
                <w:szCs w:val="15"/>
                <w:color w:val="auto"/>
              </w:rPr>
            </w:pPr>
          </w:p>
        </w:tc>
      </w:tr>
      <w:tr>
        <w:trPr>
          <w:trHeight w:val="166"/>
        </w:trPr>
        <w:tc>
          <w:tcPr>
            <w:tcW w:w="6240" w:type="dxa"/>
            <w:vAlign w:val="bottom"/>
            <w:gridSpan w:val="4"/>
          </w:tcPr>
          <w:p>
            <w:pPr>
              <w:ind w:left="460"/>
              <w:spacing w:after="0"/>
              <w:rPr>
                <w:sz w:val="20"/>
                <w:szCs w:val="20"/>
                <w:color w:val="auto"/>
              </w:rPr>
            </w:pPr>
            <w:r>
              <w:rPr>
                <w:rFonts w:ascii="Arial" w:cs="Arial" w:eastAsia="Arial" w:hAnsi="Arial"/>
                <w:sz w:val="12"/>
                <w:szCs w:val="12"/>
                <w:color w:val="auto"/>
                <w:w w:val="87"/>
              </w:rPr>
              <w:t>Indicate the number of shares outstanding of each of the issuer’s classes of common stock, as of the latest practicable date.</w:t>
            </w:r>
          </w:p>
        </w:tc>
        <w:tc>
          <w:tcPr>
            <w:tcW w:w="20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46"/>
        </w:trPr>
        <w:tc>
          <w:tcPr>
            <w:tcW w:w="1680" w:type="dxa"/>
            <w:vAlign w:val="bottom"/>
          </w:tcPr>
          <w:p>
            <w:pPr>
              <w:spacing w:after="0"/>
              <w:rPr>
                <w:sz w:val="12"/>
                <w:szCs w:val="12"/>
                <w:color w:val="auto"/>
              </w:rPr>
            </w:pPr>
          </w:p>
        </w:tc>
        <w:tc>
          <w:tcPr>
            <w:tcW w:w="2280" w:type="dxa"/>
            <w:vAlign w:val="bottom"/>
          </w:tcPr>
          <w:p>
            <w:pPr>
              <w:spacing w:after="0"/>
              <w:rPr>
                <w:sz w:val="12"/>
                <w:szCs w:val="12"/>
                <w:color w:val="auto"/>
              </w:rPr>
            </w:pPr>
          </w:p>
        </w:tc>
        <w:tc>
          <w:tcPr>
            <w:tcW w:w="220" w:type="dxa"/>
            <w:vAlign w:val="bottom"/>
            <w:tcBorders>
              <w:bottom w:val="single" w:sz="8" w:color="auto"/>
            </w:tcBorders>
          </w:tcPr>
          <w:p>
            <w:pPr>
              <w:spacing w:after="0"/>
              <w:rPr>
                <w:sz w:val="20"/>
                <w:szCs w:val="20"/>
                <w:color w:val="auto"/>
              </w:rPr>
            </w:pPr>
            <w:r>
              <w:rPr>
                <w:rFonts w:ascii="Arial" w:cs="Arial" w:eastAsia="Arial" w:hAnsi="Arial"/>
                <w:sz w:val="9"/>
                <w:szCs w:val="9"/>
                <w:b w:val="1"/>
                <w:bCs w:val="1"/>
                <w:color w:val="auto"/>
                <w:w w:val="83"/>
              </w:rPr>
              <w:t>Class</w:t>
            </w:r>
          </w:p>
        </w:tc>
        <w:tc>
          <w:tcPr>
            <w:tcW w:w="206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1340" w:type="dxa"/>
            <w:vAlign w:val="bottom"/>
            <w:tcBorders>
              <w:bottom w:val="single" w:sz="8" w:color="auto"/>
            </w:tcBorders>
          </w:tcPr>
          <w:p>
            <w:pPr>
              <w:jc w:val="center"/>
              <w:spacing w:after="0"/>
              <w:rPr>
                <w:sz w:val="20"/>
                <w:szCs w:val="20"/>
                <w:color w:val="auto"/>
              </w:rPr>
            </w:pPr>
            <w:r>
              <w:rPr>
                <w:rFonts w:ascii="Arial" w:cs="Arial" w:eastAsia="Arial" w:hAnsi="Arial"/>
                <w:sz w:val="9"/>
                <w:szCs w:val="9"/>
                <w:b w:val="1"/>
                <w:bCs w:val="1"/>
                <w:color w:val="auto"/>
                <w:w w:val="91"/>
              </w:rPr>
              <w:t>Outstanding at October 31, 2013</w:t>
            </w:r>
          </w:p>
        </w:tc>
        <w:tc>
          <w:tcPr>
            <w:tcW w:w="820" w:type="dxa"/>
            <w:vAlign w:val="bottom"/>
          </w:tcPr>
          <w:p>
            <w:pPr>
              <w:spacing w:after="0"/>
              <w:rPr>
                <w:sz w:val="12"/>
                <w:szCs w:val="12"/>
                <w:color w:val="auto"/>
              </w:rPr>
            </w:pPr>
          </w:p>
        </w:tc>
        <w:tc>
          <w:tcPr>
            <w:tcW w:w="1020" w:type="dxa"/>
            <w:vAlign w:val="bottom"/>
          </w:tcPr>
          <w:p>
            <w:pPr>
              <w:spacing w:after="0"/>
              <w:rPr>
                <w:sz w:val="12"/>
                <w:szCs w:val="12"/>
                <w:color w:val="auto"/>
              </w:rPr>
            </w:pPr>
          </w:p>
        </w:tc>
      </w:tr>
      <w:tr>
        <w:trPr>
          <w:trHeight w:val="137"/>
        </w:trPr>
        <w:tc>
          <w:tcPr>
            <w:tcW w:w="1680" w:type="dxa"/>
            <w:vAlign w:val="bottom"/>
          </w:tcPr>
          <w:p>
            <w:pPr>
              <w:spacing w:after="0"/>
              <w:rPr>
                <w:sz w:val="11"/>
                <w:szCs w:val="11"/>
                <w:color w:val="auto"/>
              </w:rPr>
            </w:pPr>
          </w:p>
        </w:tc>
        <w:tc>
          <w:tcPr>
            <w:tcW w:w="2500" w:type="dxa"/>
            <w:vAlign w:val="bottom"/>
            <w:gridSpan w:val="2"/>
          </w:tcPr>
          <w:p>
            <w:pPr>
              <w:ind w:left="1640"/>
              <w:spacing w:after="0"/>
              <w:rPr>
                <w:sz w:val="20"/>
                <w:szCs w:val="20"/>
                <w:color w:val="auto"/>
              </w:rPr>
            </w:pPr>
            <w:r>
              <w:rPr>
                <w:rFonts w:ascii="Arial" w:cs="Arial" w:eastAsia="Arial" w:hAnsi="Arial"/>
                <w:sz w:val="12"/>
                <w:szCs w:val="12"/>
                <w:color w:val="auto"/>
                <w:w w:val="89"/>
              </w:rPr>
              <w:t>Common stock, $</w:t>
            </w:r>
          </w:p>
        </w:tc>
        <w:tc>
          <w:tcPr>
            <w:tcW w:w="2060" w:type="dxa"/>
            <w:vAlign w:val="bottom"/>
          </w:tcPr>
          <w:p>
            <w:pPr>
              <w:spacing w:after="0" w:line="131" w:lineRule="exact"/>
              <w:rPr>
                <w:sz w:val="20"/>
                <w:szCs w:val="20"/>
                <w:color w:val="auto"/>
              </w:rPr>
            </w:pPr>
            <w:r>
              <w:rPr>
                <w:rFonts w:ascii="Arial" w:cs="Arial" w:eastAsia="Arial" w:hAnsi="Arial"/>
                <w:sz w:val="12"/>
                <w:szCs w:val="12"/>
                <w:color w:val="auto"/>
              </w:rPr>
              <w:t>0.01 par value</w:t>
            </w:r>
          </w:p>
        </w:tc>
        <w:tc>
          <w:tcPr>
            <w:tcW w:w="3400" w:type="dxa"/>
            <w:vAlign w:val="bottom"/>
            <w:gridSpan w:val="2"/>
          </w:tcPr>
          <w:p>
            <w:pPr>
              <w:jc w:val="right"/>
              <w:ind w:right="326"/>
              <w:spacing w:after="0"/>
              <w:rPr>
                <w:sz w:val="20"/>
                <w:szCs w:val="20"/>
                <w:color w:val="auto"/>
              </w:rPr>
            </w:pPr>
            <w:r>
              <w:rPr>
                <w:rFonts w:ascii="Arial" w:cs="Arial" w:eastAsia="Arial" w:hAnsi="Arial"/>
                <w:sz w:val="12"/>
                <w:szCs w:val="12"/>
                <w:color w:val="auto"/>
              </w:rPr>
              <w:t>101,155,304</w:t>
            </w:r>
          </w:p>
        </w:tc>
        <w:tc>
          <w:tcPr>
            <w:tcW w:w="820" w:type="dxa"/>
            <w:vAlign w:val="bottom"/>
          </w:tcPr>
          <w:p>
            <w:pPr>
              <w:spacing w:after="0"/>
              <w:rPr>
                <w:sz w:val="11"/>
                <w:szCs w:val="11"/>
                <w:color w:val="auto"/>
              </w:rPr>
            </w:pPr>
          </w:p>
        </w:tc>
        <w:tc>
          <w:tcPr>
            <w:tcW w:w="1020" w:type="dxa"/>
            <w:vAlign w:val="bottom"/>
          </w:tcPr>
          <w:p>
            <w:pPr>
              <w:spacing w:after="0"/>
              <w:rPr>
                <w:sz w:val="11"/>
                <w:szCs w:val="11"/>
                <w:color w:val="auto"/>
              </w:rPr>
            </w:pPr>
          </w:p>
        </w:tc>
      </w:tr>
      <w:tr>
        <w:trPr>
          <w:trHeight w:val="68"/>
        </w:trPr>
        <w:tc>
          <w:tcPr>
            <w:tcW w:w="1680" w:type="dxa"/>
            <w:vAlign w:val="bottom"/>
            <w:tcBorders>
              <w:bottom w:val="single" w:sz="8" w:color="auto"/>
            </w:tcBorders>
          </w:tcPr>
          <w:p>
            <w:pPr>
              <w:spacing w:after="0"/>
              <w:rPr>
                <w:sz w:val="5"/>
                <w:szCs w:val="5"/>
                <w:color w:val="auto"/>
              </w:rPr>
            </w:pPr>
          </w:p>
        </w:tc>
        <w:tc>
          <w:tcPr>
            <w:tcW w:w="2280" w:type="dxa"/>
            <w:vAlign w:val="bottom"/>
            <w:tcBorders>
              <w:bottom w:val="single" w:sz="8" w:color="auto"/>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2060" w:type="dxa"/>
            <w:vAlign w:val="bottom"/>
            <w:tcBorders>
              <w:bottom w:val="single" w:sz="8" w:color="auto"/>
            </w:tcBorders>
          </w:tcPr>
          <w:p>
            <w:pPr>
              <w:spacing w:after="0"/>
              <w:rPr>
                <w:sz w:val="5"/>
                <w:szCs w:val="5"/>
                <w:color w:val="auto"/>
              </w:rPr>
            </w:pPr>
          </w:p>
        </w:tc>
        <w:tc>
          <w:tcPr>
            <w:tcW w:w="2060" w:type="dxa"/>
            <w:vAlign w:val="bottom"/>
            <w:tcBorders>
              <w:bottom w:val="single" w:sz="8" w:color="auto"/>
            </w:tcBorders>
          </w:tcPr>
          <w:p>
            <w:pPr>
              <w:spacing w:after="0"/>
              <w:rPr>
                <w:sz w:val="5"/>
                <w:szCs w:val="5"/>
                <w:color w:val="auto"/>
              </w:rPr>
            </w:pPr>
          </w:p>
        </w:tc>
        <w:tc>
          <w:tcPr>
            <w:tcW w:w="1340" w:type="dxa"/>
            <w:vAlign w:val="bottom"/>
            <w:tcBorders>
              <w:bottom w:val="single" w:sz="8" w:color="auto"/>
            </w:tcBorders>
          </w:tcPr>
          <w:p>
            <w:pPr>
              <w:spacing w:after="0"/>
              <w:rPr>
                <w:sz w:val="5"/>
                <w:szCs w:val="5"/>
                <w:color w:val="auto"/>
              </w:rPr>
            </w:pPr>
          </w:p>
        </w:tc>
        <w:tc>
          <w:tcPr>
            <w:tcW w:w="820" w:type="dxa"/>
            <w:vAlign w:val="bottom"/>
            <w:tcBorders>
              <w:bottom w:val="single" w:sz="8" w:color="auto"/>
            </w:tcBorders>
          </w:tcPr>
          <w:p>
            <w:pPr>
              <w:spacing w:after="0"/>
              <w:rPr>
                <w:sz w:val="5"/>
                <w:szCs w:val="5"/>
                <w:color w:val="auto"/>
              </w:rPr>
            </w:pPr>
          </w:p>
        </w:tc>
        <w:tc>
          <w:tcPr>
            <w:tcW w:w="1020" w:type="dxa"/>
            <w:vAlign w:val="bottom"/>
            <w:tcBorders>
              <w:bottom w:val="single" w:sz="8" w:color="auto"/>
            </w:tcBorders>
          </w:tcPr>
          <w:p>
            <w:pPr>
              <w:spacing w:after="0"/>
              <w:rPr>
                <w:sz w:val="5"/>
                <w:szCs w:val="5"/>
                <w:color w:val="auto"/>
              </w:rPr>
            </w:pPr>
          </w:p>
        </w:tc>
      </w:tr>
    </w:tbl>
    <w:p>
      <w:pPr>
        <w:sectPr>
          <w:pgSz w:w="11900" w:h="16838" w:orient="portrait"/>
          <w:cols w:equalWidth="0" w:num="1">
            <w:col w:w="11488"/>
          </w:cols>
          <w:pgMar w:left="212" w:top="201" w:right="199" w:bottom="1440" w:gutter="0" w:footer="0" w:header="0"/>
        </w:sectPr>
      </w:pPr>
    </w:p>
    <w:bookmarkStart w:id="1" w:name="page2"/>
    <w:bookmarkEnd w:id="1"/>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121920</wp:posOffset>
            </wp:positionH>
            <wp:positionV relativeFrom="page">
              <wp:posOffset>88900</wp:posOffset>
            </wp:positionV>
            <wp:extent cx="7329170" cy="298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329170" cy="29845"/>
                    </a:xfrm>
                    <a:prstGeom prst="rect">
                      <a:avLst/>
                    </a:prstGeom>
                    <a:noFill/>
                  </pic:spPr>
                </pic:pic>
              </a:graphicData>
            </a:graphic>
          </wp:anchor>
        </w:drawing>
      </w:r>
      <w:hyperlink w:anchor="page2">
        <w:r>
          <w:rPr>
            <w:rFonts w:ascii="Arial" w:cs="Arial" w:eastAsia="Arial" w:hAnsi="Arial"/>
            <w:sz w:val="12"/>
            <w:szCs w:val="12"/>
            <w:b w:val="1"/>
            <w:bCs w:val="1"/>
            <w:u w:val="single" w:color="auto"/>
            <w:color w:val="0000EE"/>
          </w:rPr>
          <w:t>Table of Contents</w:t>
        </w:r>
      </w:hyperlink>
    </w:p>
    <w:p>
      <w:pPr>
        <w:spacing w:after="0" w:line="207" w:lineRule="exact"/>
        <w:rPr>
          <w:sz w:val="20"/>
          <w:szCs w:val="20"/>
          <w:color w:val="auto"/>
        </w:rPr>
      </w:pPr>
    </w:p>
    <w:p>
      <w:pPr>
        <w:jc w:val="center"/>
        <w:ind w:right="-59"/>
        <w:spacing w:after="0"/>
        <w:rPr>
          <w:sz w:val="20"/>
          <w:szCs w:val="20"/>
          <w:color w:val="auto"/>
        </w:rPr>
      </w:pPr>
      <w:r>
        <w:rPr>
          <w:rFonts w:ascii="Arial" w:cs="Arial" w:eastAsia="Arial" w:hAnsi="Arial"/>
          <w:sz w:val="12"/>
          <w:szCs w:val="12"/>
          <w:b w:val="1"/>
          <w:bCs w:val="1"/>
          <w:color w:val="auto"/>
        </w:rPr>
        <w:t>WYNN RESORTS, LIMITED AND SUBSIDIARIES</w:t>
      </w:r>
    </w:p>
    <w:p>
      <w:pPr>
        <w:spacing w:after="0" w:line="12" w:lineRule="exact"/>
        <w:rPr>
          <w:sz w:val="20"/>
          <w:szCs w:val="20"/>
          <w:color w:val="auto"/>
        </w:rPr>
      </w:pPr>
    </w:p>
    <w:p>
      <w:pPr>
        <w:jc w:val="center"/>
        <w:ind w:right="-59"/>
        <w:spacing w:after="0"/>
        <w:rPr>
          <w:sz w:val="20"/>
          <w:szCs w:val="20"/>
          <w:color w:val="auto"/>
        </w:rPr>
      </w:pPr>
      <w:r>
        <w:rPr>
          <w:rFonts w:ascii="Arial" w:cs="Arial" w:eastAsia="Arial" w:hAnsi="Arial"/>
          <w:sz w:val="12"/>
          <w:szCs w:val="12"/>
          <w:b w:val="1"/>
          <w:bCs w:val="1"/>
          <w:color w:val="auto"/>
        </w:rPr>
        <w:t>INDEX</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150"/>
        </w:trPr>
        <w:tc>
          <w:tcPr>
            <w:tcW w:w="1420" w:type="dxa"/>
            <w:vAlign w:val="bottom"/>
          </w:tcPr>
          <w:p>
            <w:pPr>
              <w:spacing w:after="0"/>
              <w:rPr>
                <w:sz w:val="20"/>
                <w:szCs w:val="20"/>
                <w:color w:val="auto"/>
              </w:rPr>
            </w:pPr>
            <w:r>
              <w:rPr>
                <w:rFonts w:ascii="Arial" w:cs="Arial" w:eastAsia="Arial" w:hAnsi="Arial"/>
                <w:sz w:val="12"/>
                <w:szCs w:val="12"/>
                <w:b w:val="1"/>
                <w:bCs w:val="1"/>
                <w:color w:val="auto"/>
              </w:rPr>
              <w:t>Part I.</w:t>
            </w:r>
          </w:p>
        </w:tc>
        <w:tc>
          <w:tcPr>
            <w:tcW w:w="6760" w:type="dxa"/>
            <w:vAlign w:val="bottom"/>
            <w:gridSpan w:val="10"/>
          </w:tcPr>
          <w:p>
            <w:pPr>
              <w:spacing w:after="0"/>
              <w:rPr>
                <w:sz w:val="20"/>
                <w:szCs w:val="20"/>
                <w:color w:val="auto"/>
              </w:rPr>
            </w:pPr>
            <w:r>
              <w:rPr>
                <w:rFonts w:ascii="Arial" w:cs="Arial" w:eastAsia="Arial" w:hAnsi="Arial"/>
                <w:sz w:val="12"/>
                <w:szCs w:val="12"/>
                <w:b w:val="1"/>
                <w:bCs w:val="1"/>
                <w:color w:val="auto"/>
              </w:rPr>
              <w:t>Financial Information</w:t>
            </w:r>
          </w:p>
        </w:tc>
        <w:tc>
          <w:tcPr>
            <w:tcW w:w="3220" w:type="dxa"/>
            <w:vAlign w:val="bottom"/>
          </w:tcPr>
          <w:p>
            <w:pPr>
              <w:spacing w:after="0"/>
              <w:rPr>
                <w:sz w:val="13"/>
                <w:szCs w:val="13"/>
                <w:color w:val="auto"/>
              </w:rPr>
            </w:pPr>
          </w:p>
        </w:tc>
      </w:tr>
      <w:tr>
        <w:trPr>
          <w:trHeight w:val="216"/>
        </w:trPr>
        <w:tc>
          <w:tcPr>
            <w:tcW w:w="1420" w:type="dxa"/>
            <w:vAlign w:val="bottom"/>
          </w:tcPr>
          <w:p>
            <w:pPr>
              <w:ind w:left="280"/>
              <w:spacing w:after="0"/>
              <w:rPr>
                <w:sz w:val="20"/>
                <w:szCs w:val="20"/>
                <w:color w:val="auto"/>
              </w:rPr>
            </w:pPr>
            <w:r>
              <w:rPr>
                <w:rFonts w:ascii="Arial" w:cs="Arial" w:eastAsia="Arial" w:hAnsi="Arial"/>
                <w:sz w:val="12"/>
                <w:szCs w:val="12"/>
                <w:color w:val="auto"/>
              </w:rPr>
              <w:t>Item 1.</w:t>
            </w:r>
          </w:p>
        </w:tc>
        <w:tc>
          <w:tcPr>
            <w:tcW w:w="6760" w:type="dxa"/>
            <w:vAlign w:val="bottom"/>
            <w:gridSpan w:val="10"/>
          </w:tcPr>
          <w:p>
            <w:pPr>
              <w:spacing w:after="0"/>
              <w:rPr>
                <w:sz w:val="20"/>
                <w:szCs w:val="20"/>
                <w:color w:val="auto"/>
              </w:rPr>
            </w:pPr>
            <w:r>
              <w:rPr>
                <w:rFonts w:ascii="Arial" w:cs="Arial" w:eastAsia="Arial" w:hAnsi="Arial"/>
                <w:sz w:val="12"/>
                <w:szCs w:val="12"/>
                <w:color w:val="auto"/>
              </w:rPr>
              <w:t>Financial Statements</w:t>
            </w:r>
          </w:p>
        </w:tc>
        <w:tc>
          <w:tcPr>
            <w:tcW w:w="3220" w:type="dxa"/>
            <w:vAlign w:val="bottom"/>
          </w:tcPr>
          <w:p>
            <w:pPr>
              <w:spacing w:after="0"/>
              <w:rPr>
                <w:sz w:val="18"/>
                <w:szCs w:val="18"/>
                <w:color w:val="auto"/>
              </w:rPr>
            </w:pPr>
          </w:p>
        </w:tc>
      </w:tr>
      <w:tr>
        <w:trPr>
          <w:trHeight w:val="191"/>
        </w:trPr>
        <w:tc>
          <w:tcPr>
            <w:tcW w:w="14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480" w:type="dxa"/>
            <w:vAlign w:val="bottom"/>
            <w:gridSpan w:val="9"/>
          </w:tcPr>
          <w:p>
            <w:pPr>
              <w:spacing w:after="0"/>
              <w:rPr>
                <w:rFonts w:ascii="Arial" w:cs="Arial" w:eastAsia="Arial" w:hAnsi="Arial"/>
                <w:sz w:val="12"/>
                <w:szCs w:val="12"/>
                <w:color w:val="0000EE"/>
              </w:rPr>
            </w:pPr>
            <w:hyperlink w:anchor="page3">
              <w:r>
                <w:rPr>
                  <w:rFonts w:ascii="Arial" w:cs="Arial" w:eastAsia="Arial" w:hAnsi="Arial"/>
                  <w:sz w:val="12"/>
                  <w:szCs w:val="12"/>
                  <w:color w:val="0000EE"/>
                </w:rPr>
                <w:t>Condensed Consolidated Balance Sheets – September 30, 2013 (unaudited) and December 31, 2012</w:t>
              </w:r>
            </w:hyperlink>
          </w:p>
        </w:tc>
        <w:tc>
          <w:tcPr>
            <w:tcW w:w="3220" w:type="dxa"/>
            <w:vAlign w:val="bottom"/>
          </w:tcPr>
          <w:p>
            <w:pPr>
              <w:jc w:val="right"/>
              <w:spacing w:after="0"/>
              <w:rPr>
                <w:sz w:val="20"/>
                <w:szCs w:val="20"/>
                <w:color w:val="auto"/>
              </w:rPr>
            </w:pPr>
            <w:r>
              <w:rPr>
                <w:rFonts w:ascii="Arial" w:cs="Arial" w:eastAsia="Arial" w:hAnsi="Arial"/>
                <w:sz w:val="12"/>
                <w:szCs w:val="12"/>
                <w:color w:val="auto"/>
              </w:rPr>
              <w:t>3</w:t>
            </w:r>
          </w:p>
        </w:tc>
      </w:tr>
      <w:tr>
        <w:trPr>
          <w:trHeight w:val="20"/>
        </w:trPr>
        <w:tc>
          <w:tcPr>
            <w:tcW w:w="14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170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04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220" w:type="dxa"/>
            <w:vAlign w:val="bottom"/>
          </w:tcPr>
          <w:p>
            <w:pPr>
              <w:spacing w:after="0" w:line="20" w:lineRule="exact"/>
              <w:rPr>
                <w:sz w:val="1"/>
                <w:szCs w:val="1"/>
                <w:color w:val="auto"/>
              </w:rPr>
            </w:pPr>
          </w:p>
        </w:tc>
      </w:tr>
      <w:tr>
        <w:trPr>
          <w:trHeight w:val="196"/>
        </w:trPr>
        <w:tc>
          <w:tcPr>
            <w:tcW w:w="14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480" w:type="dxa"/>
            <w:vAlign w:val="bottom"/>
            <w:gridSpan w:val="9"/>
          </w:tcPr>
          <w:p>
            <w:pPr>
              <w:spacing w:after="0"/>
              <w:rPr>
                <w:rFonts w:ascii="Arial" w:cs="Arial" w:eastAsia="Arial" w:hAnsi="Arial"/>
                <w:sz w:val="12"/>
                <w:szCs w:val="12"/>
                <w:color w:val="0000EE"/>
                <w:w w:val="98"/>
              </w:rPr>
            </w:pPr>
            <w:hyperlink w:anchor="page4">
              <w:r>
                <w:rPr>
                  <w:rFonts w:ascii="Arial" w:cs="Arial" w:eastAsia="Arial" w:hAnsi="Arial"/>
                  <w:sz w:val="12"/>
                  <w:szCs w:val="12"/>
                  <w:color w:val="0000EE"/>
                  <w:w w:val="98"/>
                </w:rPr>
                <w:t>Condensed Consolidated Statements of Income (unaudited) – Three and nine months ended September 30, 2013 and 2012</w:t>
              </w:r>
            </w:hyperlink>
          </w:p>
        </w:tc>
        <w:tc>
          <w:tcPr>
            <w:tcW w:w="3220" w:type="dxa"/>
            <w:vAlign w:val="bottom"/>
          </w:tcPr>
          <w:p>
            <w:pPr>
              <w:jc w:val="right"/>
              <w:spacing w:after="0"/>
              <w:rPr>
                <w:sz w:val="20"/>
                <w:szCs w:val="20"/>
                <w:color w:val="auto"/>
              </w:rPr>
            </w:pPr>
            <w:r>
              <w:rPr>
                <w:rFonts w:ascii="Arial" w:cs="Arial" w:eastAsia="Arial" w:hAnsi="Arial"/>
                <w:sz w:val="12"/>
                <w:szCs w:val="12"/>
                <w:color w:val="auto"/>
              </w:rPr>
              <w:t>4</w:t>
            </w:r>
          </w:p>
        </w:tc>
      </w:tr>
      <w:tr>
        <w:trPr>
          <w:trHeight w:val="20"/>
        </w:trPr>
        <w:tc>
          <w:tcPr>
            <w:tcW w:w="14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170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040" w:type="dxa"/>
            <w:vAlign w:val="bottom"/>
            <w:shd w:val="clear" w:color="auto" w:fill="0000EE"/>
          </w:tcPr>
          <w:p>
            <w:pPr>
              <w:spacing w:after="0" w:line="20" w:lineRule="exact"/>
              <w:rPr>
                <w:sz w:val="1"/>
                <w:szCs w:val="1"/>
                <w:color w:val="auto"/>
              </w:rPr>
            </w:pPr>
          </w:p>
        </w:tc>
        <w:tc>
          <w:tcPr>
            <w:tcW w:w="146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220" w:type="dxa"/>
            <w:vAlign w:val="bottom"/>
          </w:tcPr>
          <w:p>
            <w:pPr>
              <w:spacing w:after="0" w:line="20" w:lineRule="exact"/>
              <w:rPr>
                <w:sz w:val="1"/>
                <w:szCs w:val="1"/>
                <w:color w:val="auto"/>
              </w:rPr>
            </w:pPr>
          </w:p>
        </w:tc>
      </w:tr>
      <w:tr>
        <w:trPr>
          <w:trHeight w:val="196"/>
        </w:trPr>
        <w:tc>
          <w:tcPr>
            <w:tcW w:w="14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480" w:type="dxa"/>
            <w:vAlign w:val="bottom"/>
            <w:tcBorders>
              <w:bottom w:val="single" w:sz="8" w:color="0000EE"/>
            </w:tcBorders>
            <w:gridSpan w:val="9"/>
          </w:tcPr>
          <w:p>
            <w:pPr>
              <w:spacing w:after="0"/>
              <w:rPr>
                <w:rFonts w:ascii="Arial" w:cs="Arial" w:eastAsia="Arial" w:hAnsi="Arial"/>
                <w:sz w:val="12"/>
                <w:szCs w:val="12"/>
                <w:color w:val="0000EE"/>
                <w:w w:val="86"/>
              </w:rPr>
            </w:pPr>
            <w:hyperlink w:anchor="page5">
              <w:r>
                <w:rPr>
                  <w:rFonts w:ascii="Arial" w:cs="Arial" w:eastAsia="Arial" w:hAnsi="Arial"/>
                  <w:sz w:val="12"/>
                  <w:szCs w:val="12"/>
                  <w:color w:val="0000EE"/>
                  <w:w w:val="86"/>
                </w:rPr>
                <w:t>Condensed Consolidated Statements of Comprehensive Income (unaudited) – Three and nine months ended September 30, 2013 and 2012</w:t>
              </w:r>
            </w:hyperlink>
          </w:p>
        </w:tc>
        <w:tc>
          <w:tcPr>
            <w:tcW w:w="3220" w:type="dxa"/>
            <w:vAlign w:val="bottom"/>
          </w:tcPr>
          <w:p>
            <w:pPr>
              <w:jc w:val="right"/>
              <w:spacing w:after="0"/>
              <w:rPr>
                <w:sz w:val="20"/>
                <w:szCs w:val="20"/>
                <w:color w:val="auto"/>
              </w:rPr>
            </w:pPr>
            <w:r>
              <w:rPr>
                <w:rFonts w:ascii="Arial" w:cs="Arial" w:eastAsia="Arial" w:hAnsi="Arial"/>
                <w:sz w:val="12"/>
                <w:szCs w:val="12"/>
                <w:color w:val="auto"/>
              </w:rPr>
              <w:t>5</w:t>
            </w:r>
          </w:p>
        </w:tc>
      </w:tr>
      <w:tr>
        <w:trPr>
          <w:trHeight w:val="196"/>
        </w:trPr>
        <w:tc>
          <w:tcPr>
            <w:tcW w:w="14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480" w:type="dxa"/>
            <w:vAlign w:val="bottom"/>
            <w:gridSpan w:val="9"/>
          </w:tcPr>
          <w:p>
            <w:pPr>
              <w:spacing w:after="0"/>
              <w:rPr>
                <w:rFonts w:ascii="Arial" w:cs="Arial" w:eastAsia="Arial" w:hAnsi="Arial"/>
                <w:sz w:val="12"/>
                <w:szCs w:val="12"/>
                <w:color w:val="0000EE"/>
              </w:rPr>
            </w:pPr>
            <w:hyperlink w:anchor="page6">
              <w:r>
                <w:rPr>
                  <w:rFonts w:ascii="Arial" w:cs="Arial" w:eastAsia="Arial" w:hAnsi="Arial"/>
                  <w:sz w:val="12"/>
                  <w:szCs w:val="12"/>
                  <w:color w:val="0000EE"/>
                </w:rPr>
                <w:t>Condensed Consolidated Statements of Cash Flows (unaudited) – Nine months ended September 30, 2013 and 2012</w:t>
              </w:r>
            </w:hyperlink>
          </w:p>
        </w:tc>
        <w:tc>
          <w:tcPr>
            <w:tcW w:w="3220" w:type="dxa"/>
            <w:vAlign w:val="bottom"/>
          </w:tcPr>
          <w:p>
            <w:pPr>
              <w:jc w:val="right"/>
              <w:spacing w:after="0"/>
              <w:rPr>
                <w:sz w:val="20"/>
                <w:szCs w:val="20"/>
                <w:color w:val="auto"/>
              </w:rPr>
            </w:pPr>
            <w:r>
              <w:rPr>
                <w:rFonts w:ascii="Arial" w:cs="Arial" w:eastAsia="Arial" w:hAnsi="Arial"/>
                <w:sz w:val="12"/>
                <w:szCs w:val="12"/>
                <w:color w:val="auto"/>
              </w:rPr>
              <w:t>6</w:t>
            </w:r>
          </w:p>
        </w:tc>
      </w:tr>
      <w:tr>
        <w:trPr>
          <w:trHeight w:val="196"/>
        </w:trPr>
        <w:tc>
          <w:tcPr>
            <w:tcW w:w="14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440" w:type="dxa"/>
            <w:vAlign w:val="bottom"/>
            <w:tcBorders>
              <w:top w:val="single" w:sz="8" w:color="0000EE"/>
            </w:tcBorders>
            <w:gridSpan w:val="7"/>
          </w:tcPr>
          <w:p>
            <w:pPr>
              <w:spacing w:after="0"/>
              <w:rPr>
                <w:rFonts w:ascii="Arial" w:cs="Arial" w:eastAsia="Arial" w:hAnsi="Arial"/>
                <w:sz w:val="12"/>
                <w:szCs w:val="12"/>
                <w:color w:val="0000EE"/>
                <w:w w:val="88"/>
              </w:rPr>
            </w:pPr>
            <w:hyperlink w:anchor="page7">
              <w:r>
                <w:rPr>
                  <w:rFonts w:ascii="Arial" w:cs="Arial" w:eastAsia="Arial" w:hAnsi="Arial"/>
                  <w:sz w:val="12"/>
                  <w:szCs w:val="12"/>
                  <w:color w:val="0000EE"/>
                  <w:w w:val="88"/>
                </w:rPr>
                <w:t>Condensed Consolidated Statement of Stockholders’ Equity (unaudited) – Nine months ended September 30, 2013</w:t>
              </w:r>
            </w:hyperlink>
          </w:p>
        </w:tc>
        <w:tc>
          <w:tcPr>
            <w:tcW w:w="1040" w:type="dxa"/>
            <w:vAlign w:val="bottom"/>
            <w:gridSpan w:val="2"/>
          </w:tcPr>
          <w:p>
            <w:pPr>
              <w:spacing w:after="0"/>
              <w:rPr>
                <w:sz w:val="17"/>
                <w:szCs w:val="17"/>
                <w:color w:val="auto"/>
              </w:rPr>
            </w:pPr>
          </w:p>
        </w:tc>
        <w:tc>
          <w:tcPr>
            <w:tcW w:w="3220" w:type="dxa"/>
            <w:vAlign w:val="bottom"/>
          </w:tcPr>
          <w:p>
            <w:pPr>
              <w:jc w:val="right"/>
              <w:spacing w:after="0"/>
              <w:rPr>
                <w:sz w:val="20"/>
                <w:szCs w:val="20"/>
                <w:color w:val="auto"/>
              </w:rPr>
            </w:pPr>
            <w:r>
              <w:rPr>
                <w:rFonts w:ascii="Arial" w:cs="Arial" w:eastAsia="Arial" w:hAnsi="Arial"/>
                <w:sz w:val="12"/>
                <w:szCs w:val="12"/>
                <w:color w:val="auto"/>
              </w:rPr>
              <w:t>7</w:t>
            </w:r>
          </w:p>
        </w:tc>
      </w:tr>
      <w:tr>
        <w:trPr>
          <w:trHeight w:val="20"/>
        </w:trPr>
        <w:tc>
          <w:tcPr>
            <w:tcW w:w="14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170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040" w:type="dxa"/>
            <w:vAlign w:val="bottom"/>
            <w:shd w:val="clear" w:color="auto" w:fill="0000EE"/>
          </w:tcPr>
          <w:p>
            <w:pPr>
              <w:spacing w:after="0" w:line="20" w:lineRule="exact"/>
              <w:rPr>
                <w:sz w:val="1"/>
                <w:szCs w:val="1"/>
                <w:color w:val="auto"/>
              </w:rPr>
            </w:pPr>
          </w:p>
        </w:tc>
        <w:tc>
          <w:tcPr>
            <w:tcW w:w="1460" w:type="dxa"/>
            <w:vAlign w:val="bottom"/>
            <w:gridSpan w:val="2"/>
            <w:shd w:val="clear" w:color="auto" w:fill="0000EE"/>
          </w:tcPr>
          <w:p>
            <w:pPr>
              <w:spacing w:after="0" w:line="20" w:lineRule="exact"/>
              <w:rPr>
                <w:sz w:val="1"/>
                <w:szCs w:val="1"/>
                <w:color w:val="auto"/>
              </w:rPr>
            </w:pPr>
          </w:p>
        </w:tc>
        <w:tc>
          <w:tcPr>
            <w:tcW w:w="1100" w:type="dxa"/>
            <w:vAlign w:val="bottom"/>
            <w:gridSpan w:val="3"/>
          </w:tcPr>
          <w:p>
            <w:pPr>
              <w:spacing w:after="0" w:line="20" w:lineRule="exact"/>
              <w:rPr>
                <w:sz w:val="1"/>
                <w:szCs w:val="1"/>
                <w:color w:val="auto"/>
              </w:rPr>
            </w:pPr>
          </w:p>
        </w:tc>
        <w:tc>
          <w:tcPr>
            <w:tcW w:w="3220" w:type="dxa"/>
            <w:vAlign w:val="bottom"/>
          </w:tcPr>
          <w:p>
            <w:pPr>
              <w:spacing w:after="0" w:line="20" w:lineRule="exact"/>
              <w:rPr>
                <w:sz w:val="1"/>
                <w:szCs w:val="1"/>
                <w:color w:val="auto"/>
              </w:rPr>
            </w:pPr>
          </w:p>
        </w:tc>
      </w:tr>
      <w:tr>
        <w:trPr>
          <w:trHeight w:val="196"/>
        </w:trPr>
        <w:tc>
          <w:tcPr>
            <w:tcW w:w="1420" w:type="dxa"/>
            <w:vAlign w:val="bottom"/>
          </w:tcPr>
          <w:p>
            <w:pPr>
              <w:spacing w:after="0"/>
              <w:rPr>
                <w:sz w:val="17"/>
                <w:szCs w:val="17"/>
                <w:color w:val="auto"/>
              </w:rPr>
            </w:pPr>
          </w:p>
        </w:tc>
        <w:tc>
          <w:tcPr>
            <w:tcW w:w="6760" w:type="dxa"/>
            <w:vAlign w:val="bottom"/>
            <w:gridSpan w:val="10"/>
          </w:tcPr>
          <w:p>
            <w:pPr>
              <w:spacing w:after="0"/>
              <w:rPr>
                <w:rFonts w:ascii="Arial" w:cs="Arial" w:eastAsia="Arial" w:hAnsi="Arial"/>
                <w:sz w:val="12"/>
                <w:szCs w:val="12"/>
                <w:color w:val="0000EE"/>
              </w:rPr>
            </w:pPr>
            <w:hyperlink w:anchor="page8">
              <w:r>
                <w:rPr>
                  <w:rFonts w:ascii="Arial" w:cs="Arial" w:eastAsia="Arial" w:hAnsi="Arial"/>
                  <w:sz w:val="12"/>
                  <w:szCs w:val="12"/>
                  <w:color w:val="0000EE"/>
                </w:rPr>
                <w:t>Notes to Condensed Consolidated Financial Statements (unaudited)</w:t>
              </w:r>
            </w:hyperlink>
          </w:p>
        </w:tc>
        <w:tc>
          <w:tcPr>
            <w:tcW w:w="3220" w:type="dxa"/>
            <w:vAlign w:val="bottom"/>
          </w:tcPr>
          <w:p>
            <w:pPr>
              <w:jc w:val="right"/>
              <w:spacing w:after="0"/>
              <w:rPr>
                <w:sz w:val="20"/>
                <w:szCs w:val="20"/>
                <w:color w:val="auto"/>
              </w:rPr>
            </w:pPr>
            <w:r>
              <w:rPr>
                <w:rFonts w:ascii="Arial" w:cs="Arial" w:eastAsia="Arial" w:hAnsi="Arial"/>
                <w:sz w:val="12"/>
                <w:szCs w:val="12"/>
                <w:color w:val="auto"/>
              </w:rPr>
              <w:t>8</w:t>
            </w:r>
          </w:p>
        </w:tc>
      </w:tr>
      <w:tr>
        <w:trPr>
          <w:trHeight w:val="20"/>
        </w:trPr>
        <w:tc>
          <w:tcPr>
            <w:tcW w:w="1420" w:type="dxa"/>
            <w:vAlign w:val="bottom"/>
          </w:tcPr>
          <w:p>
            <w:pPr>
              <w:spacing w:after="0" w:line="20" w:lineRule="exact"/>
              <w:rPr>
                <w:sz w:val="1"/>
                <w:szCs w:val="1"/>
                <w:color w:val="auto"/>
              </w:rPr>
            </w:pPr>
          </w:p>
        </w:tc>
        <w:tc>
          <w:tcPr>
            <w:tcW w:w="1140" w:type="dxa"/>
            <w:vAlign w:val="bottom"/>
            <w:gridSpan w:val="2"/>
            <w:shd w:val="clear" w:color="auto" w:fill="0000EE"/>
          </w:tcPr>
          <w:p>
            <w:pPr>
              <w:spacing w:after="0" w:line="20" w:lineRule="exact"/>
              <w:rPr>
                <w:sz w:val="1"/>
                <w:szCs w:val="1"/>
                <w:color w:val="auto"/>
              </w:rPr>
            </w:pPr>
          </w:p>
        </w:tc>
        <w:tc>
          <w:tcPr>
            <w:tcW w:w="170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560" w:type="dxa"/>
            <w:vAlign w:val="bottom"/>
            <w:gridSpan w:val="5"/>
          </w:tcPr>
          <w:p>
            <w:pPr>
              <w:spacing w:after="0" w:line="20" w:lineRule="exact"/>
              <w:rPr>
                <w:sz w:val="1"/>
                <w:szCs w:val="1"/>
                <w:color w:val="auto"/>
              </w:rPr>
            </w:pPr>
          </w:p>
        </w:tc>
        <w:tc>
          <w:tcPr>
            <w:tcW w:w="3220" w:type="dxa"/>
            <w:vAlign w:val="bottom"/>
          </w:tcPr>
          <w:p>
            <w:pPr>
              <w:spacing w:after="0" w:line="20" w:lineRule="exact"/>
              <w:rPr>
                <w:sz w:val="1"/>
                <w:szCs w:val="1"/>
                <w:color w:val="auto"/>
              </w:rPr>
            </w:pPr>
          </w:p>
        </w:tc>
      </w:tr>
      <w:tr>
        <w:trPr>
          <w:trHeight w:val="196"/>
        </w:trPr>
        <w:tc>
          <w:tcPr>
            <w:tcW w:w="1420" w:type="dxa"/>
            <w:vAlign w:val="bottom"/>
          </w:tcPr>
          <w:p>
            <w:pPr>
              <w:ind w:left="280"/>
              <w:spacing w:after="0"/>
              <w:rPr>
                <w:sz w:val="20"/>
                <w:szCs w:val="20"/>
                <w:color w:val="auto"/>
              </w:rPr>
            </w:pPr>
            <w:r>
              <w:rPr>
                <w:rFonts w:ascii="Arial" w:cs="Arial" w:eastAsia="Arial" w:hAnsi="Arial"/>
                <w:sz w:val="12"/>
                <w:szCs w:val="12"/>
                <w:color w:val="auto"/>
              </w:rPr>
              <w:t>Item 2.</w:t>
            </w:r>
          </w:p>
        </w:tc>
        <w:tc>
          <w:tcPr>
            <w:tcW w:w="4200" w:type="dxa"/>
            <w:vAlign w:val="bottom"/>
            <w:tcBorders>
              <w:bottom w:val="single" w:sz="8" w:color="0000EE"/>
            </w:tcBorders>
            <w:gridSpan w:val="5"/>
          </w:tcPr>
          <w:p>
            <w:pPr>
              <w:spacing w:after="0"/>
              <w:rPr>
                <w:rFonts w:ascii="Arial" w:cs="Arial" w:eastAsia="Arial" w:hAnsi="Arial"/>
                <w:sz w:val="12"/>
                <w:szCs w:val="12"/>
                <w:color w:val="0000EE"/>
                <w:w w:val="88"/>
              </w:rPr>
            </w:pPr>
            <w:hyperlink w:anchor="page33">
              <w:r>
                <w:rPr>
                  <w:rFonts w:ascii="Arial" w:cs="Arial" w:eastAsia="Arial" w:hAnsi="Arial"/>
                  <w:sz w:val="12"/>
                  <w:szCs w:val="12"/>
                  <w:color w:val="0000EE"/>
                  <w:w w:val="88"/>
                </w:rPr>
                <w:t>Management’s Discussion and Analysis of Financial Condition and Results of Operations</w:t>
              </w:r>
            </w:hyperlink>
          </w:p>
        </w:tc>
        <w:tc>
          <w:tcPr>
            <w:tcW w:w="2560" w:type="dxa"/>
            <w:vAlign w:val="bottom"/>
            <w:gridSpan w:val="5"/>
          </w:tcPr>
          <w:p>
            <w:pPr>
              <w:spacing w:after="0"/>
              <w:rPr>
                <w:sz w:val="17"/>
                <w:szCs w:val="17"/>
                <w:color w:val="auto"/>
              </w:rPr>
            </w:pPr>
          </w:p>
        </w:tc>
        <w:tc>
          <w:tcPr>
            <w:tcW w:w="3220" w:type="dxa"/>
            <w:vAlign w:val="bottom"/>
          </w:tcPr>
          <w:p>
            <w:pPr>
              <w:jc w:val="right"/>
              <w:spacing w:after="0"/>
              <w:rPr>
                <w:sz w:val="20"/>
                <w:szCs w:val="20"/>
                <w:color w:val="auto"/>
              </w:rPr>
            </w:pPr>
            <w:r>
              <w:rPr>
                <w:rFonts w:ascii="Arial" w:cs="Arial" w:eastAsia="Arial" w:hAnsi="Arial"/>
                <w:sz w:val="12"/>
                <w:szCs w:val="12"/>
                <w:color w:val="auto"/>
              </w:rPr>
              <w:t>33</w:t>
            </w:r>
          </w:p>
        </w:tc>
      </w:tr>
      <w:tr>
        <w:trPr>
          <w:trHeight w:val="196"/>
        </w:trPr>
        <w:tc>
          <w:tcPr>
            <w:tcW w:w="1420" w:type="dxa"/>
            <w:vAlign w:val="bottom"/>
          </w:tcPr>
          <w:p>
            <w:pPr>
              <w:ind w:left="280"/>
              <w:spacing w:after="0"/>
              <w:rPr>
                <w:sz w:val="20"/>
                <w:szCs w:val="20"/>
                <w:color w:val="auto"/>
              </w:rPr>
            </w:pPr>
            <w:r>
              <w:rPr>
                <w:rFonts w:ascii="Arial" w:cs="Arial" w:eastAsia="Arial" w:hAnsi="Arial"/>
                <w:sz w:val="12"/>
                <w:szCs w:val="12"/>
                <w:color w:val="auto"/>
              </w:rPr>
              <w:t>Item 3.</w:t>
            </w:r>
          </w:p>
        </w:tc>
        <w:tc>
          <w:tcPr>
            <w:tcW w:w="2840" w:type="dxa"/>
            <w:vAlign w:val="bottom"/>
            <w:tcBorders>
              <w:bottom w:val="single" w:sz="8" w:color="0000EE"/>
            </w:tcBorders>
            <w:gridSpan w:val="3"/>
          </w:tcPr>
          <w:p>
            <w:pPr>
              <w:spacing w:after="0"/>
              <w:rPr>
                <w:rFonts w:ascii="Arial" w:cs="Arial" w:eastAsia="Arial" w:hAnsi="Arial"/>
                <w:sz w:val="12"/>
                <w:szCs w:val="12"/>
                <w:color w:val="0000EE"/>
                <w:w w:val="89"/>
              </w:rPr>
            </w:pPr>
            <w:hyperlink w:anchor="page52">
              <w:r>
                <w:rPr>
                  <w:rFonts w:ascii="Arial" w:cs="Arial" w:eastAsia="Arial" w:hAnsi="Arial"/>
                  <w:sz w:val="12"/>
                  <w:szCs w:val="12"/>
                  <w:color w:val="0000EE"/>
                  <w:w w:val="89"/>
                </w:rPr>
                <w:t>Quantitative and Qualitative Disclosures About Market Risk</w:t>
              </w:r>
            </w:hyperlink>
          </w:p>
        </w:tc>
        <w:tc>
          <w:tcPr>
            <w:tcW w:w="3920" w:type="dxa"/>
            <w:vAlign w:val="bottom"/>
            <w:gridSpan w:val="7"/>
          </w:tcPr>
          <w:p>
            <w:pPr>
              <w:spacing w:after="0"/>
              <w:rPr>
                <w:sz w:val="17"/>
                <w:szCs w:val="17"/>
                <w:color w:val="auto"/>
              </w:rPr>
            </w:pPr>
          </w:p>
        </w:tc>
        <w:tc>
          <w:tcPr>
            <w:tcW w:w="3220" w:type="dxa"/>
            <w:vAlign w:val="bottom"/>
          </w:tcPr>
          <w:p>
            <w:pPr>
              <w:jc w:val="right"/>
              <w:spacing w:after="0"/>
              <w:rPr>
                <w:sz w:val="20"/>
                <w:szCs w:val="20"/>
                <w:color w:val="auto"/>
              </w:rPr>
            </w:pPr>
            <w:r>
              <w:rPr>
                <w:rFonts w:ascii="Arial" w:cs="Arial" w:eastAsia="Arial" w:hAnsi="Arial"/>
                <w:sz w:val="12"/>
                <w:szCs w:val="12"/>
                <w:color w:val="auto"/>
              </w:rPr>
              <w:t>52</w:t>
            </w:r>
          </w:p>
        </w:tc>
      </w:tr>
      <w:tr>
        <w:trPr>
          <w:trHeight w:val="196"/>
        </w:trPr>
        <w:tc>
          <w:tcPr>
            <w:tcW w:w="1420" w:type="dxa"/>
            <w:vAlign w:val="bottom"/>
          </w:tcPr>
          <w:p>
            <w:pPr>
              <w:ind w:left="280"/>
              <w:spacing w:after="0"/>
              <w:rPr>
                <w:sz w:val="20"/>
                <w:szCs w:val="20"/>
                <w:color w:val="auto"/>
              </w:rPr>
            </w:pPr>
            <w:r>
              <w:rPr>
                <w:rFonts w:ascii="Arial" w:cs="Arial" w:eastAsia="Arial" w:hAnsi="Arial"/>
                <w:sz w:val="12"/>
                <w:szCs w:val="12"/>
                <w:color w:val="auto"/>
              </w:rPr>
              <w:t>Item 4.</w:t>
            </w:r>
          </w:p>
        </w:tc>
        <w:tc>
          <w:tcPr>
            <w:tcW w:w="6760" w:type="dxa"/>
            <w:vAlign w:val="bottom"/>
            <w:gridSpan w:val="10"/>
          </w:tcPr>
          <w:p>
            <w:pPr>
              <w:spacing w:after="0"/>
              <w:rPr>
                <w:rFonts w:ascii="Arial" w:cs="Arial" w:eastAsia="Arial" w:hAnsi="Arial"/>
                <w:sz w:val="12"/>
                <w:szCs w:val="12"/>
                <w:color w:val="0000EE"/>
              </w:rPr>
            </w:pPr>
            <w:hyperlink w:anchor="page53">
              <w:r>
                <w:rPr>
                  <w:rFonts w:ascii="Arial" w:cs="Arial" w:eastAsia="Arial" w:hAnsi="Arial"/>
                  <w:sz w:val="12"/>
                  <w:szCs w:val="12"/>
                  <w:color w:val="0000EE"/>
                </w:rPr>
                <w:t>Controls and Procedures</w:t>
              </w:r>
            </w:hyperlink>
          </w:p>
        </w:tc>
        <w:tc>
          <w:tcPr>
            <w:tcW w:w="3220" w:type="dxa"/>
            <w:vAlign w:val="bottom"/>
          </w:tcPr>
          <w:p>
            <w:pPr>
              <w:jc w:val="right"/>
              <w:spacing w:after="0"/>
              <w:rPr>
                <w:sz w:val="20"/>
                <w:szCs w:val="20"/>
                <w:color w:val="auto"/>
              </w:rPr>
            </w:pPr>
            <w:r>
              <w:rPr>
                <w:rFonts w:ascii="Arial" w:cs="Arial" w:eastAsia="Arial" w:hAnsi="Arial"/>
                <w:sz w:val="12"/>
                <w:szCs w:val="12"/>
                <w:color w:val="auto"/>
              </w:rPr>
              <w:t>53</w:t>
            </w:r>
          </w:p>
        </w:tc>
      </w:tr>
      <w:tr>
        <w:trPr>
          <w:trHeight w:val="20"/>
        </w:trPr>
        <w:tc>
          <w:tcPr>
            <w:tcW w:w="1420" w:type="dxa"/>
            <w:vAlign w:val="bottom"/>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220" w:type="dxa"/>
            <w:vAlign w:val="bottom"/>
          </w:tcPr>
          <w:p>
            <w:pPr>
              <w:spacing w:after="0" w:line="20" w:lineRule="exact"/>
              <w:rPr>
                <w:sz w:val="1"/>
                <w:szCs w:val="1"/>
                <w:color w:val="auto"/>
              </w:rPr>
            </w:pPr>
          </w:p>
        </w:tc>
      </w:tr>
    </w:tbl>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50"/>
        </w:trPr>
        <w:tc>
          <w:tcPr>
            <w:tcW w:w="1420" w:type="dxa"/>
            <w:vAlign w:val="bottom"/>
            <w:gridSpan w:val="3"/>
          </w:tcPr>
          <w:p>
            <w:pPr>
              <w:spacing w:after="0"/>
              <w:rPr>
                <w:sz w:val="20"/>
                <w:szCs w:val="20"/>
                <w:color w:val="auto"/>
              </w:rPr>
            </w:pPr>
            <w:r>
              <w:rPr>
                <w:rFonts w:ascii="Arial" w:cs="Arial" w:eastAsia="Arial" w:hAnsi="Arial"/>
                <w:sz w:val="12"/>
                <w:szCs w:val="12"/>
                <w:b w:val="1"/>
                <w:bCs w:val="1"/>
                <w:color w:val="auto"/>
              </w:rPr>
              <w:t>Part II.</w:t>
            </w:r>
          </w:p>
        </w:tc>
        <w:tc>
          <w:tcPr>
            <w:tcW w:w="3560" w:type="dxa"/>
            <w:vAlign w:val="bottom"/>
            <w:gridSpan w:val="5"/>
          </w:tcPr>
          <w:p>
            <w:pPr>
              <w:spacing w:after="0"/>
              <w:rPr>
                <w:sz w:val="20"/>
                <w:szCs w:val="20"/>
                <w:color w:val="auto"/>
              </w:rPr>
            </w:pPr>
            <w:r>
              <w:rPr>
                <w:rFonts w:ascii="Arial" w:cs="Arial" w:eastAsia="Arial" w:hAnsi="Arial"/>
                <w:sz w:val="12"/>
                <w:szCs w:val="12"/>
                <w:b w:val="1"/>
                <w:bCs w:val="1"/>
                <w:color w:val="auto"/>
              </w:rPr>
              <w:t>Other Information</w:t>
            </w:r>
          </w:p>
        </w:tc>
        <w:tc>
          <w:tcPr>
            <w:tcW w:w="6420" w:type="dxa"/>
            <w:vAlign w:val="bottom"/>
          </w:tcPr>
          <w:p>
            <w:pPr>
              <w:spacing w:after="0"/>
              <w:rPr>
                <w:sz w:val="13"/>
                <w:szCs w:val="13"/>
                <w:color w:val="auto"/>
              </w:rPr>
            </w:pPr>
          </w:p>
        </w:tc>
      </w:tr>
      <w:tr>
        <w:trPr>
          <w:trHeight w:val="191"/>
        </w:trPr>
        <w:tc>
          <w:tcPr>
            <w:tcW w:w="1420" w:type="dxa"/>
            <w:vAlign w:val="bottom"/>
            <w:gridSpan w:val="3"/>
          </w:tcPr>
          <w:p>
            <w:pPr>
              <w:ind w:left="280"/>
              <w:spacing w:after="0"/>
              <w:rPr>
                <w:sz w:val="20"/>
                <w:szCs w:val="20"/>
                <w:color w:val="auto"/>
              </w:rPr>
            </w:pPr>
            <w:r>
              <w:rPr>
                <w:rFonts w:ascii="Arial" w:cs="Arial" w:eastAsia="Arial" w:hAnsi="Arial"/>
                <w:sz w:val="12"/>
                <w:szCs w:val="12"/>
                <w:color w:val="auto"/>
              </w:rPr>
              <w:t>Item 1.</w:t>
            </w:r>
          </w:p>
        </w:tc>
        <w:tc>
          <w:tcPr>
            <w:tcW w:w="3560" w:type="dxa"/>
            <w:vAlign w:val="bottom"/>
            <w:gridSpan w:val="5"/>
          </w:tcPr>
          <w:p>
            <w:pPr>
              <w:spacing w:after="0"/>
              <w:rPr>
                <w:rFonts w:ascii="Arial" w:cs="Arial" w:eastAsia="Arial" w:hAnsi="Arial"/>
                <w:sz w:val="12"/>
                <w:szCs w:val="12"/>
                <w:color w:val="0000EE"/>
              </w:rPr>
            </w:pPr>
            <w:hyperlink w:anchor="page54">
              <w:r>
                <w:rPr>
                  <w:rFonts w:ascii="Arial" w:cs="Arial" w:eastAsia="Arial" w:hAnsi="Arial"/>
                  <w:sz w:val="12"/>
                  <w:szCs w:val="12"/>
                  <w:color w:val="0000EE"/>
                </w:rPr>
                <w:t>Legal Proceedings</w:t>
              </w:r>
            </w:hyperlink>
          </w:p>
        </w:tc>
        <w:tc>
          <w:tcPr>
            <w:tcW w:w="6420" w:type="dxa"/>
            <w:vAlign w:val="bottom"/>
          </w:tcPr>
          <w:p>
            <w:pPr>
              <w:jc w:val="right"/>
              <w:spacing w:after="0"/>
              <w:rPr>
                <w:sz w:val="20"/>
                <w:szCs w:val="20"/>
                <w:color w:val="auto"/>
              </w:rPr>
            </w:pPr>
            <w:r>
              <w:rPr>
                <w:rFonts w:ascii="Arial" w:cs="Arial" w:eastAsia="Arial" w:hAnsi="Arial"/>
                <w:sz w:val="12"/>
                <w:szCs w:val="12"/>
                <w:color w:val="auto"/>
              </w:rPr>
              <w:t>54</w:t>
            </w:r>
          </w:p>
        </w:tc>
      </w:tr>
      <w:tr>
        <w:trPr>
          <w:trHeight w:val="196"/>
        </w:trPr>
        <w:tc>
          <w:tcPr>
            <w:tcW w:w="1420" w:type="dxa"/>
            <w:vAlign w:val="bottom"/>
            <w:gridSpan w:val="3"/>
          </w:tcPr>
          <w:p>
            <w:pPr>
              <w:ind w:left="280"/>
              <w:spacing w:after="0"/>
              <w:rPr>
                <w:sz w:val="20"/>
                <w:szCs w:val="20"/>
                <w:color w:val="auto"/>
              </w:rPr>
            </w:pPr>
            <w:r>
              <w:rPr>
                <w:rFonts w:ascii="Arial" w:cs="Arial" w:eastAsia="Arial" w:hAnsi="Arial"/>
                <w:sz w:val="12"/>
                <w:szCs w:val="12"/>
                <w:color w:val="auto"/>
              </w:rPr>
              <w:t>Item 1A.</w:t>
            </w:r>
          </w:p>
        </w:tc>
        <w:tc>
          <w:tcPr>
            <w:tcW w:w="860" w:type="dxa"/>
            <w:vAlign w:val="bottom"/>
            <w:tcBorders>
              <w:top w:val="single" w:sz="8" w:color="0000EE"/>
            </w:tcBorders>
            <w:gridSpan w:val="3"/>
          </w:tcPr>
          <w:p>
            <w:pPr>
              <w:spacing w:after="0"/>
              <w:rPr>
                <w:rFonts w:ascii="Arial" w:cs="Arial" w:eastAsia="Arial" w:hAnsi="Arial"/>
                <w:sz w:val="12"/>
                <w:szCs w:val="12"/>
                <w:color w:val="0000EE"/>
              </w:rPr>
            </w:pPr>
            <w:hyperlink w:anchor="page54">
              <w:r>
                <w:rPr>
                  <w:rFonts w:ascii="Arial" w:cs="Arial" w:eastAsia="Arial" w:hAnsi="Arial"/>
                  <w:sz w:val="12"/>
                  <w:szCs w:val="12"/>
                  <w:color w:val="0000EE"/>
                </w:rPr>
                <w:t>Risk Factors</w:t>
              </w:r>
            </w:hyperlink>
          </w:p>
        </w:tc>
        <w:tc>
          <w:tcPr>
            <w:tcW w:w="2700" w:type="dxa"/>
            <w:vAlign w:val="bottom"/>
            <w:gridSpan w:val="2"/>
          </w:tcPr>
          <w:p>
            <w:pPr>
              <w:spacing w:after="0"/>
              <w:rPr>
                <w:sz w:val="17"/>
                <w:szCs w:val="17"/>
                <w:color w:val="auto"/>
              </w:rPr>
            </w:pPr>
          </w:p>
        </w:tc>
        <w:tc>
          <w:tcPr>
            <w:tcW w:w="6420" w:type="dxa"/>
            <w:vAlign w:val="bottom"/>
          </w:tcPr>
          <w:p>
            <w:pPr>
              <w:jc w:val="right"/>
              <w:spacing w:after="0"/>
              <w:rPr>
                <w:sz w:val="20"/>
                <w:szCs w:val="20"/>
                <w:color w:val="auto"/>
              </w:rPr>
            </w:pPr>
            <w:r>
              <w:rPr>
                <w:rFonts w:ascii="Arial" w:cs="Arial" w:eastAsia="Arial" w:hAnsi="Arial"/>
                <w:sz w:val="12"/>
                <w:szCs w:val="12"/>
                <w:color w:val="auto"/>
              </w:rPr>
              <w:t>54</w:t>
            </w:r>
          </w:p>
        </w:tc>
      </w:tr>
      <w:tr>
        <w:trPr>
          <w:trHeight w:val="20"/>
        </w:trPr>
        <w:tc>
          <w:tcPr>
            <w:tcW w:w="2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240" w:type="dxa"/>
            <w:vAlign w:val="bottom"/>
            <w:gridSpan w:val="2"/>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420" w:type="dxa"/>
            <w:vAlign w:val="bottom"/>
          </w:tcPr>
          <w:p>
            <w:pPr>
              <w:spacing w:after="0" w:line="20" w:lineRule="exact"/>
              <w:rPr>
                <w:sz w:val="1"/>
                <w:szCs w:val="1"/>
                <w:color w:val="auto"/>
              </w:rPr>
            </w:pPr>
          </w:p>
        </w:tc>
      </w:tr>
      <w:tr>
        <w:trPr>
          <w:trHeight w:val="196"/>
        </w:trPr>
        <w:tc>
          <w:tcPr>
            <w:tcW w:w="1420" w:type="dxa"/>
            <w:vAlign w:val="bottom"/>
            <w:gridSpan w:val="3"/>
          </w:tcPr>
          <w:p>
            <w:pPr>
              <w:ind w:left="280"/>
              <w:spacing w:after="0"/>
              <w:rPr>
                <w:sz w:val="20"/>
                <w:szCs w:val="20"/>
                <w:color w:val="auto"/>
              </w:rPr>
            </w:pPr>
            <w:r>
              <w:rPr>
                <w:rFonts w:ascii="Arial" w:cs="Arial" w:eastAsia="Arial" w:hAnsi="Arial"/>
                <w:sz w:val="12"/>
                <w:szCs w:val="12"/>
                <w:color w:val="auto"/>
              </w:rPr>
              <w:t>Item 2.</w:t>
            </w:r>
          </w:p>
        </w:tc>
        <w:tc>
          <w:tcPr>
            <w:tcW w:w="3560" w:type="dxa"/>
            <w:vAlign w:val="bottom"/>
            <w:gridSpan w:val="5"/>
          </w:tcPr>
          <w:p>
            <w:pPr>
              <w:spacing w:after="0"/>
              <w:rPr>
                <w:rFonts w:ascii="Arial" w:cs="Arial" w:eastAsia="Arial" w:hAnsi="Arial"/>
                <w:sz w:val="12"/>
                <w:szCs w:val="12"/>
                <w:color w:val="0000EE"/>
              </w:rPr>
            </w:pPr>
            <w:hyperlink w:anchor="page54">
              <w:r>
                <w:rPr>
                  <w:rFonts w:ascii="Arial" w:cs="Arial" w:eastAsia="Arial" w:hAnsi="Arial"/>
                  <w:sz w:val="12"/>
                  <w:szCs w:val="12"/>
                  <w:color w:val="0000EE"/>
                </w:rPr>
                <w:t>Unregistered Sales of Equity Securities and Use of Proceeds</w:t>
              </w:r>
            </w:hyperlink>
          </w:p>
        </w:tc>
        <w:tc>
          <w:tcPr>
            <w:tcW w:w="6420" w:type="dxa"/>
            <w:vAlign w:val="bottom"/>
          </w:tcPr>
          <w:p>
            <w:pPr>
              <w:jc w:val="right"/>
              <w:spacing w:after="0"/>
              <w:rPr>
                <w:sz w:val="20"/>
                <w:szCs w:val="20"/>
                <w:color w:val="auto"/>
              </w:rPr>
            </w:pPr>
            <w:r>
              <w:rPr>
                <w:rFonts w:ascii="Arial" w:cs="Arial" w:eastAsia="Arial" w:hAnsi="Arial"/>
                <w:sz w:val="12"/>
                <w:szCs w:val="12"/>
                <w:color w:val="auto"/>
              </w:rPr>
              <w:t>54</w:t>
            </w:r>
          </w:p>
        </w:tc>
      </w:tr>
      <w:tr>
        <w:trPr>
          <w:trHeight w:val="196"/>
        </w:trPr>
        <w:tc>
          <w:tcPr>
            <w:tcW w:w="1420" w:type="dxa"/>
            <w:vAlign w:val="bottom"/>
            <w:gridSpan w:val="3"/>
          </w:tcPr>
          <w:p>
            <w:pPr>
              <w:ind w:left="280"/>
              <w:spacing w:after="0"/>
              <w:rPr>
                <w:sz w:val="20"/>
                <w:szCs w:val="20"/>
                <w:color w:val="auto"/>
              </w:rPr>
            </w:pPr>
            <w:r>
              <w:rPr>
                <w:rFonts w:ascii="Arial" w:cs="Arial" w:eastAsia="Arial" w:hAnsi="Arial"/>
                <w:sz w:val="12"/>
                <w:szCs w:val="12"/>
                <w:color w:val="auto"/>
              </w:rPr>
              <w:t>Item 6.</w:t>
            </w:r>
          </w:p>
        </w:tc>
        <w:tc>
          <w:tcPr>
            <w:tcW w:w="2820" w:type="dxa"/>
            <w:vAlign w:val="bottom"/>
            <w:tcBorders>
              <w:top w:val="single" w:sz="8" w:color="0000EE"/>
            </w:tcBorders>
            <w:gridSpan w:val="4"/>
          </w:tcPr>
          <w:p>
            <w:pPr>
              <w:spacing w:after="0"/>
              <w:rPr>
                <w:rFonts w:ascii="Arial" w:cs="Arial" w:eastAsia="Arial" w:hAnsi="Arial"/>
                <w:sz w:val="12"/>
                <w:szCs w:val="12"/>
                <w:color w:val="0000EE"/>
              </w:rPr>
            </w:pPr>
            <w:hyperlink w:anchor="page55">
              <w:r>
                <w:rPr>
                  <w:rFonts w:ascii="Arial" w:cs="Arial" w:eastAsia="Arial" w:hAnsi="Arial"/>
                  <w:sz w:val="12"/>
                  <w:szCs w:val="12"/>
                  <w:color w:val="0000EE"/>
                </w:rPr>
                <w:t>Exhibits</w:t>
              </w:r>
            </w:hyperlink>
          </w:p>
        </w:tc>
        <w:tc>
          <w:tcPr>
            <w:tcW w:w="740" w:type="dxa"/>
            <w:vAlign w:val="bottom"/>
          </w:tcPr>
          <w:p>
            <w:pPr>
              <w:spacing w:after="0"/>
              <w:rPr>
                <w:sz w:val="17"/>
                <w:szCs w:val="17"/>
                <w:color w:val="auto"/>
              </w:rPr>
            </w:pPr>
          </w:p>
        </w:tc>
        <w:tc>
          <w:tcPr>
            <w:tcW w:w="6420" w:type="dxa"/>
            <w:vAlign w:val="bottom"/>
          </w:tcPr>
          <w:p>
            <w:pPr>
              <w:jc w:val="right"/>
              <w:spacing w:after="0"/>
              <w:rPr>
                <w:sz w:val="20"/>
                <w:szCs w:val="20"/>
                <w:color w:val="auto"/>
              </w:rPr>
            </w:pPr>
            <w:r>
              <w:rPr>
                <w:rFonts w:ascii="Arial" w:cs="Arial" w:eastAsia="Arial" w:hAnsi="Arial"/>
                <w:sz w:val="12"/>
                <w:szCs w:val="12"/>
                <w:color w:val="auto"/>
              </w:rPr>
              <w:t>55</w:t>
            </w:r>
          </w:p>
        </w:tc>
      </w:tr>
      <w:tr>
        <w:trPr>
          <w:trHeight w:val="196"/>
        </w:trPr>
        <w:tc>
          <w:tcPr>
            <w:tcW w:w="1420" w:type="dxa"/>
            <w:vAlign w:val="bottom"/>
            <w:gridSpan w:val="3"/>
          </w:tcPr>
          <w:p>
            <w:pPr>
              <w:ind w:left="280"/>
              <w:spacing w:after="0"/>
              <w:rPr>
                <w:rFonts w:ascii="Arial" w:cs="Arial" w:eastAsia="Arial" w:hAnsi="Arial"/>
                <w:sz w:val="12"/>
                <w:szCs w:val="12"/>
                <w:color w:val="0000EE"/>
              </w:rPr>
            </w:pPr>
            <w:hyperlink w:anchor="page56">
              <w:r>
                <w:rPr>
                  <w:rFonts w:ascii="Arial" w:cs="Arial" w:eastAsia="Arial" w:hAnsi="Arial"/>
                  <w:sz w:val="12"/>
                  <w:szCs w:val="12"/>
                  <w:color w:val="0000EE"/>
                </w:rPr>
                <w:t>Signature</w:t>
              </w:r>
            </w:hyperlink>
          </w:p>
        </w:tc>
        <w:tc>
          <w:tcPr>
            <w:tcW w:w="380" w:type="dxa"/>
            <w:vAlign w:val="bottom"/>
            <w:tcBorders>
              <w:top w:val="single" w:sz="8" w:color="0000EE"/>
            </w:tcBorders>
          </w:tcPr>
          <w:p>
            <w:pPr>
              <w:spacing w:after="0"/>
              <w:rPr>
                <w:sz w:val="17"/>
                <w:szCs w:val="17"/>
                <w:color w:val="auto"/>
              </w:rPr>
            </w:pPr>
          </w:p>
        </w:tc>
        <w:tc>
          <w:tcPr>
            <w:tcW w:w="2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9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420" w:type="dxa"/>
            <w:vAlign w:val="bottom"/>
          </w:tcPr>
          <w:p>
            <w:pPr>
              <w:jc w:val="right"/>
              <w:spacing w:after="0"/>
              <w:rPr>
                <w:sz w:val="20"/>
                <w:szCs w:val="20"/>
                <w:color w:val="auto"/>
              </w:rPr>
            </w:pPr>
            <w:r>
              <w:rPr>
                <w:rFonts w:ascii="Arial" w:cs="Arial" w:eastAsia="Arial" w:hAnsi="Arial"/>
                <w:sz w:val="12"/>
                <w:szCs w:val="12"/>
                <w:color w:val="auto"/>
              </w:rPr>
              <w:t>56</w:t>
            </w:r>
          </w:p>
        </w:tc>
      </w:tr>
      <w:tr>
        <w:trPr>
          <w:trHeight w:val="248"/>
        </w:trPr>
        <w:tc>
          <w:tcPr>
            <w:tcW w:w="280" w:type="dxa"/>
            <w:vAlign w:val="bottom"/>
          </w:tcPr>
          <w:p>
            <w:pPr>
              <w:spacing w:after="0"/>
              <w:rPr>
                <w:sz w:val="21"/>
                <w:szCs w:val="21"/>
                <w:color w:val="auto"/>
              </w:rPr>
            </w:pPr>
          </w:p>
        </w:tc>
        <w:tc>
          <w:tcPr>
            <w:tcW w:w="440" w:type="dxa"/>
            <w:vAlign w:val="bottom"/>
            <w:tcBorders>
              <w:top w:val="single" w:sz="8" w:color="0000EE"/>
            </w:tcBorders>
          </w:tcPr>
          <w:p>
            <w:pPr>
              <w:spacing w:after="0"/>
              <w:rPr>
                <w:sz w:val="21"/>
                <w:szCs w:val="21"/>
                <w:color w:val="auto"/>
              </w:rPr>
            </w:pPr>
          </w:p>
        </w:tc>
        <w:tc>
          <w:tcPr>
            <w:tcW w:w="7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9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6420" w:type="dxa"/>
            <w:vAlign w:val="bottom"/>
          </w:tcPr>
          <w:p>
            <w:pPr>
              <w:jc w:val="right"/>
              <w:ind w:right="5581"/>
              <w:spacing w:after="0"/>
              <w:rPr>
                <w:sz w:val="20"/>
                <w:szCs w:val="20"/>
                <w:color w:val="auto"/>
              </w:rPr>
            </w:pPr>
            <w:r>
              <w:rPr>
                <w:rFonts w:ascii="Arial" w:cs="Arial" w:eastAsia="Arial" w:hAnsi="Arial"/>
                <w:sz w:val="12"/>
                <w:szCs w:val="12"/>
                <w:color w:val="auto"/>
              </w:rPr>
              <w:t>2</w:t>
            </w:r>
          </w:p>
        </w:tc>
      </w:tr>
    </w:tbl>
    <w:p>
      <w:pPr>
        <w:sectPr>
          <w:pgSz w:w="11900" w:h="16838" w:orient="portrait"/>
          <w:cols w:equalWidth="0" w:num="1">
            <w:col w:w="11400"/>
          </w:cols>
          <w:pgMar w:left="220" w:top="354" w:right="279" w:bottom="1440" w:gutter="0" w:footer="0" w:header="0"/>
        </w:sectPr>
      </w:pPr>
    </w:p>
    <w:bookmarkStart w:id="2" w:name="page3"/>
    <w:bookmarkEnd w:id="2"/>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121920</wp:posOffset>
            </wp:positionH>
            <wp:positionV relativeFrom="page">
              <wp:posOffset>88900</wp:posOffset>
            </wp:positionV>
            <wp:extent cx="7329170" cy="298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329170" cy="29845"/>
                    </a:xfrm>
                    <a:prstGeom prst="rect">
                      <a:avLst/>
                    </a:prstGeom>
                    <a:noFill/>
                  </pic:spPr>
                </pic:pic>
              </a:graphicData>
            </a:graphic>
          </wp:anchor>
        </w:drawing>
      </w:r>
      <w:hyperlink w:anchor="page2">
        <w:r>
          <w:rPr>
            <w:rFonts w:ascii="Arial" w:cs="Arial" w:eastAsia="Arial" w:hAnsi="Arial"/>
            <w:sz w:val="12"/>
            <w:szCs w:val="12"/>
            <w:b w:val="1"/>
            <w:bCs w:val="1"/>
            <w:u w:val="single" w:color="auto"/>
            <w:color w:val="0000EE"/>
          </w:rPr>
          <w:t>Table of Contents</w:t>
        </w:r>
      </w:hyperlink>
    </w:p>
    <w:p>
      <w:pPr>
        <w:spacing w:after="0" w:line="207"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Part I – FINANCIAL INFORMATION</w:t>
      </w:r>
    </w:p>
    <w:p>
      <w:pPr>
        <w:spacing w:after="0" w:line="12"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Item 1. Financial Statements</w:t>
      </w:r>
    </w:p>
    <w:p>
      <w:pPr>
        <w:spacing w:after="0" w:line="108"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WYNN RESORTS, LIMITED AND SUBSIDIARIES</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CONDENSED CONSOLIDATED BALANCE SHEETS</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(amounts in thousands, except share data)</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103"/>
        </w:trPr>
        <w:tc>
          <w:tcPr>
            <w:tcW w:w="9280" w:type="dxa"/>
            <w:vAlign w:val="bottom"/>
          </w:tcPr>
          <w:p>
            <w:pPr>
              <w:spacing w:after="0"/>
              <w:rPr>
                <w:sz w:val="8"/>
                <w:szCs w:val="8"/>
                <w:color w:val="auto"/>
              </w:rPr>
            </w:pPr>
          </w:p>
        </w:tc>
        <w:tc>
          <w:tcPr>
            <w:tcW w:w="80" w:type="dxa"/>
            <w:vAlign w:val="bottom"/>
          </w:tcPr>
          <w:p>
            <w:pPr>
              <w:spacing w:after="0"/>
              <w:rPr>
                <w:sz w:val="8"/>
                <w:szCs w:val="8"/>
                <w:color w:val="auto"/>
              </w:rPr>
            </w:pPr>
          </w:p>
        </w:tc>
        <w:tc>
          <w:tcPr>
            <w:tcW w:w="1320" w:type="dxa"/>
            <w:vAlign w:val="bottom"/>
            <w:gridSpan w:val="2"/>
          </w:tcPr>
          <w:p>
            <w:pPr>
              <w:jc w:val="center"/>
              <w:ind w:right="720"/>
              <w:spacing w:after="0"/>
              <w:rPr>
                <w:sz w:val="20"/>
                <w:szCs w:val="20"/>
                <w:color w:val="auto"/>
              </w:rPr>
            </w:pPr>
            <w:r>
              <w:rPr>
                <w:rFonts w:ascii="Arial" w:cs="Arial" w:eastAsia="Arial" w:hAnsi="Arial"/>
                <w:sz w:val="9"/>
                <w:szCs w:val="9"/>
                <w:b w:val="1"/>
                <w:bCs w:val="1"/>
                <w:color w:val="auto"/>
                <w:w w:val="90"/>
              </w:rPr>
              <w:t>September 30,</w:t>
            </w:r>
          </w:p>
        </w:tc>
        <w:tc>
          <w:tcPr>
            <w:tcW w:w="60" w:type="dxa"/>
            <w:vAlign w:val="bottom"/>
          </w:tcPr>
          <w:p>
            <w:pPr>
              <w:spacing w:after="0"/>
              <w:rPr>
                <w:sz w:val="8"/>
                <w:szCs w:val="8"/>
                <w:color w:val="auto"/>
              </w:rPr>
            </w:pPr>
          </w:p>
        </w:tc>
        <w:tc>
          <w:tcPr>
            <w:tcW w:w="660" w:type="dxa"/>
            <w:vAlign w:val="bottom"/>
          </w:tcPr>
          <w:p>
            <w:pPr>
              <w:spacing w:after="0"/>
              <w:rPr>
                <w:sz w:val="8"/>
                <w:szCs w:val="8"/>
                <w:color w:val="auto"/>
              </w:rPr>
            </w:pPr>
          </w:p>
        </w:tc>
        <w:tc>
          <w:tcPr>
            <w:tcW w:w="80" w:type="dxa"/>
            <w:vAlign w:val="bottom"/>
          </w:tcPr>
          <w:p>
            <w:pPr>
              <w:spacing w:after="0"/>
              <w:rPr>
                <w:sz w:val="8"/>
                <w:szCs w:val="8"/>
                <w:color w:val="auto"/>
              </w:rPr>
            </w:pPr>
          </w:p>
        </w:tc>
      </w:tr>
      <w:tr>
        <w:trPr>
          <w:trHeight w:val="99"/>
        </w:trPr>
        <w:tc>
          <w:tcPr>
            <w:tcW w:w="9280" w:type="dxa"/>
            <w:vAlign w:val="bottom"/>
          </w:tcPr>
          <w:p>
            <w:pPr>
              <w:spacing w:after="0"/>
              <w:rPr>
                <w:sz w:val="8"/>
                <w:szCs w:val="8"/>
                <w:color w:val="auto"/>
              </w:rPr>
            </w:pPr>
          </w:p>
        </w:tc>
        <w:tc>
          <w:tcPr>
            <w:tcW w:w="80" w:type="dxa"/>
            <w:vAlign w:val="bottom"/>
          </w:tcPr>
          <w:p>
            <w:pPr>
              <w:spacing w:after="0"/>
              <w:rPr>
                <w:sz w:val="8"/>
                <w:szCs w:val="8"/>
                <w:color w:val="auto"/>
              </w:rPr>
            </w:pPr>
          </w:p>
        </w:tc>
        <w:tc>
          <w:tcPr>
            <w:tcW w:w="680" w:type="dxa"/>
            <w:vAlign w:val="bottom"/>
          </w:tcPr>
          <w:p>
            <w:pPr>
              <w:jc w:val="center"/>
              <w:ind w:right="15"/>
              <w:spacing w:after="0" w:line="99" w:lineRule="exact"/>
              <w:rPr>
                <w:sz w:val="20"/>
                <w:szCs w:val="20"/>
                <w:color w:val="auto"/>
              </w:rPr>
            </w:pPr>
            <w:r>
              <w:rPr>
                <w:rFonts w:ascii="Arial" w:cs="Arial" w:eastAsia="Arial" w:hAnsi="Arial"/>
                <w:sz w:val="9"/>
                <w:szCs w:val="9"/>
                <w:b w:val="1"/>
                <w:bCs w:val="1"/>
                <w:color w:val="auto"/>
                <w:w w:val="89"/>
              </w:rPr>
              <w:t>2013</w:t>
            </w: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740" w:type="dxa"/>
            <w:vAlign w:val="bottom"/>
            <w:gridSpan w:val="2"/>
          </w:tcPr>
          <w:p>
            <w:pPr>
              <w:jc w:val="right"/>
              <w:ind w:right="180"/>
              <w:spacing w:after="0" w:line="99" w:lineRule="exact"/>
              <w:rPr>
                <w:sz w:val="20"/>
                <w:szCs w:val="20"/>
                <w:color w:val="auto"/>
              </w:rPr>
            </w:pPr>
            <w:r>
              <w:rPr>
                <w:rFonts w:ascii="Arial" w:cs="Arial" w:eastAsia="Arial" w:hAnsi="Arial"/>
                <w:sz w:val="9"/>
                <w:szCs w:val="9"/>
                <w:b w:val="1"/>
                <w:bCs w:val="1"/>
                <w:color w:val="auto"/>
                <w:w w:val="92"/>
              </w:rPr>
              <w:t>December 31,</w:t>
            </w:r>
          </w:p>
        </w:tc>
      </w:tr>
      <w:tr>
        <w:trPr>
          <w:trHeight w:val="108"/>
        </w:trPr>
        <w:tc>
          <w:tcPr>
            <w:tcW w:w="9280" w:type="dxa"/>
            <w:vAlign w:val="bottom"/>
          </w:tcPr>
          <w:p>
            <w:pPr>
              <w:spacing w:after="0"/>
              <w:rPr>
                <w:sz w:val="9"/>
                <w:szCs w:val="9"/>
                <w:color w:val="auto"/>
              </w:rPr>
            </w:pPr>
          </w:p>
        </w:tc>
        <w:tc>
          <w:tcPr>
            <w:tcW w:w="80" w:type="dxa"/>
            <w:vAlign w:val="bottom"/>
          </w:tcPr>
          <w:p>
            <w:pPr>
              <w:spacing w:after="0"/>
              <w:rPr>
                <w:sz w:val="9"/>
                <w:szCs w:val="9"/>
                <w:color w:val="auto"/>
              </w:rPr>
            </w:pPr>
          </w:p>
        </w:tc>
        <w:tc>
          <w:tcPr>
            <w:tcW w:w="1320" w:type="dxa"/>
            <w:vAlign w:val="bottom"/>
            <w:gridSpan w:val="2"/>
          </w:tcPr>
          <w:p>
            <w:pPr>
              <w:jc w:val="center"/>
              <w:ind w:right="720"/>
              <w:spacing w:after="0"/>
              <w:rPr>
                <w:sz w:val="20"/>
                <w:szCs w:val="20"/>
                <w:color w:val="auto"/>
              </w:rPr>
            </w:pPr>
            <w:r>
              <w:rPr>
                <w:rFonts w:ascii="Arial" w:cs="Arial" w:eastAsia="Arial" w:hAnsi="Arial"/>
                <w:sz w:val="9"/>
                <w:szCs w:val="9"/>
                <w:b w:val="1"/>
                <w:bCs w:val="1"/>
                <w:color w:val="auto"/>
                <w:w w:val="89"/>
              </w:rPr>
              <w:t>(unaudited)</w:t>
            </w:r>
          </w:p>
        </w:tc>
        <w:tc>
          <w:tcPr>
            <w:tcW w:w="60" w:type="dxa"/>
            <w:vAlign w:val="bottom"/>
          </w:tcPr>
          <w:p>
            <w:pPr>
              <w:spacing w:after="0"/>
              <w:rPr>
                <w:sz w:val="9"/>
                <w:szCs w:val="9"/>
                <w:color w:val="auto"/>
              </w:rPr>
            </w:pPr>
          </w:p>
        </w:tc>
        <w:tc>
          <w:tcPr>
            <w:tcW w:w="660" w:type="dxa"/>
            <w:vAlign w:val="bottom"/>
          </w:tcPr>
          <w:p>
            <w:pPr>
              <w:jc w:val="right"/>
              <w:ind w:right="235"/>
              <w:spacing w:after="0"/>
              <w:rPr>
                <w:sz w:val="20"/>
                <w:szCs w:val="20"/>
                <w:color w:val="auto"/>
              </w:rPr>
            </w:pPr>
            <w:r>
              <w:rPr>
                <w:rFonts w:ascii="Arial" w:cs="Arial" w:eastAsia="Arial" w:hAnsi="Arial"/>
                <w:sz w:val="9"/>
                <w:szCs w:val="9"/>
                <w:b w:val="1"/>
                <w:bCs w:val="1"/>
                <w:color w:val="auto"/>
              </w:rPr>
              <w:t>2012</w:t>
            </w:r>
          </w:p>
        </w:tc>
        <w:tc>
          <w:tcPr>
            <w:tcW w:w="80" w:type="dxa"/>
            <w:vAlign w:val="bottom"/>
          </w:tcPr>
          <w:p>
            <w:pPr>
              <w:spacing w:after="0"/>
              <w:rPr>
                <w:sz w:val="9"/>
                <w:szCs w:val="9"/>
                <w:color w:val="auto"/>
              </w:rPr>
            </w:pPr>
          </w:p>
        </w:tc>
      </w:tr>
      <w:tr>
        <w:trPr>
          <w:trHeight w:val="124"/>
        </w:trPr>
        <w:tc>
          <w:tcPr>
            <w:tcW w:w="9280" w:type="dxa"/>
            <w:vAlign w:val="bottom"/>
            <w:tcBorders>
              <w:top w:val="single" w:sz="8" w:color="CCEEFF"/>
            </w:tcBorders>
            <w:shd w:val="clear" w:color="auto" w:fill="CCEEFF"/>
          </w:tcPr>
          <w:p>
            <w:pPr>
              <w:ind w:left="4140"/>
              <w:spacing w:after="0" w:line="124" w:lineRule="exact"/>
              <w:rPr>
                <w:sz w:val="20"/>
                <w:szCs w:val="20"/>
                <w:color w:val="auto"/>
              </w:rPr>
            </w:pPr>
            <w:r>
              <w:rPr>
                <w:rFonts w:ascii="Arial" w:cs="Arial" w:eastAsia="Arial" w:hAnsi="Arial"/>
                <w:sz w:val="12"/>
                <w:szCs w:val="12"/>
                <w:b w:val="1"/>
                <w:bCs w:val="1"/>
                <w:color w:val="auto"/>
              </w:rPr>
              <w:t>ASSETS</w:t>
            </w:r>
          </w:p>
        </w:tc>
        <w:tc>
          <w:tcPr>
            <w:tcW w:w="80" w:type="dxa"/>
            <w:vAlign w:val="bottom"/>
            <w:tcBorders>
              <w:top w:val="single" w:sz="8" w:color="auto"/>
            </w:tcBorders>
            <w:shd w:val="clear" w:color="auto" w:fill="CCEEFF"/>
          </w:tcPr>
          <w:p>
            <w:pPr>
              <w:spacing w:after="0"/>
              <w:rPr>
                <w:sz w:val="10"/>
                <w:szCs w:val="10"/>
                <w:color w:val="auto"/>
              </w:rPr>
            </w:pPr>
          </w:p>
        </w:tc>
        <w:tc>
          <w:tcPr>
            <w:tcW w:w="680" w:type="dxa"/>
            <w:vAlign w:val="bottom"/>
            <w:tcBorders>
              <w:top w:val="single" w:sz="8" w:color="auto"/>
            </w:tcBorders>
            <w:shd w:val="clear" w:color="auto" w:fill="CCEEFF"/>
          </w:tcPr>
          <w:p>
            <w:pPr>
              <w:spacing w:after="0"/>
              <w:rPr>
                <w:sz w:val="10"/>
                <w:szCs w:val="10"/>
                <w:color w:val="auto"/>
              </w:rPr>
            </w:pPr>
          </w:p>
        </w:tc>
        <w:tc>
          <w:tcPr>
            <w:tcW w:w="640" w:type="dxa"/>
            <w:vAlign w:val="bottom"/>
            <w:tcBorders>
              <w:top w:val="single" w:sz="8" w:color="CCEEFF"/>
            </w:tcBorders>
            <w:shd w:val="clear" w:color="auto" w:fill="CCEEFF"/>
          </w:tcPr>
          <w:p>
            <w:pPr>
              <w:spacing w:after="0"/>
              <w:rPr>
                <w:sz w:val="10"/>
                <w:szCs w:val="10"/>
                <w:color w:val="auto"/>
              </w:rPr>
            </w:pPr>
          </w:p>
        </w:tc>
        <w:tc>
          <w:tcPr>
            <w:tcW w:w="60" w:type="dxa"/>
            <w:vAlign w:val="bottom"/>
            <w:tcBorders>
              <w:top w:val="single" w:sz="8" w:color="auto"/>
            </w:tcBorders>
            <w:shd w:val="clear" w:color="auto" w:fill="CCEEFF"/>
          </w:tcPr>
          <w:p>
            <w:pPr>
              <w:spacing w:after="0"/>
              <w:rPr>
                <w:sz w:val="10"/>
                <w:szCs w:val="10"/>
                <w:color w:val="auto"/>
              </w:rPr>
            </w:pPr>
          </w:p>
        </w:tc>
        <w:tc>
          <w:tcPr>
            <w:tcW w:w="660" w:type="dxa"/>
            <w:vAlign w:val="bottom"/>
            <w:tcBorders>
              <w:top w:val="single" w:sz="8" w:color="auto"/>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r>
      <w:tr>
        <w:trPr>
          <w:trHeight w:val="99"/>
        </w:trPr>
        <w:tc>
          <w:tcPr>
            <w:tcW w:w="9280" w:type="dxa"/>
            <w:vAlign w:val="bottom"/>
          </w:tcPr>
          <w:p>
            <w:pPr>
              <w:spacing w:after="0" w:line="99" w:lineRule="exact"/>
              <w:rPr>
                <w:sz w:val="20"/>
                <w:szCs w:val="20"/>
                <w:color w:val="auto"/>
              </w:rPr>
            </w:pPr>
            <w:r>
              <w:rPr>
                <w:rFonts w:ascii="Arial" w:cs="Arial" w:eastAsia="Arial" w:hAnsi="Arial"/>
                <w:sz w:val="9"/>
                <w:szCs w:val="9"/>
                <w:color w:val="auto"/>
              </w:rPr>
              <w:t>Current assets:</w:t>
            </w:r>
          </w:p>
        </w:tc>
        <w:tc>
          <w:tcPr>
            <w:tcW w:w="80" w:type="dxa"/>
            <w:vAlign w:val="bottom"/>
          </w:tcPr>
          <w:p>
            <w:pPr>
              <w:spacing w:after="0"/>
              <w:rPr>
                <w:sz w:val="8"/>
                <w:szCs w:val="8"/>
                <w:color w:val="auto"/>
              </w:rPr>
            </w:pPr>
          </w:p>
        </w:tc>
        <w:tc>
          <w:tcPr>
            <w:tcW w:w="68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660" w:type="dxa"/>
            <w:vAlign w:val="bottom"/>
          </w:tcPr>
          <w:p>
            <w:pPr>
              <w:spacing w:after="0"/>
              <w:rPr>
                <w:sz w:val="8"/>
                <w:szCs w:val="8"/>
                <w:color w:val="auto"/>
              </w:rPr>
            </w:pPr>
          </w:p>
        </w:tc>
        <w:tc>
          <w:tcPr>
            <w:tcW w:w="80" w:type="dxa"/>
            <w:vAlign w:val="bottom"/>
          </w:tcPr>
          <w:p>
            <w:pPr>
              <w:spacing w:after="0"/>
              <w:rPr>
                <w:sz w:val="8"/>
                <w:szCs w:val="8"/>
                <w:color w:val="auto"/>
              </w:rPr>
            </w:pPr>
          </w:p>
        </w:tc>
      </w:tr>
      <w:tr>
        <w:trPr>
          <w:trHeight w:val="99"/>
        </w:trPr>
        <w:tc>
          <w:tcPr>
            <w:tcW w:w="9280" w:type="dxa"/>
            <w:vAlign w:val="bottom"/>
            <w:shd w:val="clear" w:color="auto" w:fill="CCEEFF"/>
          </w:tcPr>
          <w:p>
            <w:pPr>
              <w:ind w:left="280"/>
              <w:spacing w:after="0" w:line="99" w:lineRule="exact"/>
              <w:rPr>
                <w:sz w:val="20"/>
                <w:szCs w:val="20"/>
                <w:color w:val="auto"/>
              </w:rPr>
            </w:pPr>
            <w:r>
              <w:rPr>
                <w:rFonts w:ascii="Arial" w:cs="Arial" w:eastAsia="Arial" w:hAnsi="Arial"/>
                <w:sz w:val="9"/>
                <w:szCs w:val="9"/>
                <w:color w:val="auto"/>
              </w:rPr>
              <w:t>Cash and cash equivalents</w:t>
            </w:r>
          </w:p>
        </w:tc>
        <w:tc>
          <w:tcPr>
            <w:tcW w:w="80" w:type="dxa"/>
            <w:vAlign w:val="bottom"/>
            <w:shd w:val="clear" w:color="auto" w:fill="CCEEFF"/>
          </w:tcPr>
          <w:p>
            <w:pPr>
              <w:jc w:val="right"/>
              <w:spacing w:after="0" w:line="99" w:lineRule="exact"/>
              <w:rPr>
                <w:sz w:val="20"/>
                <w:szCs w:val="20"/>
                <w:color w:val="auto"/>
              </w:rPr>
            </w:pPr>
            <w:r>
              <w:rPr>
                <w:rFonts w:ascii="Arial" w:cs="Arial" w:eastAsia="Arial" w:hAnsi="Arial"/>
                <w:sz w:val="9"/>
                <w:szCs w:val="9"/>
                <w:color w:val="auto"/>
                <w:w w:val="78"/>
              </w:rPr>
              <w:t>$</w:t>
            </w:r>
          </w:p>
        </w:tc>
        <w:tc>
          <w:tcPr>
            <w:tcW w:w="680" w:type="dxa"/>
            <w:vAlign w:val="bottom"/>
            <w:shd w:val="clear" w:color="auto" w:fill="CCEEFF"/>
          </w:tcPr>
          <w:p>
            <w:pPr>
              <w:jc w:val="right"/>
              <w:spacing w:after="0" w:line="99" w:lineRule="exact"/>
              <w:rPr>
                <w:sz w:val="20"/>
                <w:szCs w:val="20"/>
                <w:color w:val="auto"/>
              </w:rPr>
            </w:pPr>
            <w:r>
              <w:rPr>
                <w:rFonts w:ascii="Arial" w:cs="Arial" w:eastAsia="Arial" w:hAnsi="Arial"/>
                <w:sz w:val="9"/>
                <w:szCs w:val="9"/>
                <w:color w:val="auto"/>
              </w:rPr>
              <w:t>2,041,155</w:t>
            </w:r>
          </w:p>
        </w:tc>
        <w:tc>
          <w:tcPr>
            <w:tcW w:w="640" w:type="dxa"/>
            <w:vAlign w:val="bottom"/>
            <w:shd w:val="clear" w:color="auto" w:fill="CCEEFF"/>
          </w:tcPr>
          <w:p>
            <w:pPr>
              <w:spacing w:after="0"/>
              <w:rPr>
                <w:sz w:val="8"/>
                <w:szCs w:val="8"/>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5"/>
                <w:szCs w:val="5"/>
                <w:color w:val="auto"/>
                <w:w w:val="70"/>
              </w:rPr>
              <w:t>$</w:t>
            </w:r>
          </w:p>
        </w:tc>
        <w:tc>
          <w:tcPr>
            <w:tcW w:w="660" w:type="dxa"/>
            <w:vAlign w:val="bottom"/>
            <w:shd w:val="clear" w:color="auto" w:fill="CCEEFF"/>
          </w:tcPr>
          <w:p>
            <w:pPr>
              <w:jc w:val="right"/>
              <w:spacing w:after="0" w:line="99" w:lineRule="exact"/>
              <w:rPr>
                <w:sz w:val="20"/>
                <w:szCs w:val="20"/>
                <w:color w:val="auto"/>
              </w:rPr>
            </w:pPr>
            <w:r>
              <w:rPr>
                <w:rFonts w:ascii="Arial" w:cs="Arial" w:eastAsia="Arial" w:hAnsi="Arial"/>
                <w:sz w:val="9"/>
                <w:szCs w:val="9"/>
                <w:color w:val="auto"/>
              </w:rPr>
              <w:t>1,725,219</w:t>
            </w:r>
          </w:p>
        </w:tc>
        <w:tc>
          <w:tcPr>
            <w:tcW w:w="80" w:type="dxa"/>
            <w:vAlign w:val="bottom"/>
            <w:shd w:val="clear" w:color="auto" w:fill="CCEEFF"/>
          </w:tcPr>
          <w:p>
            <w:pPr>
              <w:spacing w:after="0"/>
              <w:rPr>
                <w:sz w:val="8"/>
                <w:szCs w:val="8"/>
                <w:color w:val="auto"/>
              </w:rPr>
            </w:pPr>
          </w:p>
        </w:tc>
      </w:tr>
      <w:tr>
        <w:trPr>
          <w:trHeight w:val="99"/>
        </w:trPr>
        <w:tc>
          <w:tcPr>
            <w:tcW w:w="9280" w:type="dxa"/>
            <w:vAlign w:val="bottom"/>
          </w:tcPr>
          <w:p>
            <w:pPr>
              <w:ind w:left="280"/>
              <w:spacing w:after="0" w:line="99" w:lineRule="exact"/>
              <w:rPr>
                <w:sz w:val="20"/>
                <w:szCs w:val="20"/>
                <w:color w:val="auto"/>
              </w:rPr>
            </w:pPr>
            <w:r>
              <w:rPr>
                <w:rFonts w:ascii="Arial" w:cs="Arial" w:eastAsia="Arial" w:hAnsi="Arial"/>
                <w:sz w:val="9"/>
                <w:szCs w:val="9"/>
                <w:color w:val="auto"/>
              </w:rPr>
              <w:t>Restricted cash and investment securities</w:t>
            </w:r>
          </w:p>
        </w:tc>
        <w:tc>
          <w:tcPr>
            <w:tcW w:w="80" w:type="dxa"/>
            <w:vAlign w:val="bottom"/>
          </w:tcPr>
          <w:p>
            <w:pPr>
              <w:spacing w:after="0"/>
              <w:rPr>
                <w:sz w:val="8"/>
                <w:szCs w:val="8"/>
                <w:color w:val="auto"/>
              </w:rPr>
            </w:pPr>
          </w:p>
        </w:tc>
        <w:tc>
          <w:tcPr>
            <w:tcW w:w="680" w:type="dxa"/>
            <w:vAlign w:val="bottom"/>
          </w:tcPr>
          <w:p>
            <w:pPr>
              <w:jc w:val="right"/>
              <w:spacing w:after="0" w:line="99" w:lineRule="exact"/>
              <w:rPr>
                <w:sz w:val="20"/>
                <w:szCs w:val="20"/>
                <w:color w:val="auto"/>
              </w:rPr>
            </w:pPr>
            <w:r>
              <w:rPr>
                <w:rFonts w:ascii="Arial" w:cs="Arial" w:eastAsia="Arial" w:hAnsi="Arial"/>
                <w:sz w:val="9"/>
                <w:szCs w:val="9"/>
                <w:color w:val="auto"/>
              </w:rPr>
              <w:t>394,656</w:t>
            </w: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660" w:type="dxa"/>
            <w:vAlign w:val="bottom"/>
          </w:tcPr>
          <w:p>
            <w:pPr>
              <w:jc w:val="right"/>
              <w:spacing w:after="0" w:line="99" w:lineRule="exact"/>
              <w:rPr>
                <w:sz w:val="20"/>
                <w:szCs w:val="20"/>
                <w:color w:val="auto"/>
              </w:rPr>
            </w:pPr>
            <w:r>
              <w:rPr>
                <w:rFonts w:ascii="Arial" w:cs="Arial" w:eastAsia="Arial" w:hAnsi="Arial"/>
                <w:sz w:val="9"/>
                <w:szCs w:val="9"/>
                <w:color w:val="auto"/>
              </w:rPr>
              <w:t>138,887</w:t>
            </w:r>
          </w:p>
        </w:tc>
        <w:tc>
          <w:tcPr>
            <w:tcW w:w="80" w:type="dxa"/>
            <w:vAlign w:val="bottom"/>
          </w:tcPr>
          <w:p>
            <w:pPr>
              <w:spacing w:after="0"/>
              <w:rPr>
                <w:sz w:val="8"/>
                <w:szCs w:val="8"/>
                <w:color w:val="auto"/>
              </w:rPr>
            </w:pPr>
          </w:p>
        </w:tc>
      </w:tr>
      <w:tr>
        <w:trPr>
          <w:trHeight w:val="99"/>
        </w:trPr>
        <w:tc>
          <w:tcPr>
            <w:tcW w:w="9280" w:type="dxa"/>
            <w:vAlign w:val="bottom"/>
            <w:shd w:val="clear" w:color="auto" w:fill="CCEEFF"/>
          </w:tcPr>
          <w:p>
            <w:pPr>
              <w:ind w:left="280"/>
              <w:spacing w:after="0" w:line="99" w:lineRule="exact"/>
              <w:rPr>
                <w:sz w:val="20"/>
                <w:szCs w:val="20"/>
                <w:color w:val="auto"/>
              </w:rPr>
            </w:pPr>
            <w:r>
              <w:rPr>
                <w:rFonts w:ascii="Arial" w:cs="Arial" w:eastAsia="Arial" w:hAnsi="Arial"/>
                <w:sz w:val="9"/>
                <w:szCs w:val="9"/>
                <w:color w:val="auto"/>
              </w:rPr>
              <w:t>Receivables, net</w:t>
            </w:r>
          </w:p>
        </w:tc>
        <w:tc>
          <w:tcPr>
            <w:tcW w:w="80" w:type="dxa"/>
            <w:vAlign w:val="bottom"/>
            <w:shd w:val="clear" w:color="auto" w:fill="CCEEFF"/>
          </w:tcPr>
          <w:p>
            <w:pPr>
              <w:spacing w:after="0"/>
              <w:rPr>
                <w:sz w:val="8"/>
                <w:szCs w:val="8"/>
                <w:color w:val="auto"/>
              </w:rPr>
            </w:pPr>
          </w:p>
        </w:tc>
        <w:tc>
          <w:tcPr>
            <w:tcW w:w="680" w:type="dxa"/>
            <w:vAlign w:val="bottom"/>
            <w:shd w:val="clear" w:color="auto" w:fill="CCEEFF"/>
          </w:tcPr>
          <w:p>
            <w:pPr>
              <w:jc w:val="right"/>
              <w:spacing w:after="0" w:line="99" w:lineRule="exact"/>
              <w:rPr>
                <w:sz w:val="20"/>
                <w:szCs w:val="20"/>
                <w:color w:val="auto"/>
              </w:rPr>
            </w:pPr>
            <w:r>
              <w:rPr>
                <w:rFonts w:ascii="Arial" w:cs="Arial" w:eastAsia="Arial" w:hAnsi="Arial"/>
                <w:sz w:val="9"/>
                <w:szCs w:val="9"/>
                <w:color w:val="auto"/>
              </w:rPr>
              <w:t>216,247</w:t>
            </w:r>
          </w:p>
        </w:tc>
        <w:tc>
          <w:tcPr>
            <w:tcW w:w="64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660" w:type="dxa"/>
            <w:vAlign w:val="bottom"/>
            <w:shd w:val="clear" w:color="auto" w:fill="CCEEFF"/>
          </w:tcPr>
          <w:p>
            <w:pPr>
              <w:jc w:val="right"/>
              <w:spacing w:after="0" w:line="99" w:lineRule="exact"/>
              <w:rPr>
                <w:sz w:val="20"/>
                <w:szCs w:val="20"/>
                <w:color w:val="auto"/>
              </w:rPr>
            </w:pPr>
            <w:r>
              <w:rPr>
                <w:rFonts w:ascii="Arial" w:cs="Arial" w:eastAsia="Arial" w:hAnsi="Arial"/>
                <w:sz w:val="9"/>
                <w:szCs w:val="9"/>
                <w:color w:val="auto"/>
              </w:rPr>
              <w:t>238,573</w:t>
            </w:r>
          </w:p>
        </w:tc>
        <w:tc>
          <w:tcPr>
            <w:tcW w:w="80" w:type="dxa"/>
            <w:vAlign w:val="bottom"/>
            <w:shd w:val="clear" w:color="auto" w:fill="CCEEFF"/>
          </w:tcPr>
          <w:p>
            <w:pPr>
              <w:spacing w:after="0"/>
              <w:rPr>
                <w:sz w:val="8"/>
                <w:szCs w:val="8"/>
                <w:color w:val="auto"/>
              </w:rPr>
            </w:pPr>
          </w:p>
        </w:tc>
      </w:tr>
      <w:tr>
        <w:trPr>
          <w:trHeight w:val="99"/>
        </w:trPr>
        <w:tc>
          <w:tcPr>
            <w:tcW w:w="9280" w:type="dxa"/>
            <w:vAlign w:val="bottom"/>
          </w:tcPr>
          <w:p>
            <w:pPr>
              <w:ind w:left="280"/>
              <w:spacing w:after="0" w:line="99" w:lineRule="exact"/>
              <w:rPr>
                <w:sz w:val="20"/>
                <w:szCs w:val="20"/>
                <w:color w:val="auto"/>
              </w:rPr>
            </w:pPr>
            <w:r>
              <w:rPr>
                <w:rFonts w:ascii="Arial" w:cs="Arial" w:eastAsia="Arial" w:hAnsi="Arial"/>
                <w:sz w:val="9"/>
                <w:szCs w:val="9"/>
                <w:color w:val="auto"/>
              </w:rPr>
              <w:t>Inventories</w:t>
            </w:r>
          </w:p>
        </w:tc>
        <w:tc>
          <w:tcPr>
            <w:tcW w:w="80" w:type="dxa"/>
            <w:vAlign w:val="bottom"/>
          </w:tcPr>
          <w:p>
            <w:pPr>
              <w:spacing w:after="0"/>
              <w:rPr>
                <w:sz w:val="8"/>
                <w:szCs w:val="8"/>
                <w:color w:val="auto"/>
              </w:rPr>
            </w:pPr>
          </w:p>
        </w:tc>
        <w:tc>
          <w:tcPr>
            <w:tcW w:w="680" w:type="dxa"/>
            <w:vAlign w:val="bottom"/>
          </w:tcPr>
          <w:p>
            <w:pPr>
              <w:jc w:val="right"/>
              <w:spacing w:after="0" w:line="99" w:lineRule="exact"/>
              <w:rPr>
                <w:sz w:val="20"/>
                <w:szCs w:val="20"/>
                <w:color w:val="auto"/>
              </w:rPr>
            </w:pPr>
            <w:r>
              <w:rPr>
                <w:rFonts w:ascii="Arial" w:cs="Arial" w:eastAsia="Arial" w:hAnsi="Arial"/>
                <w:sz w:val="9"/>
                <w:szCs w:val="9"/>
                <w:color w:val="auto"/>
              </w:rPr>
              <w:t>73,038</w:t>
            </w: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660" w:type="dxa"/>
            <w:vAlign w:val="bottom"/>
          </w:tcPr>
          <w:p>
            <w:pPr>
              <w:jc w:val="right"/>
              <w:spacing w:after="0" w:line="99" w:lineRule="exact"/>
              <w:rPr>
                <w:sz w:val="20"/>
                <w:szCs w:val="20"/>
                <w:color w:val="auto"/>
              </w:rPr>
            </w:pPr>
            <w:r>
              <w:rPr>
                <w:rFonts w:ascii="Arial" w:cs="Arial" w:eastAsia="Arial" w:hAnsi="Arial"/>
                <w:sz w:val="9"/>
                <w:szCs w:val="9"/>
                <w:color w:val="auto"/>
              </w:rPr>
              <w:t>63,799</w:t>
            </w:r>
          </w:p>
        </w:tc>
        <w:tc>
          <w:tcPr>
            <w:tcW w:w="80" w:type="dxa"/>
            <w:vAlign w:val="bottom"/>
          </w:tcPr>
          <w:p>
            <w:pPr>
              <w:spacing w:after="0"/>
              <w:rPr>
                <w:sz w:val="8"/>
                <w:szCs w:val="8"/>
                <w:color w:val="auto"/>
              </w:rPr>
            </w:pPr>
          </w:p>
        </w:tc>
      </w:tr>
      <w:tr>
        <w:trPr>
          <w:trHeight w:val="99"/>
        </w:trPr>
        <w:tc>
          <w:tcPr>
            <w:tcW w:w="9280" w:type="dxa"/>
            <w:vAlign w:val="bottom"/>
            <w:shd w:val="clear" w:color="auto" w:fill="CCEEFF"/>
          </w:tcPr>
          <w:p>
            <w:pPr>
              <w:ind w:left="280"/>
              <w:spacing w:after="0" w:line="99" w:lineRule="exact"/>
              <w:rPr>
                <w:sz w:val="20"/>
                <w:szCs w:val="20"/>
                <w:color w:val="auto"/>
              </w:rPr>
            </w:pPr>
            <w:r>
              <w:rPr>
                <w:rFonts w:ascii="Arial" w:cs="Arial" w:eastAsia="Arial" w:hAnsi="Arial"/>
                <w:sz w:val="9"/>
                <w:szCs w:val="9"/>
                <w:color w:val="auto"/>
              </w:rPr>
              <w:t>Prepaid expenses and other</w:t>
            </w:r>
          </w:p>
        </w:tc>
        <w:tc>
          <w:tcPr>
            <w:tcW w:w="80" w:type="dxa"/>
            <w:vAlign w:val="bottom"/>
            <w:tcBorders>
              <w:bottom w:val="single" w:sz="8" w:color="auto"/>
            </w:tcBorders>
            <w:shd w:val="clear" w:color="auto" w:fill="CCEEFF"/>
          </w:tcPr>
          <w:p>
            <w:pPr>
              <w:spacing w:after="0"/>
              <w:rPr>
                <w:sz w:val="8"/>
                <w:szCs w:val="8"/>
                <w:color w:val="auto"/>
              </w:rPr>
            </w:pPr>
          </w:p>
        </w:tc>
        <w:tc>
          <w:tcPr>
            <w:tcW w:w="680" w:type="dxa"/>
            <w:vAlign w:val="bottom"/>
            <w:tcBorders>
              <w:bottom w:val="single" w:sz="8" w:color="auto"/>
            </w:tcBorders>
            <w:shd w:val="clear" w:color="auto" w:fill="CCEEFF"/>
          </w:tcPr>
          <w:p>
            <w:pPr>
              <w:jc w:val="right"/>
              <w:spacing w:after="0" w:line="99" w:lineRule="exact"/>
              <w:rPr>
                <w:sz w:val="20"/>
                <w:szCs w:val="20"/>
                <w:color w:val="auto"/>
              </w:rPr>
            </w:pPr>
            <w:r>
              <w:rPr>
                <w:rFonts w:ascii="Arial" w:cs="Arial" w:eastAsia="Arial" w:hAnsi="Arial"/>
                <w:sz w:val="9"/>
                <w:szCs w:val="9"/>
                <w:color w:val="auto"/>
              </w:rPr>
              <w:t>40,460</w:t>
            </w:r>
          </w:p>
        </w:tc>
        <w:tc>
          <w:tcPr>
            <w:tcW w:w="640" w:type="dxa"/>
            <w:vAlign w:val="bottom"/>
            <w:shd w:val="clear" w:color="auto" w:fill="CCEEFF"/>
          </w:tcPr>
          <w:p>
            <w:pPr>
              <w:spacing w:after="0"/>
              <w:rPr>
                <w:sz w:val="8"/>
                <w:szCs w:val="8"/>
                <w:color w:val="auto"/>
              </w:rPr>
            </w:pPr>
          </w:p>
        </w:tc>
        <w:tc>
          <w:tcPr>
            <w:tcW w:w="60" w:type="dxa"/>
            <w:vAlign w:val="bottom"/>
            <w:tcBorders>
              <w:bottom w:val="single" w:sz="8" w:color="auto"/>
            </w:tcBorders>
            <w:shd w:val="clear" w:color="auto" w:fill="CCEEFF"/>
          </w:tcPr>
          <w:p>
            <w:pPr>
              <w:spacing w:after="0"/>
              <w:rPr>
                <w:sz w:val="8"/>
                <w:szCs w:val="8"/>
                <w:color w:val="auto"/>
              </w:rPr>
            </w:pPr>
          </w:p>
        </w:tc>
        <w:tc>
          <w:tcPr>
            <w:tcW w:w="660" w:type="dxa"/>
            <w:vAlign w:val="bottom"/>
            <w:tcBorders>
              <w:bottom w:val="single" w:sz="8" w:color="auto"/>
            </w:tcBorders>
            <w:shd w:val="clear" w:color="auto" w:fill="CCEEFF"/>
          </w:tcPr>
          <w:p>
            <w:pPr>
              <w:jc w:val="right"/>
              <w:spacing w:after="0" w:line="99" w:lineRule="exact"/>
              <w:rPr>
                <w:sz w:val="20"/>
                <w:szCs w:val="20"/>
                <w:color w:val="auto"/>
              </w:rPr>
            </w:pPr>
            <w:r>
              <w:rPr>
                <w:rFonts w:ascii="Arial" w:cs="Arial" w:eastAsia="Arial" w:hAnsi="Arial"/>
                <w:sz w:val="9"/>
                <w:szCs w:val="9"/>
                <w:color w:val="auto"/>
              </w:rPr>
              <w:t>35,900</w:t>
            </w:r>
          </w:p>
        </w:tc>
        <w:tc>
          <w:tcPr>
            <w:tcW w:w="80" w:type="dxa"/>
            <w:vAlign w:val="bottom"/>
            <w:shd w:val="clear" w:color="auto" w:fill="CCEEFF"/>
          </w:tcPr>
          <w:p>
            <w:pPr>
              <w:spacing w:after="0"/>
              <w:rPr>
                <w:sz w:val="8"/>
                <w:szCs w:val="8"/>
                <w:color w:val="auto"/>
              </w:rPr>
            </w:pPr>
          </w:p>
        </w:tc>
      </w:tr>
      <w:tr>
        <w:trPr>
          <w:trHeight w:val="97"/>
        </w:trPr>
        <w:tc>
          <w:tcPr>
            <w:tcW w:w="9280" w:type="dxa"/>
            <w:vAlign w:val="bottom"/>
          </w:tcPr>
          <w:p>
            <w:pPr>
              <w:ind w:left="560"/>
              <w:spacing w:after="0" w:line="98" w:lineRule="exact"/>
              <w:rPr>
                <w:sz w:val="20"/>
                <w:szCs w:val="20"/>
                <w:color w:val="auto"/>
              </w:rPr>
            </w:pPr>
            <w:r>
              <w:rPr>
                <w:rFonts w:ascii="Arial" w:cs="Arial" w:eastAsia="Arial" w:hAnsi="Arial"/>
                <w:sz w:val="9"/>
                <w:szCs w:val="9"/>
                <w:color w:val="auto"/>
              </w:rPr>
              <w:t>Total current assets</w:t>
            </w:r>
          </w:p>
        </w:tc>
        <w:tc>
          <w:tcPr>
            <w:tcW w:w="80" w:type="dxa"/>
            <w:vAlign w:val="bottom"/>
          </w:tcPr>
          <w:p>
            <w:pPr>
              <w:spacing w:after="0"/>
              <w:rPr>
                <w:sz w:val="8"/>
                <w:szCs w:val="8"/>
                <w:color w:val="auto"/>
              </w:rPr>
            </w:pPr>
          </w:p>
        </w:tc>
        <w:tc>
          <w:tcPr>
            <w:tcW w:w="680" w:type="dxa"/>
            <w:vAlign w:val="bottom"/>
          </w:tcPr>
          <w:p>
            <w:pPr>
              <w:jc w:val="right"/>
              <w:spacing w:after="0" w:line="98" w:lineRule="exact"/>
              <w:rPr>
                <w:sz w:val="20"/>
                <w:szCs w:val="20"/>
                <w:color w:val="auto"/>
              </w:rPr>
            </w:pPr>
            <w:r>
              <w:rPr>
                <w:rFonts w:ascii="Arial" w:cs="Arial" w:eastAsia="Arial" w:hAnsi="Arial"/>
                <w:sz w:val="9"/>
                <w:szCs w:val="9"/>
                <w:color w:val="auto"/>
              </w:rPr>
              <w:t>2,765,556</w:t>
            </w: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660" w:type="dxa"/>
            <w:vAlign w:val="bottom"/>
          </w:tcPr>
          <w:p>
            <w:pPr>
              <w:jc w:val="right"/>
              <w:spacing w:after="0" w:line="98" w:lineRule="exact"/>
              <w:rPr>
                <w:sz w:val="20"/>
                <w:szCs w:val="20"/>
                <w:color w:val="auto"/>
              </w:rPr>
            </w:pPr>
            <w:r>
              <w:rPr>
                <w:rFonts w:ascii="Arial" w:cs="Arial" w:eastAsia="Arial" w:hAnsi="Arial"/>
                <w:sz w:val="9"/>
                <w:szCs w:val="9"/>
                <w:color w:val="auto"/>
              </w:rPr>
              <w:t>2,202,378</w:t>
            </w:r>
          </w:p>
        </w:tc>
        <w:tc>
          <w:tcPr>
            <w:tcW w:w="80" w:type="dxa"/>
            <w:vAlign w:val="bottom"/>
          </w:tcPr>
          <w:p>
            <w:pPr>
              <w:spacing w:after="0"/>
              <w:rPr>
                <w:sz w:val="8"/>
                <w:szCs w:val="8"/>
                <w:color w:val="auto"/>
              </w:rPr>
            </w:pPr>
          </w:p>
        </w:tc>
      </w:tr>
      <w:tr>
        <w:trPr>
          <w:trHeight w:val="99"/>
        </w:trPr>
        <w:tc>
          <w:tcPr>
            <w:tcW w:w="9280" w:type="dxa"/>
            <w:vAlign w:val="bottom"/>
            <w:shd w:val="clear" w:color="auto" w:fill="CCEEFF"/>
          </w:tcPr>
          <w:p>
            <w:pPr>
              <w:spacing w:after="0" w:line="99" w:lineRule="exact"/>
              <w:rPr>
                <w:sz w:val="20"/>
                <w:szCs w:val="20"/>
                <w:color w:val="auto"/>
              </w:rPr>
            </w:pPr>
            <w:r>
              <w:rPr>
                <w:rFonts w:ascii="Arial" w:cs="Arial" w:eastAsia="Arial" w:hAnsi="Arial"/>
                <w:sz w:val="9"/>
                <w:szCs w:val="9"/>
                <w:color w:val="auto"/>
              </w:rPr>
              <w:t>Property and equipment, net</w:t>
            </w:r>
          </w:p>
        </w:tc>
        <w:tc>
          <w:tcPr>
            <w:tcW w:w="80" w:type="dxa"/>
            <w:vAlign w:val="bottom"/>
            <w:shd w:val="clear" w:color="auto" w:fill="CCEEFF"/>
          </w:tcPr>
          <w:p>
            <w:pPr>
              <w:spacing w:after="0"/>
              <w:rPr>
                <w:sz w:val="8"/>
                <w:szCs w:val="8"/>
                <w:color w:val="auto"/>
              </w:rPr>
            </w:pPr>
          </w:p>
        </w:tc>
        <w:tc>
          <w:tcPr>
            <w:tcW w:w="680" w:type="dxa"/>
            <w:vAlign w:val="bottom"/>
            <w:shd w:val="clear" w:color="auto" w:fill="CCEEFF"/>
          </w:tcPr>
          <w:p>
            <w:pPr>
              <w:jc w:val="right"/>
              <w:spacing w:after="0" w:line="99" w:lineRule="exact"/>
              <w:rPr>
                <w:sz w:val="20"/>
                <w:szCs w:val="20"/>
                <w:color w:val="auto"/>
              </w:rPr>
            </w:pPr>
            <w:r>
              <w:rPr>
                <w:rFonts w:ascii="Arial" w:cs="Arial" w:eastAsia="Arial" w:hAnsi="Arial"/>
                <w:sz w:val="9"/>
                <w:szCs w:val="9"/>
                <w:color w:val="auto"/>
              </w:rPr>
              <w:t>4,810,378</w:t>
            </w:r>
          </w:p>
        </w:tc>
        <w:tc>
          <w:tcPr>
            <w:tcW w:w="64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660" w:type="dxa"/>
            <w:vAlign w:val="bottom"/>
            <w:shd w:val="clear" w:color="auto" w:fill="CCEEFF"/>
          </w:tcPr>
          <w:p>
            <w:pPr>
              <w:jc w:val="right"/>
              <w:spacing w:after="0" w:line="99" w:lineRule="exact"/>
              <w:rPr>
                <w:sz w:val="20"/>
                <w:szCs w:val="20"/>
                <w:color w:val="auto"/>
              </w:rPr>
            </w:pPr>
            <w:r>
              <w:rPr>
                <w:rFonts w:ascii="Arial" w:cs="Arial" w:eastAsia="Arial" w:hAnsi="Arial"/>
                <w:sz w:val="9"/>
                <w:szCs w:val="9"/>
                <w:color w:val="auto"/>
              </w:rPr>
              <w:t>4,727,899</w:t>
            </w:r>
          </w:p>
        </w:tc>
        <w:tc>
          <w:tcPr>
            <w:tcW w:w="80" w:type="dxa"/>
            <w:vAlign w:val="bottom"/>
            <w:shd w:val="clear" w:color="auto" w:fill="CCEEFF"/>
          </w:tcPr>
          <w:p>
            <w:pPr>
              <w:spacing w:after="0"/>
              <w:rPr>
                <w:sz w:val="8"/>
                <w:szCs w:val="8"/>
                <w:color w:val="auto"/>
              </w:rPr>
            </w:pPr>
          </w:p>
        </w:tc>
      </w:tr>
      <w:tr>
        <w:trPr>
          <w:trHeight w:val="99"/>
        </w:trPr>
        <w:tc>
          <w:tcPr>
            <w:tcW w:w="9280" w:type="dxa"/>
            <w:vAlign w:val="bottom"/>
          </w:tcPr>
          <w:p>
            <w:pPr>
              <w:spacing w:after="0" w:line="99" w:lineRule="exact"/>
              <w:rPr>
                <w:sz w:val="20"/>
                <w:szCs w:val="20"/>
                <w:color w:val="auto"/>
              </w:rPr>
            </w:pPr>
            <w:r>
              <w:rPr>
                <w:rFonts w:ascii="Arial" w:cs="Arial" w:eastAsia="Arial" w:hAnsi="Arial"/>
                <w:sz w:val="9"/>
                <w:szCs w:val="9"/>
                <w:color w:val="auto"/>
              </w:rPr>
              <w:t>Restricted cash and investment securities</w:t>
            </w:r>
          </w:p>
        </w:tc>
        <w:tc>
          <w:tcPr>
            <w:tcW w:w="80" w:type="dxa"/>
            <w:vAlign w:val="bottom"/>
          </w:tcPr>
          <w:p>
            <w:pPr>
              <w:spacing w:after="0"/>
              <w:rPr>
                <w:sz w:val="8"/>
                <w:szCs w:val="8"/>
                <w:color w:val="auto"/>
              </w:rPr>
            </w:pPr>
          </w:p>
        </w:tc>
        <w:tc>
          <w:tcPr>
            <w:tcW w:w="680" w:type="dxa"/>
            <w:vAlign w:val="bottom"/>
          </w:tcPr>
          <w:p>
            <w:pPr>
              <w:jc w:val="right"/>
              <w:spacing w:after="0" w:line="99" w:lineRule="exact"/>
              <w:rPr>
                <w:sz w:val="20"/>
                <w:szCs w:val="20"/>
                <w:color w:val="auto"/>
              </w:rPr>
            </w:pPr>
            <w:r>
              <w:rPr>
                <w:rFonts w:ascii="Arial" w:cs="Arial" w:eastAsia="Arial" w:hAnsi="Arial"/>
                <w:sz w:val="9"/>
                <w:szCs w:val="9"/>
                <w:color w:val="auto"/>
              </w:rPr>
              <w:t>304,039</w:t>
            </w: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660" w:type="dxa"/>
            <w:vAlign w:val="bottom"/>
          </w:tcPr>
          <w:p>
            <w:pPr>
              <w:jc w:val="right"/>
              <w:spacing w:after="0" w:line="99" w:lineRule="exact"/>
              <w:rPr>
                <w:sz w:val="20"/>
                <w:szCs w:val="20"/>
                <w:color w:val="auto"/>
              </w:rPr>
            </w:pPr>
            <w:r>
              <w:rPr>
                <w:rFonts w:ascii="Arial" w:cs="Arial" w:eastAsia="Arial" w:hAnsi="Arial"/>
                <w:sz w:val="9"/>
                <w:szCs w:val="9"/>
                <w:color w:val="auto"/>
              </w:rPr>
              <w:t>140,334</w:t>
            </w:r>
          </w:p>
        </w:tc>
        <w:tc>
          <w:tcPr>
            <w:tcW w:w="80" w:type="dxa"/>
            <w:vAlign w:val="bottom"/>
          </w:tcPr>
          <w:p>
            <w:pPr>
              <w:spacing w:after="0"/>
              <w:rPr>
                <w:sz w:val="8"/>
                <w:szCs w:val="8"/>
                <w:color w:val="auto"/>
              </w:rPr>
            </w:pPr>
          </w:p>
        </w:tc>
      </w:tr>
      <w:tr>
        <w:trPr>
          <w:trHeight w:val="99"/>
        </w:trPr>
        <w:tc>
          <w:tcPr>
            <w:tcW w:w="9280" w:type="dxa"/>
            <w:vAlign w:val="bottom"/>
            <w:shd w:val="clear" w:color="auto" w:fill="CCEEFF"/>
          </w:tcPr>
          <w:p>
            <w:pPr>
              <w:spacing w:after="0" w:line="99" w:lineRule="exact"/>
              <w:rPr>
                <w:sz w:val="20"/>
                <w:szCs w:val="20"/>
                <w:color w:val="auto"/>
              </w:rPr>
            </w:pPr>
            <w:r>
              <w:rPr>
                <w:rFonts w:ascii="Arial" w:cs="Arial" w:eastAsia="Arial" w:hAnsi="Arial"/>
                <w:sz w:val="9"/>
                <w:szCs w:val="9"/>
                <w:color w:val="auto"/>
              </w:rPr>
              <w:t>Intangibles, net</w:t>
            </w:r>
          </w:p>
        </w:tc>
        <w:tc>
          <w:tcPr>
            <w:tcW w:w="80" w:type="dxa"/>
            <w:vAlign w:val="bottom"/>
            <w:shd w:val="clear" w:color="auto" w:fill="CCEEFF"/>
          </w:tcPr>
          <w:p>
            <w:pPr>
              <w:spacing w:after="0"/>
              <w:rPr>
                <w:sz w:val="8"/>
                <w:szCs w:val="8"/>
                <w:color w:val="auto"/>
              </w:rPr>
            </w:pPr>
          </w:p>
        </w:tc>
        <w:tc>
          <w:tcPr>
            <w:tcW w:w="680" w:type="dxa"/>
            <w:vAlign w:val="bottom"/>
            <w:shd w:val="clear" w:color="auto" w:fill="CCEEFF"/>
          </w:tcPr>
          <w:p>
            <w:pPr>
              <w:jc w:val="right"/>
              <w:spacing w:after="0" w:line="99" w:lineRule="exact"/>
              <w:rPr>
                <w:sz w:val="20"/>
                <w:szCs w:val="20"/>
                <w:color w:val="auto"/>
              </w:rPr>
            </w:pPr>
            <w:r>
              <w:rPr>
                <w:rFonts w:ascii="Arial" w:cs="Arial" w:eastAsia="Arial" w:hAnsi="Arial"/>
                <w:sz w:val="9"/>
                <w:szCs w:val="9"/>
                <w:color w:val="auto"/>
              </w:rPr>
              <w:t>31,146</w:t>
            </w:r>
          </w:p>
        </w:tc>
        <w:tc>
          <w:tcPr>
            <w:tcW w:w="64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660" w:type="dxa"/>
            <w:vAlign w:val="bottom"/>
            <w:shd w:val="clear" w:color="auto" w:fill="CCEEFF"/>
          </w:tcPr>
          <w:p>
            <w:pPr>
              <w:jc w:val="right"/>
              <w:spacing w:after="0" w:line="99" w:lineRule="exact"/>
              <w:rPr>
                <w:sz w:val="20"/>
                <w:szCs w:val="20"/>
                <w:color w:val="auto"/>
              </w:rPr>
            </w:pPr>
            <w:r>
              <w:rPr>
                <w:rFonts w:ascii="Arial" w:cs="Arial" w:eastAsia="Arial" w:hAnsi="Arial"/>
                <w:sz w:val="9"/>
                <w:szCs w:val="9"/>
                <w:color w:val="auto"/>
              </w:rPr>
              <w:t>31,297</w:t>
            </w:r>
          </w:p>
        </w:tc>
        <w:tc>
          <w:tcPr>
            <w:tcW w:w="80" w:type="dxa"/>
            <w:vAlign w:val="bottom"/>
            <w:shd w:val="clear" w:color="auto" w:fill="CCEEFF"/>
          </w:tcPr>
          <w:p>
            <w:pPr>
              <w:spacing w:after="0"/>
              <w:rPr>
                <w:sz w:val="8"/>
                <w:szCs w:val="8"/>
                <w:color w:val="auto"/>
              </w:rPr>
            </w:pPr>
          </w:p>
        </w:tc>
      </w:tr>
      <w:tr>
        <w:trPr>
          <w:trHeight w:val="99"/>
        </w:trPr>
        <w:tc>
          <w:tcPr>
            <w:tcW w:w="9280" w:type="dxa"/>
            <w:vAlign w:val="bottom"/>
          </w:tcPr>
          <w:p>
            <w:pPr>
              <w:spacing w:after="0" w:line="99" w:lineRule="exact"/>
              <w:rPr>
                <w:sz w:val="20"/>
                <w:szCs w:val="20"/>
                <w:color w:val="auto"/>
              </w:rPr>
            </w:pPr>
            <w:r>
              <w:rPr>
                <w:rFonts w:ascii="Arial" w:cs="Arial" w:eastAsia="Arial" w:hAnsi="Arial"/>
                <w:sz w:val="9"/>
                <w:szCs w:val="9"/>
                <w:color w:val="auto"/>
              </w:rPr>
              <w:t>Deferred financing costs, net</w:t>
            </w:r>
          </w:p>
        </w:tc>
        <w:tc>
          <w:tcPr>
            <w:tcW w:w="80" w:type="dxa"/>
            <w:vAlign w:val="bottom"/>
          </w:tcPr>
          <w:p>
            <w:pPr>
              <w:spacing w:after="0"/>
              <w:rPr>
                <w:sz w:val="8"/>
                <w:szCs w:val="8"/>
                <w:color w:val="auto"/>
              </w:rPr>
            </w:pPr>
          </w:p>
        </w:tc>
        <w:tc>
          <w:tcPr>
            <w:tcW w:w="680" w:type="dxa"/>
            <w:vAlign w:val="bottom"/>
          </w:tcPr>
          <w:p>
            <w:pPr>
              <w:jc w:val="right"/>
              <w:spacing w:after="0" w:line="99" w:lineRule="exact"/>
              <w:rPr>
                <w:sz w:val="20"/>
                <w:szCs w:val="20"/>
                <w:color w:val="auto"/>
              </w:rPr>
            </w:pPr>
            <w:r>
              <w:rPr>
                <w:rFonts w:ascii="Arial" w:cs="Arial" w:eastAsia="Arial" w:hAnsi="Arial"/>
                <w:sz w:val="9"/>
                <w:szCs w:val="9"/>
                <w:color w:val="auto"/>
              </w:rPr>
              <w:t>62,213</w:t>
            </w: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660" w:type="dxa"/>
            <w:vAlign w:val="bottom"/>
          </w:tcPr>
          <w:p>
            <w:pPr>
              <w:jc w:val="right"/>
              <w:spacing w:after="0" w:line="99" w:lineRule="exact"/>
              <w:rPr>
                <w:sz w:val="20"/>
                <w:szCs w:val="20"/>
                <w:color w:val="auto"/>
              </w:rPr>
            </w:pPr>
            <w:r>
              <w:rPr>
                <w:rFonts w:ascii="Arial" w:cs="Arial" w:eastAsia="Arial" w:hAnsi="Arial"/>
                <w:sz w:val="9"/>
                <w:szCs w:val="9"/>
                <w:color w:val="auto"/>
              </w:rPr>
              <w:t>71,189</w:t>
            </w:r>
          </w:p>
        </w:tc>
        <w:tc>
          <w:tcPr>
            <w:tcW w:w="80" w:type="dxa"/>
            <w:vAlign w:val="bottom"/>
          </w:tcPr>
          <w:p>
            <w:pPr>
              <w:spacing w:after="0"/>
              <w:rPr>
                <w:sz w:val="8"/>
                <w:szCs w:val="8"/>
                <w:color w:val="auto"/>
              </w:rPr>
            </w:pPr>
          </w:p>
        </w:tc>
      </w:tr>
      <w:tr>
        <w:trPr>
          <w:trHeight w:val="99"/>
        </w:trPr>
        <w:tc>
          <w:tcPr>
            <w:tcW w:w="9280" w:type="dxa"/>
            <w:vAlign w:val="bottom"/>
            <w:shd w:val="clear" w:color="auto" w:fill="CCEEFF"/>
          </w:tcPr>
          <w:p>
            <w:pPr>
              <w:spacing w:after="0" w:line="99" w:lineRule="exact"/>
              <w:rPr>
                <w:sz w:val="20"/>
                <w:szCs w:val="20"/>
                <w:color w:val="auto"/>
              </w:rPr>
            </w:pPr>
            <w:r>
              <w:rPr>
                <w:rFonts w:ascii="Arial" w:cs="Arial" w:eastAsia="Arial" w:hAnsi="Arial"/>
                <w:sz w:val="9"/>
                <w:szCs w:val="9"/>
                <w:color w:val="auto"/>
              </w:rPr>
              <w:t>Deposits and other assets</w:t>
            </w:r>
          </w:p>
        </w:tc>
        <w:tc>
          <w:tcPr>
            <w:tcW w:w="80" w:type="dxa"/>
            <w:vAlign w:val="bottom"/>
            <w:shd w:val="clear" w:color="auto" w:fill="CCEEFF"/>
          </w:tcPr>
          <w:p>
            <w:pPr>
              <w:spacing w:after="0"/>
              <w:rPr>
                <w:sz w:val="8"/>
                <w:szCs w:val="8"/>
                <w:color w:val="auto"/>
              </w:rPr>
            </w:pPr>
          </w:p>
        </w:tc>
        <w:tc>
          <w:tcPr>
            <w:tcW w:w="680" w:type="dxa"/>
            <w:vAlign w:val="bottom"/>
            <w:shd w:val="clear" w:color="auto" w:fill="CCEEFF"/>
          </w:tcPr>
          <w:p>
            <w:pPr>
              <w:jc w:val="right"/>
              <w:spacing w:after="0" w:line="99" w:lineRule="exact"/>
              <w:rPr>
                <w:sz w:val="20"/>
                <w:szCs w:val="20"/>
                <w:color w:val="auto"/>
              </w:rPr>
            </w:pPr>
            <w:r>
              <w:rPr>
                <w:rFonts w:ascii="Arial" w:cs="Arial" w:eastAsia="Arial" w:hAnsi="Arial"/>
                <w:sz w:val="9"/>
                <w:szCs w:val="9"/>
                <w:color w:val="auto"/>
              </w:rPr>
              <w:t>92,354</w:t>
            </w:r>
          </w:p>
        </w:tc>
        <w:tc>
          <w:tcPr>
            <w:tcW w:w="64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660" w:type="dxa"/>
            <w:vAlign w:val="bottom"/>
            <w:shd w:val="clear" w:color="auto" w:fill="CCEEFF"/>
          </w:tcPr>
          <w:p>
            <w:pPr>
              <w:jc w:val="right"/>
              <w:spacing w:after="0" w:line="99" w:lineRule="exact"/>
              <w:rPr>
                <w:sz w:val="20"/>
                <w:szCs w:val="20"/>
                <w:color w:val="auto"/>
              </w:rPr>
            </w:pPr>
            <w:r>
              <w:rPr>
                <w:rFonts w:ascii="Arial" w:cs="Arial" w:eastAsia="Arial" w:hAnsi="Arial"/>
                <w:sz w:val="9"/>
                <w:szCs w:val="9"/>
                <w:color w:val="auto"/>
              </w:rPr>
              <w:t>99,227</w:t>
            </w:r>
          </w:p>
        </w:tc>
        <w:tc>
          <w:tcPr>
            <w:tcW w:w="80" w:type="dxa"/>
            <w:vAlign w:val="bottom"/>
            <w:shd w:val="clear" w:color="auto" w:fill="CCEEFF"/>
          </w:tcPr>
          <w:p>
            <w:pPr>
              <w:spacing w:after="0"/>
              <w:rPr>
                <w:sz w:val="8"/>
                <w:szCs w:val="8"/>
                <w:color w:val="auto"/>
              </w:rPr>
            </w:pPr>
          </w:p>
        </w:tc>
      </w:tr>
      <w:tr>
        <w:trPr>
          <w:trHeight w:val="99"/>
        </w:trPr>
        <w:tc>
          <w:tcPr>
            <w:tcW w:w="9280" w:type="dxa"/>
            <w:vAlign w:val="bottom"/>
          </w:tcPr>
          <w:p>
            <w:pPr>
              <w:spacing w:after="0" w:line="99" w:lineRule="exact"/>
              <w:rPr>
                <w:sz w:val="20"/>
                <w:szCs w:val="20"/>
                <w:color w:val="auto"/>
              </w:rPr>
            </w:pPr>
            <w:r>
              <w:rPr>
                <w:rFonts w:ascii="Arial" w:cs="Arial" w:eastAsia="Arial" w:hAnsi="Arial"/>
                <w:sz w:val="9"/>
                <w:szCs w:val="9"/>
                <w:color w:val="auto"/>
              </w:rPr>
              <w:t>Investment in unconsolidated affiliates</w:t>
            </w:r>
          </w:p>
        </w:tc>
        <w:tc>
          <w:tcPr>
            <w:tcW w:w="80" w:type="dxa"/>
            <w:vAlign w:val="bottom"/>
            <w:tcBorders>
              <w:bottom w:val="single" w:sz="8" w:color="auto"/>
            </w:tcBorders>
          </w:tcPr>
          <w:p>
            <w:pPr>
              <w:spacing w:after="0"/>
              <w:rPr>
                <w:sz w:val="8"/>
                <w:szCs w:val="8"/>
                <w:color w:val="auto"/>
              </w:rPr>
            </w:pPr>
          </w:p>
        </w:tc>
        <w:tc>
          <w:tcPr>
            <w:tcW w:w="680" w:type="dxa"/>
            <w:vAlign w:val="bottom"/>
            <w:tcBorders>
              <w:bottom w:val="single" w:sz="8" w:color="auto"/>
            </w:tcBorders>
          </w:tcPr>
          <w:p>
            <w:pPr>
              <w:jc w:val="right"/>
              <w:spacing w:after="0" w:line="99" w:lineRule="exact"/>
              <w:rPr>
                <w:sz w:val="20"/>
                <w:szCs w:val="20"/>
                <w:color w:val="auto"/>
              </w:rPr>
            </w:pPr>
            <w:r>
              <w:rPr>
                <w:rFonts w:ascii="Arial" w:cs="Arial" w:eastAsia="Arial" w:hAnsi="Arial"/>
                <w:sz w:val="9"/>
                <w:szCs w:val="9"/>
                <w:color w:val="auto"/>
              </w:rPr>
              <w:t>3,942</w:t>
            </w:r>
          </w:p>
        </w:tc>
        <w:tc>
          <w:tcPr>
            <w:tcW w:w="640" w:type="dxa"/>
            <w:vAlign w:val="bottom"/>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660" w:type="dxa"/>
            <w:vAlign w:val="bottom"/>
            <w:tcBorders>
              <w:bottom w:val="single" w:sz="8" w:color="auto"/>
            </w:tcBorders>
          </w:tcPr>
          <w:p>
            <w:pPr>
              <w:jc w:val="right"/>
              <w:spacing w:after="0" w:line="99" w:lineRule="exact"/>
              <w:rPr>
                <w:sz w:val="20"/>
                <w:szCs w:val="20"/>
                <w:color w:val="auto"/>
              </w:rPr>
            </w:pPr>
            <w:r>
              <w:rPr>
                <w:rFonts w:ascii="Arial" w:cs="Arial" w:eastAsia="Arial" w:hAnsi="Arial"/>
                <w:sz w:val="9"/>
                <w:szCs w:val="9"/>
                <w:color w:val="auto"/>
              </w:rPr>
              <w:t>4,270</w:t>
            </w:r>
          </w:p>
        </w:tc>
        <w:tc>
          <w:tcPr>
            <w:tcW w:w="80" w:type="dxa"/>
            <w:vAlign w:val="bottom"/>
          </w:tcPr>
          <w:p>
            <w:pPr>
              <w:spacing w:after="0"/>
              <w:rPr>
                <w:sz w:val="8"/>
                <w:szCs w:val="8"/>
                <w:color w:val="auto"/>
              </w:rPr>
            </w:pPr>
          </w:p>
        </w:tc>
      </w:tr>
      <w:tr>
        <w:trPr>
          <w:trHeight w:val="104"/>
        </w:trPr>
        <w:tc>
          <w:tcPr>
            <w:tcW w:w="9280" w:type="dxa"/>
            <w:vAlign w:val="bottom"/>
            <w:shd w:val="clear" w:color="auto" w:fill="CCEEFF"/>
          </w:tcPr>
          <w:p>
            <w:pPr>
              <w:ind w:left="560"/>
              <w:spacing w:after="0" w:line="98" w:lineRule="exact"/>
              <w:rPr>
                <w:sz w:val="20"/>
                <w:szCs w:val="20"/>
                <w:color w:val="auto"/>
              </w:rPr>
            </w:pPr>
            <w:r>
              <w:rPr>
                <w:rFonts w:ascii="Arial" w:cs="Arial" w:eastAsia="Arial" w:hAnsi="Arial"/>
                <w:sz w:val="9"/>
                <w:szCs w:val="9"/>
                <w:color w:val="auto"/>
              </w:rPr>
              <w:t>Total assets</w:t>
            </w:r>
          </w:p>
        </w:tc>
        <w:tc>
          <w:tcPr>
            <w:tcW w:w="80" w:type="dxa"/>
            <w:vAlign w:val="bottom"/>
            <w:tcBorders>
              <w:bottom w:val="single" w:sz="8" w:color="auto"/>
            </w:tcBorders>
            <w:shd w:val="clear" w:color="auto" w:fill="CCEEFF"/>
          </w:tcPr>
          <w:p>
            <w:pPr>
              <w:jc w:val="right"/>
              <w:spacing w:after="0" w:line="98" w:lineRule="exact"/>
              <w:rPr>
                <w:sz w:val="20"/>
                <w:szCs w:val="20"/>
                <w:color w:val="auto"/>
              </w:rPr>
            </w:pPr>
            <w:r>
              <w:rPr>
                <w:rFonts w:ascii="Arial" w:cs="Arial" w:eastAsia="Arial" w:hAnsi="Arial"/>
                <w:sz w:val="9"/>
                <w:szCs w:val="9"/>
                <w:color w:val="auto"/>
                <w:w w:val="78"/>
              </w:rPr>
              <w:t>$</w:t>
            </w:r>
          </w:p>
        </w:tc>
        <w:tc>
          <w:tcPr>
            <w:tcW w:w="680" w:type="dxa"/>
            <w:vAlign w:val="bottom"/>
            <w:tcBorders>
              <w:bottom w:val="single" w:sz="8" w:color="auto"/>
            </w:tcBorders>
            <w:shd w:val="clear" w:color="auto" w:fill="CCEEFF"/>
          </w:tcPr>
          <w:p>
            <w:pPr>
              <w:jc w:val="right"/>
              <w:spacing w:after="0" w:line="98" w:lineRule="exact"/>
              <w:rPr>
                <w:sz w:val="20"/>
                <w:szCs w:val="20"/>
                <w:color w:val="auto"/>
              </w:rPr>
            </w:pPr>
            <w:r>
              <w:rPr>
                <w:rFonts w:ascii="Arial" w:cs="Arial" w:eastAsia="Arial" w:hAnsi="Arial"/>
                <w:sz w:val="9"/>
                <w:szCs w:val="9"/>
                <w:color w:val="auto"/>
              </w:rPr>
              <w:t>8,069,628</w:t>
            </w:r>
          </w:p>
        </w:tc>
        <w:tc>
          <w:tcPr>
            <w:tcW w:w="640" w:type="dxa"/>
            <w:vAlign w:val="bottom"/>
            <w:shd w:val="clear" w:color="auto" w:fill="CCEEFF"/>
          </w:tcPr>
          <w:p>
            <w:pPr>
              <w:spacing w:after="0"/>
              <w:rPr>
                <w:sz w:val="9"/>
                <w:szCs w:val="9"/>
                <w:color w:val="auto"/>
              </w:rPr>
            </w:pPr>
          </w:p>
        </w:tc>
        <w:tc>
          <w:tcPr>
            <w:tcW w:w="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5"/>
                <w:szCs w:val="5"/>
                <w:color w:val="auto"/>
                <w:w w:val="70"/>
              </w:rPr>
              <w:t>$</w:t>
            </w:r>
          </w:p>
        </w:tc>
        <w:tc>
          <w:tcPr>
            <w:tcW w:w="660" w:type="dxa"/>
            <w:vAlign w:val="bottom"/>
            <w:tcBorders>
              <w:bottom w:val="single" w:sz="8" w:color="auto"/>
            </w:tcBorders>
            <w:shd w:val="clear" w:color="auto" w:fill="CCEEFF"/>
          </w:tcPr>
          <w:p>
            <w:pPr>
              <w:jc w:val="right"/>
              <w:spacing w:after="0" w:line="98" w:lineRule="exact"/>
              <w:rPr>
                <w:sz w:val="20"/>
                <w:szCs w:val="20"/>
                <w:color w:val="auto"/>
              </w:rPr>
            </w:pPr>
            <w:r>
              <w:rPr>
                <w:rFonts w:ascii="Arial" w:cs="Arial" w:eastAsia="Arial" w:hAnsi="Arial"/>
                <w:sz w:val="9"/>
                <w:szCs w:val="9"/>
                <w:color w:val="auto"/>
              </w:rPr>
              <w:t>7,276,594</w:t>
            </w:r>
          </w:p>
        </w:tc>
        <w:tc>
          <w:tcPr>
            <w:tcW w:w="80" w:type="dxa"/>
            <w:vAlign w:val="bottom"/>
            <w:shd w:val="clear" w:color="auto" w:fill="CCEEFF"/>
          </w:tcPr>
          <w:p>
            <w:pPr>
              <w:spacing w:after="0"/>
              <w:rPr>
                <w:sz w:val="9"/>
                <w:szCs w:val="9"/>
                <w:color w:val="auto"/>
              </w:rPr>
            </w:pPr>
          </w:p>
        </w:tc>
      </w:tr>
      <w:tr>
        <w:trPr>
          <w:trHeight w:val="108"/>
        </w:trPr>
        <w:tc>
          <w:tcPr>
            <w:tcW w:w="9280" w:type="dxa"/>
            <w:vAlign w:val="bottom"/>
          </w:tcPr>
          <w:p>
            <w:pPr>
              <w:ind w:left="3380"/>
              <w:spacing w:after="0"/>
              <w:rPr>
                <w:sz w:val="20"/>
                <w:szCs w:val="20"/>
                <w:color w:val="auto"/>
              </w:rPr>
            </w:pPr>
            <w:r>
              <w:rPr>
                <w:rFonts w:ascii="Arial" w:cs="Arial" w:eastAsia="Arial" w:hAnsi="Arial"/>
                <w:sz w:val="9"/>
                <w:szCs w:val="9"/>
                <w:b w:val="1"/>
                <w:bCs w:val="1"/>
                <w:color w:val="auto"/>
              </w:rPr>
              <w:t>LIABILITIES AND STOCKHOLDERS’ EQUITY</w:t>
            </w:r>
          </w:p>
        </w:tc>
        <w:tc>
          <w:tcPr>
            <w:tcW w:w="80" w:type="dxa"/>
            <w:vAlign w:val="bottom"/>
          </w:tcPr>
          <w:p>
            <w:pPr>
              <w:spacing w:after="0"/>
              <w:rPr>
                <w:sz w:val="9"/>
                <w:szCs w:val="9"/>
                <w:color w:val="auto"/>
              </w:rPr>
            </w:pPr>
          </w:p>
        </w:tc>
        <w:tc>
          <w:tcPr>
            <w:tcW w:w="680" w:type="dxa"/>
            <w:vAlign w:val="bottom"/>
          </w:tcPr>
          <w:p>
            <w:pPr>
              <w:spacing w:after="0"/>
              <w:rPr>
                <w:sz w:val="9"/>
                <w:szCs w:val="9"/>
                <w:color w:val="auto"/>
              </w:rPr>
            </w:pPr>
          </w:p>
        </w:tc>
        <w:tc>
          <w:tcPr>
            <w:tcW w:w="640" w:type="dxa"/>
            <w:vAlign w:val="bottom"/>
          </w:tcPr>
          <w:p>
            <w:pPr>
              <w:spacing w:after="0"/>
              <w:rPr>
                <w:sz w:val="9"/>
                <w:szCs w:val="9"/>
                <w:color w:val="auto"/>
              </w:rPr>
            </w:pPr>
          </w:p>
        </w:tc>
        <w:tc>
          <w:tcPr>
            <w:tcW w:w="60" w:type="dxa"/>
            <w:vAlign w:val="bottom"/>
          </w:tcPr>
          <w:p>
            <w:pPr>
              <w:spacing w:after="0"/>
              <w:rPr>
                <w:sz w:val="9"/>
                <w:szCs w:val="9"/>
                <w:color w:val="auto"/>
              </w:rPr>
            </w:pPr>
          </w:p>
        </w:tc>
        <w:tc>
          <w:tcPr>
            <w:tcW w:w="660" w:type="dxa"/>
            <w:vAlign w:val="bottom"/>
          </w:tcPr>
          <w:p>
            <w:pPr>
              <w:spacing w:after="0"/>
              <w:rPr>
                <w:sz w:val="9"/>
                <w:szCs w:val="9"/>
                <w:color w:val="auto"/>
              </w:rPr>
            </w:pPr>
          </w:p>
        </w:tc>
        <w:tc>
          <w:tcPr>
            <w:tcW w:w="80" w:type="dxa"/>
            <w:vAlign w:val="bottom"/>
          </w:tcPr>
          <w:p>
            <w:pPr>
              <w:spacing w:after="0"/>
              <w:rPr>
                <w:sz w:val="9"/>
                <w:szCs w:val="9"/>
                <w:color w:val="auto"/>
              </w:rPr>
            </w:pPr>
          </w:p>
        </w:tc>
      </w:tr>
      <w:tr>
        <w:trPr>
          <w:trHeight w:val="99"/>
        </w:trPr>
        <w:tc>
          <w:tcPr>
            <w:tcW w:w="9280" w:type="dxa"/>
            <w:vAlign w:val="bottom"/>
            <w:shd w:val="clear" w:color="auto" w:fill="CCEEFF"/>
          </w:tcPr>
          <w:p>
            <w:pPr>
              <w:spacing w:after="0" w:line="99" w:lineRule="exact"/>
              <w:rPr>
                <w:sz w:val="20"/>
                <w:szCs w:val="20"/>
                <w:color w:val="auto"/>
              </w:rPr>
            </w:pPr>
            <w:r>
              <w:rPr>
                <w:rFonts w:ascii="Arial" w:cs="Arial" w:eastAsia="Arial" w:hAnsi="Arial"/>
                <w:sz w:val="9"/>
                <w:szCs w:val="9"/>
                <w:color w:val="auto"/>
              </w:rPr>
              <w:t>Current liabilities:</w:t>
            </w:r>
          </w:p>
        </w:tc>
        <w:tc>
          <w:tcPr>
            <w:tcW w:w="80" w:type="dxa"/>
            <w:vAlign w:val="bottom"/>
            <w:shd w:val="clear" w:color="auto" w:fill="CCEEFF"/>
          </w:tcPr>
          <w:p>
            <w:pPr>
              <w:spacing w:after="0"/>
              <w:rPr>
                <w:sz w:val="8"/>
                <w:szCs w:val="8"/>
                <w:color w:val="auto"/>
              </w:rPr>
            </w:pPr>
          </w:p>
        </w:tc>
        <w:tc>
          <w:tcPr>
            <w:tcW w:w="680" w:type="dxa"/>
            <w:vAlign w:val="bottom"/>
            <w:shd w:val="clear" w:color="auto" w:fill="CCEEFF"/>
          </w:tcPr>
          <w:p>
            <w:pPr>
              <w:spacing w:after="0"/>
              <w:rPr>
                <w:sz w:val="8"/>
                <w:szCs w:val="8"/>
                <w:color w:val="auto"/>
              </w:rPr>
            </w:pPr>
          </w:p>
        </w:tc>
        <w:tc>
          <w:tcPr>
            <w:tcW w:w="64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66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r>
      <w:tr>
        <w:trPr>
          <w:trHeight w:val="99"/>
        </w:trPr>
        <w:tc>
          <w:tcPr>
            <w:tcW w:w="9280" w:type="dxa"/>
            <w:vAlign w:val="bottom"/>
          </w:tcPr>
          <w:p>
            <w:pPr>
              <w:ind w:left="280"/>
              <w:spacing w:after="0" w:line="99" w:lineRule="exact"/>
              <w:rPr>
                <w:sz w:val="20"/>
                <w:szCs w:val="20"/>
                <w:color w:val="auto"/>
              </w:rPr>
            </w:pPr>
            <w:r>
              <w:rPr>
                <w:rFonts w:ascii="Arial" w:cs="Arial" w:eastAsia="Arial" w:hAnsi="Arial"/>
                <w:sz w:val="9"/>
                <w:szCs w:val="9"/>
                <w:color w:val="auto"/>
              </w:rPr>
              <w:t>Accounts and construction payables</w:t>
            </w:r>
          </w:p>
        </w:tc>
        <w:tc>
          <w:tcPr>
            <w:tcW w:w="80" w:type="dxa"/>
            <w:vAlign w:val="bottom"/>
          </w:tcPr>
          <w:p>
            <w:pPr>
              <w:jc w:val="right"/>
              <w:spacing w:after="0" w:line="99" w:lineRule="exact"/>
              <w:rPr>
                <w:sz w:val="20"/>
                <w:szCs w:val="20"/>
                <w:color w:val="auto"/>
              </w:rPr>
            </w:pPr>
            <w:r>
              <w:rPr>
                <w:rFonts w:ascii="Arial" w:cs="Arial" w:eastAsia="Arial" w:hAnsi="Arial"/>
                <w:sz w:val="9"/>
                <w:szCs w:val="9"/>
                <w:color w:val="auto"/>
                <w:w w:val="78"/>
              </w:rPr>
              <w:t>$</w:t>
            </w:r>
          </w:p>
        </w:tc>
        <w:tc>
          <w:tcPr>
            <w:tcW w:w="680" w:type="dxa"/>
            <w:vAlign w:val="bottom"/>
          </w:tcPr>
          <w:p>
            <w:pPr>
              <w:jc w:val="right"/>
              <w:spacing w:after="0" w:line="99" w:lineRule="exact"/>
              <w:rPr>
                <w:sz w:val="20"/>
                <w:szCs w:val="20"/>
                <w:color w:val="auto"/>
              </w:rPr>
            </w:pPr>
            <w:r>
              <w:rPr>
                <w:rFonts w:ascii="Arial" w:cs="Arial" w:eastAsia="Arial" w:hAnsi="Arial"/>
                <w:sz w:val="9"/>
                <w:szCs w:val="9"/>
                <w:color w:val="auto"/>
              </w:rPr>
              <w:t>213,519</w:t>
            </w:r>
          </w:p>
        </w:tc>
        <w:tc>
          <w:tcPr>
            <w:tcW w:w="640" w:type="dxa"/>
            <w:vAlign w:val="bottom"/>
          </w:tcPr>
          <w:p>
            <w:pPr>
              <w:spacing w:after="0"/>
              <w:rPr>
                <w:sz w:val="8"/>
                <w:szCs w:val="8"/>
                <w:color w:val="auto"/>
              </w:rPr>
            </w:pPr>
          </w:p>
        </w:tc>
        <w:tc>
          <w:tcPr>
            <w:tcW w:w="60" w:type="dxa"/>
            <w:vAlign w:val="bottom"/>
          </w:tcPr>
          <w:p>
            <w:pPr>
              <w:jc w:val="right"/>
              <w:spacing w:after="0"/>
              <w:rPr>
                <w:sz w:val="20"/>
                <w:szCs w:val="20"/>
                <w:color w:val="auto"/>
              </w:rPr>
            </w:pPr>
            <w:r>
              <w:rPr>
                <w:rFonts w:ascii="Arial" w:cs="Arial" w:eastAsia="Arial" w:hAnsi="Arial"/>
                <w:sz w:val="5"/>
                <w:szCs w:val="5"/>
                <w:color w:val="auto"/>
                <w:w w:val="70"/>
              </w:rPr>
              <w:t>$</w:t>
            </w:r>
          </w:p>
        </w:tc>
        <w:tc>
          <w:tcPr>
            <w:tcW w:w="660" w:type="dxa"/>
            <w:vAlign w:val="bottom"/>
          </w:tcPr>
          <w:p>
            <w:pPr>
              <w:jc w:val="right"/>
              <w:spacing w:after="0" w:line="99" w:lineRule="exact"/>
              <w:rPr>
                <w:sz w:val="20"/>
                <w:szCs w:val="20"/>
                <w:color w:val="auto"/>
              </w:rPr>
            </w:pPr>
            <w:r>
              <w:rPr>
                <w:rFonts w:ascii="Arial" w:cs="Arial" w:eastAsia="Arial" w:hAnsi="Arial"/>
                <w:sz w:val="9"/>
                <w:szCs w:val="9"/>
                <w:color w:val="auto"/>
              </w:rPr>
              <w:t>164,858</w:t>
            </w:r>
          </w:p>
        </w:tc>
        <w:tc>
          <w:tcPr>
            <w:tcW w:w="80" w:type="dxa"/>
            <w:vAlign w:val="bottom"/>
          </w:tcPr>
          <w:p>
            <w:pPr>
              <w:spacing w:after="0"/>
              <w:rPr>
                <w:sz w:val="8"/>
                <w:szCs w:val="8"/>
                <w:color w:val="auto"/>
              </w:rPr>
            </w:pPr>
          </w:p>
        </w:tc>
      </w:tr>
      <w:tr>
        <w:trPr>
          <w:trHeight w:val="99"/>
        </w:trPr>
        <w:tc>
          <w:tcPr>
            <w:tcW w:w="9280" w:type="dxa"/>
            <w:vAlign w:val="bottom"/>
            <w:shd w:val="clear" w:color="auto" w:fill="CCEEFF"/>
          </w:tcPr>
          <w:p>
            <w:pPr>
              <w:ind w:left="280"/>
              <w:spacing w:after="0" w:line="99" w:lineRule="exact"/>
              <w:rPr>
                <w:sz w:val="20"/>
                <w:szCs w:val="20"/>
                <w:color w:val="auto"/>
              </w:rPr>
            </w:pPr>
            <w:r>
              <w:rPr>
                <w:rFonts w:ascii="Arial" w:cs="Arial" w:eastAsia="Arial" w:hAnsi="Arial"/>
                <w:sz w:val="9"/>
                <w:szCs w:val="9"/>
                <w:color w:val="auto"/>
              </w:rPr>
              <w:t>Current portion of long-term debt</w:t>
            </w:r>
          </w:p>
        </w:tc>
        <w:tc>
          <w:tcPr>
            <w:tcW w:w="80" w:type="dxa"/>
            <w:vAlign w:val="bottom"/>
            <w:shd w:val="clear" w:color="auto" w:fill="CCEEFF"/>
          </w:tcPr>
          <w:p>
            <w:pPr>
              <w:spacing w:after="0"/>
              <w:rPr>
                <w:sz w:val="8"/>
                <w:szCs w:val="8"/>
                <w:color w:val="auto"/>
              </w:rPr>
            </w:pPr>
          </w:p>
        </w:tc>
        <w:tc>
          <w:tcPr>
            <w:tcW w:w="680" w:type="dxa"/>
            <w:vAlign w:val="bottom"/>
            <w:shd w:val="clear" w:color="auto" w:fill="CCEEFF"/>
          </w:tcPr>
          <w:p>
            <w:pPr>
              <w:jc w:val="right"/>
              <w:spacing w:after="0" w:line="99" w:lineRule="exact"/>
              <w:rPr>
                <w:sz w:val="20"/>
                <w:szCs w:val="20"/>
                <w:color w:val="auto"/>
              </w:rPr>
            </w:pPr>
            <w:r>
              <w:rPr>
                <w:rFonts w:ascii="Arial" w:cs="Arial" w:eastAsia="Arial" w:hAnsi="Arial"/>
                <w:sz w:val="9"/>
                <w:szCs w:val="9"/>
                <w:color w:val="auto"/>
              </w:rPr>
              <w:t>223,452</w:t>
            </w:r>
          </w:p>
        </w:tc>
        <w:tc>
          <w:tcPr>
            <w:tcW w:w="64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660" w:type="dxa"/>
            <w:vAlign w:val="bottom"/>
            <w:shd w:val="clear" w:color="auto" w:fill="CCEEFF"/>
          </w:tcPr>
          <w:p>
            <w:pPr>
              <w:jc w:val="right"/>
              <w:spacing w:after="0" w:line="99" w:lineRule="exact"/>
              <w:rPr>
                <w:sz w:val="20"/>
                <w:szCs w:val="20"/>
                <w:color w:val="auto"/>
              </w:rPr>
            </w:pPr>
            <w:r>
              <w:rPr>
                <w:rFonts w:ascii="Arial" w:cs="Arial" w:eastAsia="Arial" w:hAnsi="Arial"/>
                <w:sz w:val="9"/>
                <w:szCs w:val="9"/>
                <w:color w:val="auto"/>
              </w:rPr>
              <w:t>1,050</w:t>
            </w:r>
          </w:p>
        </w:tc>
        <w:tc>
          <w:tcPr>
            <w:tcW w:w="80" w:type="dxa"/>
            <w:vAlign w:val="bottom"/>
            <w:shd w:val="clear" w:color="auto" w:fill="CCEEFF"/>
          </w:tcPr>
          <w:p>
            <w:pPr>
              <w:spacing w:after="0"/>
              <w:rPr>
                <w:sz w:val="8"/>
                <w:szCs w:val="8"/>
                <w:color w:val="auto"/>
              </w:rPr>
            </w:pPr>
          </w:p>
        </w:tc>
      </w:tr>
      <w:tr>
        <w:trPr>
          <w:trHeight w:val="99"/>
        </w:trPr>
        <w:tc>
          <w:tcPr>
            <w:tcW w:w="9280" w:type="dxa"/>
            <w:vAlign w:val="bottom"/>
          </w:tcPr>
          <w:p>
            <w:pPr>
              <w:ind w:left="280"/>
              <w:spacing w:after="0" w:line="99" w:lineRule="exact"/>
              <w:rPr>
                <w:sz w:val="20"/>
                <w:szCs w:val="20"/>
                <w:color w:val="auto"/>
              </w:rPr>
            </w:pPr>
            <w:r>
              <w:rPr>
                <w:rFonts w:ascii="Arial" w:cs="Arial" w:eastAsia="Arial" w:hAnsi="Arial"/>
                <w:sz w:val="9"/>
                <w:szCs w:val="9"/>
                <w:color w:val="auto"/>
              </w:rPr>
              <w:t>Current portion of land concession obligation</w:t>
            </w:r>
          </w:p>
        </w:tc>
        <w:tc>
          <w:tcPr>
            <w:tcW w:w="80" w:type="dxa"/>
            <w:vAlign w:val="bottom"/>
          </w:tcPr>
          <w:p>
            <w:pPr>
              <w:spacing w:after="0"/>
              <w:rPr>
                <w:sz w:val="8"/>
                <w:szCs w:val="8"/>
                <w:color w:val="auto"/>
              </w:rPr>
            </w:pPr>
          </w:p>
        </w:tc>
        <w:tc>
          <w:tcPr>
            <w:tcW w:w="680" w:type="dxa"/>
            <w:vAlign w:val="bottom"/>
          </w:tcPr>
          <w:p>
            <w:pPr>
              <w:jc w:val="right"/>
              <w:spacing w:after="0" w:line="99" w:lineRule="exact"/>
              <w:rPr>
                <w:sz w:val="20"/>
                <w:szCs w:val="20"/>
                <w:color w:val="auto"/>
              </w:rPr>
            </w:pPr>
            <w:r>
              <w:rPr>
                <w:rFonts w:ascii="Arial" w:cs="Arial" w:eastAsia="Arial" w:hAnsi="Arial"/>
                <w:sz w:val="9"/>
                <w:szCs w:val="9"/>
                <w:color w:val="auto"/>
              </w:rPr>
              <w:t>28,625</w:t>
            </w: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660" w:type="dxa"/>
            <w:vAlign w:val="bottom"/>
          </w:tcPr>
          <w:p>
            <w:pPr>
              <w:jc w:val="right"/>
              <w:spacing w:after="0" w:line="99" w:lineRule="exact"/>
              <w:rPr>
                <w:sz w:val="20"/>
                <w:szCs w:val="20"/>
                <w:color w:val="auto"/>
              </w:rPr>
            </w:pPr>
            <w:r>
              <w:rPr>
                <w:rFonts w:ascii="Arial" w:cs="Arial" w:eastAsia="Arial" w:hAnsi="Arial"/>
                <w:sz w:val="9"/>
                <w:szCs w:val="9"/>
                <w:color w:val="auto"/>
              </w:rPr>
              <w:t>27,937</w:t>
            </w:r>
          </w:p>
        </w:tc>
        <w:tc>
          <w:tcPr>
            <w:tcW w:w="80" w:type="dxa"/>
            <w:vAlign w:val="bottom"/>
          </w:tcPr>
          <w:p>
            <w:pPr>
              <w:spacing w:after="0"/>
              <w:rPr>
                <w:sz w:val="8"/>
                <w:szCs w:val="8"/>
                <w:color w:val="auto"/>
              </w:rPr>
            </w:pPr>
          </w:p>
        </w:tc>
      </w:tr>
      <w:tr>
        <w:trPr>
          <w:trHeight w:val="99"/>
        </w:trPr>
        <w:tc>
          <w:tcPr>
            <w:tcW w:w="9280" w:type="dxa"/>
            <w:vAlign w:val="bottom"/>
            <w:shd w:val="clear" w:color="auto" w:fill="CCEEFF"/>
          </w:tcPr>
          <w:p>
            <w:pPr>
              <w:ind w:left="280"/>
              <w:spacing w:after="0" w:line="99" w:lineRule="exact"/>
              <w:rPr>
                <w:sz w:val="20"/>
                <w:szCs w:val="20"/>
                <w:color w:val="auto"/>
              </w:rPr>
            </w:pPr>
            <w:r>
              <w:rPr>
                <w:rFonts w:ascii="Arial" w:cs="Arial" w:eastAsia="Arial" w:hAnsi="Arial"/>
                <w:sz w:val="9"/>
                <w:szCs w:val="9"/>
                <w:color w:val="auto"/>
              </w:rPr>
              <w:t>Customer deposits</w:t>
            </w:r>
          </w:p>
        </w:tc>
        <w:tc>
          <w:tcPr>
            <w:tcW w:w="80" w:type="dxa"/>
            <w:vAlign w:val="bottom"/>
            <w:shd w:val="clear" w:color="auto" w:fill="CCEEFF"/>
          </w:tcPr>
          <w:p>
            <w:pPr>
              <w:spacing w:after="0"/>
              <w:rPr>
                <w:sz w:val="8"/>
                <w:szCs w:val="8"/>
                <w:color w:val="auto"/>
              </w:rPr>
            </w:pPr>
          </w:p>
        </w:tc>
        <w:tc>
          <w:tcPr>
            <w:tcW w:w="680" w:type="dxa"/>
            <w:vAlign w:val="bottom"/>
            <w:shd w:val="clear" w:color="auto" w:fill="CCEEFF"/>
          </w:tcPr>
          <w:p>
            <w:pPr>
              <w:jc w:val="right"/>
              <w:spacing w:after="0" w:line="99" w:lineRule="exact"/>
              <w:rPr>
                <w:sz w:val="20"/>
                <w:szCs w:val="20"/>
                <w:color w:val="auto"/>
              </w:rPr>
            </w:pPr>
            <w:r>
              <w:rPr>
                <w:rFonts w:ascii="Arial" w:cs="Arial" w:eastAsia="Arial" w:hAnsi="Arial"/>
                <w:sz w:val="9"/>
                <w:szCs w:val="9"/>
                <w:color w:val="auto"/>
              </w:rPr>
              <w:t>750,324</w:t>
            </w:r>
          </w:p>
        </w:tc>
        <w:tc>
          <w:tcPr>
            <w:tcW w:w="64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660" w:type="dxa"/>
            <w:vAlign w:val="bottom"/>
            <w:shd w:val="clear" w:color="auto" w:fill="CCEEFF"/>
          </w:tcPr>
          <w:p>
            <w:pPr>
              <w:jc w:val="right"/>
              <w:spacing w:after="0" w:line="99" w:lineRule="exact"/>
              <w:rPr>
                <w:sz w:val="20"/>
                <w:szCs w:val="20"/>
                <w:color w:val="auto"/>
              </w:rPr>
            </w:pPr>
            <w:r>
              <w:rPr>
                <w:rFonts w:ascii="Arial" w:cs="Arial" w:eastAsia="Arial" w:hAnsi="Arial"/>
                <w:sz w:val="9"/>
                <w:szCs w:val="9"/>
                <w:color w:val="auto"/>
              </w:rPr>
              <w:t>544,649</w:t>
            </w:r>
          </w:p>
        </w:tc>
        <w:tc>
          <w:tcPr>
            <w:tcW w:w="80" w:type="dxa"/>
            <w:vAlign w:val="bottom"/>
            <w:shd w:val="clear" w:color="auto" w:fill="CCEEFF"/>
          </w:tcPr>
          <w:p>
            <w:pPr>
              <w:spacing w:after="0"/>
              <w:rPr>
                <w:sz w:val="8"/>
                <w:szCs w:val="8"/>
                <w:color w:val="auto"/>
              </w:rPr>
            </w:pPr>
          </w:p>
        </w:tc>
      </w:tr>
      <w:tr>
        <w:trPr>
          <w:trHeight w:val="99"/>
        </w:trPr>
        <w:tc>
          <w:tcPr>
            <w:tcW w:w="9280" w:type="dxa"/>
            <w:vAlign w:val="bottom"/>
          </w:tcPr>
          <w:p>
            <w:pPr>
              <w:ind w:left="280"/>
              <w:spacing w:after="0" w:line="99" w:lineRule="exact"/>
              <w:rPr>
                <w:sz w:val="20"/>
                <w:szCs w:val="20"/>
                <w:color w:val="auto"/>
              </w:rPr>
            </w:pPr>
            <w:r>
              <w:rPr>
                <w:rFonts w:ascii="Arial" w:cs="Arial" w:eastAsia="Arial" w:hAnsi="Arial"/>
                <w:sz w:val="9"/>
                <w:szCs w:val="9"/>
                <w:color w:val="auto"/>
              </w:rPr>
              <w:t>Gaming taxes payable</w:t>
            </w:r>
          </w:p>
        </w:tc>
        <w:tc>
          <w:tcPr>
            <w:tcW w:w="80" w:type="dxa"/>
            <w:vAlign w:val="bottom"/>
          </w:tcPr>
          <w:p>
            <w:pPr>
              <w:spacing w:after="0"/>
              <w:rPr>
                <w:sz w:val="8"/>
                <w:szCs w:val="8"/>
                <w:color w:val="auto"/>
              </w:rPr>
            </w:pPr>
          </w:p>
        </w:tc>
        <w:tc>
          <w:tcPr>
            <w:tcW w:w="680" w:type="dxa"/>
            <w:vAlign w:val="bottom"/>
          </w:tcPr>
          <w:p>
            <w:pPr>
              <w:jc w:val="right"/>
              <w:spacing w:after="0" w:line="99" w:lineRule="exact"/>
              <w:rPr>
                <w:sz w:val="20"/>
                <w:szCs w:val="20"/>
                <w:color w:val="auto"/>
              </w:rPr>
            </w:pPr>
            <w:r>
              <w:rPr>
                <w:rFonts w:ascii="Arial" w:cs="Arial" w:eastAsia="Arial" w:hAnsi="Arial"/>
                <w:sz w:val="9"/>
                <w:szCs w:val="9"/>
                <w:color w:val="auto"/>
              </w:rPr>
              <w:t>181,823</w:t>
            </w: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660" w:type="dxa"/>
            <w:vAlign w:val="bottom"/>
          </w:tcPr>
          <w:p>
            <w:pPr>
              <w:jc w:val="right"/>
              <w:spacing w:after="0" w:line="99" w:lineRule="exact"/>
              <w:rPr>
                <w:sz w:val="20"/>
                <w:szCs w:val="20"/>
                <w:color w:val="auto"/>
              </w:rPr>
            </w:pPr>
            <w:r>
              <w:rPr>
                <w:rFonts w:ascii="Arial" w:cs="Arial" w:eastAsia="Arial" w:hAnsi="Arial"/>
                <w:sz w:val="9"/>
                <w:szCs w:val="9"/>
                <w:color w:val="auto"/>
              </w:rPr>
              <w:t>163,092</w:t>
            </w:r>
          </w:p>
        </w:tc>
        <w:tc>
          <w:tcPr>
            <w:tcW w:w="80" w:type="dxa"/>
            <w:vAlign w:val="bottom"/>
          </w:tcPr>
          <w:p>
            <w:pPr>
              <w:spacing w:after="0"/>
              <w:rPr>
                <w:sz w:val="8"/>
                <w:szCs w:val="8"/>
                <w:color w:val="auto"/>
              </w:rPr>
            </w:pPr>
          </w:p>
        </w:tc>
      </w:tr>
      <w:tr>
        <w:trPr>
          <w:trHeight w:val="99"/>
        </w:trPr>
        <w:tc>
          <w:tcPr>
            <w:tcW w:w="9280" w:type="dxa"/>
            <w:vAlign w:val="bottom"/>
            <w:shd w:val="clear" w:color="auto" w:fill="CCEEFF"/>
          </w:tcPr>
          <w:p>
            <w:pPr>
              <w:ind w:left="280"/>
              <w:spacing w:after="0" w:line="99" w:lineRule="exact"/>
              <w:rPr>
                <w:sz w:val="20"/>
                <w:szCs w:val="20"/>
                <w:color w:val="auto"/>
              </w:rPr>
            </w:pPr>
            <w:r>
              <w:rPr>
                <w:rFonts w:ascii="Arial" w:cs="Arial" w:eastAsia="Arial" w:hAnsi="Arial"/>
                <w:sz w:val="9"/>
                <w:szCs w:val="9"/>
                <w:color w:val="auto"/>
              </w:rPr>
              <w:t>Accrued compensation and benefits</w:t>
            </w:r>
          </w:p>
        </w:tc>
        <w:tc>
          <w:tcPr>
            <w:tcW w:w="80" w:type="dxa"/>
            <w:vAlign w:val="bottom"/>
            <w:shd w:val="clear" w:color="auto" w:fill="CCEEFF"/>
          </w:tcPr>
          <w:p>
            <w:pPr>
              <w:spacing w:after="0"/>
              <w:rPr>
                <w:sz w:val="8"/>
                <w:szCs w:val="8"/>
                <w:color w:val="auto"/>
              </w:rPr>
            </w:pPr>
          </w:p>
        </w:tc>
        <w:tc>
          <w:tcPr>
            <w:tcW w:w="680" w:type="dxa"/>
            <w:vAlign w:val="bottom"/>
            <w:shd w:val="clear" w:color="auto" w:fill="CCEEFF"/>
          </w:tcPr>
          <w:p>
            <w:pPr>
              <w:jc w:val="right"/>
              <w:spacing w:after="0" w:line="99" w:lineRule="exact"/>
              <w:rPr>
                <w:sz w:val="20"/>
                <w:szCs w:val="20"/>
                <w:color w:val="auto"/>
              </w:rPr>
            </w:pPr>
            <w:r>
              <w:rPr>
                <w:rFonts w:ascii="Arial" w:cs="Arial" w:eastAsia="Arial" w:hAnsi="Arial"/>
                <w:sz w:val="9"/>
                <w:szCs w:val="9"/>
                <w:color w:val="auto"/>
              </w:rPr>
              <w:t>106,008</w:t>
            </w:r>
          </w:p>
        </w:tc>
        <w:tc>
          <w:tcPr>
            <w:tcW w:w="64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660" w:type="dxa"/>
            <w:vAlign w:val="bottom"/>
            <w:shd w:val="clear" w:color="auto" w:fill="CCEEFF"/>
          </w:tcPr>
          <w:p>
            <w:pPr>
              <w:jc w:val="right"/>
              <w:spacing w:after="0" w:line="99" w:lineRule="exact"/>
              <w:rPr>
                <w:sz w:val="20"/>
                <w:szCs w:val="20"/>
                <w:color w:val="auto"/>
              </w:rPr>
            </w:pPr>
            <w:r>
              <w:rPr>
                <w:rFonts w:ascii="Arial" w:cs="Arial" w:eastAsia="Arial" w:hAnsi="Arial"/>
                <w:sz w:val="9"/>
                <w:szCs w:val="9"/>
                <w:color w:val="auto"/>
              </w:rPr>
              <w:t>75,962</w:t>
            </w:r>
          </w:p>
        </w:tc>
        <w:tc>
          <w:tcPr>
            <w:tcW w:w="80" w:type="dxa"/>
            <w:vAlign w:val="bottom"/>
            <w:shd w:val="clear" w:color="auto" w:fill="CCEEFF"/>
          </w:tcPr>
          <w:p>
            <w:pPr>
              <w:spacing w:after="0"/>
              <w:rPr>
                <w:sz w:val="8"/>
                <w:szCs w:val="8"/>
                <w:color w:val="auto"/>
              </w:rPr>
            </w:pPr>
          </w:p>
        </w:tc>
      </w:tr>
      <w:tr>
        <w:trPr>
          <w:trHeight w:val="99"/>
        </w:trPr>
        <w:tc>
          <w:tcPr>
            <w:tcW w:w="9280" w:type="dxa"/>
            <w:vAlign w:val="bottom"/>
          </w:tcPr>
          <w:p>
            <w:pPr>
              <w:ind w:left="280"/>
              <w:spacing w:after="0" w:line="99" w:lineRule="exact"/>
              <w:rPr>
                <w:sz w:val="20"/>
                <w:szCs w:val="20"/>
                <w:color w:val="auto"/>
              </w:rPr>
            </w:pPr>
            <w:r>
              <w:rPr>
                <w:rFonts w:ascii="Arial" w:cs="Arial" w:eastAsia="Arial" w:hAnsi="Arial"/>
                <w:sz w:val="9"/>
                <w:szCs w:val="9"/>
                <w:color w:val="auto"/>
              </w:rPr>
              <w:t>Accrued interest</w:t>
            </w:r>
          </w:p>
        </w:tc>
        <w:tc>
          <w:tcPr>
            <w:tcW w:w="80" w:type="dxa"/>
            <w:vAlign w:val="bottom"/>
          </w:tcPr>
          <w:p>
            <w:pPr>
              <w:spacing w:after="0"/>
              <w:rPr>
                <w:sz w:val="8"/>
                <w:szCs w:val="8"/>
                <w:color w:val="auto"/>
              </w:rPr>
            </w:pPr>
          </w:p>
        </w:tc>
        <w:tc>
          <w:tcPr>
            <w:tcW w:w="680" w:type="dxa"/>
            <w:vAlign w:val="bottom"/>
          </w:tcPr>
          <w:p>
            <w:pPr>
              <w:jc w:val="right"/>
              <w:spacing w:after="0" w:line="99" w:lineRule="exact"/>
              <w:rPr>
                <w:sz w:val="20"/>
                <w:szCs w:val="20"/>
                <w:color w:val="auto"/>
              </w:rPr>
            </w:pPr>
            <w:r>
              <w:rPr>
                <w:rFonts w:ascii="Arial" w:cs="Arial" w:eastAsia="Arial" w:hAnsi="Arial"/>
                <w:sz w:val="9"/>
                <w:szCs w:val="9"/>
                <w:color w:val="auto"/>
              </w:rPr>
              <w:t>68,803</w:t>
            </w: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660" w:type="dxa"/>
            <w:vAlign w:val="bottom"/>
          </w:tcPr>
          <w:p>
            <w:pPr>
              <w:jc w:val="right"/>
              <w:spacing w:after="0" w:line="99" w:lineRule="exact"/>
              <w:rPr>
                <w:sz w:val="20"/>
                <w:szCs w:val="20"/>
                <w:color w:val="auto"/>
              </w:rPr>
            </w:pPr>
            <w:r>
              <w:rPr>
                <w:rFonts w:ascii="Arial" w:cs="Arial" w:eastAsia="Arial" w:hAnsi="Arial"/>
                <w:sz w:val="9"/>
                <w:szCs w:val="9"/>
                <w:color w:val="auto"/>
              </w:rPr>
              <w:t>100,562</w:t>
            </w:r>
          </w:p>
        </w:tc>
        <w:tc>
          <w:tcPr>
            <w:tcW w:w="80" w:type="dxa"/>
            <w:vAlign w:val="bottom"/>
          </w:tcPr>
          <w:p>
            <w:pPr>
              <w:spacing w:after="0"/>
              <w:rPr>
                <w:sz w:val="8"/>
                <w:szCs w:val="8"/>
                <w:color w:val="auto"/>
              </w:rPr>
            </w:pPr>
          </w:p>
        </w:tc>
      </w:tr>
      <w:tr>
        <w:trPr>
          <w:trHeight w:val="99"/>
        </w:trPr>
        <w:tc>
          <w:tcPr>
            <w:tcW w:w="9280" w:type="dxa"/>
            <w:vAlign w:val="bottom"/>
            <w:shd w:val="clear" w:color="auto" w:fill="CCEEFF"/>
          </w:tcPr>
          <w:p>
            <w:pPr>
              <w:ind w:left="280"/>
              <w:spacing w:after="0" w:line="99" w:lineRule="exact"/>
              <w:rPr>
                <w:sz w:val="20"/>
                <w:szCs w:val="20"/>
                <w:color w:val="auto"/>
              </w:rPr>
            </w:pPr>
            <w:r>
              <w:rPr>
                <w:rFonts w:ascii="Arial" w:cs="Arial" w:eastAsia="Arial" w:hAnsi="Arial"/>
                <w:sz w:val="9"/>
                <w:szCs w:val="9"/>
                <w:color w:val="auto"/>
              </w:rPr>
              <w:t>Other accrued liabilities</w:t>
            </w:r>
          </w:p>
        </w:tc>
        <w:tc>
          <w:tcPr>
            <w:tcW w:w="80" w:type="dxa"/>
            <w:vAlign w:val="bottom"/>
            <w:shd w:val="clear" w:color="auto" w:fill="CCEEFF"/>
          </w:tcPr>
          <w:p>
            <w:pPr>
              <w:spacing w:after="0"/>
              <w:rPr>
                <w:sz w:val="8"/>
                <w:szCs w:val="8"/>
                <w:color w:val="auto"/>
              </w:rPr>
            </w:pPr>
          </w:p>
        </w:tc>
        <w:tc>
          <w:tcPr>
            <w:tcW w:w="680" w:type="dxa"/>
            <w:vAlign w:val="bottom"/>
            <w:shd w:val="clear" w:color="auto" w:fill="CCEEFF"/>
          </w:tcPr>
          <w:p>
            <w:pPr>
              <w:jc w:val="right"/>
              <w:spacing w:after="0" w:line="99" w:lineRule="exact"/>
              <w:rPr>
                <w:sz w:val="20"/>
                <w:szCs w:val="20"/>
                <w:color w:val="auto"/>
              </w:rPr>
            </w:pPr>
            <w:r>
              <w:rPr>
                <w:rFonts w:ascii="Arial" w:cs="Arial" w:eastAsia="Arial" w:hAnsi="Arial"/>
                <w:sz w:val="9"/>
                <w:szCs w:val="9"/>
                <w:color w:val="auto"/>
              </w:rPr>
              <w:t>47,178</w:t>
            </w:r>
          </w:p>
        </w:tc>
        <w:tc>
          <w:tcPr>
            <w:tcW w:w="64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660" w:type="dxa"/>
            <w:vAlign w:val="bottom"/>
            <w:shd w:val="clear" w:color="auto" w:fill="CCEEFF"/>
          </w:tcPr>
          <w:p>
            <w:pPr>
              <w:jc w:val="right"/>
              <w:spacing w:after="0" w:line="99" w:lineRule="exact"/>
              <w:rPr>
                <w:sz w:val="20"/>
                <w:szCs w:val="20"/>
                <w:color w:val="auto"/>
              </w:rPr>
            </w:pPr>
            <w:r>
              <w:rPr>
                <w:rFonts w:ascii="Arial" w:cs="Arial" w:eastAsia="Arial" w:hAnsi="Arial"/>
                <w:sz w:val="9"/>
                <w:szCs w:val="9"/>
                <w:color w:val="auto"/>
              </w:rPr>
              <w:t>44,244</w:t>
            </w:r>
          </w:p>
        </w:tc>
        <w:tc>
          <w:tcPr>
            <w:tcW w:w="80" w:type="dxa"/>
            <w:vAlign w:val="bottom"/>
            <w:shd w:val="clear" w:color="auto" w:fill="CCEEFF"/>
          </w:tcPr>
          <w:p>
            <w:pPr>
              <w:spacing w:after="0"/>
              <w:rPr>
                <w:sz w:val="8"/>
                <w:szCs w:val="8"/>
                <w:color w:val="auto"/>
              </w:rPr>
            </w:pPr>
          </w:p>
        </w:tc>
      </w:tr>
      <w:tr>
        <w:trPr>
          <w:trHeight w:val="99"/>
        </w:trPr>
        <w:tc>
          <w:tcPr>
            <w:tcW w:w="9280" w:type="dxa"/>
            <w:vAlign w:val="bottom"/>
          </w:tcPr>
          <w:p>
            <w:pPr>
              <w:ind w:left="280"/>
              <w:spacing w:after="0" w:line="99" w:lineRule="exact"/>
              <w:rPr>
                <w:sz w:val="20"/>
                <w:szCs w:val="20"/>
                <w:color w:val="auto"/>
              </w:rPr>
            </w:pPr>
            <w:r>
              <w:rPr>
                <w:rFonts w:ascii="Arial" w:cs="Arial" w:eastAsia="Arial" w:hAnsi="Arial"/>
                <w:sz w:val="9"/>
                <w:szCs w:val="9"/>
                <w:color w:val="auto"/>
              </w:rPr>
              <w:t>Construction retention</w:t>
            </w:r>
          </w:p>
        </w:tc>
        <w:tc>
          <w:tcPr>
            <w:tcW w:w="80" w:type="dxa"/>
            <w:vAlign w:val="bottom"/>
          </w:tcPr>
          <w:p>
            <w:pPr>
              <w:spacing w:after="0"/>
              <w:rPr>
                <w:sz w:val="8"/>
                <w:szCs w:val="8"/>
                <w:color w:val="auto"/>
              </w:rPr>
            </w:pPr>
          </w:p>
        </w:tc>
        <w:tc>
          <w:tcPr>
            <w:tcW w:w="680" w:type="dxa"/>
            <w:vAlign w:val="bottom"/>
          </w:tcPr>
          <w:p>
            <w:pPr>
              <w:jc w:val="right"/>
              <w:spacing w:after="0" w:line="99" w:lineRule="exact"/>
              <w:rPr>
                <w:sz w:val="20"/>
                <w:szCs w:val="20"/>
                <w:color w:val="auto"/>
              </w:rPr>
            </w:pPr>
            <w:r>
              <w:rPr>
                <w:rFonts w:ascii="Arial" w:cs="Arial" w:eastAsia="Arial" w:hAnsi="Arial"/>
                <w:sz w:val="9"/>
                <w:szCs w:val="9"/>
                <w:color w:val="auto"/>
              </w:rPr>
              <w:t>2,917</w:t>
            </w: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660" w:type="dxa"/>
            <w:vAlign w:val="bottom"/>
          </w:tcPr>
          <w:p>
            <w:pPr>
              <w:jc w:val="right"/>
              <w:spacing w:after="0" w:line="99" w:lineRule="exact"/>
              <w:rPr>
                <w:sz w:val="20"/>
                <w:szCs w:val="20"/>
                <w:color w:val="auto"/>
              </w:rPr>
            </w:pPr>
            <w:r>
              <w:rPr>
                <w:rFonts w:ascii="Arial" w:cs="Arial" w:eastAsia="Arial" w:hAnsi="Arial"/>
                <w:sz w:val="9"/>
                <w:szCs w:val="9"/>
                <w:color w:val="auto"/>
              </w:rPr>
              <w:t>3,826</w:t>
            </w:r>
          </w:p>
        </w:tc>
        <w:tc>
          <w:tcPr>
            <w:tcW w:w="80" w:type="dxa"/>
            <w:vAlign w:val="bottom"/>
          </w:tcPr>
          <w:p>
            <w:pPr>
              <w:spacing w:after="0"/>
              <w:rPr>
                <w:sz w:val="8"/>
                <w:szCs w:val="8"/>
                <w:color w:val="auto"/>
              </w:rPr>
            </w:pPr>
          </w:p>
        </w:tc>
      </w:tr>
      <w:tr>
        <w:trPr>
          <w:trHeight w:val="99"/>
        </w:trPr>
        <w:tc>
          <w:tcPr>
            <w:tcW w:w="9280" w:type="dxa"/>
            <w:vAlign w:val="bottom"/>
            <w:shd w:val="clear" w:color="auto" w:fill="CCEEFF"/>
          </w:tcPr>
          <w:p>
            <w:pPr>
              <w:ind w:left="280"/>
              <w:spacing w:after="0" w:line="99" w:lineRule="exact"/>
              <w:rPr>
                <w:sz w:val="20"/>
                <w:szCs w:val="20"/>
                <w:color w:val="auto"/>
              </w:rPr>
            </w:pPr>
            <w:r>
              <w:rPr>
                <w:rFonts w:ascii="Arial" w:cs="Arial" w:eastAsia="Arial" w:hAnsi="Arial"/>
                <w:sz w:val="9"/>
                <w:szCs w:val="9"/>
                <w:color w:val="auto"/>
              </w:rPr>
              <w:t>Deferred income taxes, net</w:t>
            </w:r>
          </w:p>
        </w:tc>
        <w:tc>
          <w:tcPr>
            <w:tcW w:w="80" w:type="dxa"/>
            <w:vAlign w:val="bottom"/>
            <w:shd w:val="clear" w:color="auto" w:fill="CCEEFF"/>
          </w:tcPr>
          <w:p>
            <w:pPr>
              <w:spacing w:after="0"/>
              <w:rPr>
                <w:sz w:val="8"/>
                <w:szCs w:val="8"/>
                <w:color w:val="auto"/>
              </w:rPr>
            </w:pPr>
          </w:p>
        </w:tc>
        <w:tc>
          <w:tcPr>
            <w:tcW w:w="680" w:type="dxa"/>
            <w:vAlign w:val="bottom"/>
            <w:shd w:val="clear" w:color="auto" w:fill="CCEEFF"/>
          </w:tcPr>
          <w:p>
            <w:pPr>
              <w:jc w:val="right"/>
              <w:spacing w:after="0" w:line="99" w:lineRule="exact"/>
              <w:rPr>
                <w:sz w:val="20"/>
                <w:szCs w:val="20"/>
                <w:color w:val="auto"/>
              </w:rPr>
            </w:pPr>
            <w:r>
              <w:rPr>
                <w:rFonts w:ascii="Arial" w:cs="Arial" w:eastAsia="Arial" w:hAnsi="Arial"/>
                <w:sz w:val="9"/>
                <w:szCs w:val="9"/>
                <w:color w:val="auto"/>
              </w:rPr>
              <w:t>2,962</w:t>
            </w:r>
          </w:p>
        </w:tc>
        <w:tc>
          <w:tcPr>
            <w:tcW w:w="64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660" w:type="dxa"/>
            <w:vAlign w:val="bottom"/>
            <w:shd w:val="clear" w:color="auto" w:fill="CCEEFF"/>
          </w:tcPr>
          <w:p>
            <w:pPr>
              <w:jc w:val="right"/>
              <w:spacing w:after="0" w:line="99" w:lineRule="exact"/>
              <w:rPr>
                <w:sz w:val="20"/>
                <w:szCs w:val="20"/>
                <w:color w:val="auto"/>
              </w:rPr>
            </w:pPr>
            <w:r>
              <w:rPr>
                <w:rFonts w:ascii="Arial" w:cs="Arial" w:eastAsia="Arial" w:hAnsi="Arial"/>
                <w:sz w:val="9"/>
                <w:szCs w:val="9"/>
                <w:color w:val="auto"/>
              </w:rPr>
              <w:t>3,178</w:t>
            </w:r>
          </w:p>
        </w:tc>
        <w:tc>
          <w:tcPr>
            <w:tcW w:w="80" w:type="dxa"/>
            <w:vAlign w:val="bottom"/>
            <w:shd w:val="clear" w:color="auto" w:fill="CCEEFF"/>
          </w:tcPr>
          <w:p>
            <w:pPr>
              <w:spacing w:after="0"/>
              <w:rPr>
                <w:sz w:val="8"/>
                <w:szCs w:val="8"/>
                <w:color w:val="auto"/>
              </w:rPr>
            </w:pPr>
          </w:p>
        </w:tc>
      </w:tr>
      <w:tr>
        <w:trPr>
          <w:trHeight w:val="99"/>
        </w:trPr>
        <w:tc>
          <w:tcPr>
            <w:tcW w:w="9280" w:type="dxa"/>
            <w:vAlign w:val="bottom"/>
          </w:tcPr>
          <w:p>
            <w:pPr>
              <w:ind w:left="280"/>
              <w:spacing w:after="0" w:line="99" w:lineRule="exact"/>
              <w:rPr>
                <w:sz w:val="20"/>
                <w:szCs w:val="20"/>
                <w:color w:val="auto"/>
              </w:rPr>
            </w:pPr>
            <w:r>
              <w:rPr>
                <w:rFonts w:ascii="Arial" w:cs="Arial" w:eastAsia="Arial" w:hAnsi="Arial"/>
                <w:sz w:val="9"/>
                <w:szCs w:val="9"/>
                <w:color w:val="auto"/>
              </w:rPr>
              <w:t>Income taxes payable</w:t>
            </w:r>
          </w:p>
        </w:tc>
        <w:tc>
          <w:tcPr>
            <w:tcW w:w="80" w:type="dxa"/>
            <w:vAlign w:val="bottom"/>
            <w:tcBorders>
              <w:bottom w:val="single" w:sz="8" w:color="auto"/>
            </w:tcBorders>
          </w:tcPr>
          <w:p>
            <w:pPr>
              <w:spacing w:after="0"/>
              <w:rPr>
                <w:sz w:val="8"/>
                <w:szCs w:val="8"/>
                <w:color w:val="auto"/>
              </w:rPr>
            </w:pPr>
          </w:p>
        </w:tc>
        <w:tc>
          <w:tcPr>
            <w:tcW w:w="680" w:type="dxa"/>
            <w:vAlign w:val="bottom"/>
            <w:tcBorders>
              <w:bottom w:val="single" w:sz="8" w:color="auto"/>
            </w:tcBorders>
          </w:tcPr>
          <w:p>
            <w:pPr>
              <w:jc w:val="right"/>
              <w:spacing w:after="0" w:line="99" w:lineRule="exact"/>
              <w:rPr>
                <w:sz w:val="20"/>
                <w:szCs w:val="20"/>
                <w:color w:val="auto"/>
              </w:rPr>
            </w:pPr>
            <w:r>
              <w:rPr>
                <w:rFonts w:ascii="Arial" w:cs="Arial" w:eastAsia="Arial" w:hAnsi="Arial"/>
                <w:sz w:val="9"/>
                <w:szCs w:val="9"/>
                <w:color w:val="auto"/>
              </w:rPr>
              <w:t>1,551</w:t>
            </w:r>
          </w:p>
        </w:tc>
        <w:tc>
          <w:tcPr>
            <w:tcW w:w="640" w:type="dxa"/>
            <w:vAlign w:val="bottom"/>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660" w:type="dxa"/>
            <w:vAlign w:val="bottom"/>
            <w:tcBorders>
              <w:bottom w:val="single" w:sz="8" w:color="auto"/>
            </w:tcBorders>
          </w:tcPr>
          <w:p>
            <w:pPr>
              <w:jc w:val="right"/>
              <w:spacing w:after="0" w:line="99" w:lineRule="exact"/>
              <w:rPr>
                <w:sz w:val="20"/>
                <w:szCs w:val="20"/>
                <w:color w:val="auto"/>
              </w:rPr>
            </w:pPr>
            <w:r>
              <w:rPr>
                <w:rFonts w:ascii="Arial" w:cs="Arial" w:eastAsia="Arial" w:hAnsi="Arial"/>
                <w:sz w:val="9"/>
                <w:szCs w:val="9"/>
                <w:color w:val="auto"/>
              </w:rPr>
              <w:t>2,019</w:t>
            </w:r>
          </w:p>
        </w:tc>
        <w:tc>
          <w:tcPr>
            <w:tcW w:w="80" w:type="dxa"/>
            <w:vAlign w:val="bottom"/>
          </w:tcPr>
          <w:p>
            <w:pPr>
              <w:spacing w:after="0"/>
              <w:rPr>
                <w:sz w:val="8"/>
                <w:szCs w:val="8"/>
                <w:color w:val="auto"/>
              </w:rPr>
            </w:pPr>
          </w:p>
        </w:tc>
      </w:tr>
      <w:tr>
        <w:trPr>
          <w:trHeight w:val="97"/>
        </w:trPr>
        <w:tc>
          <w:tcPr>
            <w:tcW w:w="9280" w:type="dxa"/>
            <w:vAlign w:val="bottom"/>
            <w:shd w:val="clear" w:color="auto" w:fill="CCEEFF"/>
          </w:tcPr>
          <w:p>
            <w:pPr>
              <w:ind w:left="560"/>
              <w:spacing w:after="0" w:line="98" w:lineRule="exact"/>
              <w:rPr>
                <w:sz w:val="20"/>
                <w:szCs w:val="20"/>
                <w:color w:val="auto"/>
              </w:rPr>
            </w:pPr>
            <w:r>
              <w:rPr>
                <w:rFonts w:ascii="Arial" w:cs="Arial" w:eastAsia="Arial" w:hAnsi="Arial"/>
                <w:sz w:val="9"/>
                <w:szCs w:val="9"/>
                <w:color w:val="auto"/>
              </w:rPr>
              <w:t>Total current liabilities</w:t>
            </w:r>
          </w:p>
        </w:tc>
        <w:tc>
          <w:tcPr>
            <w:tcW w:w="80" w:type="dxa"/>
            <w:vAlign w:val="bottom"/>
            <w:shd w:val="clear" w:color="auto" w:fill="CCEEFF"/>
          </w:tcPr>
          <w:p>
            <w:pPr>
              <w:spacing w:after="0"/>
              <w:rPr>
                <w:sz w:val="8"/>
                <w:szCs w:val="8"/>
                <w:color w:val="auto"/>
              </w:rPr>
            </w:pPr>
          </w:p>
        </w:tc>
        <w:tc>
          <w:tcPr>
            <w:tcW w:w="680" w:type="dxa"/>
            <w:vAlign w:val="bottom"/>
            <w:shd w:val="clear" w:color="auto" w:fill="CCEEFF"/>
          </w:tcPr>
          <w:p>
            <w:pPr>
              <w:jc w:val="right"/>
              <w:spacing w:after="0" w:line="98" w:lineRule="exact"/>
              <w:rPr>
                <w:sz w:val="20"/>
                <w:szCs w:val="20"/>
                <w:color w:val="auto"/>
              </w:rPr>
            </w:pPr>
            <w:r>
              <w:rPr>
                <w:rFonts w:ascii="Arial" w:cs="Arial" w:eastAsia="Arial" w:hAnsi="Arial"/>
                <w:sz w:val="9"/>
                <w:szCs w:val="9"/>
                <w:color w:val="auto"/>
              </w:rPr>
              <w:t>1,627,162</w:t>
            </w:r>
          </w:p>
        </w:tc>
        <w:tc>
          <w:tcPr>
            <w:tcW w:w="64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660" w:type="dxa"/>
            <w:vAlign w:val="bottom"/>
            <w:shd w:val="clear" w:color="auto" w:fill="CCEEFF"/>
          </w:tcPr>
          <w:p>
            <w:pPr>
              <w:jc w:val="right"/>
              <w:spacing w:after="0" w:line="98" w:lineRule="exact"/>
              <w:rPr>
                <w:sz w:val="20"/>
                <w:szCs w:val="20"/>
                <w:color w:val="auto"/>
              </w:rPr>
            </w:pPr>
            <w:r>
              <w:rPr>
                <w:rFonts w:ascii="Arial" w:cs="Arial" w:eastAsia="Arial" w:hAnsi="Arial"/>
                <w:sz w:val="9"/>
                <w:szCs w:val="9"/>
                <w:color w:val="auto"/>
              </w:rPr>
              <w:t>1,131,377</w:t>
            </w:r>
          </w:p>
        </w:tc>
        <w:tc>
          <w:tcPr>
            <w:tcW w:w="80" w:type="dxa"/>
            <w:vAlign w:val="bottom"/>
            <w:shd w:val="clear" w:color="auto" w:fill="CCEEFF"/>
          </w:tcPr>
          <w:p>
            <w:pPr>
              <w:spacing w:after="0"/>
              <w:rPr>
                <w:sz w:val="8"/>
                <w:szCs w:val="8"/>
                <w:color w:val="auto"/>
              </w:rPr>
            </w:pPr>
          </w:p>
        </w:tc>
      </w:tr>
      <w:tr>
        <w:trPr>
          <w:trHeight w:val="99"/>
        </w:trPr>
        <w:tc>
          <w:tcPr>
            <w:tcW w:w="9280" w:type="dxa"/>
            <w:vAlign w:val="bottom"/>
          </w:tcPr>
          <w:p>
            <w:pPr>
              <w:spacing w:after="0" w:line="99" w:lineRule="exact"/>
              <w:rPr>
                <w:sz w:val="20"/>
                <w:szCs w:val="20"/>
                <w:color w:val="auto"/>
              </w:rPr>
            </w:pPr>
            <w:r>
              <w:rPr>
                <w:rFonts w:ascii="Arial" w:cs="Arial" w:eastAsia="Arial" w:hAnsi="Arial"/>
                <w:sz w:val="9"/>
                <w:szCs w:val="9"/>
                <w:color w:val="auto"/>
              </w:rPr>
              <w:t>Long-term debt</w:t>
            </w:r>
          </w:p>
        </w:tc>
        <w:tc>
          <w:tcPr>
            <w:tcW w:w="80" w:type="dxa"/>
            <w:vAlign w:val="bottom"/>
          </w:tcPr>
          <w:p>
            <w:pPr>
              <w:spacing w:after="0"/>
              <w:rPr>
                <w:sz w:val="8"/>
                <w:szCs w:val="8"/>
                <w:color w:val="auto"/>
              </w:rPr>
            </w:pPr>
          </w:p>
        </w:tc>
        <w:tc>
          <w:tcPr>
            <w:tcW w:w="680" w:type="dxa"/>
            <w:vAlign w:val="bottom"/>
          </w:tcPr>
          <w:p>
            <w:pPr>
              <w:jc w:val="right"/>
              <w:spacing w:after="0" w:line="99" w:lineRule="exact"/>
              <w:rPr>
                <w:sz w:val="20"/>
                <w:szCs w:val="20"/>
                <w:color w:val="auto"/>
              </w:rPr>
            </w:pPr>
            <w:r>
              <w:rPr>
                <w:rFonts w:ascii="Arial" w:cs="Arial" w:eastAsia="Arial" w:hAnsi="Arial"/>
                <w:sz w:val="9"/>
                <w:szCs w:val="9"/>
                <w:color w:val="auto"/>
              </w:rPr>
              <w:t>5,986,557</w:t>
            </w: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660" w:type="dxa"/>
            <w:vAlign w:val="bottom"/>
          </w:tcPr>
          <w:p>
            <w:pPr>
              <w:jc w:val="right"/>
              <w:spacing w:after="0" w:line="99" w:lineRule="exact"/>
              <w:rPr>
                <w:sz w:val="20"/>
                <w:szCs w:val="20"/>
                <w:color w:val="auto"/>
              </w:rPr>
            </w:pPr>
            <w:r>
              <w:rPr>
                <w:rFonts w:ascii="Arial" w:cs="Arial" w:eastAsia="Arial" w:hAnsi="Arial"/>
                <w:sz w:val="9"/>
                <w:szCs w:val="9"/>
                <w:color w:val="auto"/>
              </w:rPr>
              <w:t>5,781,770</w:t>
            </w:r>
          </w:p>
        </w:tc>
        <w:tc>
          <w:tcPr>
            <w:tcW w:w="80" w:type="dxa"/>
            <w:vAlign w:val="bottom"/>
          </w:tcPr>
          <w:p>
            <w:pPr>
              <w:spacing w:after="0"/>
              <w:rPr>
                <w:sz w:val="8"/>
                <w:szCs w:val="8"/>
                <w:color w:val="auto"/>
              </w:rPr>
            </w:pPr>
          </w:p>
        </w:tc>
      </w:tr>
      <w:tr>
        <w:trPr>
          <w:trHeight w:val="99"/>
        </w:trPr>
        <w:tc>
          <w:tcPr>
            <w:tcW w:w="9280" w:type="dxa"/>
            <w:vAlign w:val="bottom"/>
            <w:shd w:val="clear" w:color="auto" w:fill="CCEEFF"/>
          </w:tcPr>
          <w:p>
            <w:pPr>
              <w:spacing w:after="0" w:line="99" w:lineRule="exact"/>
              <w:rPr>
                <w:sz w:val="20"/>
                <w:szCs w:val="20"/>
                <w:color w:val="auto"/>
              </w:rPr>
            </w:pPr>
            <w:r>
              <w:rPr>
                <w:rFonts w:ascii="Arial" w:cs="Arial" w:eastAsia="Arial" w:hAnsi="Arial"/>
                <w:sz w:val="9"/>
                <w:szCs w:val="9"/>
                <w:color w:val="auto"/>
              </w:rPr>
              <w:t>Land concession obligation</w:t>
            </w:r>
          </w:p>
        </w:tc>
        <w:tc>
          <w:tcPr>
            <w:tcW w:w="80" w:type="dxa"/>
            <w:vAlign w:val="bottom"/>
            <w:shd w:val="clear" w:color="auto" w:fill="CCEEFF"/>
          </w:tcPr>
          <w:p>
            <w:pPr>
              <w:spacing w:after="0"/>
              <w:rPr>
                <w:sz w:val="8"/>
                <w:szCs w:val="8"/>
                <w:color w:val="auto"/>
              </w:rPr>
            </w:pPr>
          </w:p>
        </w:tc>
        <w:tc>
          <w:tcPr>
            <w:tcW w:w="680" w:type="dxa"/>
            <w:vAlign w:val="bottom"/>
            <w:shd w:val="clear" w:color="auto" w:fill="CCEEFF"/>
          </w:tcPr>
          <w:p>
            <w:pPr>
              <w:jc w:val="right"/>
              <w:spacing w:after="0" w:line="99" w:lineRule="exact"/>
              <w:rPr>
                <w:sz w:val="20"/>
                <w:szCs w:val="20"/>
                <w:color w:val="auto"/>
              </w:rPr>
            </w:pPr>
            <w:r>
              <w:rPr>
                <w:rFonts w:ascii="Arial" w:cs="Arial" w:eastAsia="Arial" w:hAnsi="Arial"/>
                <w:sz w:val="9"/>
                <w:szCs w:val="9"/>
                <w:color w:val="auto"/>
              </w:rPr>
              <w:t>61,671</w:t>
            </w:r>
          </w:p>
        </w:tc>
        <w:tc>
          <w:tcPr>
            <w:tcW w:w="64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660" w:type="dxa"/>
            <w:vAlign w:val="bottom"/>
            <w:shd w:val="clear" w:color="auto" w:fill="CCEEFF"/>
          </w:tcPr>
          <w:p>
            <w:pPr>
              <w:jc w:val="right"/>
              <w:spacing w:after="0" w:line="99" w:lineRule="exact"/>
              <w:rPr>
                <w:sz w:val="20"/>
                <w:szCs w:val="20"/>
                <w:color w:val="auto"/>
              </w:rPr>
            </w:pPr>
            <w:r>
              <w:rPr>
                <w:rFonts w:ascii="Arial" w:cs="Arial" w:eastAsia="Arial" w:hAnsi="Arial"/>
                <w:sz w:val="9"/>
                <w:szCs w:val="9"/>
                <w:color w:val="auto"/>
              </w:rPr>
              <w:t>76,186</w:t>
            </w:r>
          </w:p>
        </w:tc>
        <w:tc>
          <w:tcPr>
            <w:tcW w:w="80" w:type="dxa"/>
            <w:vAlign w:val="bottom"/>
            <w:shd w:val="clear" w:color="auto" w:fill="CCEEFF"/>
          </w:tcPr>
          <w:p>
            <w:pPr>
              <w:spacing w:after="0"/>
              <w:rPr>
                <w:sz w:val="8"/>
                <w:szCs w:val="8"/>
                <w:color w:val="auto"/>
              </w:rPr>
            </w:pPr>
          </w:p>
        </w:tc>
      </w:tr>
      <w:tr>
        <w:trPr>
          <w:trHeight w:val="99"/>
        </w:trPr>
        <w:tc>
          <w:tcPr>
            <w:tcW w:w="9280" w:type="dxa"/>
            <w:vAlign w:val="bottom"/>
          </w:tcPr>
          <w:p>
            <w:pPr>
              <w:spacing w:after="0" w:line="99" w:lineRule="exact"/>
              <w:rPr>
                <w:sz w:val="20"/>
                <w:szCs w:val="20"/>
                <w:color w:val="auto"/>
              </w:rPr>
            </w:pPr>
            <w:r>
              <w:rPr>
                <w:rFonts w:ascii="Arial" w:cs="Arial" w:eastAsia="Arial" w:hAnsi="Arial"/>
                <w:sz w:val="9"/>
                <w:szCs w:val="9"/>
                <w:color w:val="auto"/>
              </w:rPr>
              <w:t>Other long-term liabilities</w:t>
            </w:r>
          </w:p>
        </w:tc>
        <w:tc>
          <w:tcPr>
            <w:tcW w:w="80" w:type="dxa"/>
            <w:vAlign w:val="bottom"/>
          </w:tcPr>
          <w:p>
            <w:pPr>
              <w:spacing w:after="0"/>
              <w:rPr>
                <w:sz w:val="8"/>
                <w:szCs w:val="8"/>
                <w:color w:val="auto"/>
              </w:rPr>
            </w:pPr>
          </w:p>
        </w:tc>
        <w:tc>
          <w:tcPr>
            <w:tcW w:w="680" w:type="dxa"/>
            <w:vAlign w:val="bottom"/>
          </w:tcPr>
          <w:p>
            <w:pPr>
              <w:jc w:val="right"/>
              <w:spacing w:after="0" w:line="99" w:lineRule="exact"/>
              <w:rPr>
                <w:sz w:val="20"/>
                <w:szCs w:val="20"/>
                <w:color w:val="auto"/>
              </w:rPr>
            </w:pPr>
            <w:r>
              <w:rPr>
                <w:rFonts w:ascii="Arial" w:cs="Arial" w:eastAsia="Arial" w:hAnsi="Arial"/>
                <w:sz w:val="9"/>
                <w:szCs w:val="9"/>
                <w:color w:val="auto"/>
              </w:rPr>
              <w:t>131,875</w:t>
            </w: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660" w:type="dxa"/>
            <w:vAlign w:val="bottom"/>
          </w:tcPr>
          <w:p>
            <w:pPr>
              <w:jc w:val="right"/>
              <w:spacing w:after="0" w:line="99" w:lineRule="exact"/>
              <w:rPr>
                <w:sz w:val="20"/>
                <w:szCs w:val="20"/>
                <w:color w:val="auto"/>
              </w:rPr>
            </w:pPr>
            <w:r>
              <w:rPr>
                <w:rFonts w:ascii="Arial" w:cs="Arial" w:eastAsia="Arial" w:hAnsi="Arial"/>
                <w:sz w:val="9"/>
                <w:szCs w:val="9"/>
                <w:color w:val="auto"/>
              </w:rPr>
              <w:t>137,830</w:t>
            </w:r>
          </w:p>
        </w:tc>
        <w:tc>
          <w:tcPr>
            <w:tcW w:w="80" w:type="dxa"/>
            <w:vAlign w:val="bottom"/>
          </w:tcPr>
          <w:p>
            <w:pPr>
              <w:spacing w:after="0"/>
              <w:rPr>
                <w:sz w:val="8"/>
                <w:szCs w:val="8"/>
                <w:color w:val="auto"/>
              </w:rPr>
            </w:pPr>
          </w:p>
        </w:tc>
      </w:tr>
      <w:tr>
        <w:trPr>
          <w:trHeight w:val="99"/>
        </w:trPr>
        <w:tc>
          <w:tcPr>
            <w:tcW w:w="9280" w:type="dxa"/>
            <w:vAlign w:val="bottom"/>
            <w:shd w:val="clear" w:color="auto" w:fill="CCEEFF"/>
          </w:tcPr>
          <w:p>
            <w:pPr>
              <w:spacing w:after="0" w:line="99" w:lineRule="exact"/>
              <w:rPr>
                <w:sz w:val="20"/>
                <w:szCs w:val="20"/>
                <w:color w:val="auto"/>
              </w:rPr>
            </w:pPr>
            <w:r>
              <w:rPr>
                <w:rFonts w:ascii="Arial" w:cs="Arial" w:eastAsia="Arial" w:hAnsi="Arial"/>
                <w:sz w:val="9"/>
                <w:szCs w:val="9"/>
                <w:color w:val="auto"/>
              </w:rPr>
              <w:t>Deferred income taxes, net</w:t>
            </w:r>
          </w:p>
        </w:tc>
        <w:tc>
          <w:tcPr>
            <w:tcW w:w="80" w:type="dxa"/>
            <w:vAlign w:val="bottom"/>
            <w:tcBorders>
              <w:bottom w:val="single" w:sz="8" w:color="auto"/>
            </w:tcBorders>
            <w:shd w:val="clear" w:color="auto" w:fill="CCEEFF"/>
          </w:tcPr>
          <w:p>
            <w:pPr>
              <w:spacing w:after="0"/>
              <w:rPr>
                <w:sz w:val="8"/>
                <w:szCs w:val="8"/>
                <w:color w:val="auto"/>
              </w:rPr>
            </w:pPr>
          </w:p>
        </w:tc>
        <w:tc>
          <w:tcPr>
            <w:tcW w:w="680" w:type="dxa"/>
            <w:vAlign w:val="bottom"/>
            <w:tcBorders>
              <w:bottom w:val="single" w:sz="8" w:color="auto"/>
            </w:tcBorders>
            <w:shd w:val="clear" w:color="auto" w:fill="CCEEFF"/>
          </w:tcPr>
          <w:p>
            <w:pPr>
              <w:jc w:val="right"/>
              <w:spacing w:after="0" w:line="99" w:lineRule="exact"/>
              <w:rPr>
                <w:sz w:val="20"/>
                <w:szCs w:val="20"/>
                <w:color w:val="auto"/>
              </w:rPr>
            </w:pPr>
            <w:r>
              <w:rPr>
                <w:rFonts w:ascii="Arial" w:cs="Arial" w:eastAsia="Arial" w:hAnsi="Arial"/>
                <w:sz w:val="9"/>
                <w:szCs w:val="9"/>
                <w:color w:val="auto"/>
              </w:rPr>
              <w:t>21,024</w:t>
            </w:r>
          </w:p>
        </w:tc>
        <w:tc>
          <w:tcPr>
            <w:tcW w:w="640" w:type="dxa"/>
            <w:vAlign w:val="bottom"/>
            <w:shd w:val="clear" w:color="auto" w:fill="CCEEFF"/>
          </w:tcPr>
          <w:p>
            <w:pPr>
              <w:spacing w:after="0"/>
              <w:rPr>
                <w:sz w:val="8"/>
                <w:szCs w:val="8"/>
                <w:color w:val="auto"/>
              </w:rPr>
            </w:pPr>
          </w:p>
        </w:tc>
        <w:tc>
          <w:tcPr>
            <w:tcW w:w="60" w:type="dxa"/>
            <w:vAlign w:val="bottom"/>
            <w:tcBorders>
              <w:bottom w:val="single" w:sz="8" w:color="auto"/>
            </w:tcBorders>
            <w:shd w:val="clear" w:color="auto" w:fill="CCEEFF"/>
          </w:tcPr>
          <w:p>
            <w:pPr>
              <w:spacing w:after="0"/>
              <w:rPr>
                <w:sz w:val="8"/>
                <w:szCs w:val="8"/>
                <w:color w:val="auto"/>
              </w:rPr>
            </w:pPr>
          </w:p>
        </w:tc>
        <w:tc>
          <w:tcPr>
            <w:tcW w:w="660" w:type="dxa"/>
            <w:vAlign w:val="bottom"/>
            <w:tcBorders>
              <w:bottom w:val="single" w:sz="8" w:color="auto"/>
            </w:tcBorders>
            <w:shd w:val="clear" w:color="auto" w:fill="CCEEFF"/>
          </w:tcPr>
          <w:p>
            <w:pPr>
              <w:jc w:val="right"/>
              <w:spacing w:after="0" w:line="99" w:lineRule="exact"/>
              <w:rPr>
                <w:sz w:val="20"/>
                <w:szCs w:val="20"/>
                <w:color w:val="auto"/>
              </w:rPr>
            </w:pPr>
            <w:r>
              <w:rPr>
                <w:rFonts w:ascii="Arial" w:cs="Arial" w:eastAsia="Arial" w:hAnsi="Arial"/>
                <w:sz w:val="9"/>
                <w:szCs w:val="9"/>
                <w:color w:val="auto"/>
              </w:rPr>
              <w:t>45,499</w:t>
            </w:r>
          </w:p>
        </w:tc>
        <w:tc>
          <w:tcPr>
            <w:tcW w:w="80" w:type="dxa"/>
            <w:vAlign w:val="bottom"/>
            <w:shd w:val="clear" w:color="auto" w:fill="CCEEFF"/>
          </w:tcPr>
          <w:p>
            <w:pPr>
              <w:spacing w:after="0"/>
              <w:rPr>
                <w:sz w:val="8"/>
                <w:szCs w:val="8"/>
                <w:color w:val="auto"/>
              </w:rPr>
            </w:pPr>
          </w:p>
        </w:tc>
      </w:tr>
      <w:tr>
        <w:trPr>
          <w:trHeight w:val="97"/>
        </w:trPr>
        <w:tc>
          <w:tcPr>
            <w:tcW w:w="9280" w:type="dxa"/>
            <w:vAlign w:val="bottom"/>
          </w:tcPr>
          <w:p>
            <w:pPr>
              <w:ind w:left="560"/>
              <w:spacing w:after="0" w:line="98" w:lineRule="exact"/>
              <w:rPr>
                <w:sz w:val="20"/>
                <w:szCs w:val="20"/>
                <w:color w:val="auto"/>
              </w:rPr>
            </w:pPr>
            <w:r>
              <w:rPr>
                <w:rFonts w:ascii="Arial" w:cs="Arial" w:eastAsia="Arial" w:hAnsi="Arial"/>
                <w:sz w:val="9"/>
                <w:szCs w:val="9"/>
                <w:color w:val="auto"/>
              </w:rPr>
              <w:t>Total liabilities</w:t>
            </w:r>
          </w:p>
        </w:tc>
        <w:tc>
          <w:tcPr>
            <w:tcW w:w="80" w:type="dxa"/>
            <w:vAlign w:val="bottom"/>
            <w:tcBorders>
              <w:bottom w:val="single" w:sz="8" w:color="auto"/>
            </w:tcBorders>
          </w:tcPr>
          <w:p>
            <w:pPr>
              <w:spacing w:after="0"/>
              <w:rPr>
                <w:sz w:val="8"/>
                <w:szCs w:val="8"/>
                <w:color w:val="auto"/>
              </w:rPr>
            </w:pPr>
          </w:p>
        </w:tc>
        <w:tc>
          <w:tcPr>
            <w:tcW w:w="680" w:type="dxa"/>
            <w:vAlign w:val="bottom"/>
            <w:tcBorders>
              <w:bottom w:val="single" w:sz="8" w:color="auto"/>
            </w:tcBorders>
          </w:tcPr>
          <w:p>
            <w:pPr>
              <w:jc w:val="right"/>
              <w:spacing w:after="0" w:line="98" w:lineRule="exact"/>
              <w:rPr>
                <w:sz w:val="20"/>
                <w:szCs w:val="20"/>
                <w:color w:val="auto"/>
              </w:rPr>
            </w:pPr>
            <w:r>
              <w:rPr>
                <w:rFonts w:ascii="Arial" w:cs="Arial" w:eastAsia="Arial" w:hAnsi="Arial"/>
                <w:sz w:val="9"/>
                <w:szCs w:val="9"/>
                <w:color w:val="auto"/>
              </w:rPr>
              <w:t>7,828,289</w:t>
            </w:r>
          </w:p>
        </w:tc>
        <w:tc>
          <w:tcPr>
            <w:tcW w:w="640" w:type="dxa"/>
            <w:vAlign w:val="bottom"/>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660" w:type="dxa"/>
            <w:vAlign w:val="bottom"/>
            <w:tcBorders>
              <w:bottom w:val="single" w:sz="8" w:color="auto"/>
            </w:tcBorders>
          </w:tcPr>
          <w:p>
            <w:pPr>
              <w:jc w:val="right"/>
              <w:spacing w:after="0" w:line="98" w:lineRule="exact"/>
              <w:rPr>
                <w:sz w:val="20"/>
                <w:szCs w:val="20"/>
                <w:color w:val="auto"/>
              </w:rPr>
            </w:pPr>
            <w:r>
              <w:rPr>
                <w:rFonts w:ascii="Arial" w:cs="Arial" w:eastAsia="Arial" w:hAnsi="Arial"/>
                <w:sz w:val="9"/>
                <w:szCs w:val="9"/>
                <w:color w:val="auto"/>
              </w:rPr>
              <w:t>7,172,662</w:t>
            </w:r>
          </w:p>
        </w:tc>
        <w:tc>
          <w:tcPr>
            <w:tcW w:w="80" w:type="dxa"/>
            <w:vAlign w:val="bottom"/>
          </w:tcPr>
          <w:p>
            <w:pPr>
              <w:spacing w:after="0"/>
              <w:rPr>
                <w:sz w:val="8"/>
                <w:szCs w:val="8"/>
                <w:color w:val="auto"/>
              </w:rPr>
            </w:pPr>
          </w:p>
        </w:tc>
      </w:tr>
      <w:tr>
        <w:trPr>
          <w:trHeight w:val="97"/>
        </w:trPr>
        <w:tc>
          <w:tcPr>
            <w:tcW w:w="9280" w:type="dxa"/>
            <w:vAlign w:val="bottom"/>
            <w:shd w:val="clear" w:color="auto" w:fill="CCEEFF"/>
          </w:tcPr>
          <w:p>
            <w:pPr>
              <w:spacing w:after="0" w:line="98" w:lineRule="exact"/>
              <w:rPr>
                <w:sz w:val="20"/>
                <w:szCs w:val="20"/>
                <w:color w:val="auto"/>
              </w:rPr>
            </w:pPr>
            <w:r>
              <w:rPr>
                <w:rFonts w:ascii="Arial" w:cs="Arial" w:eastAsia="Arial" w:hAnsi="Arial"/>
                <w:sz w:val="9"/>
                <w:szCs w:val="9"/>
                <w:color w:val="auto"/>
              </w:rPr>
              <w:t>Commitments and contingencies (Note 15)</w:t>
            </w:r>
          </w:p>
        </w:tc>
        <w:tc>
          <w:tcPr>
            <w:tcW w:w="80" w:type="dxa"/>
            <w:vAlign w:val="bottom"/>
            <w:shd w:val="clear" w:color="auto" w:fill="CCEEFF"/>
          </w:tcPr>
          <w:p>
            <w:pPr>
              <w:spacing w:after="0"/>
              <w:rPr>
                <w:sz w:val="8"/>
                <w:szCs w:val="8"/>
                <w:color w:val="auto"/>
              </w:rPr>
            </w:pPr>
          </w:p>
        </w:tc>
        <w:tc>
          <w:tcPr>
            <w:tcW w:w="680" w:type="dxa"/>
            <w:vAlign w:val="bottom"/>
            <w:shd w:val="clear" w:color="auto" w:fill="CCEEFF"/>
          </w:tcPr>
          <w:p>
            <w:pPr>
              <w:spacing w:after="0"/>
              <w:rPr>
                <w:sz w:val="8"/>
                <w:szCs w:val="8"/>
                <w:color w:val="auto"/>
              </w:rPr>
            </w:pPr>
          </w:p>
        </w:tc>
        <w:tc>
          <w:tcPr>
            <w:tcW w:w="64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66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r>
      <w:tr>
        <w:trPr>
          <w:trHeight w:val="99"/>
        </w:trPr>
        <w:tc>
          <w:tcPr>
            <w:tcW w:w="9280" w:type="dxa"/>
            <w:vAlign w:val="bottom"/>
          </w:tcPr>
          <w:p>
            <w:pPr>
              <w:spacing w:after="0" w:line="99" w:lineRule="exact"/>
              <w:rPr>
                <w:sz w:val="20"/>
                <w:szCs w:val="20"/>
                <w:color w:val="auto"/>
              </w:rPr>
            </w:pPr>
            <w:r>
              <w:rPr>
                <w:rFonts w:ascii="Arial" w:cs="Arial" w:eastAsia="Arial" w:hAnsi="Arial"/>
                <w:sz w:val="9"/>
                <w:szCs w:val="9"/>
                <w:color w:val="auto"/>
              </w:rPr>
              <w:t>Stockholders’ equity:</w:t>
            </w:r>
          </w:p>
        </w:tc>
        <w:tc>
          <w:tcPr>
            <w:tcW w:w="80" w:type="dxa"/>
            <w:vAlign w:val="bottom"/>
          </w:tcPr>
          <w:p>
            <w:pPr>
              <w:spacing w:after="0"/>
              <w:rPr>
                <w:sz w:val="8"/>
                <w:szCs w:val="8"/>
                <w:color w:val="auto"/>
              </w:rPr>
            </w:pPr>
          </w:p>
        </w:tc>
        <w:tc>
          <w:tcPr>
            <w:tcW w:w="68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660" w:type="dxa"/>
            <w:vAlign w:val="bottom"/>
          </w:tcPr>
          <w:p>
            <w:pPr>
              <w:spacing w:after="0"/>
              <w:rPr>
                <w:sz w:val="8"/>
                <w:szCs w:val="8"/>
                <w:color w:val="auto"/>
              </w:rPr>
            </w:pPr>
          </w:p>
        </w:tc>
        <w:tc>
          <w:tcPr>
            <w:tcW w:w="80" w:type="dxa"/>
            <w:vAlign w:val="bottom"/>
          </w:tcPr>
          <w:p>
            <w:pPr>
              <w:spacing w:after="0"/>
              <w:rPr>
                <w:sz w:val="8"/>
                <w:szCs w:val="8"/>
                <w:color w:val="auto"/>
              </w:rPr>
            </w:pPr>
          </w:p>
        </w:tc>
      </w:tr>
      <w:tr>
        <w:trPr>
          <w:trHeight w:val="99"/>
        </w:trPr>
        <w:tc>
          <w:tcPr>
            <w:tcW w:w="9280" w:type="dxa"/>
            <w:vAlign w:val="bottom"/>
            <w:shd w:val="clear" w:color="auto" w:fill="CCEEFF"/>
          </w:tcPr>
          <w:p>
            <w:pPr>
              <w:ind w:left="280"/>
              <w:spacing w:after="0" w:line="99" w:lineRule="exact"/>
              <w:rPr>
                <w:sz w:val="20"/>
                <w:szCs w:val="20"/>
                <w:color w:val="auto"/>
              </w:rPr>
            </w:pPr>
            <w:r>
              <w:rPr>
                <w:rFonts w:ascii="Arial" w:cs="Arial" w:eastAsia="Arial" w:hAnsi="Arial"/>
                <w:sz w:val="9"/>
                <w:szCs w:val="9"/>
                <w:color w:val="auto"/>
              </w:rPr>
              <w:t>Preferred stock, par value $0.01; 40,000,000 shares authorized; zero shares issued and outstanding</w:t>
            </w:r>
          </w:p>
        </w:tc>
        <w:tc>
          <w:tcPr>
            <w:tcW w:w="80" w:type="dxa"/>
            <w:vAlign w:val="bottom"/>
            <w:shd w:val="clear" w:color="auto" w:fill="CCEEFF"/>
          </w:tcPr>
          <w:p>
            <w:pPr>
              <w:spacing w:after="0"/>
              <w:rPr>
                <w:sz w:val="8"/>
                <w:szCs w:val="8"/>
                <w:color w:val="auto"/>
              </w:rPr>
            </w:pPr>
          </w:p>
        </w:tc>
        <w:tc>
          <w:tcPr>
            <w:tcW w:w="1320" w:type="dxa"/>
            <w:vAlign w:val="bottom"/>
            <w:gridSpan w:val="2"/>
            <w:shd w:val="clear" w:color="auto" w:fill="CCEEFF"/>
          </w:tcPr>
          <w:p>
            <w:pPr>
              <w:jc w:val="right"/>
              <w:ind w:right="700"/>
              <w:spacing w:after="0" w:line="99" w:lineRule="exact"/>
              <w:rPr>
                <w:sz w:val="20"/>
                <w:szCs w:val="20"/>
                <w:color w:val="auto"/>
              </w:rPr>
            </w:pPr>
            <w:r>
              <w:rPr>
                <w:rFonts w:ascii="Arial" w:cs="Arial" w:eastAsia="Arial" w:hAnsi="Arial"/>
                <w:sz w:val="9"/>
                <w:szCs w:val="9"/>
                <w:color w:val="auto"/>
              </w:rPr>
              <w:t>—</w:t>
            </w:r>
          </w:p>
        </w:tc>
        <w:tc>
          <w:tcPr>
            <w:tcW w:w="60" w:type="dxa"/>
            <w:vAlign w:val="bottom"/>
            <w:shd w:val="clear" w:color="auto" w:fill="CCEEFF"/>
          </w:tcPr>
          <w:p>
            <w:pPr>
              <w:spacing w:after="0"/>
              <w:rPr>
                <w:sz w:val="8"/>
                <w:szCs w:val="8"/>
                <w:color w:val="auto"/>
              </w:rPr>
            </w:pPr>
          </w:p>
        </w:tc>
        <w:tc>
          <w:tcPr>
            <w:tcW w:w="740" w:type="dxa"/>
            <w:vAlign w:val="bottom"/>
            <w:gridSpan w:val="2"/>
            <w:shd w:val="clear" w:color="auto" w:fill="CCEEFF"/>
          </w:tcPr>
          <w:p>
            <w:pPr>
              <w:jc w:val="right"/>
              <w:ind w:right="140"/>
              <w:spacing w:after="0" w:line="99" w:lineRule="exact"/>
              <w:rPr>
                <w:sz w:val="20"/>
                <w:szCs w:val="20"/>
                <w:color w:val="auto"/>
              </w:rPr>
            </w:pPr>
            <w:r>
              <w:rPr>
                <w:rFonts w:ascii="Arial" w:cs="Arial" w:eastAsia="Arial" w:hAnsi="Arial"/>
                <w:sz w:val="9"/>
                <w:szCs w:val="9"/>
                <w:color w:val="auto"/>
              </w:rPr>
              <w:t>—</w:t>
            </w:r>
          </w:p>
        </w:tc>
      </w:tr>
      <w:tr>
        <w:trPr>
          <w:trHeight w:val="99"/>
        </w:trPr>
        <w:tc>
          <w:tcPr>
            <w:tcW w:w="9280" w:type="dxa"/>
            <w:vAlign w:val="bottom"/>
          </w:tcPr>
          <w:p>
            <w:pPr>
              <w:ind w:left="280"/>
              <w:spacing w:after="0" w:line="99" w:lineRule="exact"/>
              <w:rPr>
                <w:sz w:val="20"/>
                <w:szCs w:val="20"/>
                <w:color w:val="auto"/>
              </w:rPr>
            </w:pPr>
            <w:r>
              <w:rPr>
                <w:rFonts w:ascii="Arial" w:cs="Arial" w:eastAsia="Arial" w:hAnsi="Arial"/>
                <w:sz w:val="9"/>
                <w:szCs w:val="9"/>
                <w:color w:val="auto"/>
              </w:rPr>
              <w:t>Common stock, par value $0.01; 400,000,000 shares authorized; 114,106,793 and 113,730,442 shares issued; 101,137,504 and 100,866,712 shares outstanding, respectively</w:t>
            </w:r>
          </w:p>
        </w:tc>
        <w:tc>
          <w:tcPr>
            <w:tcW w:w="80" w:type="dxa"/>
            <w:vAlign w:val="bottom"/>
          </w:tcPr>
          <w:p>
            <w:pPr>
              <w:spacing w:after="0"/>
              <w:rPr>
                <w:sz w:val="8"/>
                <w:szCs w:val="8"/>
                <w:color w:val="auto"/>
              </w:rPr>
            </w:pPr>
          </w:p>
        </w:tc>
        <w:tc>
          <w:tcPr>
            <w:tcW w:w="680" w:type="dxa"/>
            <w:vAlign w:val="bottom"/>
          </w:tcPr>
          <w:p>
            <w:pPr>
              <w:jc w:val="right"/>
              <w:spacing w:after="0" w:line="99" w:lineRule="exact"/>
              <w:rPr>
                <w:sz w:val="20"/>
                <w:szCs w:val="20"/>
                <w:color w:val="auto"/>
              </w:rPr>
            </w:pPr>
            <w:r>
              <w:rPr>
                <w:rFonts w:ascii="Arial" w:cs="Arial" w:eastAsia="Arial" w:hAnsi="Arial"/>
                <w:sz w:val="9"/>
                <w:szCs w:val="9"/>
                <w:color w:val="auto"/>
              </w:rPr>
              <w:t>1,141</w:t>
            </w: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660" w:type="dxa"/>
            <w:vAlign w:val="bottom"/>
          </w:tcPr>
          <w:p>
            <w:pPr>
              <w:jc w:val="right"/>
              <w:spacing w:after="0" w:line="99" w:lineRule="exact"/>
              <w:rPr>
                <w:sz w:val="20"/>
                <w:szCs w:val="20"/>
                <w:color w:val="auto"/>
              </w:rPr>
            </w:pPr>
            <w:r>
              <w:rPr>
                <w:rFonts w:ascii="Arial" w:cs="Arial" w:eastAsia="Arial" w:hAnsi="Arial"/>
                <w:sz w:val="9"/>
                <w:szCs w:val="9"/>
                <w:color w:val="auto"/>
              </w:rPr>
              <w:t>1,137</w:t>
            </w:r>
          </w:p>
        </w:tc>
        <w:tc>
          <w:tcPr>
            <w:tcW w:w="80" w:type="dxa"/>
            <w:vAlign w:val="bottom"/>
          </w:tcPr>
          <w:p>
            <w:pPr>
              <w:spacing w:after="0"/>
              <w:rPr>
                <w:sz w:val="8"/>
                <w:szCs w:val="8"/>
                <w:color w:val="auto"/>
              </w:rPr>
            </w:pPr>
          </w:p>
        </w:tc>
      </w:tr>
      <w:tr>
        <w:trPr>
          <w:trHeight w:val="99"/>
        </w:trPr>
        <w:tc>
          <w:tcPr>
            <w:tcW w:w="9280" w:type="dxa"/>
            <w:vAlign w:val="bottom"/>
            <w:shd w:val="clear" w:color="auto" w:fill="CCEEFF"/>
          </w:tcPr>
          <w:p>
            <w:pPr>
              <w:ind w:left="280"/>
              <w:spacing w:after="0" w:line="99" w:lineRule="exact"/>
              <w:rPr>
                <w:sz w:val="20"/>
                <w:szCs w:val="20"/>
                <w:color w:val="auto"/>
              </w:rPr>
            </w:pPr>
            <w:r>
              <w:rPr>
                <w:rFonts w:ascii="Arial" w:cs="Arial" w:eastAsia="Arial" w:hAnsi="Arial"/>
                <w:sz w:val="9"/>
                <w:szCs w:val="9"/>
                <w:color w:val="auto"/>
              </w:rPr>
              <w:t>Treasury stock, at cost; 12,969,289 and 12,863,730 shares, respectively</w:t>
            </w:r>
          </w:p>
        </w:tc>
        <w:tc>
          <w:tcPr>
            <w:tcW w:w="80" w:type="dxa"/>
            <w:vAlign w:val="bottom"/>
            <w:shd w:val="clear" w:color="auto" w:fill="CCEEFF"/>
          </w:tcPr>
          <w:p>
            <w:pPr>
              <w:spacing w:after="0"/>
              <w:rPr>
                <w:sz w:val="8"/>
                <w:szCs w:val="8"/>
                <w:color w:val="auto"/>
              </w:rPr>
            </w:pPr>
          </w:p>
        </w:tc>
        <w:tc>
          <w:tcPr>
            <w:tcW w:w="1320" w:type="dxa"/>
            <w:vAlign w:val="bottom"/>
            <w:gridSpan w:val="2"/>
            <w:shd w:val="clear" w:color="auto" w:fill="CCEEFF"/>
          </w:tcPr>
          <w:p>
            <w:pPr>
              <w:jc w:val="right"/>
              <w:ind w:right="620"/>
              <w:spacing w:after="0" w:line="99" w:lineRule="exact"/>
              <w:rPr>
                <w:sz w:val="20"/>
                <w:szCs w:val="20"/>
                <w:color w:val="auto"/>
              </w:rPr>
            </w:pPr>
            <w:r>
              <w:rPr>
                <w:rFonts w:ascii="Arial" w:cs="Arial" w:eastAsia="Arial" w:hAnsi="Arial"/>
                <w:sz w:val="9"/>
                <w:szCs w:val="9"/>
                <w:color w:val="auto"/>
              </w:rPr>
              <w:t>(1,141,899)</w:t>
            </w:r>
          </w:p>
        </w:tc>
        <w:tc>
          <w:tcPr>
            <w:tcW w:w="60" w:type="dxa"/>
            <w:vAlign w:val="bottom"/>
            <w:shd w:val="clear" w:color="auto" w:fill="CCEEFF"/>
          </w:tcPr>
          <w:p>
            <w:pPr>
              <w:spacing w:after="0"/>
              <w:rPr>
                <w:sz w:val="8"/>
                <w:szCs w:val="8"/>
                <w:color w:val="auto"/>
              </w:rPr>
            </w:pPr>
          </w:p>
        </w:tc>
        <w:tc>
          <w:tcPr>
            <w:tcW w:w="740" w:type="dxa"/>
            <w:vAlign w:val="bottom"/>
            <w:gridSpan w:val="2"/>
            <w:shd w:val="clear" w:color="auto" w:fill="CCEEFF"/>
          </w:tcPr>
          <w:p>
            <w:pPr>
              <w:jc w:val="right"/>
              <w:ind w:right="60"/>
              <w:spacing w:after="0" w:line="99" w:lineRule="exact"/>
              <w:rPr>
                <w:sz w:val="20"/>
                <w:szCs w:val="20"/>
                <w:color w:val="auto"/>
              </w:rPr>
            </w:pPr>
            <w:r>
              <w:rPr>
                <w:rFonts w:ascii="Arial" w:cs="Arial" w:eastAsia="Arial" w:hAnsi="Arial"/>
                <w:sz w:val="9"/>
                <w:szCs w:val="9"/>
                <w:color w:val="auto"/>
              </w:rPr>
              <w:t>(1,127,947)</w:t>
            </w:r>
          </w:p>
        </w:tc>
      </w:tr>
      <w:tr>
        <w:trPr>
          <w:trHeight w:val="99"/>
        </w:trPr>
        <w:tc>
          <w:tcPr>
            <w:tcW w:w="9280" w:type="dxa"/>
            <w:vAlign w:val="bottom"/>
          </w:tcPr>
          <w:p>
            <w:pPr>
              <w:ind w:left="280"/>
              <w:spacing w:after="0" w:line="99" w:lineRule="exact"/>
              <w:rPr>
                <w:sz w:val="20"/>
                <w:szCs w:val="20"/>
                <w:color w:val="auto"/>
              </w:rPr>
            </w:pPr>
            <w:r>
              <w:rPr>
                <w:rFonts w:ascii="Arial" w:cs="Arial" w:eastAsia="Arial" w:hAnsi="Arial"/>
                <w:sz w:val="9"/>
                <w:szCs w:val="9"/>
                <w:color w:val="auto"/>
              </w:rPr>
              <w:t>Additional paid-in capital</w:t>
            </w:r>
          </w:p>
        </w:tc>
        <w:tc>
          <w:tcPr>
            <w:tcW w:w="80" w:type="dxa"/>
            <w:vAlign w:val="bottom"/>
          </w:tcPr>
          <w:p>
            <w:pPr>
              <w:spacing w:after="0"/>
              <w:rPr>
                <w:sz w:val="8"/>
                <w:szCs w:val="8"/>
                <w:color w:val="auto"/>
              </w:rPr>
            </w:pPr>
          </w:p>
        </w:tc>
        <w:tc>
          <w:tcPr>
            <w:tcW w:w="680" w:type="dxa"/>
            <w:vAlign w:val="bottom"/>
          </w:tcPr>
          <w:p>
            <w:pPr>
              <w:jc w:val="right"/>
              <w:spacing w:after="0" w:line="99" w:lineRule="exact"/>
              <w:rPr>
                <w:sz w:val="20"/>
                <w:szCs w:val="20"/>
                <w:color w:val="auto"/>
              </w:rPr>
            </w:pPr>
            <w:r>
              <w:rPr>
                <w:rFonts w:ascii="Arial" w:cs="Arial" w:eastAsia="Arial" w:hAnsi="Arial"/>
                <w:sz w:val="9"/>
                <w:szCs w:val="9"/>
                <w:color w:val="auto"/>
              </w:rPr>
              <w:t>881,985</w:t>
            </w: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660" w:type="dxa"/>
            <w:vAlign w:val="bottom"/>
          </w:tcPr>
          <w:p>
            <w:pPr>
              <w:jc w:val="right"/>
              <w:spacing w:after="0" w:line="99" w:lineRule="exact"/>
              <w:rPr>
                <w:sz w:val="20"/>
                <w:szCs w:val="20"/>
                <w:color w:val="auto"/>
              </w:rPr>
            </w:pPr>
            <w:r>
              <w:rPr>
                <w:rFonts w:ascii="Arial" w:cs="Arial" w:eastAsia="Arial" w:hAnsi="Arial"/>
                <w:sz w:val="9"/>
                <w:szCs w:val="9"/>
                <w:color w:val="auto"/>
              </w:rPr>
              <w:t>818,821</w:t>
            </w:r>
          </w:p>
        </w:tc>
        <w:tc>
          <w:tcPr>
            <w:tcW w:w="80" w:type="dxa"/>
            <w:vAlign w:val="bottom"/>
          </w:tcPr>
          <w:p>
            <w:pPr>
              <w:spacing w:after="0"/>
              <w:rPr>
                <w:sz w:val="8"/>
                <w:szCs w:val="8"/>
                <w:color w:val="auto"/>
              </w:rPr>
            </w:pPr>
          </w:p>
        </w:tc>
      </w:tr>
      <w:tr>
        <w:trPr>
          <w:trHeight w:val="99"/>
        </w:trPr>
        <w:tc>
          <w:tcPr>
            <w:tcW w:w="9280" w:type="dxa"/>
            <w:vAlign w:val="bottom"/>
            <w:shd w:val="clear" w:color="auto" w:fill="CCEEFF"/>
          </w:tcPr>
          <w:p>
            <w:pPr>
              <w:ind w:left="280"/>
              <w:spacing w:after="0" w:line="99" w:lineRule="exact"/>
              <w:rPr>
                <w:sz w:val="20"/>
                <w:szCs w:val="20"/>
                <w:color w:val="auto"/>
              </w:rPr>
            </w:pPr>
            <w:r>
              <w:rPr>
                <w:rFonts w:ascii="Arial" w:cs="Arial" w:eastAsia="Arial" w:hAnsi="Arial"/>
                <w:sz w:val="9"/>
                <w:szCs w:val="9"/>
                <w:color w:val="auto"/>
              </w:rPr>
              <w:t>Accumulated other comprehensive income</w:t>
            </w:r>
          </w:p>
        </w:tc>
        <w:tc>
          <w:tcPr>
            <w:tcW w:w="80" w:type="dxa"/>
            <w:vAlign w:val="bottom"/>
            <w:shd w:val="clear" w:color="auto" w:fill="CCEEFF"/>
          </w:tcPr>
          <w:p>
            <w:pPr>
              <w:spacing w:after="0"/>
              <w:rPr>
                <w:sz w:val="8"/>
                <w:szCs w:val="8"/>
                <w:color w:val="auto"/>
              </w:rPr>
            </w:pPr>
          </w:p>
        </w:tc>
        <w:tc>
          <w:tcPr>
            <w:tcW w:w="680" w:type="dxa"/>
            <w:vAlign w:val="bottom"/>
            <w:shd w:val="clear" w:color="auto" w:fill="CCEEFF"/>
          </w:tcPr>
          <w:p>
            <w:pPr>
              <w:jc w:val="right"/>
              <w:spacing w:after="0" w:line="99" w:lineRule="exact"/>
              <w:rPr>
                <w:sz w:val="20"/>
                <w:szCs w:val="20"/>
                <w:color w:val="auto"/>
              </w:rPr>
            </w:pPr>
            <w:r>
              <w:rPr>
                <w:rFonts w:ascii="Arial" w:cs="Arial" w:eastAsia="Arial" w:hAnsi="Arial"/>
                <w:sz w:val="9"/>
                <w:szCs w:val="9"/>
                <w:color w:val="auto"/>
              </w:rPr>
              <w:t>3,078</w:t>
            </w:r>
          </w:p>
        </w:tc>
        <w:tc>
          <w:tcPr>
            <w:tcW w:w="64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660" w:type="dxa"/>
            <w:vAlign w:val="bottom"/>
            <w:shd w:val="clear" w:color="auto" w:fill="CCEEFF"/>
          </w:tcPr>
          <w:p>
            <w:pPr>
              <w:jc w:val="right"/>
              <w:spacing w:after="0" w:line="99" w:lineRule="exact"/>
              <w:rPr>
                <w:sz w:val="20"/>
                <w:szCs w:val="20"/>
                <w:color w:val="auto"/>
              </w:rPr>
            </w:pPr>
            <w:r>
              <w:rPr>
                <w:rFonts w:ascii="Arial" w:cs="Arial" w:eastAsia="Arial" w:hAnsi="Arial"/>
                <w:sz w:val="9"/>
                <w:szCs w:val="9"/>
                <w:color w:val="auto"/>
              </w:rPr>
              <w:t>4,177</w:t>
            </w:r>
          </w:p>
        </w:tc>
        <w:tc>
          <w:tcPr>
            <w:tcW w:w="80" w:type="dxa"/>
            <w:vAlign w:val="bottom"/>
            <w:shd w:val="clear" w:color="auto" w:fill="CCEEFF"/>
          </w:tcPr>
          <w:p>
            <w:pPr>
              <w:spacing w:after="0"/>
              <w:rPr>
                <w:sz w:val="8"/>
                <w:szCs w:val="8"/>
                <w:color w:val="auto"/>
              </w:rPr>
            </w:pPr>
          </w:p>
        </w:tc>
      </w:tr>
      <w:tr>
        <w:trPr>
          <w:trHeight w:val="99"/>
        </w:trPr>
        <w:tc>
          <w:tcPr>
            <w:tcW w:w="9280" w:type="dxa"/>
            <w:vAlign w:val="bottom"/>
          </w:tcPr>
          <w:p>
            <w:pPr>
              <w:ind w:left="280"/>
              <w:spacing w:after="0" w:line="99" w:lineRule="exact"/>
              <w:rPr>
                <w:sz w:val="20"/>
                <w:szCs w:val="20"/>
                <w:color w:val="auto"/>
              </w:rPr>
            </w:pPr>
            <w:r>
              <w:rPr>
                <w:rFonts w:ascii="Arial" w:cs="Arial" w:eastAsia="Arial" w:hAnsi="Arial"/>
                <w:sz w:val="9"/>
                <w:szCs w:val="9"/>
                <w:color w:val="auto"/>
              </w:rPr>
              <w:t>Retained earnings</w:t>
            </w:r>
          </w:p>
        </w:tc>
        <w:tc>
          <w:tcPr>
            <w:tcW w:w="80" w:type="dxa"/>
            <w:vAlign w:val="bottom"/>
            <w:tcBorders>
              <w:bottom w:val="single" w:sz="8" w:color="auto"/>
            </w:tcBorders>
          </w:tcPr>
          <w:p>
            <w:pPr>
              <w:spacing w:after="0"/>
              <w:rPr>
                <w:sz w:val="8"/>
                <w:szCs w:val="8"/>
                <w:color w:val="auto"/>
              </w:rPr>
            </w:pPr>
          </w:p>
        </w:tc>
        <w:tc>
          <w:tcPr>
            <w:tcW w:w="680" w:type="dxa"/>
            <w:vAlign w:val="bottom"/>
            <w:tcBorders>
              <w:bottom w:val="single" w:sz="8" w:color="auto"/>
            </w:tcBorders>
          </w:tcPr>
          <w:p>
            <w:pPr>
              <w:jc w:val="right"/>
              <w:spacing w:after="0" w:line="99" w:lineRule="exact"/>
              <w:rPr>
                <w:sz w:val="20"/>
                <w:szCs w:val="20"/>
                <w:color w:val="auto"/>
              </w:rPr>
            </w:pPr>
            <w:r>
              <w:rPr>
                <w:rFonts w:ascii="Arial" w:cs="Arial" w:eastAsia="Arial" w:hAnsi="Arial"/>
                <w:sz w:val="9"/>
                <w:szCs w:val="9"/>
                <w:color w:val="auto"/>
              </w:rPr>
              <w:t>256,992</w:t>
            </w:r>
          </w:p>
        </w:tc>
        <w:tc>
          <w:tcPr>
            <w:tcW w:w="640" w:type="dxa"/>
            <w:vAlign w:val="bottom"/>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660" w:type="dxa"/>
            <w:vAlign w:val="bottom"/>
            <w:tcBorders>
              <w:bottom w:val="single" w:sz="8" w:color="auto"/>
            </w:tcBorders>
          </w:tcPr>
          <w:p>
            <w:pPr>
              <w:jc w:val="right"/>
              <w:spacing w:after="0" w:line="99" w:lineRule="exact"/>
              <w:rPr>
                <w:sz w:val="20"/>
                <w:szCs w:val="20"/>
                <w:color w:val="auto"/>
              </w:rPr>
            </w:pPr>
            <w:r>
              <w:rPr>
                <w:rFonts w:ascii="Arial" w:cs="Arial" w:eastAsia="Arial" w:hAnsi="Arial"/>
                <w:sz w:val="9"/>
                <w:szCs w:val="9"/>
                <w:color w:val="auto"/>
              </w:rPr>
              <w:t>44,775</w:t>
            </w:r>
          </w:p>
        </w:tc>
        <w:tc>
          <w:tcPr>
            <w:tcW w:w="80" w:type="dxa"/>
            <w:vAlign w:val="bottom"/>
          </w:tcPr>
          <w:p>
            <w:pPr>
              <w:spacing w:after="0"/>
              <w:rPr>
                <w:sz w:val="8"/>
                <w:szCs w:val="8"/>
                <w:color w:val="auto"/>
              </w:rPr>
            </w:pPr>
          </w:p>
        </w:tc>
      </w:tr>
      <w:tr>
        <w:trPr>
          <w:trHeight w:val="97"/>
        </w:trPr>
        <w:tc>
          <w:tcPr>
            <w:tcW w:w="9280" w:type="dxa"/>
            <w:vAlign w:val="bottom"/>
            <w:shd w:val="clear" w:color="auto" w:fill="CCEEFF"/>
          </w:tcPr>
          <w:p>
            <w:pPr>
              <w:ind w:left="560"/>
              <w:spacing w:after="0" w:line="98" w:lineRule="exact"/>
              <w:rPr>
                <w:sz w:val="20"/>
                <w:szCs w:val="20"/>
                <w:color w:val="auto"/>
              </w:rPr>
            </w:pPr>
            <w:r>
              <w:rPr>
                <w:rFonts w:ascii="Arial" w:cs="Arial" w:eastAsia="Arial" w:hAnsi="Arial"/>
                <w:sz w:val="9"/>
                <w:szCs w:val="9"/>
                <w:color w:val="auto"/>
              </w:rPr>
              <w:t>Total Wynn Resorts, Limited stockholders’ equity (deficit)</w:t>
            </w:r>
          </w:p>
        </w:tc>
        <w:tc>
          <w:tcPr>
            <w:tcW w:w="80" w:type="dxa"/>
            <w:vAlign w:val="bottom"/>
            <w:shd w:val="clear" w:color="auto" w:fill="CCEEFF"/>
          </w:tcPr>
          <w:p>
            <w:pPr>
              <w:spacing w:after="0"/>
              <w:rPr>
                <w:sz w:val="8"/>
                <w:szCs w:val="8"/>
                <w:color w:val="auto"/>
              </w:rPr>
            </w:pPr>
          </w:p>
        </w:tc>
        <w:tc>
          <w:tcPr>
            <w:tcW w:w="680" w:type="dxa"/>
            <w:vAlign w:val="bottom"/>
            <w:shd w:val="clear" w:color="auto" w:fill="CCEEFF"/>
          </w:tcPr>
          <w:p>
            <w:pPr>
              <w:jc w:val="right"/>
              <w:spacing w:after="0" w:line="98" w:lineRule="exact"/>
              <w:rPr>
                <w:sz w:val="20"/>
                <w:szCs w:val="20"/>
                <w:color w:val="auto"/>
              </w:rPr>
            </w:pPr>
            <w:r>
              <w:rPr>
                <w:rFonts w:ascii="Arial" w:cs="Arial" w:eastAsia="Arial" w:hAnsi="Arial"/>
                <w:sz w:val="9"/>
                <w:szCs w:val="9"/>
                <w:color w:val="auto"/>
              </w:rPr>
              <w:t>1,297</w:t>
            </w:r>
          </w:p>
        </w:tc>
        <w:tc>
          <w:tcPr>
            <w:tcW w:w="64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740" w:type="dxa"/>
            <w:vAlign w:val="bottom"/>
            <w:gridSpan w:val="2"/>
            <w:shd w:val="clear" w:color="auto" w:fill="CCEEFF"/>
          </w:tcPr>
          <w:p>
            <w:pPr>
              <w:jc w:val="right"/>
              <w:ind w:right="60"/>
              <w:spacing w:after="0" w:line="98" w:lineRule="exact"/>
              <w:rPr>
                <w:sz w:val="20"/>
                <w:szCs w:val="20"/>
                <w:color w:val="auto"/>
              </w:rPr>
            </w:pPr>
            <w:r>
              <w:rPr>
                <w:rFonts w:ascii="Arial" w:cs="Arial" w:eastAsia="Arial" w:hAnsi="Arial"/>
                <w:sz w:val="9"/>
                <w:szCs w:val="9"/>
                <w:color w:val="auto"/>
              </w:rPr>
              <w:t>(259,037)</w:t>
            </w:r>
          </w:p>
        </w:tc>
      </w:tr>
      <w:tr>
        <w:trPr>
          <w:trHeight w:val="99"/>
        </w:trPr>
        <w:tc>
          <w:tcPr>
            <w:tcW w:w="9280" w:type="dxa"/>
            <w:vAlign w:val="bottom"/>
          </w:tcPr>
          <w:p>
            <w:pPr>
              <w:ind w:left="280"/>
              <w:spacing w:after="0" w:line="99" w:lineRule="exact"/>
              <w:rPr>
                <w:sz w:val="20"/>
                <w:szCs w:val="20"/>
                <w:color w:val="auto"/>
              </w:rPr>
            </w:pPr>
            <w:r>
              <w:rPr>
                <w:rFonts w:ascii="Arial" w:cs="Arial" w:eastAsia="Arial" w:hAnsi="Arial"/>
                <w:sz w:val="9"/>
                <w:szCs w:val="9"/>
                <w:color w:val="auto"/>
              </w:rPr>
              <w:t>Noncontrolling interest</w:t>
            </w:r>
          </w:p>
        </w:tc>
        <w:tc>
          <w:tcPr>
            <w:tcW w:w="80" w:type="dxa"/>
            <w:vAlign w:val="bottom"/>
            <w:tcBorders>
              <w:bottom w:val="single" w:sz="8" w:color="auto"/>
            </w:tcBorders>
          </w:tcPr>
          <w:p>
            <w:pPr>
              <w:spacing w:after="0"/>
              <w:rPr>
                <w:sz w:val="8"/>
                <w:szCs w:val="8"/>
                <w:color w:val="auto"/>
              </w:rPr>
            </w:pPr>
          </w:p>
        </w:tc>
        <w:tc>
          <w:tcPr>
            <w:tcW w:w="680" w:type="dxa"/>
            <w:vAlign w:val="bottom"/>
            <w:tcBorders>
              <w:bottom w:val="single" w:sz="8" w:color="auto"/>
            </w:tcBorders>
          </w:tcPr>
          <w:p>
            <w:pPr>
              <w:jc w:val="right"/>
              <w:spacing w:after="0" w:line="99" w:lineRule="exact"/>
              <w:rPr>
                <w:sz w:val="20"/>
                <w:szCs w:val="20"/>
                <w:color w:val="auto"/>
              </w:rPr>
            </w:pPr>
            <w:r>
              <w:rPr>
                <w:rFonts w:ascii="Arial" w:cs="Arial" w:eastAsia="Arial" w:hAnsi="Arial"/>
                <w:sz w:val="9"/>
                <w:szCs w:val="9"/>
                <w:color w:val="auto"/>
              </w:rPr>
              <w:t>240,042</w:t>
            </w:r>
          </w:p>
        </w:tc>
        <w:tc>
          <w:tcPr>
            <w:tcW w:w="640" w:type="dxa"/>
            <w:vAlign w:val="bottom"/>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660" w:type="dxa"/>
            <w:vAlign w:val="bottom"/>
            <w:tcBorders>
              <w:bottom w:val="single" w:sz="8" w:color="auto"/>
            </w:tcBorders>
          </w:tcPr>
          <w:p>
            <w:pPr>
              <w:jc w:val="right"/>
              <w:spacing w:after="0" w:line="99" w:lineRule="exact"/>
              <w:rPr>
                <w:sz w:val="20"/>
                <w:szCs w:val="20"/>
                <w:color w:val="auto"/>
              </w:rPr>
            </w:pPr>
            <w:r>
              <w:rPr>
                <w:rFonts w:ascii="Arial" w:cs="Arial" w:eastAsia="Arial" w:hAnsi="Arial"/>
                <w:sz w:val="9"/>
                <w:szCs w:val="9"/>
                <w:color w:val="auto"/>
              </w:rPr>
              <w:t>362,969</w:t>
            </w:r>
          </w:p>
        </w:tc>
        <w:tc>
          <w:tcPr>
            <w:tcW w:w="80" w:type="dxa"/>
            <w:vAlign w:val="bottom"/>
          </w:tcPr>
          <w:p>
            <w:pPr>
              <w:spacing w:after="0"/>
              <w:rPr>
                <w:sz w:val="8"/>
                <w:szCs w:val="8"/>
                <w:color w:val="auto"/>
              </w:rPr>
            </w:pPr>
          </w:p>
        </w:tc>
      </w:tr>
      <w:tr>
        <w:trPr>
          <w:trHeight w:val="97"/>
        </w:trPr>
        <w:tc>
          <w:tcPr>
            <w:tcW w:w="9280" w:type="dxa"/>
            <w:vAlign w:val="bottom"/>
            <w:shd w:val="clear" w:color="auto" w:fill="CCEEFF"/>
          </w:tcPr>
          <w:p>
            <w:pPr>
              <w:ind w:left="560"/>
              <w:spacing w:after="0" w:line="98" w:lineRule="exact"/>
              <w:rPr>
                <w:sz w:val="20"/>
                <w:szCs w:val="20"/>
                <w:color w:val="auto"/>
              </w:rPr>
            </w:pPr>
            <w:r>
              <w:rPr>
                <w:rFonts w:ascii="Arial" w:cs="Arial" w:eastAsia="Arial" w:hAnsi="Arial"/>
                <w:sz w:val="9"/>
                <w:szCs w:val="9"/>
                <w:color w:val="auto"/>
              </w:rPr>
              <w:t>Total equity</w:t>
            </w:r>
          </w:p>
        </w:tc>
        <w:tc>
          <w:tcPr>
            <w:tcW w:w="80" w:type="dxa"/>
            <w:vAlign w:val="bottom"/>
            <w:tcBorders>
              <w:bottom w:val="single" w:sz="8" w:color="auto"/>
            </w:tcBorders>
            <w:shd w:val="clear" w:color="auto" w:fill="CCEEFF"/>
          </w:tcPr>
          <w:p>
            <w:pPr>
              <w:spacing w:after="0"/>
              <w:rPr>
                <w:sz w:val="8"/>
                <w:szCs w:val="8"/>
                <w:color w:val="auto"/>
              </w:rPr>
            </w:pPr>
          </w:p>
        </w:tc>
        <w:tc>
          <w:tcPr>
            <w:tcW w:w="680" w:type="dxa"/>
            <w:vAlign w:val="bottom"/>
            <w:tcBorders>
              <w:bottom w:val="single" w:sz="8" w:color="auto"/>
            </w:tcBorders>
            <w:shd w:val="clear" w:color="auto" w:fill="CCEEFF"/>
          </w:tcPr>
          <w:p>
            <w:pPr>
              <w:jc w:val="right"/>
              <w:spacing w:after="0" w:line="98" w:lineRule="exact"/>
              <w:rPr>
                <w:sz w:val="20"/>
                <w:szCs w:val="20"/>
                <w:color w:val="auto"/>
              </w:rPr>
            </w:pPr>
            <w:r>
              <w:rPr>
                <w:rFonts w:ascii="Arial" w:cs="Arial" w:eastAsia="Arial" w:hAnsi="Arial"/>
                <w:sz w:val="9"/>
                <w:szCs w:val="9"/>
                <w:color w:val="auto"/>
              </w:rPr>
              <w:t>241,339</w:t>
            </w:r>
          </w:p>
        </w:tc>
        <w:tc>
          <w:tcPr>
            <w:tcW w:w="640" w:type="dxa"/>
            <w:vAlign w:val="bottom"/>
            <w:shd w:val="clear" w:color="auto" w:fill="CCEEFF"/>
          </w:tcPr>
          <w:p>
            <w:pPr>
              <w:spacing w:after="0"/>
              <w:rPr>
                <w:sz w:val="8"/>
                <w:szCs w:val="8"/>
                <w:color w:val="auto"/>
              </w:rPr>
            </w:pPr>
          </w:p>
        </w:tc>
        <w:tc>
          <w:tcPr>
            <w:tcW w:w="60" w:type="dxa"/>
            <w:vAlign w:val="bottom"/>
            <w:tcBorders>
              <w:bottom w:val="single" w:sz="8" w:color="auto"/>
            </w:tcBorders>
            <w:shd w:val="clear" w:color="auto" w:fill="CCEEFF"/>
          </w:tcPr>
          <w:p>
            <w:pPr>
              <w:spacing w:after="0"/>
              <w:rPr>
                <w:sz w:val="8"/>
                <w:szCs w:val="8"/>
                <w:color w:val="auto"/>
              </w:rPr>
            </w:pPr>
          </w:p>
        </w:tc>
        <w:tc>
          <w:tcPr>
            <w:tcW w:w="660" w:type="dxa"/>
            <w:vAlign w:val="bottom"/>
            <w:tcBorders>
              <w:bottom w:val="single" w:sz="8" w:color="auto"/>
            </w:tcBorders>
            <w:shd w:val="clear" w:color="auto" w:fill="CCEEFF"/>
          </w:tcPr>
          <w:p>
            <w:pPr>
              <w:jc w:val="right"/>
              <w:spacing w:after="0" w:line="98" w:lineRule="exact"/>
              <w:rPr>
                <w:sz w:val="20"/>
                <w:szCs w:val="20"/>
                <w:color w:val="auto"/>
              </w:rPr>
            </w:pPr>
            <w:r>
              <w:rPr>
                <w:rFonts w:ascii="Arial" w:cs="Arial" w:eastAsia="Arial" w:hAnsi="Arial"/>
                <w:sz w:val="9"/>
                <w:szCs w:val="9"/>
                <w:color w:val="auto"/>
              </w:rPr>
              <w:t>103,932</w:t>
            </w:r>
          </w:p>
        </w:tc>
        <w:tc>
          <w:tcPr>
            <w:tcW w:w="80" w:type="dxa"/>
            <w:vAlign w:val="bottom"/>
            <w:shd w:val="clear" w:color="auto" w:fill="CCEEFF"/>
          </w:tcPr>
          <w:p>
            <w:pPr>
              <w:spacing w:after="0"/>
              <w:rPr>
                <w:sz w:val="8"/>
                <w:szCs w:val="8"/>
                <w:color w:val="auto"/>
              </w:rPr>
            </w:pPr>
          </w:p>
        </w:tc>
      </w:tr>
      <w:tr>
        <w:trPr>
          <w:trHeight w:val="104"/>
        </w:trPr>
        <w:tc>
          <w:tcPr>
            <w:tcW w:w="9280" w:type="dxa"/>
            <w:vAlign w:val="bottom"/>
          </w:tcPr>
          <w:p>
            <w:pPr>
              <w:ind w:left="560"/>
              <w:spacing w:after="0" w:line="98" w:lineRule="exact"/>
              <w:rPr>
                <w:sz w:val="20"/>
                <w:szCs w:val="20"/>
                <w:color w:val="auto"/>
              </w:rPr>
            </w:pPr>
            <w:r>
              <w:rPr>
                <w:rFonts w:ascii="Arial" w:cs="Arial" w:eastAsia="Arial" w:hAnsi="Arial"/>
                <w:sz w:val="9"/>
                <w:szCs w:val="9"/>
                <w:color w:val="auto"/>
              </w:rPr>
              <w:t>Total liabilities and stockholders’ equity</w:t>
            </w:r>
          </w:p>
        </w:tc>
        <w:tc>
          <w:tcPr>
            <w:tcW w:w="80" w:type="dxa"/>
            <w:vAlign w:val="bottom"/>
            <w:tcBorders>
              <w:bottom w:val="single" w:sz="8" w:color="auto"/>
            </w:tcBorders>
          </w:tcPr>
          <w:p>
            <w:pPr>
              <w:jc w:val="right"/>
              <w:spacing w:after="0" w:line="98" w:lineRule="exact"/>
              <w:rPr>
                <w:sz w:val="20"/>
                <w:szCs w:val="20"/>
                <w:color w:val="auto"/>
              </w:rPr>
            </w:pPr>
            <w:r>
              <w:rPr>
                <w:rFonts w:ascii="Arial" w:cs="Arial" w:eastAsia="Arial" w:hAnsi="Arial"/>
                <w:sz w:val="9"/>
                <w:szCs w:val="9"/>
                <w:color w:val="auto"/>
                <w:w w:val="78"/>
              </w:rPr>
              <w:t>$</w:t>
            </w:r>
          </w:p>
        </w:tc>
        <w:tc>
          <w:tcPr>
            <w:tcW w:w="680" w:type="dxa"/>
            <w:vAlign w:val="bottom"/>
            <w:tcBorders>
              <w:bottom w:val="single" w:sz="8" w:color="auto"/>
            </w:tcBorders>
          </w:tcPr>
          <w:p>
            <w:pPr>
              <w:jc w:val="right"/>
              <w:spacing w:after="0" w:line="98" w:lineRule="exact"/>
              <w:rPr>
                <w:sz w:val="20"/>
                <w:szCs w:val="20"/>
                <w:color w:val="auto"/>
              </w:rPr>
            </w:pPr>
            <w:r>
              <w:rPr>
                <w:rFonts w:ascii="Arial" w:cs="Arial" w:eastAsia="Arial" w:hAnsi="Arial"/>
                <w:sz w:val="9"/>
                <w:szCs w:val="9"/>
                <w:color w:val="auto"/>
              </w:rPr>
              <w:t>8,069,628</w:t>
            </w:r>
          </w:p>
        </w:tc>
        <w:tc>
          <w:tcPr>
            <w:tcW w:w="640" w:type="dxa"/>
            <w:vAlign w:val="bottom"/>
          </w:tcPr>
          <w:p>
            <w:pPr>
              <w:spacing w:after="0"/>
              <w:rPr>
                <w:sz w:val="9"/>
                <w:szCs w:val="9"/>
                <w:color w:val="auto"/>
              </w:rPr>
            </w:pPr>
          </w:p>
        </w:tc>
        <w:tc>
          <w:tcPr>
            <w:tcW w:w="60" w:type="dxa"/>
            <w:vAlign w:val="bottom"/>
            <w:tcBorders>
              <w:bottom w:val="single" w:sz="8" w:color="auto"/>
            </w:tcBorders>
          </w:tcPr>
          <w:p>
            <w:pPr>
              <w:jc w:val="right"/>
              <w:spacing w:after="0"/>
              <w:rPr>
                <w:sz w:val="20"/>
                <w:szCs w:val="20"/>
                <w:color w:val="auto"/>
              </w:rPr>
            </w:pPr>
            <w:r>
              <w:rPr>
                <w:rFonts w:ascii="Arial" w:cs="Arial" w:eastAsia="Arial" w:hAnsi="Arial"/>
                <w:sz w:val="5"/>
                <w:szCs w:val="5"/>
                <w:color w:val="auto"/>
                <w:w w:val="70"/>
              </w:rPr>
              <w:t>$</w:t>
            </w:r>
          </w:p>
        </w:tc>
        <w:tc>
          <w:tcPr>
            <w:tcW w:w="660" w:type="dxa"/>
            <w:vAlign w:val="bottom"/>
            <w:tcBorders>
              <w:bottom w:val="single" w:sz="8" w:color="auto"/>
            </w:tcBorders>
          </w:tcPr>
          <w:p>
            <w:pPr>
              <w:jc w:val="right"/>
              <w:spacing w:after="0" w:line="98" w:lineRule="exact"/>
              <w:rPr>
                <w:sz w:val="20"/>
                <w:szCs w:val="20"/>
                <w:color w:val="auto"/>
              </w:rPr>
            </w:pPr>
            <w:r>
              <w:rPr>
                <w:rFonts w:ascii="Arial" w:cs="Arial" w:eastAsia="Arial" w:hAnsi="Arial"/>
                <w:sz w:val="9"/>
                <w:szCs w:val="9"/>
                <w:color w:val="auto"/>
              </w:rPr>
              <w:t>7,276,594</w:t>
            </w:r>
          </w:p>
        </w:tc>
        <w:tc>
          <w:tcPr>
            <w:tcW w:w="80" w:type="dxa"/>
            <w:vAlign w:val="bottom"/>
          </w:tcPr>
          <w:p>
            <w:pPr>
              <w:spacing w:after="0"/>
              <w:rPr>
                <w:sz w:val="9"/>
                <w:szCs w:val="9"/>
                <w:color w:val="auto"/>
              </w:rPr>
            </w:pPr>
          </w:p>
        </w:tc>
      </w:tr>
    </w:tbl>
    <w:p>
      <w:pPr>
        <w:spacing w:after="0" w:line="111"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The accompanying notes are an integral part of these condensed consolidated financial statements.</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3</w:t>
      </w:r>
    </w:p>
    <w:p>
      <w:pPr>
        <w:sectPr>
          <w:pgSz w:w="11900" w:h="16838" w:orient="portrait"/>
          <w:cols w:equalWidth="0" w:num="1">
            <w:col w:w="11480"/>
          </w:cols>
          <w:pgMar w:left="220" w:top="354" w:right="199" w:bottom="1440" w:gutter="0" w:footer="0" w:header="0"/>
        </w:sectPr>
      </w:pPr>
    </w:p>
    <w:bookmarkStart w:id="3" w:name="page4"/>
    <w:bookmarkEnd w:id="3"/>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121920</wp:posOffset>
            </wp:positionH>
            <wp:positionV relativeFrom="page">
              <wp:posOffset>88900</wp:posOffset>
            </wp:positionV>
            <wp:extent cx="7329170" cy="298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329170" cy="29845"/>
                    </a:xfrm>
                    <a:prstGeom prst="rect">
                      <a:avLst/>
                    </a:prstGeom>
                    <a:noFill/>
                  </pic:spPr>
                </pic:pic>
              </a:graphicData>
            </a:graphic>
          </wp:anchor>
        </w:drawing>
      </w:r>
      <w:hyperlink w:anchor="page2">
        <w:r>
          <w:rPr>
            <w:rFonts w:ascii="Arial" w:cs="Arial" w:eastAsia="Arial" w:hAnsi="Arial"/>
            <w:sz w:val="12"/>
            <w:szCs w:val="12"/>
            <w:b w:val="1"/>
            <w:bCs w:val="1"/>
            <w:u w:val="single" w:color="auto"/>
            <w:color w:val="0000EE"/>
          </w:rPr>
          <w:t>Table of Contents</w:t>
        </w:r>
      </w:hyperlink>
    </w:p>
    <w:p>
      <w:pPr>
        <w:spacing w:after="0" w:line="207"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WYNN RESORTS, LIMITED AND SUBSIDIARIES</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CONDENSED CONSOLIDATED STATEMENTS OF INCOME</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(amounts in thousands, except per share data)</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(unaudited)</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103"/>
        </w:trPr>
        <w:tc>
          <w:tcPr>
            <w:tcW w:w="7100" w:type="dxa"/>
            <w:vAlign w:val="bottom"/>
          </w:tcPr>
          <w:p>
            <w:pPr>
              <w:spacing w:after="0"/>
              <w:rPr>
                <w:sz w:val="8"/>
                <w:szCs w:val="8"/>
                <w:color w:val="auto"/>
              </w:rPr>
            </w:pPr>
          </w:p>
        </w:tc>
        <w:tc>
          <w:tcPr>
            <w:tcW w:w="200" w:type="dxa"/>
            <w:vAlign w:val="bottom"/>
          </w:tcPr>
          <w:p>
            <w:pPr>
              <w:spacing w:after="0"/>
              <w:rPr>
                <w:sz w:val="8"/>
                <w:szCs w:val="8"/>
                <w:color w:val="auto"/>
              </w:rPr>
            </w:pPr>
          </w:p>
        </w:tc>
        <w:tc>
          <w:tcPr>
            <w:tcW w:w="1220" w:type="dxa"/>
            <w:vAlign w:val="bottom"/>
            <w:gridSpan w:val="4"/>
          </w:tcPr>
          <w:p>
            <w:pPr>
              <w:jc w:val="right"/>
              <w:ind w:right="40"/>
              <w:spacing w:after="0"/>
              <w:rPr>
                <w:sz w:val="20"/>
                <w:szCs w:val="20"/>
                <w:color w:val="auto"/>
              </w:rPr>
            </w:pPr>
            <w:r>
              <w:rPr>
                <w:rFonts w:ascii="Arial" w:cs="Arial" w:eastAsia="Arial" w:hAnsi="Arial"/>
                <w:sz w:val="9"/>
                <w:szCs w:val="9"/>
                <w:b w:val="1"/>
                <w:bCs w:val="1"/>
                <w:color w:val="auto"/>
              </w:rPr>
              <w:t>Three Months Ended</w:t>
            </w:r>
          </w:p>
        </w:tc>
        <w:tc>
          <w:tcPr>
            <w:tcW w:w="540" w:type="dxa"/>
            <w:vAlign w:val="bottom"/>
          </w:tcPr>
          <w:p>
            <w:pPr>
              <w:spacing w:after="0"/>
              <w:rPr>
                <w:sz w:val="8"/>
                <w:szCs w:val="8"/>
                <w:color w:val="auto"/>
              </w:rPr>
            </w:pPr>
          </w:p>
        </w:tc>
        <w:tc>
          <w:tcPr>
            <w:tcW w:w="3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220" w:type="dxa"/>
            <w:vAlign w:val="bottom"/>
            <w:gridSpan w:val="4"/>
          </w:tcPr>
          <w:p>
            <w:pPr>
              <w:jc w:val="right"/>
              <w:ind w:right="40"/>
              <w:spacing w:after="0"/>
              <w:rPr>
                <w:sz w:val="20"/>
                <w:szCs w:val="20"/>
                <w:color w:val="auto"/>
              </w:rPr>
            </w:pPr>
            <w:r>
              <w:rPr>
                <w:rFonts w:ascii="Arial" w:cs="Arial" w:eastAsia="Arial" w:hAnsi="Arial"/>
                <w:sz w:val="9"/>
                <w:szCs w:val="9"/>
                <w:b w:val="1"/>
                <w:bCs w:val="1"/>
                <w:color w:val="auto"/>
              </w:rPr>
              <w:t>Nine Months Ended</w:t>
            </w:r>
          </w:p>
        </w:tc>
        <w:tc>
          <w:tcPr>
            <w:tcW w:w="560" w:type="dxa"/>
            <w:vAlign w:val="bottom"/>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8"/>
        </w:trPr>
        <w:tc>
          <w:tcPr>
            <w:tcW w:w="7100" w:type="dxa"/>
            <w:vAlign w:val="bottom"/>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1220" w:type="dxa"/>
            <w:vAlign w:val="bottom"/>
            <w:tcBorders>
              <w:bottom w:val="single" w:sz="8" w:color="auto"/>
            </w:tcBorders>
            <w:gridSpan w:val="4"/>
          </w:tcPr>
          <w:p>
            <w:pPr>
              <w:jc w:val="right"/>
              <w:ind w:right="160"/>
              <w:spacing w:after="0"/>
              <w:rPr>
                <w:sz w:val="20"/>
                <w:szCs w:val="20"/>
                <w:color w:val="auto"/>
              </w:rPr>
            </w:pPr>
            <w:r>
              <w:rPr>
                <w:rFonts w:ascii="Arial" w:cs="Arial" w:eastAsia="Arial" w:hAnsi="Arial"/>
                <w:sz w:val="9"/>
                <w:szCs w:val="9"/>
                <w:b w:val="1"/>
                <w:bCs w:val="1"/>
                <w:color w:val="auto"/>
              </w:rPr>
              <w:t>September 30,</w:t>
            </w:r>
          </w:p>
        </w:tc>
        <w:tc>
          <w:tcPr>
            <w:tcW w:w="540" w:type="dxa"/>
            <w:vAlign w:val="bottom"/>
            <w:tcBorders>
              <w:bottom w:val="single" w:sz="8" w:color="auto"/>
            </w:tcBorders>
          </w:tcPr>
          <w:p>
            <w:pPr>
              <w:spacing w:after="0"/>
              <w:rPr>
                <w:sz w:val="9"/>
                <w:szCs w:val="9"/>
                <w:color w:val="auto"/>
              </w:rPr>
            </w:pPr>
          </w:p>
        </w:tc>
        <w:tc>
          <w:tcPr>
            <w:tcW w:w="320" w:type="dxa"/>
            <w:vAlign w:val="bottom"/>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1220" w:type="dxa"/>
            <w:vAlign w:val="bottom"/>
            <w:tcBorders>
              <w:bottom w:val="single" w:sz="8" w:color="auto"/>
            </w:tcBorders>
            <w:gridSpan w:val="4"/>
          </w:tcPr>
          <w:p>
            <w:pPr>
              <w:jc w:val="right"/>
              <w:ind w:right="160"/>
              <w:spacing w:after="0"/>
              <w:rPr>
                <w:sz w:val="20"/>
                <w:szCs w:val="20"/>
                <w:color w:val="auto"/>
              </w:rPr>
            </w:pPr>
            <w:r>
              <w:rPr>
                <w:rFonts w:ascii="Arial" w:cs="Arial" w:eastAsia="Arial" w:hAnsi="Arial"/>
                <w:sz w:val="9"/>
                <w:szCs w:val="9"/>
                <w:b w:val="1"/>
                <w:bCs w:val="1"/>
                <w:color w:val="auto"/>
              </w:rPr>
              <w:t>September 30,</w:t>
            </w:r>
          </w:p>
        </w:tc>
        <w:tc>
          <w:tcPr>
            <w:tcW w:w="560" w:type="dxa"/>
            <w:vAlign w:val="bottom"/>
            <w:tcBorders>
              <w:bottom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88"/>
        </w:trPr>
        <w:tc>
          <w:tcPr>
            <w:tcW w:w="7100" w:type="dxa"/>
            <w:vAlign w:val="bottom"/>
            <w:tcBorders>
              <w:bottom w:val="single" w:sz="8" w:color="CCEEFF"/>
            </w:tcBorders>
          </w:tcPr>
          <w:p>
            <w:pPr>
              <w:spacing w:after="0"/>
              <w:rPr>
                <w:sz w:val="7"/>
                <w:szCs w:val="7"/>
                <w:color w:val="auto"/>
              </w:rPr>
            </w:pPr>
          </w:p>
        </w:tc>
        <w:tc>
          <w:tcPr>
            <w:tcW w:w="200" w:type="dxa"/>
            <w:vAlign w:val="bottom"/>
            <w:tcBorders>
              <w:bottom w:val="single" w:sz="8" w:color="auto"/>
            </w:tcBorders>
          </w:tcPr>
          <w:p>
            <w:pPr>
              <w:spacing w:after="0"/>
              <w:rPr>
                <w:sz w:val="7"/>
                <w:szCs w:val="7"/>
                <w:color w:val="auto"/>
              </w:rPr>
            </w:pPr>
          </w:p>
        </w:tc>
        <w:tc>
          <w:tcPr>
            <w:tcW w:w="600" w:type="dxa"/>
            <w:vAlign w:val="bottom"/>
            <w:tcBorders>
              <w:bottom w:val="single" w:sz="8" w:color="auto"/>
            </w:tcBorders>
          </w:tcPr>
          <w:p>
            <w:pPr>
              <w:jc w:val="right"/>
              <w:ind w:right="243"/>
              <w:spacing w:after="0" w:line="88" w:lineRule="exact"/>
              <w:rPr>
                <w:sz w:val="20"/>
                <w:szCs w:val="20"/>
                <w:color w:val="auto"/>
              </w:rPr>
            </w:pPr>
            <w:r>
              <w:rPr>
                <w:rFonts w:ascii="Arial" w:cs="Arial" w:eastAsia="Arial" w:hAnsi="Arial"/>
                <w:sz w:val="9"/>
                <w:szCs w:val="9"/>
                <w:b w:val="1"/>
                <w:bCs w:val="1"/>
                <w:color w:val="auto"/>
              </w:rPr>
              <w:t>2013</w:t>
            </w:r>
          </w:p>
        </w:tc>
        <w:tc>
          <w:tcPr>
            <w:tcW w:w="200" w:type="dxa"/>
            <w:vAlign w:val="bottom"/>
            <w:tcBorders>
              <w:bottom w:val="single" w:sz="8" w:color="CCEEFF"/>
            </w:tcBorders>
          </w:tcPr>
          <w:p>
            <w:pPr>
              <w:spacing w:after="0"/>
              <w:rPr>
                <w:sz w:val="7"/>
                <w:szCs w:val="7"/>
                <w:color w:val="auto"/>
              </w:rPr>
            </w:pPr>
          </w:p>
        </w:tc>
        <w:tc>
          <w:tcPr>
            <w:tcW w:w="140" w:type="dxa"/>
            <w:vAlign w:val="bottom"/>
            <w:tcBorders>
              <w:bottom w:val="single" w:sz="8" w:color="CCEEFF"/>
            </w:tcBorders>
          </w:tcPr>
          <w:p>
            <w:pPr>
              <w:spacing w:after="0"/>
              <w:rPr>
                <w:sz w:val="7"/>
                <w:szCs w:val="7"/>
                <w:color w:val="auto"/>
              </w:rPr>
            </w:pPr>
          </w:p>
        </w:tc>
        <w:tc>
          <w:tcPr>
            <w:tcW w:w="280" w:type="dxa"/>
            <w:vAlign w:val="bottom"/>
            <w:tcBorders>
              <w:bottom w:val="single" w:sz="8" w:color="auto"/>
            </w:tcBorders>
          </w:tcPr>
          <w:p>
            <w:pPr>
              <w:spacing w:after="0"/>
              <w:rPr>
                <w:sz w:val="7"/>
                <w:szCs w:val="7"/>
                <w:color w:val="auto"/>
              </w:rPr>
            </w:pPr>
          </w:p>
        </w:tc>
        <w:tc>
          <w:tcPr>
            <w:tcW w:w="540" w:type="dxa"/>
            <w:vAlign w:val="bottom"/>
            <w:tcBorders>
              <w:bottom w:val="single" w:sz="8" w:color="auto"/>
            </w:tcBorders>
          </w:tcPr>
          <w:p>
            <w:pPr>
              <w:jc w:val="right"/>
              <w:ind w:right="262"/>
              <w:spacing w:after="0" w:line="88" w:lineRule="exact"/>
              <w:rPr>
                <w:sz w:val="20"/>
                <w:szCs w:val="20"/>
                <w:color w:val="auto"/>
              </w:rPr>
            </w:pPr>
            <w:r>
              <w:rPr>
                <w:rFonts w:ascii="Arial" w:cs="Arial" w:eastAsia="Arial" w:hAnsi="Arial"/>
                <w:sz w:val="9"/>
                <w:szCs w:val="9"/>
                <w:b w:val="1"/>
                <w:bCs w:val="1"/>
                <w:color w:val="auto"/>
                <w:w w:val="99"/>
              </w:rPr>
              <w:t>2012</w:t>
            </w:r>
          </w:p>
        </w:tc>
        <w:tc>
          <w:tcPr>
            <w:tcW w:w="320" w:type="dxa"/>
            <w:vAlign w:val="bottom"/>
            <w:tcBorders>
              <w:bottom w:val="single" w:sz="8" w:color="CCEEFF"/>
            </w:tcBorders>
          </w:tcPr>
          <w:p>
            <w:pPr>
              <w:spacing w:after="0"/>
              <w:rPr>
                <w:sz w:val="7"/>
                <w:szCs w:val="7"/>
                <w:color w:val="auto"/>
              </w:rPr>
            </w:pPr>
          </w:p>
        </w:tc>
        <w:tc>
          <w:tcPr>
            <w:tcW w:w="200" w:type="dxa"/>
            <w:vAlign w:val="bottom"/>
            <w:tcBorders>
              <w:bottom w:val="single" w:sz="8" w:color="auto"/>
            </w:tcBorders>
          </w:tcPr>
          <w:p>
            <w:pPr>
              <w:spacing w:after="0"/>
              <w:rPr>
                <w:sz w:val="7"/>
                <w:szCs w:val="7"/>
                <w:color w:val="auto"/>
              </w:rPr>
            </w:pPr>
          </w:p>
        </w:tc>
        <w:tc>
          <w:tcPr>
            <w:tcW w:w="620" w:type="dxa"/>
            <w:vAlign w:val="bottom"/>
            <w:tcBorders>
              <w:bottom w:val="single" w:sz="8" w:color="auto"/>
            </w:tcBorders>
          </w:tcPr>
          <w:p>
            <w:pPr>
              <w:jc w:val="right"/>
              <w:ind w:right="263"/>
              <w:spacing w:after="0" w:line="88" w:lineRule="exact"/>
              <w:rPr>
                <w:sz w:val="20"/>
                <w:szCs w:val="20"/>
                <w:color w:val="auto"/>
              </w:rPr>
            </w:pPr>
            <w:r>
              <w:rPr>
                <w:rFonts w:ascii="Arial" w:cs="Arial" w:eastAsia="Arial" w:hAnsi="Arial"/>
                <w:sz w:val="9"/>
                <w:szCs w:val="9"/>
                <w:b w:val="1"/>
                <w:bCs w:val="1"/>
                <w:color w:val="auto"/>
              </w:rPr>
              <w:t>2013</w:t>
            </w:r>
          </w:p>
        </w:tc>
        <w:tc>
          <w:tcPr>
            <w:tcW w:w="180" w:type="dxa"/>
            <w:vAlign w:val="bottom"/>
            <w:tcBorders>
              <w:bottom w:val="single" w:sz="8" w:color="CCEEFF"/>
            </w:tcBorders>
          </w:tcPr>
          <w:p>
            <w:pPr>
              <w:spacing w:after="0"/>
              <w:rPr>
                <w:sz w:val="7"/>
                <w:szCs w:val="7"/>
                <w:color w:val="auto"/>
              </w:rPr>
            </w:pPr>
          </w:p>
        </w:tc>
        <w:tc>
          <w:tcPr>
            <w:tcW w:w="160" w:type="dxa"/>
            <w:vAlign w:val="bottom"/>
            <w:tcBorders>
              <w:bottom w:val="single" w:sz="8" w:color="CCEEFF"/>
            </w:tcBorders>
          </w:tcPr>
          <w:p>
            <w:pPr>
              <w:spacing w:after="0"/>
              <w:rPr>
                <w:sz w:val="7"/>
                <w:szCs w:val="7"/>
                <w:color w:val="auto"/>
              </w:rPr>
            </w:pPr>
          </w:p>
        </w:tc>
        <w:tc>
          <w:tcPr>
            <w:tcW w:w="260" w:type="dxa"/>
            <w:vAlign w:val="bottom"/>
            <w:tcBorders>
              <w:bottom w:val="single" w:sz="8" w:color="auto"/>
            </w:tcBorders>
          </w:tcPr>
          <w:p>
            <w:pPr>
              <w:spacing w:after="0"/>
              <w:rPr>
                <w:sz w:val="7"/>
                <w:szCs w:val="7"/>
                <w:color w:val="auto"/>
              </w:rPr>
            </w:pPr>
          </w:p>
        </w:tc>
        <w:tc>
          <w:tcPr>
            <w:tcW w:w="560" w:type="dxa"/>
            <w:vAlign w:val="bottom"/>
            <w:tcBorders>
              <w:bottom w:val="single" w:sz="8" w:color="auto"/>
            </w:tcBorders>
          </w:tcPr>
          <w:p>
            <w:pPr>
              <w:jc w:val="right"/>
              <w:ind w:right="262"/>
              <w:spacing w:after="0" w:line="88" w:lineRule="exact"/>
              <w:rPr>
                <w:sz w:val="20"/>
                <w:szCs w:val="20"/>
                <w:color w:val="auto"/>
              </w:rPr>
            </w:pPr>
            <w:r>
              <w:rPr>
                <w:rFonts w:ascii="Arial" w:cs="Arial" w:eastAsia="Arial" w:hAnsi="Arial"/>
                <w:sz w:val="9"/>
                <w:szCs w:val="9"/>
                <w:b w:val="1"/>
                <w:bCs w:val="1"/>
                <w:color w:val="auto"/>
              </w:rPr>
              <w:t>2012</w:t>
            </w:r>
          </w:p>
        </w:tc>
        <w:tc>
          <w:tcPr>
            <w:tcW w:w="120" w:type="dxa"/>
            <w:vAlign w:val="bottom"/>
            <w:tcBorders>
              <w:bottom w:val="single" w:sz="8" w:color="CCEEFF"/>
            </w:tcBorders>
          </w:tcPr>
          <w:p>
            <w:pPr>
              <w:spacing w:after="0"/>
              <w:rPr>
                <w:sz w:val="7"/>
                <w:szCs w:val="7"/>
                <w:color w:val="auto"/>
              </w:rPr>
            </w:pPr>
          </w:p>
        </w:tc>
        <w:tc>
          <w:tcPr>
            <w:tcW w:w="0" w:type="dxa"/>
            <w:vAlign w:val="bottom"/>
          </w:tcPr>
          <w:p>
            <w:pPr>
              <w:spacing w:after="0"/>
              <w:rPr>
                <w:sz w:val="1"/>
                <w:szCs w:val="1"/>
                <w:color w:val="auto"/>
              </w:rPr>
            </w:pPr>
          </w:p>
        </w:tc>
      </w:tr>
      <w:tr>
        <w:trPr>
          <w:trHeight w:val="124"/>
        </w:trPr>
        <w:tc>
          <w:tcPr>
            <w:tcW w:w="7100" w:type="dxa"/>
            <w:vAlign w:val="bottom"/>
            <w:shd w:val="clear" w:color="auto" w:fill="CCEEFF"/>
          </w:tcPr>
          <w:p>
            <w:pPr>
              <w:spacing w:after="0" w:line="124" w:lineRule="exact"/>
              <w:rPr>
                <w:sz w:val="20"/>
                <w:szCs w:val="20"/>
                <w:color w:val="auto"/>
              </w:rPr>
            </w:pPr>
            <w:r>
              <w:rPr>
                <w:rFonts w:ascii="Arial" w:cs="Arial" w:eastAsia="Arial" w:hAnsi="Arial"/>
                <w:sz w:val="12"/>
                <w:szCs w:val="12"/>
                <w:color w:val="auto"/>
              </w:rPr>
              <w:t>Operating revenues:</w:t>
            </w:r>
          </w:p>
        </w:tc>
        <w:tc>
          <w:tcPr>
            <w:tcW w:w="20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4"/>
        </w:trPr>
        <w:tc>
          <w:tcPr>
            <w:tcW w:w="7100" w:type="dxa"/>
            <w:vAlign w:val="bottom"/>
          </w:tcPr>
          <w:p>
            <w:pPr>
              <w:ind w:left="280"/>
              <w:spacing w:after="0"/>
              <w:rPr>
                <w:sz w:val="20"/>
                <w:szCs w:val="20"/>
                <w:color w:val="auto"/>
              </w:rPr>
            </w:pPr>
            <w:r>
              <w:rPr>
                <w:rFonts w:ascii="Arial" w:cs="Arial" w:eastAsia="Arial" w:hAnsi="Arial"/>
                <w:sz w:val="12"/>
                <w:szCs w:val="12"/>
                <w:color w:val="auto"/>
              </w:rPr>
              <w:t>Casino</w:t>
            </w:r>
          </w:p>
        </w:tc>
        <w:tc>
          <w:tcPr>
            <w:tcW w:w="200" w:type="dxa"/>
            <w:vAlign w:val="bottom"/>
          </w:tcPr>
          <w:p>
            <w:pPr>
              <w:jc w:val="right"/>
              <w:ind w:right="93"/>
              <w:spacing w:after="0"/>
              <w:rPr>
                <w:sz w:val="20"/>
                <w:szCs w:val="20"/>
                <w:color w:val="auto"/>
              </w:rPr>
            </w:pPr>
            <w:r>
              <w:rPr>
                <w:rFonts w:ascii="Arial" w:cs="Arial" w:eastAsia="Arial" w:hAnsi="Arial"/>
                <w:sz w:val="9"/>
                <w:szCs w:val="9"/>
                <w:color w:val="auto"/>
                <w:w w:val="78"/>
              </w:rPr>
              <w:t>$</w:t>
            </w:r>
          </w:p>
        </w:tc>
        <w:tc>
          <w:tcPr>
            <w:tcW w:w="800" w:type="dxa"/>
            <w:vAlign w:val="bottom"/>
            <w:gridSpan w:val="2"/>
          </w:tcPr>
          <w:p>
            <w:pPr>
              <w:jc w:val="right"/>
              <w:ind w:right="200"/>
              <w:spacing w:after="0"/>
              <w:rPr>
                <w:sz w:val="20"/>
                <w:szCs w:val="20"/>
                <w:color w:val="auto"/>
              </w:rPr>
            </w:pPr>
            <w:r>
              <w:rPr>
                <w:rFonts w:ascii="Arial" w:cs="Arial" w:eastAsia="Arial" w:hAnsi="Arial"/>
                <w:sz w:val="12"/>
                <w:szCs w:val="12"/>
                <w:color w:val="auto"/>
              </w:rPr>
              <w:t>1,105,595</w:t>
            </w:r>
          </w:p>
        </w:tc>
        <w:tc>
          <w:tcPr>
            <w:tcW w:w="42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540" w:type="dxa"/>
            <w:vAlign w:val="bottom"/>
          </w:tcPr>
          <w:p>
            <w:pPr>
              <w:jc w:val="right"/>
              <w:spacing w:after="0"/>
              <w:rPr>
                <w:sz w:val="20"/>
                <w:szCs w:val="20"/>
                <w:color w:val="auto"/>
              </w:rPr>
            </w:pPr>
            <w:r>
              <w:rPr>
                <w:rFonts w:ascii="Arial" w:cs="Arial" w:eastAsia="Arial" w:hAnsi="Arial"/>
                <w:sz w:val="12"/>
                <w:szCs w:val="12"/>
                <w:color w:val="auto"/>
                <w:w w:val="97"/>
              </w:rPr>
              <w:t>1,012,841</w:t>
            </w:r>
          </w:p>
        </w:tc>
        <w:tc>
          <w:tcPr>
            <w:tcW w:w="320" w:type="dxa"/>
            <w:vAlign w:val="bottom"/>
          </w:tcPr>
          <w:p>
            <w:pPr>
              <w:spacing w:after="0"/>
              <w:rPr>
                <w:sz w:val="12"/>
                <w:szCs w:val="12"/>
                <w:color w:val="auto"/>
              </w:rPr>
            </w:pPr>
          </w:p>
        </w:tc>
        <w:tc>
          <w:tcPr>
            <w:tcW w:w="200" w:type="dxa"/>
            <w:vAlign w:val="bottom"/>
          </w:tcPr>
          <w:p>
            <w:pPr>
              <w:jc w:val="right"/>
              <w:ind w:right="93"/>
              <w:spacing w:after="0"/>
              <w:rPr>
                <w:sz w:val="20"/>
                <w:szCs w:val="20"/>
                <w:color w:val="auto"/>
              </w:rPr>
            </w:pPr>
            <w:r>
              <w:rPr>
                <w:rFonts w:ascii="Arial" w:cs="Arial" w:eastAsia="Arial" w:hAnsi="Arial"/>
                <w:sz w:val="9"/>
                <w:szCs w:val="9"/>
                <w:color w:val="auto"/>
                <w:w w:val="78"/>
              </w:rPr>
              <w:t>$</w:t>
            </w:r>
          </w:p>
        </w:tc>
        <w:tc>
          <w:tcPr>
            <w:tcW w:w="800" w:type="dxa"/>
            <w:vAlign w:val="bottom"/>
            <w:gridSpan w:val="2"/>
          </w:tcPr>
          <w:p>
            <w:pPr>
              <w:jc w:val="right"/>
              <w:ind w:right="180"/>
              <w:spacing w:after="0"/>
              <w:rPr>
                <w:sz w:val="20"/>
                <w:szCs w:val="20"/>
                <w:color w:val="auto"/>
              </w:rPr>
            </w:pPr>
            <w:r>
              <w:rPr>
                <w:rFonts w:ascii="Arial" w:cs="Arial" w:eastAsia="Arial" w:hAnsi="Arial"/>
                <w:sz w:val="12"/>
                <w:szCs w:val="12"/>
                <w:color w:val="auto"/>
              </w:rPr>
              <w:t>3,228,246</w:t>
            </w:r>
          </w:p>
        </w:tc>
        <w:tc>
          <w:tcPr>
            <w:tcW w:w="42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560" w:type="dxa"/>
            <w:vAlign w:val="bottom"/>
          </w:tcPr>
          <w:p>
            <w:pPr>
              <w:jc w:val="right"/>
              <w:spacing w:after="0"/>
              <w:rPr>
                <w:sz w:val="20"/>
                <w:szCs w:val="20"/>
                <w:color w:val="auto"/>
              </w:rPr>
            </w:pPr>
            <w:r>
              <w:rPr>
                <w:rFonts w:ascii="Arial" w:cs="Arial" w:eastAsia="Arial" w:hAnsi="Arial"/>
                <w:sz w:val="12"/>
                <w:szCs w:val="12"/>
                <w:color w:val="auto"/>
              </w:rPr>
              <w:t>3,015,510</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7100" w:type="dxa"/>
            <w:vAlign w:val="bottom"/>
            <w:shd w:val="clear" w:color="auto" w:fill="CCEEFF"/>
          </w:tcPr>
          <w:p>
            <w:pPr>
              <w:ind w:left="280"/>
              <w:spacing w:after="0"/>
              <w:rPr>
                <w:sz w:val="20"/>
                <w:szCs w:val="20"/>
                <w:color w:val="auto"/>
              </w:rPr>
            </w:pPr>
            <w:r>
              <w:rPr>
                <w:rFonts w:ascii="Arial" w:cs="Arial" w:eastAsia="Arial" w:hAnsi="Arial"/>
                <w:sz w:val="12"/>
                <w:szCs w:val="12"/>
                <w:color w:val="auto"/>
              </w:rPr>
              <w:t>Rooms</w:t>
            </w:r>
          </w:p>
        </w:tc>
        <w:tc>
          <w:tcPr>
            <w:tcW w:w="20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123,078</w:t>
            </w:r>
          </w:p>
        </w:tc>
        <w:tc>
          <w:tcPr>
            <w:tcW w:w="1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119,635</w:t>
            </w:r>
          </w:p>
        </w:tc>
        <w:tc>
          <w:tcPr>
            <w:tcW w:w="3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372,931</w:t>
            </w:r>
          </w:p>
        </w:tc>
        <w:tc>
          <w:tcPr>
            <w:tcW w:w="1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362,018</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7100" w:type="dxa"/>
            <w:vAlign w:val="bottom"/>
          </w:tcPr>
          <w:p>
            <w:pPr>
              <w:ind w:left="280"/>
              <w:spacing w:after="0"/>
              <w:rPr>
                <w:sz w:val="20"/>
                <w:szCs w:val="20"/>
                <w:color w:val="auto"/>
              </w:rPr>
            </w:pPr>
            <w:r>
              <w:rPr>
                <w:rFonts w:ascii="Arial" w:cs="Arial" w:eastAsia="Arial" w:hAnsi="Arial"/>
                <w:sz w:val="12"/>
                <w:szCs w:val="12"/>
                <w:color w:val="auto"/>
              </w:rPr>
              <w:t>Food and beverage</w:t>
            </w:r>
          </w:p>
        </w:tc>
        <w:tc>
          <w:tcPr>
            <w:tcW w:w="200" w:type="dxa"/>
            <w:vAlign w:val="bottom"/>
          </w:tcPr>
          <w:p>
            <w:pPr>
              <w:spacing w:after="0"/>
              <w:rPr>
                <w:sz w:val="12"/>
                <w:szCs w:val="12"/>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2"/>
                <w:szCs w:val="12"/>
                <w:color w:val="auto"/>
              </w:rPr>
              <w:t>152,218</w:t>
            </w:r>
          </w:p>
        </w:tc>
        <w:tc>
          <w:tcPr>
            <w:tcW w:w="1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Arial" w:cs="Arial" w:eastAsia="Arial" w:hAnsi="Arial"/>
                <w:sz w:val="12"/>
                <w:szCs w:val="12"/>
                <w:color w:val="auto"/>
              </w:rPr>
              <w:t>156,568</w:t>
            </w:r>
          </w:p>
        </w:tc>
        <w:tc>
          <w:tcPr>
            <w:tcW w:w="3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2"/>
                <w:szCs w:val="12"/>
                <w:color w:val="auto"/>
              </w:rPr>
              <w:t>461,474</w:t>
            </w:r>
          </w:p>
        </w:tc>
        <w:tc>
          <w:tcPr>
            <w:tcW w:w="1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Arial" w:cs="Arial" w:eastAsia="Arial" w:hAnsi="Arial"/>
                <w:sz w:val="12"/>
                <w:szCs w:val="12"/>
                <w:color w:val="auto"/>
              </w:rPr>
              <w:t>452,845</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7100" w:type="dxa"/>
            <w:vAlign w:val="bottom"/>
            <w:shd w:val="clear" w:color="auto" w:fill="CCEEFF"/>
          </w:tcPr>
          <w:p>
            <w:pPr>
              <w:ind w:left="280"/>
              <w:spacing w:after="0"/>
              <w:rPr>
                <w:sz w:val="20"/>
                <w:szCs w:val="20"/>
                <w:color w:val="auto"/>
              </w:rPr>
            </w:pPr>
            <w:r>
              <w:rPr>
                <w:rFonts w:ascii="Arial" w:cs="Arial" w:eastAsia="Arial" w:hAnsi="Arial"/>
                <w:sz w:val="12"/>
                <w:szCs w:val="12"/>
                <w:color w:val="auto"/>
              </w:rPr>
              <w:t>Entertainment, retail and other</w:t>
            </w:r>
          </w:p>
        </w:tc>
        <w:tc>
          <w:tcPr>
            <w:tcW w:w="20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105,144</w:t>
            </w:r>
          </w:p>
        </w:tc>
        <w:tc>
          <w:tcPr>
            <w:tcW w:w="1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101,087</w:t>
            </w:r>
          </w:p>
        </w:tc>
        <w:tc>
          <w:tcPr>
            <w:tcW w:w="3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309,738</w:t>
            </w:r>
          </w:p>
        </w:tc>
        <w:tc>
          <w:tcPr>
            <w:tcW w:w="1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308,398</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7100" w:type="dxa"/>
            <w:vAlign w:val="bottom"/>
            <w:vMerge w:val="restart"/>
          </w:tcPr>
          <w:p>
            <w:pPr>
              <w:ind w:left="560"/>
              <w:spacing w:after="0"/>
              <w:rPr>
                <w:sz w:val="20"/>
                <w:szCs w:val="20"/>
                <w:color w:val="auto"/>
              </w:rPr>
            </w:pPr>
            <w:r>
              <w:rPr>
                <w:rFonts w:ascii="Arial" w:cs="Arial" w:eastAsia="Arial" w:hAnsi="Arial"/>
                <w:sz w:val="12"/>
                <w:szCs w:val="12"/>
                <w:color w:val="auto"/>
              </w:rPr>
              <w:t>Gross revenues</w:t>
            </w:r>
          </w:p>
        </w:tc>
        <w:tc>
          <w:tcPr>
            <w:tcW w:w="2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1"/>
        </w:trPr>
        <w:tc>
          <w:tcPr>
            <w:tcW w:w="710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2"/>
                <w:szCs w:val="12"/>
                <w:color w:val="auto"/>
              </w:rPr>
              <w:t>1,486,035</w:t>
            </w:r>
          </w:p>
        </w:tc>
        <w:tc>
          <w:tcPr>
            <w:tcW w:w="1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Arial" w:cs="Arial" w:eastAsia="Arial" w:hAnsi="Arial"/>
                <w:sz w:val="12"/>
                <w:szCs w:val="12"/>
                <w:color w:val="auto"/>
                <w:w w:val="97"/>
              </w:rPr>
              <w:t>1,390,131</w:t>
            </w:r>
          </w:p>
        </w:tc>
        <w:tc>
          <w:tcPr>
            <w:tcW w:w="3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2"/>
                <w:szCs w:val="12"/>
                <w:color w:val="auto"/>
              </w:rPr>
              <w:t>4,372,389</w:t>
            </w:r>
          </w:p>
        </w:tc>
        <w:tc>
          <w:tcPr>
            <w:tcW w:w="1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Arial" w:cs="Arial" w:eastAsia="Arial" w:hAnsi="Arial"/>
                <w:sz w:val="12"/>
                <w:szCs w:val="12"/>
                <w:color w:val="auto"/>
              </w:rPr>
              <w:t>4,138,771</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7100" w:type="dxa"/>
            <w:vAlign w:val="bottom"/>
            <w:shd w:val="clear" w:color="auto" w:fill="CCEEFF"/>
          </w:tcPr>
          <w:p>
            <w:pPr>
              <w:ind w:left="280"/>
              <w:spacing w:after="0"/>
              <w:rPr>
                <w:sz w:val="20"/>
                <w:szCs w:val="20"/>
                <w:color w:val="auto"/>
              </w:rPr>
            </w:pPr>
            <w:r>
              <w:rPr>
                <w:rFonts w:ascii="Arial" w:cs="Arial" w:eastAsia="Arial" w:hAnsi="Arial"/>
                <w:sz w:val="12"/>
                <w:szCs w:val="12"/>
                <w:color w:val="auto"/>
              </w:rPr>
              <w:t>Less: promotional allowances</w:t>
            </w:r>
          </w:p>
        </w:tc>
        <w:tc>
          <w:tcPr>
            <w:tcW w:w="20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(95,923)</w:t>
            </w:r>
          </w:p>
        </w:tc>
        <w:tc>
          <w:tcPr>
            <w:tcW w:w="1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280"/>
              <w:spacing w:after="0"/>
              <w:rPr>
                <w:sz w:val="20"/>
                <w:szCs w:val="20"/>
                <w:color w:val="auto"/>
              </w:rPr>
            </w:pPr>
            <w:r>
              <w:rPr>
                <w:rFonts w:ascii="Arial" w:cs="Arial" w:eastAsia="Arial" w:hAnsi="Arial"/>
                <w:sz w:val="12"/>
                <w:szCs w:val="12"/>
                <w:color w:val="auto"/>
              </w:rPr>
              <w:t>(91,636)</w:t>
            </w:r>
          </w:p>
        </w:tc>
        <w:tc>
          <w:tcPr>
            <w:tcW w:w="20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(271,350)</w:t>
            </w:r>
          </w:p>
        </w:tc>
        <w:tc>
          <w:tcPr>
            <w:tcW w:w="1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(273,571)</w:t>
            </w:r>
          </w:p>
        </w:tc>
        <w:tc>
          <w:tcPr>
            <w:tcW w:w="0" w:type="dxa"/>
            <w:vAlign w:val="bottom"/>
          </w:tcPr>
          <w:p>
            <w:pPr>
              <w:spacing w:after="0"/>
              <w:rPr>
                <w:sz w:val="1"/>
                <w:szCs w:val="1"/>
                <w:color w:val="auto"/>
              </w:rPr>
            </w:pPr>
          </w:p>
        </w:tc>
      </w:tr>
      <w:tr>
        <w:trPr>
          <w:trHeight w:val="20"/>
        </w:trPr>
        <w:tc>
          <w:tcPr>
            <w:tcW w:w="7100" w:type="dxa"/>
            <w:vAlign w:val="bottom"/>
            <w:vMerge w:val="restart"/>
          </w:tcPr>
          <w:p>
            <w:pPr>
              <w:ind w:left="560"/>
              <w:spacing w:after="0"/>
              <w:rPr>
                <w:sz w:val="20"/>
                <w:szCs w:val="20"/>
                <w:color w:val="auto"/>
              </w:rPr>
            </w:pPr>
            <w:r>
              <w:rPr>
                <w:rFonts w:ascii="Arial" w:cs="Arial" w:eastAsia="Arial" w:hAnsi="Arial"/>
                <w:sz w:val="12"/>
                <w:szCs w:val="12"/>
                <w:color w:val="auto"/>
              </w:rPr>
              <w:t>Net revenues</w:t>
            </w:r>
          </w:p>
        </w:tc>
        <w:tc>
          <w:tcPr>
            <w:tcW w:w="2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1"/>
        </w:trPr>
        <w:tc>
          <w:tcPr>
            <w:tcW w:w="710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2"/>
                <w:szCs w:val="12"/>
                <w:color w:val="auto"/>
              </w:rPr>
              <w:t>1,390,112</w:t>
            </w:r>
          </w:p>
        </w:tc>
        <w:tc>
          <w:tcPr>
            <w:tcW w:w="1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Arial" w:cs="Arial" w:eastAsia="Arial" w:hAnsi="Arial"/>
                <w:sz w:val="12"/>
                <w:szCs w:val="12"/>
                <w:color w:val="auto"/>
                <w:w w:val="97"/>
              </w:rPr>
              <w:t>1,298,495</w:t>
            </w:r>
          </w:p>
        </w:tc>
        <w:tc>
          <w:tcPr>
            <w:tcW w:w="3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2"/>
                <w:szCs w:val="12"/>
                <w:color w:val="auto"/>
              </w:rPr>
              <w:t>4,101,039</w:t>
            </w:r>
          </w:p>
        </w:tc>
        <w:tc>
          <w:tcPr>
            <w:tcW w:w="1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Arial" w:cs="Arial" w:eastAsia="Arial" w:hAnsi="Arial"/>
                <w:sz w:val="12"/>
                <w:szCs w:val="12"/>
                <w:color w:val="auto"/>
              </w:rPr>
              <w:t>3,865,200</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7100" w:type="dxa"/>
            <w:vAlign w:val="bottom"/>
            <w:shd w:val="clear" w:color="auto" w:fill="CCEEFF"/>
          </w:tcPr>
          <w:p>
            <w:pPr>
              <w:spacing w:after="0"/>
              <w:rPr>
                <w:sz w:val="20"/>
                <w:szCs w:val="20"/>
                <w:color w:val="auto"/>
              </w:rPr>
            </w:pPr>
            <w:r>
              <w:rPr>
                <w:rFonts w:ascii="Arial" w:cs="Arial" w:eastAsia="Arial" w:hAnsi="Arial"/>
                <w:sz w:val="12"/>
                <w:szCs w:val="12"/>
                <w:color w:val="auto"/>
              </w:rPr>
              <w:t>Operating costs and expenses:</w:t>
            </w:r>
          </w:p>
        </w:tc>
        <w:tc>
          <w:tcPr>
            <w:tcW w:w="200" w:type="dxa"/>
            <w:vAlign w:val="bottom"/>
            <w:tcBorders>
              <w:top w:val="single" w:sz="8" w:color="auto"/>
            </w:tcBorders>
            <w:shd w:val="clear" w:color="auto" w:fill="CCEEFF"/>
          </w:tcPr>
          <w:p>
            <w:pPr>
              <w:spacing w:after="0"/>
              <w:rPr>
                <w:sz w:val="12"/>
                <w:szCs w:val="12"/>
                <w:color w:val="auto"/>
              </w:rPr>
            </w:pPr>
          </w:p>
        </w:tc>
        <w:tc>
          <w:tcPr>
            <w:tcW w:w="600" w:type="dxa"/>
            <w:vAlign w:val="bottom"/>
            <w:tcBorders>
              <w:top w:val="single" w:sz="8" w:color="auto"/>
            </w:tcBorders>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80" w:type="dxa"/>
            <w:vAlign w:val="bottom"/>
            <w:tcBorders>
              <w:top w:val="single" w:sz="8" w:color="auto"/>
            </w:tcBorders>
            <w:shd w:val="clear" w:color="auto" w:fill="CCEEFF"/>
          </w:tcPr>
          <w:p>
            <w:pPr>
              <w:spacing w:after="0"/>
              <w:rPr>
                <w:sz w:val="12"/>
                <w:szCs w:val="12"/>
                <w:color w:val="auto"/>
              </w:rPr>
            </w:pPr>
          </w:p>
        </w:tc>
        <w:tc>
          <w:tcPr>
            <w:tcW w:w="540" w:type="dxa"/>
            <w:vAlign w:val="bottom"/>
            <w:tcBorders>
              <w:top w:val="single" w:sz="8" w:color="auto"/>
            </w:tcBorders>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200" w:type="dxa"/>
            <w:vAlign w:val="bottom"/>
            <w:tcBorders>
              <w:top w:val="single" w:sz="8" w:color="auto"/>
            </w:tcBorders>
            <w:shd w:val="clear" w:color="auto" w:fill="CCEEFF"/>
          </w:tcPr>
          <w:p>
            <w:pPr>
              <w:spacing w:after="0"/>
              <w:rPr>
                <w:sz w:val="12"/>
                <w:szCs w:val="12"/>
                <w:color w:val="auto"/>
              </w:rPr>
            </w:pPr>
          </w:p>
        </w:tc>
        <w:tc>
          <w:tcPr>
            <w:tcW w:w="620" w:type="dxa"/>
            <w:vAlign w:val="bottom"/>
            <w:tcBorders>
              <w:top w:val="single" w:sz="8" w:color="auto"/>
            </w:tcBorders>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60" w:type="dxa"/>
            <w:vAlign w:val="bottom"/>
            <w:tcBorders>
              <w:top w:val="single" w:sz="8" w:color="auto"/>
            </w:tcBorders>
            <w:shd w:val="clear" w:color="auto" w:fill="CCEEFF"/>
          </w:tcPr>
          <w:p>
            <w:pPr>
              <w:spacing w:after="0"/>
              <w:rPr>
                <w:sz w:val="12"/>
                <w:szCs w:val="12"/>
                <w:color w:val="auto"/>
              </w:rPr>
            </w:pPr>
          </w:p>
        </w:tc>
        <w:tc>
          <w:tcPr>
            <w:tcW w:w="560" w:type="dxa"/>
            <w:vAlign w:val="bottom"/>
            <w:tcBorders>
              <w:top w:val="single" w:sz="8" w:color="auto"/>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7100" w:type="dxa"/>
            <w:vAlign w:val="bottom"/>
          </w:tcPr>
          <w:p>
            <w:pPr>
              <w:ind w:left="280"/>
              <w:spacing w:after="0"/>
              <w:rPr>
                <w:sz w:val="20"/>
                <w:szCs w:val="20"/>
                <w:color w:val="auto"/>
              </w:rPr>
            </w:pPr>
            <w:r>
              <w:rPr>
                <w:rFonts w:ascii="Arial" w:cs="Arial" w:eastAsia="Arial" w:hAnsi="Arial"/>
                <w:sz w:val="12"/>
                <w:szCs w:val="12"/>
                <w:color w:val="auto"/>
              </w:rPr>
              <w:t>Casino</w:t>
            </w:r>
          </w:p>
        </w:tc>
        <w:tc>
          <w:tcPr>
            <w:tcW w:w="200" w:type="dxa"/>
            <w:vAlign w:val="bottom"/>
          </w:tcPr>
          <w:p>
            <w:pPr>
              <w:spacing w:after="0"/>
              <w:rPr>
                <w:sz w:val="12"/>
                <w:szCs w:val="12"/>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2"/>
                <w:szCs w:val="12"/>
                <w:color w:val="auto"/>
              </w:rPr>
              <w:t>699,897</w:t>
            </w:r>
          </w:p>
        </w:tc>
        <w:tc>
          <w:tcPr>
            <w:tcW w:w="1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Arial" w:cs="Arial" w:eastAsia="Arial" w:hAnsi="Arial"/>
                <w:sz w:val="12"/>
                <w:szCs w:val="12"/>
                <w:color w:val="auto"/>
              </w:rPr>
              <w:t>653,863</w:t>
            </w:r>
          </w:p>
        </w:tc>
        <w:tc>
          <w:tcPr>
            <w:tcW w:w="3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2"/>
                <w:szCs w:val="12"/>
                <w:color w:val="auto"/>
              </w:rPr>
              <w:t>2,062,507</w:t>
            </w:r>
          </w:p>
        </w:tc>
        <w:tc>
          <w:tcPr>
            <w:tcW w:w="1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Arial" w:cs="Arial" w:eastAsia="Arial" w:hAnsi="Arial"/>
                <w:sz w:val="12"/>
                <w:szCs w:val="12"/>
                <w:color w:val="auto"/>
              </w:rPr>
              <w:t>1,974,207</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7100" w:type="dxa"/>
            <w:vAlign w:val="bottom"/>
            <w:shd w:val="clear" w:color="auto" w:fill="CCEEFF"/>
          </w:tcPr>
          <w:p>
            <w:pPr>
              <w:ind w:left="280"/>
              <w:spacing w:after="0"/>
              <w:rPr>
                <w:sz w:val="20"/>
                <w:szCs w:val="20"/>
                <w:color w:val="auto"/>
              </w:rPr>
            </w:pPr>
            <w:r>
              <w:rPr>
                <w:rFonts w:ascii="Arial" w:cs="Arial" w:eastAsia="Arial" w:hAnsi="Arial"/>
                <w:sz w:val="12"/>
                <w:szCs w:val="12"/>
                <w:color w:val="auto"/>
              </w:rPr>
              <w:t>Rooms</w:t>
            </w:r>
          </w:p>
        </w:tc>
        <w:tc>
          <w:tcPr>
            <w:tcW w:w="20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33,646</w:t>
            </w:r>
          </w:p>
        </w:tc>
        <w:tc>
          <w:tcPr>
            <w:tcW w:w="1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31,944</w:t>
            </w:r>
          </w:p>
        </w:tc>
        <w:tc>
          <w:tcPr>
            <w:tcW w:w="3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101,020</w:t>
            </w:r>
          </w:p>
        </w:tc>
        <w:tc>
          <w:tcPr>
            <w:tcW w:w="1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95,193</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7100" w:type="dxa"/>
            <w:vAlign w:val="bottom"/>
          </w:tcPr>
          <w:p>
            <w:pPr>
              <w:ind w:left="280"/>
              <w:spacing w:after="0"/>
              <w:rPr>
                <w:sz w:val="20"/>
                <w:szCs w:val="20"/>
                <w:color w:val="auto"/>
              </w:rPr>
            </w:pPr>
            <w:r>
              <w:rPr>
                <w:rFonts w:ascii="Arial" w:cs="Arial" w:eastAsia="Arial" w:hAnsi="Arial"/>
                <w:sz w:val="12"/>
                <w:szCs w:val="12"/>
                <w:color w:val="auto"/>
              </w:rPr>
              <w:t>Food and beverage</w:t>
            </w:r>
          </w:p>
        </w:tc>
        <w:tc>
          <w:tcPr>
            <w:tcW w:w="200" w:type="dxa"/>
            <w:vAlign w:val="bottom"/>
          </w:tcPr>
          <w:p>
            <w:pPr>
              <w:spacing w:after="0"/>
              <w:rPr>
                <w:sz w:val="12"/>
                <w:szCs w:val="12"/>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2"/>
                <w:szCs w:val="12"/>
                <w:color w:val="auto"/>
              </w:rPr>
              <w:t>84,118</w:t>
            </w:r>
          </w:p>
        </w:tc>
        <w:tc>
          <w:tcPr>
            <w:tcW w:w="1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Arial" w:cs="Arial" w:eastAsia="Arial" w:hAnsi="Arial"/>
                <w:sz w:val="12"/>
                <w:szCs w:val="12"/>
                <w:color w:val="auto"/>
              </w:rPr>
              <w:t>80,652</w:t>
            </w:r>
          </w:p>
        </w:tc>
        <w:tc>
          <w:tcPr>
            <w:tcW w:w="3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2"/>
                <w:szCs w:val="12"/>
                <w:color w:val="auto"/>
              </w:rPr>
              <w:t>253,458</w:t>
            </w:r>
          </w:p>
        </w:tc>
        <w:tc>
          <w:tcPr>
            <w:tcW w:w="1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Arial" w:cs="Arial" w:eastAsia="Arial" w:hAnsi="Arial"/>
                <w:sz w:val="12"/>
                <w:szCs w:val="12"/>
                <w:color w:val="auto"/>
              </w:rPr>
              <w:t>235,570</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7100" w:type="dxa"/>
            <w:vAlign w:val="bottom"/>
            <w:shd w:val="clear" w:color="auto" w:fill="CCEEFF"/>
          </w:tcPr>
          <w:p>
            <w:pPr>
              <w:ind w:left="280"/>
              <w:spacing w:after="0"/>
              <w:rPr>
                <w:sz w:val="20"/>
                <w:szCs w:val="20"/>
                <w:color w:val="auto"/>
              </w:rPr>
            </w:pPr>
            <w:r>
              <w:rPr>
                <w:rFonts w:ascii="Arial" w:cs="Arial" w:eastAsia="Arial" w:hAnsi="Arial"/>
                <w:sz w:val="12"/>
                <w:szCs w:val="12"/>
                <w:color w:val="auto"/>
              </w:rPr>
              <w:t>Entertainment, retail and other</w:t>
            </w:r>
          </w:p>
        </w:tc>
        <w:tc>
          <w:tcPr>
            <w:tcW w:w="20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45,478</w:t>
            </w:r>
          </w:p>
        </w:tc>
        <w:tc>
          <w:tcPr>
            <w:tcW w:w="1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46,881</w:t>
            </w:r>
          </w:p>
        </w:tc>
        <w:tc>
          <w:tcPr>
            <w:tcW w:w="3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128,760</w:t>
            </w:r>
          </w:p>
        </w:tc>
        <w:tc>
          <w:tcPr>
            <w:tcW w:w="1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144,647</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7100" w:type="dxa"/>
            <w:vAlign w:val="bottom"/>
          </w:tcPr>
          <w:p>
            <w:pPr>
              <w:ind w:left="280"/>
              <w:spacing w:after="0"/>
              <w:rPr>
                <w:sz w:val="20"/>
                <w:szCs w:val="20"/>
                <w:color w:val="auto"/>
              </w:rPr>
            </w:pPr>
            <w:r>
              <w:rPr>
                <w:rFonts w:ascii="Arial" w:cs="Arial" w:eastAsia="Arial" w:hAnsi="Arial"/>
                <w:sz w:val="12"/>
                <w:szCs w:val="12"/>
                <w:color w:val="auto"/>
              </w:rPr>
              <w:t>General and administrative</w:t>
            </w:r>
          </w:p>
        </w:tc>
        <w:tc>
          <w:tcPr>
            <w:tcW w:w="200" w:type="dxa"/>
            <w:vAlign w:val="bottom"/>
          </w:tcPr>
          <w:p>
            <w:pPr>
              <w:spacing w:after="0"/>
              <w:rPr>
                <w:sz w:val="12"/>
                <w:szCs w:val="12"/>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2"/>
                <w:szCs w:val="12"/>
                <w:color w:val="auto"/>
              </w:rPr>
              <w:t>105,026</w:t>
            </w:r>
          </w:p>
        </w:tc>
        <w:tc>
          <w:tcPr>
            <w:tcW w:w="1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Arial" w:cs="Arial" w:eastAsia="Arial" w:hAnsi="Arial"/>
                <w:sz w:val="12"/>
                <w:szCs w:val="12"/>
                <w:color w:val="auto"/>
              </w:rPr>
              <w:t>115,785</w:t>
            </w:r>
          </w:p>
        </w:tc>
        <w:tc>
          <w:tcPr>
            <w:tcW w:w="3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2"/>
                <w:szCs w:val="12"/>
                <w:color w:val="auto"/>
              </w:rPr>
              <w:t>332,316</w:t>
            </w:r>
          </w:p>
        </w:tc>
        <w:tc>
          <w:tcPr>
            <w:tcW w:w="1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Arial" w:cs="Arial" w:eastAsia="Arial" w:hAnsi="Arial"/>
                <w:sz w:val="12"/>
                <w:szCs w:val="12"/>
                <w:color w:val="auto"/>
              </w:rPr>
              <w:t>321,512</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7100" w:type="dxa"/>
            <w:vAlign w:val="bottom"/>
            <w:shd w:val="clear" w:color="auto" w:fill="CCEEFF"/>
          </w:tcPr>
          <w:p>
            <w:pPr>
              <w:ind w:left="280"/>
              <w:spacing w:after="0"/>
              <w:rPr>
                <w:sz w:val="20"/>
                <w:szCs w:val="20"/>
                <w:color w:val="auto"/>
              </w:rPr>
            </w:pPr>
            <w:r>
              <w:rPr>
                <w:rFonts w:ascii="Arial" w:cs="Arial" w:eastAsia="Arial" w:hAnsi="Arial"/>
                <w:sz w:val="12"/>
                <w:szCs w:val="12"/>
                <w:color w:val="auto"/>
              </w:rPr>
              <w:t>Provision for doubtful accounts</w:t>
            </w:r>
          </w:p>
        </w:tc>
        <w:tc>
          <w:tcPr>
            <w:tcW w:w="20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11,325</w:t>
            </w:r>
          </w:p>
        </w:tc>
        <w:tc>
          <w:tcPr>
            <w:tcW w:w="1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5,283</w:t>
            </w:r>
          </w:p>
        </w:tc>
        <w:tc>
          <w:tcPr>
            <w:tcW w:w="3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7,104</w:t>
            </w:r>
          </w:p>
        </w:tc>
        <w:tc>
          <w:tcPr>
            <w:tcW w:w="1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6,068</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7100" w:type="dxa"/>
            <w:vAlign w:val="bottom"/>
          </w:tcPr>
          <w:p>
            <w:pPr>
              <w:ind w:left="280"/>
              <w:spacing w:after="0"/>
              <w:rPr>
                <w:sz w:val="20"/>
                <w:szCs w:val="20"/>
                <w:color w:val="auto"/>
              </w:rPr>
            </w:pPr>
            <w:r>
              <w:rPr>
                <w:rFonts w:ascii="Arial" w:cs="Arial" w:eastAsia="Arial" w:hAnsi="Arial"/>
                <w:sz w:val="12"/>
                <w:szCs w:val="12"/>
                <w:color w:val="auto"/>
              </w:rPr>
              <w:t>Pre-opening costs</w:t>
            </w:r>
          </w:p>
        </w:tc>
        <w:tc>
          <w:tcPr>
            <w:tcW w:w="200" w:type="dxa"/>
            <w:vAlign w:val="bottom"/>
          </w:tcPr>
          <w:p>
            <w:pPr>
              <w:spacing w:after="0"/>
              <w:rPr>
                <w:sz w:val="12"/>
                <w:szCs w:val="12"/>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2"/>
                <w:szCs w:val="12"/>
                <w:color w:val="auto"/>
              </w:rPr>
              <w:t>706</w:t>
            </w:r>
          </w:p>
        </w:tc>
        <w:tc>
          <w:tcPr>
            <w:tcW w:w="1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60" w:type="dxa"/>
            <w:vAlign w:val="bottom"/>
            <w:gridSpan w:val="2"/>
          </w:tcPr>
          <w:p>
            <w:pPr>
              <w:jc w:val="right"/>
              <w:ind w:right="380"/>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12"/>
                <w:szCs w:val="12"/>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2"/>
                <w:szCs w:val="12"/>
                <w:color w:val="auto"/>
              </w:rPr>
              <w:t>1,592</w:t>
            </w:r>
          </w:p>
        </w:tc>
        <w:tc>
          <w:tcPr>
            <w:tcW w:w="1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44"/>
        </w:trPr>
        <w:tc>
          <w:tcPr>
            <w:tcW w:w="7100" w:type="dxa"/>
            <w:vAlign w:val="bottom"/>
            <w:shd w:val="clear" w:color="auto" w:fill="CCEEFF"/>
          </w:tcPr>
          <w:p>
            <w:pPr>
              <w:ind w:left="280"/>
              <w:spacing w:after="0"/>
              <w:rPr>
                <w:sz w:val="20"/>
                <w:szCs w:val="20"/>
                <w:color w:val="auto"/>
              </w:rPr>
            </w:pPr>
            <w:r>
              <w:rPr>
                <w:rFonts w:ascii="Arial" w:cs="Arial" w:eastAsia="Arial" w:hAnsi="Arial"/>
                <w:sz w:val="12"/>
                <w:szCs w:val="12"/>
                <w:color w:val="auto"/>
              </w:rPr>
              <w:t>Depreciation and amortization</w:t>
            </w:r>
          </w:p>
        </w:tc>
        <w:tc>
          <w:tcPr>
            <w:tcW w:w="20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93,325</w:t>
            </w:r>
          </w:p>
        </w:tc>
        <w:tc>
          <w:tcPr>
            <w:tcW w:w="1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94,274</w:t>
            </w:r>
          </w:p>
        </w:tc>
        <w:tc>
          <w:tcPr>
            <w:tcW w:w="3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279,061</w:t>
            </w:r>
          </w:p>
        </w:tc>
        <w:tc>
          <w:tcPr>
            <w:tcW w:w="1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280,142</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7100" w:type="dxa"/>
            <w:vAlign w:val="bottom"/>
          </w:tcPr>
          <w:p>
            <w:pPr>
              <w:ind w:left="280"/>
              <w:spacing w:after="0"/>
              <w:rPr>
                <w:sz w:val="20"/>
                <w:szCs w:val="20"/>
                <w:color w:val="auto"/>
              </w:rPr>
            </w:pPr>
            <w:r>
              <w:rPr>
                <w:rFonts w:ascii="Arial" w:cs="Arial" w:eastAsia="Arial" w:hAnsi="Arial"/>
                <w:sz w:val="12"/>
                <w:szCs w:val="12"/>
                <w:color w:val="auto"/>
              </w:rPr>
              <w:t>Property charges and other</w:t>
            </w:r>
          </w:p>
        </w:tc>
        <w:tc>
          <w:tcPr>
            <w:tcW w:w="200" w:type="dxa"/>
            <w:vAlign w:val="bottom"/>
          </w:tcPr>
          <w:p>
            <w:pPr>
              <w:spacing w:after="0"/>
              <w:rPr>
                <w:sz w:val="12"/>
                <w:szCs w:val="12"/>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2"/>
                <w:szCs w:val="12"/>
                <w:color w:val="auto"/>
              </w:rPr>
              <w:t>2,613</w:t>
            </w:r>
          </w:p>
        </w:tc>
        <w:tc>
          <w:tcPr>
            <w:tcW w:w="1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Arial" w:cs="Arial" w:eastAsia="Arial" w:hAnsi="Arial"/>
                <w:sz w:val="12"/>
                <w:szCs w:val="12"/>
                <w:color w:val="auto"/>
              </w:rPr>
              <w:t>22,721</w:t>
            </w:r>
          </w:p>
        </w:tc>
        <w:tc>
          <w:tcPr>
            <w:tcW w:w="3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2"/>
                <w:szCs w:val="12"/>
                <w:color w:val="auto"/>
              </w:rPr>
              <w:t>13,571</w:t>
            </w:r>
          </w:p>
        </w:tc>
        <w:tc>
          <w:tcPr>
            <w:tcW w:w="1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Arial" w:cs="Arial" w:eastAsia="Arial" w:hAnsi="Arial"/>
                <w:sz w:val="12"/>
                <w:szCs w:val="12"/>
                <w:color w:val="auto"/>
              </w:rPr>
              <w:t>36,547</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71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7100" w:type="dxa"/>
            <w:vAlign w:val="bottom"/>
            <w:shd w:val="clear" w:color="auto" w:fill="CCEEFF"/>
          </w:tcPr>
          <w:p>
            <w:pPr>
              <w:ind w:left="560"/>
              <w:spacing w:after="0"/>
              <w:rPr>
                <w:sz w:val="20"/>
                <w:szCs w:val="20"/>
                <w:color w:val="auto"/>
              </w:rPr>
            </w:pPr>
            <w:r>
              <w:rPr>
                <w:rFonts w:ascii="Arial" w:cs="Arial" w:eastAsia="Arial" w:hAnsi="Arial"/>
                <w:sz w:val="12"/>
                <w:szCs w:val="12"/>
                <w:color w:val="auto"/>
              </w:rPr>
              <w:t>Total operating costs and expenses</w:t>
            </w:r>
          </w:p>
        </w:tc>
        <w:tc>
          <w:tcPr>
            <w:tcW w:w="20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1,076,134</w:t>
            </w:r>
          </w:p>
        </w:tc>
        <w:tc>
          <w:tcPr>
            <w:tcW w:w="1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2"/>
                <w:szCs w:val="12"/>
                <w:color w:val="auto"/>
                <w:w w:val="97"/>
              </w:rPr>
              <w:t>1,051,403</w:t>
            </w:r>
          </w:p>
        </w:tc>
        <w:tc>
          <w:tcPr>
            <w:tcW w:w="3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3,179,389</w:t>
            </w:r>
          </w:p>
        </w:tc>
        <w:tc>
          <w:tcPr>
            <w:tcW w:w="1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3,093,886</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7100" w:type="dxa"/>
            <w:vAlign w:val="bottom"/>
            <w:vMerge w:val="restart"/>
          </w:tcPr>
          <w:p>
            <w:pPr>
              <w:spacing w:after="0"/>
              <w:rPr>
                <w:sz w:val="20"/>
                <w:szCs w:val="20"/>
                <w:color w:val="auto"/>
              </w:rPr>
            </w:pPr>
            <w:r>
              <w:rPr>
                <w:rFonts w:ascii="Arial" w:cs="Arial" w:eastAsia="Arial" w:hAnsi="Arial"/>
                <w:sz w:val="12"/>
                <w:szCs w:val="12"/>
                <w:color w:val="auto"/>
              </w:rPr>
              <w:t>Operating income</w:t>
            </w:r>
          </w:p>
        </w:tc>
        <w:tc>
          <w:tcPr>
            <w:tcW w:w="2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1"/>
        </w:trPr>
        <w:tc>
          <w:tcPr>
            <w:tcW w:w="710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2"/>
                <w:szCs w:val="12"/>
                <w:color w:val="auto"/>
              </w:rPr>
              <w:t>313,978</w:t>
            </w:r>
          </w:p>
        </w:tc>
        <w:tc>
          <w:tcPr>
            <w:tcW w:w="1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Arial" w:cs="Arial" w:eastAsia="Arial" w:hAnsi="Arial"/>
                <w:sz w:val="12"/>
                <w:szCs w:val="12"/>
                <w:color w:val="auto"/>
              </w:rPr>
              <w:t>247,092</w:t>
            </w:r>
          </w:p>
        </w:tc>
        <w:tc>
          <w:tcPr>
            <w:tcW w:w="3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2"/>
                <w:szCs w:val="12"/>
                <w:color w:val="auto"/>
              </w:rPr>
              <w:t>921,650</w:t>
            </w:r>
          </w:p>
        </w:tc>
        <w:tc>
          <w:tcPr>
            <w:tcW w:w="1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Arial" w:cs="Arial" w:eastAsia="Arial" w:hAnsi="Arial"/>
                <w:sz w:val="12"/>
                <w:szCs w:val="12"/>
                <w:color w:val="auto"/>
              </w:rPr>
              <w:t>771,314</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7100" w:type="dxa"/>
            <w:vAlign w:val="bottom"/>
            <w:shd w:val="clear" w:color="auto" w:fill="CCEEFF"/>
          </w:tcPr>
          <w:p>
            <w:pPr>
              <w:spacing w:after="0"/>
              <w:rPr>
                <w:sz w:val="20"/>
                <w:szCs w:val="20"/>
                <w:color w:val="auto"/>
              </w:rPr>
            </w:pPr>
            <w:r>
              <w:rPr>
                <w:rFonts w:ascii="Arial" w:cs="Arial" w:eastAsia="Arial" w:hAnsi="Arial"/>
                <w:sz w:val="12"/>
                <w:szCs w:val="12"/>
                <w:color w:val="auto"/>
              </w:rPr>
              <w:t>Other income (expense):</w:t>
            </w:r>
          </w:p>
        </w:tc>
        <w:tc>
          <w:tcPr>
            <w:tcW w:w="200" w:type="dxa"/>
            <w:vAlign w:val="bottom"/>
            <w:tcBorders>
              <w:top w:val="single" w:sz="8" w:color="auto"/>
            </w:tcBorders>
            <w:shd w:val="clear" w:color="auto" w:fill="CCEEFF"/>
          </w:tcPr>
          <w:p>
            <w:pPr>
              <w:spacing w:after="0"/>
              <w:rPr>
                <w:sz w:val="12"/>
                <w:szCs w:val="12"/>
                <w:color w:val="auto"/>
              </w:rPr>
            </w:pPr>
          </w:p>
        </w:tc>
        <w:tc>
          <w:tcPr>
            <w:tcW w:w="600" w:type="dxa"/>
            <w:vAlign w:val="bottom"/>
            <w:tcBorders>
              <w:top w:val="single" w:sz="8" w:color="auto"/>
            </w:tcBorders>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80" w:type="dxa"/>
            <w:vAlign w:val="bottom"/>
            <w:tcBorders>
              <w:top w:val="single" w:sz="8" w:color="auto"/>
            </w:tcBorders>
            <w:shd w:val="clear" w:color="auto" w:fill="CCEEFF"/>
          </w:tcPr>
          <w:p>
            <w:pPr>
              <w:spacing w:after="0"/>
              <w:rPr>
                <w:sz w:val="12"/>
                <w:szCs w:val="12"/>
                <w:color w:val="auto"/>
              </w:rPr>
            </w:pPr>
          </w:p>
        </w:tc>
        <w:tc>
          <w:tcPr>
            <w:tcW w:w="540" w:type="dxa"/>
            <w:vAlign w:val="bottom"/>
            <w:tcBorders>
              <w:top w:val="single" w:sz="8" w:color="auto"/>
            </w:tcBorders>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200" w:type="dxa"/>
            <w:vAlign w:val="bottom"/>
            <w:tcBorders>
              <w:top w:val="single" w:sz="8" w:color="auto"/>
            </w:tcBorders>
            <w:shd w:val="clear" w:color="auto" w:fill="CCEEFF"/>
          </w:tcPr>
          <w:p>
            <w:pPr>
              <w:spacing w:after="0"/>
              <w:rPr>
                <w:sz w:val="12"/>
                <w:szCs w:val="12"/>
                <w:color w:val="auto"/>
              </w:rPr>
            </w:pPr>
          </w:p>
        </w:tc>
        <w:tc>
          <w:tcPr>
            <w:tcW w:w="620" w:type="dxa"/>
            <w:vAlign w:val="bottom"/>
            <w:tcBorders>
              <w:top w:val="single" w:sz="8" w:color="auto"/>
            </w:tcBorders>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60" w:type="dxa"/>
            <w:vAlign w:val="bottom"/>
            <w:tcBorders>
              <w:top w:val="single" w:sz="8" w:color="auto"/>
            </w:tcBorders>
            <w:shd w:val="clear" w:color="auto" w:fill="CCEEFF"/>
          </w:tcPr>
          <w:p>
            <w:pPr>
              <w:spacing w:after="0"/>
              <w:rPr>
                <w:sz w:val="12"/>
                <w:szCs w:val="12"/>
                <w:color w:val="auto"/>
              </w:rPr>
            </w:pPr>
          </w:p>
        </w:tc>
        <w:tc>
          <w:tcPr>
            <w:tcW w:w="560" w:type="dxa"/>
            <w:vAlign w:val="bottom"/>
            <w:tcBorders>
              <w:top w:val="single" w:sz="8" w:color="auto"/>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7100" w:type="dxa"/>
            <w:vAlign w:val="bottom"/>
          </w:tcPr>
          <w:p>
            <w:pPr>
              <w:ind w:left="280"/>
              <w:spacing w:after="0"/>
              <w:rPr>
                <w:sz w:val="20"/>
                <w:szCs w:val="20"/>
                <w:color w:val="auto"/>
              </w:rPr>
            </w:pPr>
            <w:r>
              <w:rPr>
                <w:rFonts w:ascii="Arial" w:cs="Arial" w:eastAsia="Arial" w:hAnsi="Arial"/>
                <w:sz w:val="12"/>
                <w:szCs w:val="12"/>
                <w:color w:val="auto"/>
              </w:rPr>
              <w:t>Interest income</w:t>
            </w:r>
          </w:p>
        </w:tc>
        <w:tc>
          <w:tcPr>
            <w:tcW w:w="200" w:type="dxa"/>
            <w:vAlign w:val="bottom"/>
          </w:tcPr>
          <w:p>
            <w:pPr>
              <w:spacing w:after="0"/>
              <w:rPr>
                <w:sz w:val="12"/>
                <w:szCs w:val="12"/>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2"/>
                <w:szCs w:val="12"/>
                <w:color w:val="auto"/>
              </w:rPr>
              <w:t>3,215</w:t>
            </w:r>
          </w:p>
        </w:tc>
        <w:tc>
          <w:tcPr>
            <w:tcW w:w="1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Arial" w:cs="Arial" w:eastAsia="Arial" w:hAnsi="Arial"/>
                <w:sz w:val="12"/>
                <w:szCs w:val="12"/>
                <w:color w:val="auto"/>
              </w:rPr>
              <w:t>3,759</w:t>
            </w:r>
          </w:p>
        </w:tc>
        <w:tc>
          <w:tcPr>
            <w:tcW w:w="3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2"/>
                <w:szCs w:val="12"/>
                <w:color w:val="auto"/>
              </w:rPr>
              <w:t>11,595</w:t>
            </w:r>
          </w:p>
        </w:tc>
        <w:tc>
          <w:tcPr>
            <w:tcW w:w="1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Arial" w:cs="Arial" w:eastAsia="Arial" w:hAnsi="Arial"/>
                <w:sz w:val="12"/>
                <w:szCs w:val="12"/>
                <w:color w:val="auto"/>
              </w:rPr>
              <w:t>7,807</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7100" w:type="dxa"/>
            <w:vAlign w:val="bottom"/>
            <w:shd w:val="clear" w:color="auto" w:fill="CCEEFF"/>
          </w:tcPr>
          <w:p>
            <w:pPr>
              <w:ind w:left="280"/>
              <w:spacing w:after="0"/>
              <w:rPr>
                <w:sz w:val="20"/>
                <w:szCs w:val="20"/>
                <w:color w:val="auto"/>
              </w:rPr>
            </w:pPr>
            <w:r>
              <w:rPr>
                <w:rFonts w:ascii="Arial" w:cs="Arial" w:eastAsia="Arial" w:hAnsi="Arial"/>
                <w:sz w:val="12"/>
                <w:szCs w:val="12"/>
                <w:color w:val="auto"/>
              </w:rPr>
              <w:t>Interest expense, net of capitalized interest</w:t>
            </w:r>
          </w:p>
        </w:tc>
        <w:tc>
          <w:tcPr>
            <w:tcW w:w="20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(73,549)</w:t>
            </w:r>
          </w:p>
        </w:tc>
        <w:tc>
          <w:tcPr>
            <w:tcW w:w="1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280"/>
              <w:spacing w:after="0"/>
              <w:rPr>
                <w:sz w:val="20"/>
                <w:szCs w:val="20"/>
                <w:color w:val="auto"/>
              </w:rPr>
            </w:pPr>
            <w:r>
              <w:rPr>
                <w:rFonts w:ascii="Arial" w:cs="Arial" w:eastAsia="Arial" w:hAnsi="Arial"/>
                <w:sz w:val="12"/>
                <w:szCs w:val="12"/>
                <w:color w:val="auto"/>
              </w:rPr>
              <w:t>(75,082)</w:t>
            </w:r>
          </w:p>
        </w:tc>
        <w:tc>
          <w:tcPr>
            <w:tcW w:w="20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(222,690)</w:t>
            </w:r>
          </w:p>
        </w:tc>
        <w:tc>
          <w:tcPr>
            <w:tcW w:w="1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(211,017)</w:t>
            </w:r>
          </w:p>
        </w:tc>
        <w:tc>
          <w:tcPr>
            <w:tcW w:w="0" w:type="dxa"/>
            <w:vAlign w:val="bottom"/>
          </w:tcPr>
          <w:p>
            <w:pPr>
              <w:spacing w:after="0"/>
              <w:rPr>
                <w:sz w:val="1"/>
                <w:szCs w:val="1"/>
                <w:color w:val="auto"/>
              </w:rPr>
            </w:pPr>
          </w:p>
        </w:tc>
      </w:tr>
      <w:tr>
        <w:trPr>
          <w:trHeight w:val="144"/>
        </w:trPr>
        <w:tc>
          <w:tcPr>
            <w:tcW w:w="7100" w:type="dxa"/>
            <w:vAlign w:val="bottom"/>
          </w:tcPr>
          <w:p>
            <w:pPr>
              <w:ind w:left="280"/>
              <w:spacing w:after="0"/>
              <w:rPr>
                <w:sz w:val="20"/>
                <w:szCs w:val="20"/>
                <w:color w:val="auto"/>
              </w:rPr>
            </w:pPr>
            <w:r>
              <w:rPr>
                <w:rFonts w:ascii="Arial" w:cs="Arial" w:eastAsia="Arial" w:hAnsi="Arial"/>
                <w:sz w:val="12"/>
                <w:szCs w:val="12"/>
                <w:color w:val="auto"/>
              </w:rPr>
              <w:t>(Decrease) increase in swap fair value</w:t>
            </w:r>
          </w:p>
        </w:tc>
        <w:tc>
          <w:tcPr>
            <w:tcW w:w="200" w:type="dxa"/>
            <w:vAlign w:val="bottom"/>
          </w:tcPr>
          <w:p>
            <w:pPr>
              <w:spacing w:after="0"/>
              <w:rPr>
                <w:sz w:val="12"/>
                <w:szCs w:val="12"/>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2"/>
                <w:szCs w:val="12"/>
                <w:color w:val="auto"/>
              </w:rPr>
              <w:t>(3,525)</w:t>
            </w:r>
          </w:p>
        </w:tc>
        <w:tc>
          <w:tcPr>
            <w:tcW w:w="1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60" w:type="dxa"/>
            <w:vAlign w:val="bottom"/>
            <w:gridSpan w:val="2"/>
          </w:tcPr>
          <w:p>
            <w:pPr>
              <w:jc w:val="right"/>
              <w:ind w:right="380"/>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12"/>
                <w:szCs w:val="12"/>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2"/>
                <w:szCs w:val="12"/>
                <w:color w:val="auto"/>
              </w:rPr>
              <w:t>13,131</w:t>
            </w:r>
          </w:p>
        </w:tc>
        <w:tc>
          <w:tcPr>
            <w:tcW w:w="1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Arial" w:cs="Arial" w:eastAsia="Arial" w:hAnsi="Arial"/>
                <w:sz w:val="12"/>
                <w:szCs w:val="12"/>
                <w:color w:val="auto"/>
              </w:rPr>
              <w:t>4,930</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7100" w:type="dxa"/>
            <w:vAlign w:val="bottom"/>
            <w:shd w:val="clear" w:color="auto" w:fill="CCEEFF"/>
          </w:tcPr>
          <w:p>
            <w:pPr>
              <w:ind w:left="280"/>
              <w:spacing w:after="0"/>
              <w:rPr>
                <w:sz w:val="20"/>
                <w:szCs w:val="20"/>
                <w:color w:val="auto"/>
              </w:rPr>
            </w:pPr>
            <w:r>
              <w:rPr>
                <w:rFonts w:ascii="Arial" w:cs="Arial" w:eastAsia="Arial" w:hAnsi="Arial"/>
                <w:sz w:val="12"/>
                <w:szCs w:val="12"/>
                <w:color w:val="auto"/>
              </w:rPr>
              <w:t>Loss on extinguishment of debt</w:t>
            </w:r>
          </w:p>
        </w:tc>
        <w:tc>
          <w:tcPr>
            <w:tcW w:w="20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280"/>
              <w:spacing w:after="0"/>
              <w:rPr>
                <w:sz w:val="20"/>
                <w:szCs w:val="20"/>
                <w:color w:val="auto"/>
              </w:rPr>
            </w:pPr>
            <w:r>
              <w:rPr>
                <w:rFonts w:ascii="Arial" w:cs="Arial" w:eastAsia="Arial" w:hAnsi="Arial"/>
                <w:sz w:val="12"/>
                <w:szCs w:val="12"/>
                <w:color w:val="auto"/>
              </w:rPr>
              <w:t>(19,663)</w:t>
            </w:r>
          </w:p>
        </w:tc>
        <w:tc>
          <w:tcPr>
            <w:tcW w:w="20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(26,578)</w:t>
            </w:r>
          </w:p>
        </w:tc>
        <w:tc>
          <w:tcPr>
            <w:tcW w:w="1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(24,491)</w:t>
            </w:r>
          </w:p>
        </w:tc>
        <w:tc>
          <w:tcPr>
            <w:tcW w:w="0" w:type="dxa"/>
            <w:vAlign w:val="bottom"/>
          </w:tcPr>
          <w:p>
            <w:pPr>
              <w:spacing w:after="0"/>
              <w:rPr>
                <w:sz w:val="1"/>
                <w:szCs w:val="1"/>
                <w:color w:val="auto"/>
              </w:rPr>
            </w:pPr>
          </w:p>
        </w:tc>
      </w:tr>
      <w:tr>
        <w:trPr>
          <w:trHeight w:val="144"/>
        </w:trPr>
        <w:tc>
          <w:tcPr>
            <w:tcW w:w="7100" w:type="dxa"/>
            <w:vAlign w:val="bottom"/>
          </w:tcPr>
          <w:p>
            <w:pPr>
              <w:ind w:left="280"/>
              <w:spacing w:after="0"/>
              <w:rPr>
                <w:sz w:val="20"/>
                <w:szCs w:val="20"/>
                <w:color w:val="auto"/>
              </w:rPr>
            </w:pPr>
            <w:r>
              <w:rPr>
                <w:rFonts w:ascii="Arial" w:cs="Arial" w:eastAsia="Arial" w:hAnsi="Arial"/>
                <w:sz w:val="12"/>
                <w:szCs w:val="12"/>
                <w:color w:val="auto"/>
              </w:rPr>
              <w:t>Equity in income from unconsolidated affiliates</w:t>
            </w:r>
          </w:p>
        </w:tc>
        <w:tc>
          <w:tcPr>
            <w:tcW w:w="200" w:type="dxa"/>
            <w:vAlign w:val="bottom"/>
          </w:tcPr>
          <w:p>
            <w:pPr>
              <w:spacing w:after="0"/>
              <w:rPr>
                <w:sz w:val="12"/>
                <w:szCs w:val="12"/>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2"/>
                <w:szCs w:val="12"/>
                <w:color w:val="auto"/>
              </w:rPr>
              <w:t>288</w:t>
            </w:r>
          </w:p>
        </w:tc>
        <w:tc>
          <w:tcPr>
            <w:tcW w:w="1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Arial" w:cs="Arial" w:eastAsia="Arial" w:hAnsi="Arial"/>
                <w:sz w:val="12"/>
                <w:szCs w:val="12"/>
                <w:color w:val="auto"/>
              </w:rPr>
              <w:t>190</w:t>
            </w:r>
          </w:p>
        </w:tc>
        <w:tc>
          <w:tcPr>
            <w:tcW w:w="3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2"/>
                <w:szCs w:val="12"/>
                <w:color w:val="auto"/>
              </w:rPr>
              <w:t>879</w:t>
            </w:r>
          </w:p>
        </w:tc>
        <w:tc>
          <w:tcPr>
            <w:tcW w:w="1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Arial" w:cs="Arial" w:eastAsia="Arial" w:hAnsi="Arial"/>
                <w:sz w:val="12"/>
                <w:szCs w:val="12"/>
                <w:color w:val="auto"/>
              </w:rPr>
              <w:t>911</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7100" w:type="dxa"/>
            <w:vAlign w:val="bottom"/>
            <w:shd w:val="clear" w:color="auto" w:fill="CCEEFF"/>
          </w:tcPr>
          <w:p>
            <w:pPr>
              <w:ind w:left="280"/>
              <w:spacing w:after="0"/>
              <w:rPr>
                <w:sz w:val="20"/>
                <w:szCs w:val="20"/>
                <w:color w:val="auto"/>
              </w:rPr>
            </w:pPr>
            <w:r>
              <w:rPr>
                <w:rFonts w:ascii="Arial" w:cs="Arial" w:eastAsia="Arial" w:hAnsi="Arial"/>
                <w:sz w:val="12"/>
                <w:szCs w:val="12"/>
                <w:color w:val="auto"/>
              </w:rPr>
              <w:t>Other</w:t>
            </w:r>
          </w:p>
        </w:tc>
        <w:tc>
          <w:tcPr>
            <w:tcW w:w="20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1,123</w:t>
            </w:r>
          </w:p>
        </w:tc>
        <w:tc>
          <w:tcPr>
            <w:tcW w:w="1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1,249</w:t>
            </w:r>
          </w:p>
        </w:tc>
        <w:tc>
          <w:tcPr>
            <w:tcW w:w="3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4,385</w:t>
            </w:r>
          </w:p>
        </w:tc>
        <w:tc>
          <w:tcPr>
            <w:tcW w:w="1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936</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7100" w:type="dxa"/>
            <w:vAlign w:val="bottom"/>
            <w:vMerge w:val="restart"/>
          </w:tcPr>
          <w:p>
            <w:pPr>
              <w:ind w:left="560"/>
              <w:spacing w:after="0"/>
              <w:rPr>
                <w:sz w:val="20"/>
                <w:szCs w:val="20"/>
                <w:color w:val="auto"/>
              </w:rPr>
            </w:pPr>
            <w:r>
              <w:rPr>
                <w:rFonts w:ascii="Arial" w:cs="Arial" w:eastAsia="Arial" w:hAnsi="Arial"/>
                <w:sz w:val="12"/>
                <w:szCs w:val="12"/>
                <w:color w:val="auto"/>
              </w:rPr>
              <w:t>Other income (expense), net</w:t>
            </w:r>
          </w:p>
        </w:tc>
        <w:tc>
          <w:tcPr>
            <w:tcW w:w="2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1"/>
        </w:trPr>
        <w:tc>
          <w:tcPr>
            <w:tcW w:w="710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2"/>
                <w:szCs w:val="12"/>
                <w:color w:val="auto"/>
              </w:rPr>
              <w:t>(72,448)</w:t>
            </w:r>
          </w:p>
        </w:tc>
        <w:tc>
          <w:tcPr>
            <w:tcW w:w="1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60" w:type="dxa"/>
            <w:vAlign w:val="bottom"/>
            <w:gridSpan w:val="2"/>
          </w:tcPr>
          <w:p>
            <w:pPr>
              <w:jc w:val="right"/>
              <w:ind w:right="280"/>
              <w:spacing w:after="0"/>
              <w:rPr>
                <w:sz w:val="20"/>
                <w:szCs w:val="20"/>
                <w:color w:val="auto"/>
              </w:rPr>
            </w:pPr>
            <w:r>
              <w:rPr>
                <w:rFonts w:ascii="Arial" w:cs="Arial" w:eastAsia="Arial" w:hAnsi="Arial"/>
                <w:sz w:val="12"/>
                <w:szCs w:val="12"/>
                <w:color w:val="auto"/>
              </w:rPr>
              <w:t>(89,547)</w:t>
            </w:r>
          </w:p>
        </w:tc>
        <w:tc>
          <w:tcPr>
            <w:tcW w:w="200" w:type="dxa"/>
            <w:vAlign w:val="bottom"/>
          </w:tcPr>
          <w:p>
            <w:pPr>
              <w:spacing w:after="0"/>
              <w:rPr>
                <w:sz w:val="12"/>
                <w:szCs w:val="12"/>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2"/>
                <w:szCs w:val="12"/>
                <w:color w:val="auto"/>
              </w:rPr>
              <w:t>(219,278)</w:t>
            </w:r>
          </w:p>
        </w:tc>
        <w:tc>
          <w:tcPr>
            <w:tcW w:w="1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80" w:type="dxa"/>
            <w:vAlign w:val="bottom"/>
            <w:gridSpan w:val="2"/>
          </w:tcPr>
          <w:p>
            <w:pPr>
              <w:jc w:val="right"/>
              <w:ind w:right="80"/>
              <w:spacing w:after="0"/>
              <w:rPr>
                <w:sz w:val="20"/>
                <w:szCs w:val="20"/>
                <w:color w:val="auto"/>
              </w:rPr>
            </w:pPr>
            <w:r>
              <w:rPr>
                <w:rFonts w:ascii="Arial" w:cs="Arial" w:eastAsia="Arial" w:hAnsi="Arial"/>
                <w:sz w:val="12"/>
                <w:szCs w:val="12"/>
                <w:color w:val="auto"/>
              </w:rPr>
              <w:t>(220,924)</w:t>
            </w:r>
          </w:p>
        </w:tc>
        <w:tc>
          <w:tcPr>
            <w:tcW w:w="0" w:type="dxa"/>
            <w:vAlign w:val="bottom"/>
          </w:tcPr>
          <w:p>
            <w:pPr>
              <w:spacing w:after="0"/>
              <w:rPr>
                <w:sz w:val="1"/>
                <w:szCs w:val="1"/>
                <w:color w:val="auto"/>
              </w:rPr>
            </w:pPr>
          </w:p>
        </w:tc>
      </w:tr>
      <w:tr>
        <w:trPr>
          <w:trHeight w:val="20"/>
        </w:trPr>
        <w:tc>
          <w:tcPr>
            <w:tcW w:w="71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7100" w:type="dxa"/>
            <w:vAlign w:val="bottom"/>
            <w:shd w:val="clear" w:color="auto" w:fill="CCEEFF"/>
          </w:tcPr>
          <w:p>
            <w:pPr>
              <w:spacing w:after="0"/>
              <w:rPr>
                <w:sz w:val="20"/>
                <w:szCs w:val="20"/>
                <w:color w:val="auto"/>
              </w:rPr>
            </w:pPr>
            <w:r>
              <w:rPr>
                <w:rFonts w:ascii="Arial" w:cs="Arial" w:eastAsia="Arial" w:hAnsi="Arial"/>
                <w:sz w:val="12"/>
                <w:szCs w:val="12"/>
                <w:color w:val="auto"/>
              </w:rPr>
              <w:t>Income before income taxes</w:t>
            </w:r>
          </w:p>
        </w:tc>
        <w:tc>
          <w:tcPr>
            <w:tcW w:w="20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241,530</w:t>
            </w:r>
          </w:p>
        </w:tc>
        <w:tc>
          <w:tcPr>
            <w:tcW w:w="1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157,545</w:t>
            </w:r>
          </w:p>
        </w:tc>
        <w:tc>
          <w:tcPr>
            <w:tcW w:w="3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702,372</w:t>
            </w:r>
          </w:p>
        </w:tc>
        <w:tc>
          <w:tcPr>
            <w:tcW w:w="1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550,390</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7100" w:type="dxa"/>
            <w:vAlign w:val="bottom"/>
          </w:tcPr>
          <w:p>
            <w:pPr>
              <w:ind w:left="560"/>
              <w:spacing w:after="0"/>
              <w:rPr>
                <w:sz w:val="20"/>
                <w:szCs w:val="20"/>
                <w:color w:val="auto"/>
              </w:rPr>
            </w:pPr>
            <w:r>
              <w:rPr>
                <w:rFonts w:ascii="Arial" w:cs="Arial" w:eastAsia="Arial" w:hAnsi="Arial"/>
                <w:sz w:val="12"/>
                <w:szCs w:val="12"/>
                <w:color w:val="auto"/>
              </w:rPr>
              <w:t>Benefit for income taxes</w:t>
            </w:r>
          </w:p>
        </w:tc>
        <w:tc>
          <w:tcPr>
            <w:tcW w:w="200" w:type="dxa"/>
            <w:vAlign w:val="bottom"/>
          </w:tcPr>
          <w:p>
            <w:pPr>
              <w:spacing w:after="0"/>
              <w:rPr>
                <w:sz w:val="12"/>
                <w:szCs w:val="12"/>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2"/>
                <w:szCs w:val="12"/>
                <w:color w:val="auto"/>
              </w:rPr>
              <w:t>7,281</w:t>
            </w:r>
          </w:p>
        </w:tc>
        <w:tc>
          <w:tcPr>
            <w:tcW w:w="1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Arial" w:cs="Arial" w:eastAsia="Arial" w:hAnsi="Arial"/>
                <w:sz w:val="12"/>
                <w:szCs w:val="12"/>
                <w:color w:val="auto"/>
              </w:rPr>
              <w:t>7,626</w:t>
            </w:r>
          </w:p>
        </w:tc>
        <w:tc>
          <w:tcPr>
            <w:tcW w:w="3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2"/>
                <w:szCs w:val="12"/>
                <w:color w:val="auto"/>
              </w:rPr>
              <w:t>11,299</w:t>
            </w:r>
          </w:p>
        </w:tc>
        <w:tc>
          <w:tcPr>
            <w:tcW w:w="1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Arial" w:cs="Arial" w:eastAsia="Arial" w:hAnsi="Arial"/>
                <w:sz w:val="12"/>
                <w:szCs w:val="12"/>
                <w:color w:val="auto"/>
              </w:rPr>
              <w:t>12,483</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71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7100" w:type="dxa"/>
            <w:vAlign w:val="bottom"/>
            <w:shd w:val="clear" w:color="auto" w:fill="CCEEFF"/>
          </w:tcPr>
          <w:p>
            <w:pPr>
              <w:spacing w:after="0"/>
              <w:rPr>
                <w:sz w:val="20"/>
                <w:szCs w:val="20"/>
                <w:color w:val="auto"/>
              </w:rPr>
            </w:pPr>
            <w:r>
              <w:rPr>
                <w:rFonts w:ascii="Arial" w:cs="Arial" w:eastAsia="Arial" w:hAnsi="Arial"/>
                <w:sz w:val="12"/>
                <w:szCs w:val="12"/>
                <w:color w:val="auto"/>
              </w:rPr>
              <w:t>Net income</w:t>
            </w:r>
          </w:p>
        </w:tc>
        <w:tc>
          <w:tcPr>
            <w:tcW w:w="20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248,811</w:t>
            </w:r>
          </w:p>
        </w:tc>
        <w:tc>
          <w:tcPr>
            <w:tcW w:w="1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165,171</w:t>
            </w:r>
          </w:p>
        </w:tc>
        <w:tc>
          <w:tcPr>
            <w:tcW w:w="3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713,671</w:t>
            </w:r>
          </w:p>
        </w:tc>
        <w:tc>
          <w:tcPr>
            <w:tcW w:w="1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562,873</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7100" w:type="dxa"/>
            <w:vAlign w:val="bottom"/>
          </w:tcPr>
          <w:p>
            <w:pPr>
              <w:ind w:left="560"/>
              <w:spacing w:after="0"/>
              <w:rPr>
                <w:sz w:val="20"/>
                <w:szCs w:val="20"/>
                <w:color w:val="auto"/>
              </w:rPr>
            </w:pPr>
            <w:r>
              <w:rPr>
                <w:rFonts w:ascii="Arial" w:cs="Arial" w:eastAsia="Arial" w:hAnsi="Arial"/>
                <w:sz w:val="12"/>
                <w:szCs w:val="12"/>
                <w:color w:val="auto"/>
              </w:rPr>
              <w:t>Less: Net income attributable to noncontrolling interest</w:t>
            </w:r>
          </w:p>
        </w:tc>
        <w:tc>
          <w:tcPr>
            <w:tcW w:w="200" w:type="dxa"/>
            <w:vAlign w:val="bottom"/>
          </w:tcPr>
          <w:p>
            <w:pPr>
              <w:spacing w:after="0"/>
              <w:rPr>
                <w:sz w:val="12"/>
                <w:szCs w:val="12"/>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2"/>
                <w:szCs w:val="12"/>
                <w:color w:val="auto"/>
              </w:rPr>
              <w:t>(66,791)</w:t>
            </w:r>
          </w:p>
        </w:tc>
        <w:tc>
          <w:tcPr>
            <w:tcW w:w="1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60" w:type="dxa"/>
            <w:vAlign w:val="bottom"/>
            <w:gridSpan w:val="2"/>
          </w:tcPr>
          <w:p>
            <w:pPr>
              <w:jc w:val="right"/>
              <w:ind w:right="280"/>
              <w:spacing w:after="0"/>
              <w:rPr>
                <w:sz w:val="20"/>
                <w:szCs w:val="20"/>
                <w:color w:val="auto"/>
              </w:rPr>
            </w:pPr>
            <w:r>
              <w:rPr>
                <w:rFonts w:ascii="Arial" w:cs="Arial" w:eastAsia="Arial" w:hAnsi="Arial"/>
                <w:sz w:val="12"/>
                <w:szCs w:val="12"/>
                <w:color w:val="auto"/>
              </w:rPr>
              <w:t>(53,136)</w:t>
            </w:r>
          </w:p>
        </w:tc>
        <w:tc>
          <w:tcPr>
            <w:tcW w:w="200" w:type="dxa"/>
            <w:vAlign w:val="bottom"/>
          </w:tcPr>
          <w:p>
            <w:pPr>
              <w:spacing w:after="0"/>
              <w:rPr>
                <w:sz w:val="12"/>
                <w:szCs w:val="12"/>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2"/>
                <w:szCs w:val="12"/>
                <w:color w:val="auto"/>
              </w:rPr>
              <w:t>(198,903)</w:t>
            </w:r>
          </w:p>
        </w:tc>
        <w:tc>
          <w:tcPr>
            <w:tcW w:w="1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80" w:type="dxa"/>
            <w:vAlign w:val="bottom"/>
            <w:gridSpan w:val="2"/>
          </w:tcPr>
          <w:p>
            <w:pPr>
              <w:jc w:val="right"/>
              <w:ind w:right="80"/>
              <w:spacing w:after="0"/>
              <w:rPr>
                <w:sz w:val="20"/>
                <w:szCs w:val="20"/>
                <w:color w:val="auto"/>
              </w:rPr>
            </w:pPr>
            <w:r>
              <w:rPr>
                <w:rFonts w:ascii="Arial" w:cs="Arial" w:eastAsia="Arial" w:hAnsi="Arial"/>
                <w:sz w:val="12"/>
                <w:szCs w:val="12"/>
                <w:color w:val="auto"/>
              </w:rPr>
              <w:t>(172,210)</w:t>
            </w:r>
          </w:p>
        </w:tc>
        <w:tc>
          <w:tcPr>
            <w:tcW w:w="0" w:type="dxa"/>
            <w:vAlign w:val="bottom"/>
          </w:tcPr>
          <w:p>
            <w:pPr>
              <w:spacing w:after="0"/>
              <w:rPr>
                <w:sz w:val="1"/>
                <w:szCs w:val="1"/>
                <w:color w:val="auto"/>
              </w:rPr>
            </w:pPr>
          </w:p>
        </w:tc>
      </w:tr>
      <w:tr>
        <w:trPr>
          <w:trHeight w:val="20"/>
        </w:trPr>
        <w:tc>
          <w:tcPr>
            <w:tcW w:w="71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9"/>
        </w:trPr>
        <w:tc>
          <w:tcPr>
            <w:tcW w:w="7100" w:type="dxa"/>
            <w:vAlign w:val="bottom"/>
            <w:shd w:val="clear" w:color="auto" w:fill="CCEEFF"/>
          </w:tcPr>
          <w:p>
            <w:pPr>
              <w:spacing w:after="0"/>
              <w:rPr>
                <w:sz w:val="20"/>
                <w:szCs w:val="20"/>
                <w:color w:val="auto"/>
              </w:rPr>
            </w:pPr>
            <w:r>
              <w:rPr>
                <w:rFonts w:ascii="Arial" w:cs="Arial" w:eastAsia="Arial" w:hAnsi="Arial"/>
                <w:sz w:val="12"/>
                <w:szCs w:val="12"/>
                <w:color w:val="auto"/>
              </w:rPr>
              <w:t>Net income attributable to Wynn Resorts, Limited</w:t>
            </w:r>
          </w:p>
        </w:tc>
        <w:tc>
          <w:tcPr>
            <w:tcW w:w="200" w:type="dxa"/>
            <w:vAlign w:val="bottom"/>
            <w:shd w:val="clear" w:color="auto" w:fill="CCEEFF"/>
          </w:tcPr>
          <w:p>
            <w:pPr>
              <w:jc w:val="right"/>
              <w:ind w:right="93"/>
              <w:spacing w:after="0"/>
              <w:rPr>
                <w:sz w:val="20"/>
                <w:szCs w:val="20"/>
                <w:color w:val="auto"/>
              </w:rPr>
            </w:pPr>
            <w:r>
              <w:rPr>
                <w:rFonts w:ascii="Arial" w:cs="Arial" w:eastAsia="Arial" w:hAnsi="Arial"/>
                <w:sz w:val="9"/>
                <w:szCs w:val="9"/>
                <w:color w:val="auto"/>
                <w:w w:val="78"/>
              </w:rPr>
              <w:t>$</w:t>
            </w: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182,020</w:t>
            </w:r>
          </w:p>
        </w:tc>
        <w:tc>
          <w:tcPr>
            <w:tcW w:w="42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112,035</w:t>
            </w:r>
          </w:p>
        </w:tc>
        <w:tc>
          <w:tcPr>
            <w:tcW w:w="320" w:type="dxa"/>
            <w:vAlign w:val="bottom"/>
            <w:shd w:val="clear" w:color="auto" w:fill="CCEEFF"/>
          </w:tcPr>
          <w:p>
            <w:pPr>
              <w:spacing w:after="0"/>
              <w:rPr>
                <w:sz w:val="12"/>
                <w:szCs w:val="12"/>
                <w:color w:val="auto"/>
              </w:rPr>
            </w:pPr>
          </w:p>
        </w:tc>
        <w:tc>
          <w:tcPr>
            <w:tcW w:w="200" w:type="dxa"/>
            <w:vAlign w:val="bottom"/>
            <w:shd w:val="clear" w:color="auto" w:fill="CCEEFF"/>
          </w:tcPr>
          <w:p>
            <w:pPr>
              <w:jc w:val="right"/>
              <w:ind w:right="93"/>
              <w:spacing w:after="0"/>
              <w:rPr>
                <w:sz w:val="20"/>
                <w:szCs w:val="20"/>
                <w:color w:val="auto"/>
              </w:rPr>
            </w:pPr>
            <w:r>
              <w:rPr>
                <w:rFonts w:ascii="Arial" w:cs="Arial" w:eastAsia="Arial" w:hAnsi="Arial"/>
                <w:sz w:val="9"/>
                <w:szCs w:val="9"/>
                <w:color w:val="auto"/>
                <w:w w:val="78"/>
              </w:rPr>
              <w:t>$</w:t>
            </w: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514,768</w:t>
            </w:r>
          </w:p>
        </w:tc>
        <w:tc>
          <w:tcPr>
            <w:tcW w:w="42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390,663</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2"/>
        </w:trPr>
        <w:tc>
          <w:tcPr>
            <w:tcW w:w="7100" w:type="dxa"/>
            <w:vAlign w:val="bottom"/>
          </w:tcPr>
          <w:p>
            <w:pPr>
              <w:spacing w:after="0"/>
              <w:rPr>
                <w:sz w:val="20"/>
                <w:szCs w:val="20"/>
                <w:color w:val="auto"/>
              </w:rPr>
            </w:pPr>
            <w:r>
              <w:rPr>
                <w:rFonts w:ascii="Arial" w:cs="Arial" w:eastAsia="Arial" w:hAnsi="Arial"/>
                <w:sz w:val="12"/>
                <w:szCs w:val="12"/>
                <w:color w:val="auto"/>
              </w:rPr>
              <w:t>Basic and diluted income per common share:</w:t>
            </w:r>
          </w:p>
        </w:tc>
        <w:tc>
          <w:tcPr>
            <w:tcW w:w="200" w:type="dxa"/>
            <w:vAlign w:val="bottom"/>
            <w:tcBorders>
              <w:top w:val="single" w:sz="8" w:color="auto"/>
            </w:tcBorders>
          </w:tcPr>
          <w:p>
            <w:pPr>
              <w:spacing w:after="0"/>
              <w:rPr>
                <w:sz w:val="13"/>
                <w:szCs w:val="13"/>
                <w:color w:val="auto"/>
              </w:rPr>
            </w:pPr>
          </w:p>
        </w:tc>
        <w:tc>
          <w:tcPr>
            <w:tcW w:w="600" w:type="dxa"/>
            <w:vAlign w:val="bottom"/>
            <w:tcBorders>
              <w:top w:val="single" w:sz="8" w:color="auto"/>
            </w:tcBorders>
          </w:tcPr>
          <w:p>
            <w:pPr>
              <w:spacing w:after="0"/>
              <w:rPr>
                <w:sz w:val="13"/>
                <w:szCs w:val="13"/>
                <w:color w:val="auto"/>
              </w:rPr>
            </w:pP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80" w:type="dxa"/>
            <w:vAlign w:val="bottom"/>
            <w:tcBorders>
              <w:top w:val="single" w:sz="8" w:color="auto"/>
            </w:tcBorders>
          </w:tcPr>
          <w:p>
            <w:pPr>
              <w:spacing w:after="0"/>
              <w:rPr>
                <w:sz w:val="13"/>
                <w:szCs w:val="13"/>
                <w:color w:val="auto"/>
              </w:rPr>
            </w:pPr>
          </w:p>
        </w:tc>
        <w:tc>
          <w:tcPr>
            <w:tcW w:w="540" w:type="dxa"/>
            <w:vAlign w:val="bottom"/>
            <w:tcBorders>
              <w:top w:val="single" w:sz="8" w:color="auto"/>
            </w:tcBorders>
          </w:tcPr>
          <w:p>
            <w:pPr>
              <w:spacing w:after="0"/>
              <w:rPr>
                <w:sz w:val="13"/>
                <w:szCs w:val="13"/>
                <w:color w:val="auto"/>
              </w:rPr>
            </w:pPr>
          </w:p>
        </w:tc>
        <w:tc>
          <w:tcPr>
            <w:tcW w:w="320" w:type="dxa"/>
            <w:vAlign w:val="bottom"/>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620" w:type="dxa"/>
            <w:vAlign w:val="bottom"/>
            <w:tcBorders>
              <w:top w:val="single" w:sz="8" w:color="auto"/>
            </w:tcBorders>
          </w:tcPr>
          <w:p>
            <w:pPr>
              <w:spacing w:after="0"/>
              <w:rPr>
                <w:sz w:val="13"/>
                <w:szCs w:val="13"/>
                <w:color w:val="auto"/>
              </w:rPr>
            </w:pPr>
          </w:p>
        </w:tc>
        <w:tc>
          <w:tcPr>
            <w:tcW w:w="1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56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5"/>
        </w:trPr>
        <w:tc>
          <w:tcPr>
            <w:tcW w:w="7100" w:type="dxa"/>
            <w:vAlign w:val="bottom"/>
            <w:shd w:val="clear" w:color="auto" w:fill="CCEEFF"/>
          </w:tcPr>
          <w:p>
            <w:pPr>
              <w:ind w:left="560"/>
              <w:spacing w:after="0"/>
              <w:rPr>
                <w:sz w:val="20"/>
                <w:szCs w:val="20"/>
                <w:color w:val="auto"/>
              </w:rPr>
            </w:pPr>
            <w:r>
              <w:rPr>
                <w:rFonts w:ascii="Arial" w:cs="Arial" w:eastAsia="Arial" w:hAnsi="Arial"/>
                <w:sz w:val="12"/>
                <w:szCs w:val="12"/>
                <w:color w:val="auto"/>
              </w:rPr>
              <w:t>Net income attributable to Wynn Resorts,</w:t>
            </w:r>
          </w:p>
        </w:tc>
        <w:tc>
          <w:tcPr>
            <w:tcW w:w="2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7100" w:type="dxa"/>
            <w:vAlign w:val="bottom"/>
          </w:tcPr>
          <w:p>
            <w:pPr>
              <w:spacing w:after="0"/>
              <w:rPr>
                <w:sz w:val="20"/>
                <w:szCs w:val="20"/>
                <w:color w:val="auto"/>
              </w:rPr>
            </w:pPr>
            <w:r>
              <w:rPr>
                <w:rFonts w:ascii="Arial" w:cs="Arial" w:eastAsia="Arial" w:hAnsi="Arial"/>
                <w:sz w:val="12"/>
                <w:szCs w:val="12"/>
                <w:color w:val="auto"/>
              </w:rPr>
              <w:t>Limited:</w:t>
            </w:r>
          </w:p>
        </w:tc>
        <w:tc>
          <w:tcPr>
            <w:tcW w:w="2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7100" w:type="dxa"/>
            <w:vAlign w:val="bottom"/>
            <w:shd w:val="clear" w:color="auto" w:fill="CCEEFF"/>
          </w:tcPr>
          <w:p>
            <w:pPr>
              <w:ind w:left="860"/>
              <w:spacing w:after="0"/>
              <w:rPr>
                <w:sz w:val="20"/>
                <w:szCs w:val="20"/>
                <w:color w:val="auto"/>
              </w:rPr>
            </w:pPr>
            <w:r>
              <w:rPr>
                <w:rFonts w:ascii="Arial" w:cs="Arial" w:eastAsia="Arial" w:hAnsi="Arial"/>
                <w:sz w:val="12"/>
                <w:szCs w:val="12"/>
                <w:color w:val="auto"/>
              </w:rPr>
              <w:t>Basic</w:t>
            </w:r>
          </w:p>
        </w:tc>
        <w:tc>
          <w:tcPr>
            <w:tcW w:w="200" w:type="dxa"/>
            <w:vAlign w:val="bottom"/>
            <w:shd w:val="clear" w:color="auto" w:fill="CCEEFF"/>
          </w:tcPr>
          <w:p>
            <w:pPr>
              <w:jc w:val="right"/>
              <w:ind w:right="93"/>
              <w:spacing w:after="0"/>
              <w:rPr>
                <w:sz w:val="20"/>
                <w:szCs w:val="20"/>
                <w:color w:val="auto"/>
              </w:rPr>
            </w:pPr>
            <w:r>
              <w:rPr>
                <w:rFonts w:ascii="Arial" w:cs="Arial" w:eastAsia="Arial" w:hAnsi="Arial"/>
                <w:sz w:val="9"/>
                <w:szCs w:val="9"/>
                <w:color w:val="auto"/>
                <w:w w:val="78"/>
              </w:rPr>
              <w:t>$</w:t>
            </w: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1.81</w:t>
            </w:r>
          </w:p>
        </w:tc>
        <w:tc>
          <w:tcPr>
            <w:tcW w:w="42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1.12</w:t>
            </w:r>
          </w:p>
        </w:tc>
        <w:tc>
          <w:tcPr>
            <w:tcW w:w="320" w:type="dxa"/>
            <w:vAlign w:val="bottom"/>
            <w:shd w:val="clear" w:color="auto" w:fill="CCEEFF"/>
          </w:tcPr>
          <w:p>
            <w:pPr>
              <w:spacing w:after="0"/>
              <w:rPr>
                <w:sz w:val="12"/>
                <w:szCs w:val="12"/>
                <w:color w:val="auto"/>
              </w:rPr>
            </w:pPr>
          </w:p>
        </w:tc>
        <w:tc>
          <w:tcPr>
            <w:tcW w:w="200" w:type="dxa"/>
            <w:vAlign w:val="bottom"/>
            <w:shd w:val="clear" w:color="auto" w:fill="CCEEFF"/>
          </w:tcPr>
          <w:p>
            <w:pPr>
              <w:jc w:val="right"/>
              <w:ind w:right="93"/>
              <w:spacing w:after="0"/>
              <w:rPr>
                <w:sz w:val="20"/>
                <w:szCs w:val="20"/>
                <w:color w:val="auto"/>
              </w:rPr>
            </w:pPr>
            <w:r>
              <w:rPr>
                <w:rFonts w:ascii="Arial" w:cs="Arial" w:eastAsia="Arial" w:hAnsi="Arial"/>
                <w:sz w:val="9"/>
                <w:szCs w:val="9"/>
                <w:color w:val="auto"/>
                <w:w w:val="78"/>
              </w:rPr>
              <w:t>$</w:t>
            </w: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5.12</w:t>
            </w:r>
          </w:p>
        </w:tc>
        <w:tc>
          <w:tcPr>
            <w:tcW w:w="42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3.75</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7100" w:type="dxa"/>
            <w:vAlign w:val="bottom"/>
          </w:tcPr>
          <w:p>
            <w:pPr>
              <w:ind w:left="860"/>
              <w:spacing w:after="0"/>
              <w:rPr>
                <w:sz w:val="20"/>
                <w:szCs w:val="20"/>
                <w:color w:val="auto"/>
              </w:rPr>
            </w:pPr>
            <w:r>
              <w:rPr>
                <w:rFonts w:ascii="Arial" w:cs="Arial" w:eastAsia="Arial" w:hAnsi="Arial"/>
                <w:sz w:val="12"/>
                <w:szCs w:val="12"/>
                <w:color w:val="auto"/>
              </w:rPr>
              <w:t>Diluted</w:t>
            </w:r>
          </w:p>
        </w:tc>
        <w:tc>
          <w:tcPr>
            <w:tcW w:w="200" w:type="dxa"/>
            <w:vAlign w:val="bottom"/>
          </w:tcPr>
          <w:p>
            <w:pPr>
              <w:jc w:val="right"/>
              <w:ind w:right="93"/>
              <w:spacing w:after="0"/>
              <w:rPr>
                <w:sz w:val="20"/>
                <w:szCs w:val="20"/>
                <w:color w:val="auto"/>
              </w:rPr>
            </w:pPr>
            <w:r>
              <w:rPr>
                <w:rFonts w:ascii="Arial" w:cs="Arial" w:eastAsia="Arial" w:hAnsi="Arial"/>
                <w:sz w:val="9"/>
                <w:szCs w:val="9"/>
                <w:color w:val="auto"/>
                <w:w w:val="78"/>
              </w:rPr>
              <w:t>$</w:t>
            </w:r>
          </w:p>
        </w:tc>
        <w:tc>
          <w:tcPr>
            <w:tcW w:w="800" w:type="dxa"/>
            <w:vAlign w:val="bottom"/>
            <w:gridSpan w:val="2"/>
          </w:tcPr>
          <w:p>
            <w:pPr>
              <w:jc w:val="right"/>
              <w:ind w:right="200"/>
              <w:spacing w:after="0"/>
              <w:rPr>
                <w:sz w:val="20"/>
                <w:szCs w:val="20"/>
                <w:color w:val="auto"/>
              </w:rPr>
            </w:pPr>
            <w:r>
              <w:rPr>
                <w:rFonts w:ascii="Arial" w:cs="Arial" w:eastAsia="Arial" w:hAnsi="Arial"/>
                <w:sz w:val="12"/>
                <w:szCs w:val="12"/>
                <w:color w:val="auto"/>
              </w:rPr>
              <w:t>1.79</w:t>
            </w:r>
          </w:p>
        </w:tc>
        <w:tc>
          <w:tcPr>
            <w:tcW w:w="42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540" w:type="dxa"/>
            <w:vAlign w:val="bottom"/>
          </w:tcPr>
          <w:p>
            <w:pPr>
              <w:jc w:val="right"/>
              <w:spacing w:after="0"/>
              <w:rPr>
                <w:sz w:val="20"/>
                <w:szCs w:val="20"/>
                <w:color w:val="auto"/>
              </w:rPr>
            </w:pPr>
            <w:r>
              <w:rPr>
                <w:rFonts w:ascii="Arial" w:cs="Arial" w:eastAsia="Arial" w:hAnsi="Arial"/>
                <w:sz w:val="12"/>
                <w:szCs w:val="12"/>
                <w:color w:val="auto"/>
              </w:rPr>
              <w:t>1.11</w:t>
            </w:r>
          </w:p>
        </w:tc>
        <w:tc>
          <w:tcPr>
            <w:tcW w:w="320" w:type="dxa"/>
            <w:vAlign w:val="bottom"/>
          </w:tcPr>
          <w:p>
            <w:pPr>
              <w:spacing w:after="0"/>
              <w:rPr>
                <w:sz w:val="12"/>
                <w:szCs w:val="12"/>
                <w:color w:val="auto"/>
              </w:rPr>
            </w:pPr>
          </w:p>
        </w:tc>
        <w:tc>
          <w:tcPr>
            <w:tcW w:w="200" w:type="dxa"/>
            <w:vAlign w:val="bottom"/>
          </w:tcPr>
          <w:p>
            <w:pPr>
              <w:jc w:val="right"/>
              <w:ind w:right="93"/>
              <w:spacing w:after="0"/>
              <w:rPr>
                <w:sz w:val="20"/>
                <w:szCs w:val="20"/>
                <w:color w:val="auto"/>
              </w:rPr>
            </w:pPr>
            <w:r>
              <w:rPr>
                <w:rFonts w:ascii="Arial" w:cs="Arial" w:eastAsia="Arial" w:hAnsi="Arial"/>
                <w:sz w:val="9"/>
                <w:szCs w:val="9"/>
                <w:color w:val="auto"/>
                <w:w w:val="78"/>
              </w:rPr>
              <w:t>$</w:t>
            </w:r>
          </w:p>
        </w:tc>
        <w:tc>
          <w:tcPr>
            <w:tcW w:w="800" w:type="dxa"/>
            <w:vAlign w:val="bottom"/>
            <w:gridSpan w:val="2"/>
          </w:tcPr>
          <w:p>
            <w:pPr>
              <w:jc w:val="right"/>
              <w:ind w:right="180"/>
              <w:spacing w:after="0"/>
              <w:rPr>
                <w:sz w:val="20"/>
                <w:szCs w:val="20"/>
                <w:color w:val="auto"/>
              </w:rPr>
            </w:pPr>
            <w:r>
              <w:rPr>
                <w:rFonts w:ascii="Arial" w:cs="Arial" w:eastAsia="Arial" w:hAnsi="Arial"/>
                <w:sz w:val="12"/>
                <w:szCs w:val="12"/>
                <w:color w:val="auto"/>
              </w:rPr>
              <w:t>5.07</w:t>
            </w:r>
          </w:p>
        </w:tc>
        <w:tc>
          <w:tcPr>
            <w:tcW w:w="42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560" w:type="dxa"/>
            <w:vAlign w:val="bottom"/>
          </w:tcPr>
          <w:p>
            <w:pPr>
              <w:jc w:val="right"/>
              <w:spacing w:after="0"/>
              <w:rPr>
                <w:sz w:val="20"/>
                <w:szCs w:val="20"/>
                <w:color w:val="auto"/>
              </w:rPr>
            </w:pPr>
            <w:r>
              <w:rPr>
                <w:rFonts w:ascii="Arial" w:cs="Arial" w:eastAsia="Arial" w:hAnsi="Arial"/>
                <w:sz w:val="12"/>
                <w:szCs w:val="12"/>
                <w:color w:val="auto"/>
              </w:rPr>
              <w:t>3.71</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7100" w:type="dxa"/>
            <w:vAlign w:val="bottom"/>
            <w:shd w:val="clear" w:color="auto" w:fill="CCEEFF"/>
          </w:tcPr>
          <w:p>
            <w:pPr>
              <w:ind w:left="560"/>
              <w:spacing w:after="0"/>
              <w:rPr>
                <w:sz w:val="20"/>
                <w:szCs w:val="20"/>
                <w:color w:val="auto"/>
              </w:rPr>
            </w:pPr>
            <w:r>
              <w:rPr>
                <w:rFonts w:ascii="Arial" w:cs="Arial" w:eastAsia="Arial" w:hAnsi="Arial"/>
                <w:sz w:val="12"/>
                <w:szCs w:val="12"/>
                <w:color w:val="auto"/>
              </w:rPr>
              <w:t>Weighted average common shares outstanding:</w:t>
            </w:r>
          </w:p>
        </w:tc>
        <w:tc>
          <w:tcPr>
            <w:tcW w:w="2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7100" w:type="dxa"/>
            <w:vAlign w:val="bottom"/>
          </w:tcPr>
          <w:p>
            <w:pPr>
              <w:ind w:left="860"/>
              <w:spacing w:after="0"/>
              <w:rPr>
                <w:sz w:val="20"/>
                <w:szCs w:val="20"/>
                <w:color w:val="auto"/>
              </w:rPr>
            </w:pPr>
            <w:r>
              <w:rPr>
                <w:rFonts w:ascii="Arial" w:cs="Arial" w:eastAsia="Arial" w:hAnsi="Arial"/>
                <w:sz w:val="12"/>
                <w:szCs w:val="12"/>
                <w:color w:val="auto"/>
              </w:rPr>
              <w:t>Basic</w:t>
            </w:r>
          </w:p>
        </w:tc>
        <w:tc>
          <w:tcPr>
            <w:tcW w:w="200" w:type="dxa"/>
            <w:vAlign w:val="bottom"/>
          </w:tcPr>
          <w:p>
            <w:pPr>
              <w:spacing w:after="0"/>
              <w:rPr>
                <w:sz w:val="12"/>
                <w:szCs w:val="12"/>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2"/>
                <w:szCs w:val="12"/>
                <w:color w:val="auto"/>
              </w:rPr>
              <w:t>100,685</w:t>
            </w:r>
          </w:p>
        </w:tc>
        <w:tc>
          <w:tcPr>
            <w:tcW w:w="1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Arial" w:cs="Arial" w:eastAsia="Arial" w:hAnsi="Arial"/>
                <w:sz w:val="12"/>
                <w:szCs w:val="12"/>
                <w:color w:val="auto"/>
              </w:rPr>
              <w:t>99,871</w:t>
            </w:r>
          </w:p>
        </w:tc>
        <w:tc>
          <w:tcPr>
            <w:tcW w:w="3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2"/>
                <w:szCs w:val="12"/>
                <w:color w:val="auto"/>
              </w:rPr>
              <w:t>100,470</w:t>
            </w:r>
          </w:p>
        </w:tc>
        <w:tc>
          <w:tcPr>
            <w:tcW w:w="1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Arial" w:cs="Arial" w:eastAsia="Arial" w:hAnsi="Arial"/>
                <w:sz w:val="12"/>
                <w:szCs w:val="12"/>
                <w:color w:val="auto"/>
              </w:rPr>
              <w:t>104,104</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7100" w:type="dxa"/>
            <w:vAlign w:val="bottom"/>
            <w:shd w:val="clear" w:color="auto" w:fill="CCEEFF"/>
          </w:tcPr>
          <w:p>
            <w:pPr>
              <w:ind w:left="860"/>
              <w:spacing w:after="0"/>
              <w:rPr>
                <w:sz w:val="20"/>
                <w:szCs w:val="20"/>
                <w:color w:val="auto"/>
              </w:rPr>
            </w:pPr>
            <w:r>
              <w:rPr>
                <w:rFonts w:ascii="Arial" w:cs="Arial" w:eastAsia="Arial" w:hAnsi="Arial"/>
                <w:sz w:val="12"/>
                <w:szCs w:val="12"/>
                <w:color w:val="auto"/>
              </w:rPr>
              <w:t>Diluted</w:t>
            </w:r>
          </w:p>
        </w:tc>
        <w:tc>
          <w:tcPr>
            <w:tcW w:w="20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101,547</w:t>
            </w:r>
          </w:p>
        </w:tc>
        <w:tc>
          <w:tcPr>
            <w:tcW w:w="1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100,892</w:t>
            </w:r>
          </w:p>
        </w:tc>
        <w:tc>
          <w:tcPr>
            <w:tcW w:w="3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101,526</w:t>
            </w:r>
          </w:p>
        </w:tc>
        <w:tc>
          <w:tcPr>
            <w:tcW w:w="1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105,291</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100" w:type="dxa"/>
            <w:vAlign w:val="bottom"/>
          </w:tcPr>
          <w:p>
            <w:pPr>
              <w:spacing w:after="0"/>
              <w:rPr>
                <w:sz w:val="20"/>
                <w:szCs w:val="20"/>
                <w:color w:val="auto"/>
              </w:rPr>
            </w:pPr>
            <w:r>
              <w:rPr>
                <w:rFonts w:ascii="Arial" w:cs="Arial" w:eastAsia="Arial" w:hAnsi="Arial"/>
                <w:sz w:val="12"/>
                <w:szCs w:val="12"/>
                <w:color w:val="auto"/>
              </w:rPr>
              <w:t>Dividends declared per common share:</w:t>
            </w:r>
          </w:p>
        </w:tc>
        <w:tc>
          <w:tcPr>
            <w:tcW w:w="200" w:type="dxa"/>
            <w:vAlign w:val="bottom"/>
          </w:tcPr>
          <w:p>
            <w:pPr>
              <w:jc w:val="right"/>
              <w:ind w:right="93"/>
              <w:spacing w:after="0"/>
              <w:rPr>
                <w:sz w:val="20"/>
                <w:szCs w:val="20"/>
                <w:color w:val="auto"/>
              </w:rPr>
            </w:pPr>
            <w:r>
              <w:rPr>
                <w:rFonts w:ascii="Arial" w:cs="Arial" w:eastAsia="Arial" w:hAnsi="Arial"/>
                <w:sz w:val="9"/>
                <w:szCs w:val="9"/>
                <w:color w:val="auto"/>
                <w:w w:val="78"/>
              </w:rPr>
              <w:t>$</w:t>
            </w:r>
          </w:p>
        </w:tc>
        <w:tc>
          <w:tcPr>
            <w:tcW w:w="800" w:type="dxa"/>
            <w:vAlign w:val="bottom"/>
            <w:gridSpan w:val="2"/>
          </w:tcPr>
          <w:p>
            <w:pPr>
              <w:jc w:val="right"/>
              <w:ind w:right="200"/>
              <w:spacing w:after="0"/>
              <w:rPr>
                <w:sz w:val="20"/>
                <w:szCs w:val="20"/>
                <w:color w:val="auto"/>
              </w:rPr>
            </w:pPr>
            <w:r>
              <w:rPr>
                <w:rFonts w:ascii="Arial" w:cs="Arial" w:eastAsia="Arial" w:hAnsi="Arial"/>
                <w:sz w:val="12"/>
                <w:szCs w:val="12"/>
                <w:color w:val="auto"/>
              </w:rPr>
              <w:t>1.00</w:t>
            </w:r>
          </w:p>
        </w:tc>
        <w:tc>
          <w:tcPr>
            <w:tcW w:w="42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540" w:type="dxa"/>
            <w:vAlign w:val="bottom"/>
          </w:tcPr>
          <w:p>
            <w:pPr>
              <w:jc w:val="right"/>
              <w:spacing w:after="0"/>
              <w:rPr>
                <w:sz w:val="20"/>
                <w:szCs w:val="20"/>
                <w:color w:val="auto"/>
              </w:rPr>
            </w:pPr>
            <w:r>
              <w:rPr>
                <w:rFonts w:ascii="Arial" w:cs="Arial" w:eastAsia="Arial" w:hAnsi="Arial"/>
                <w:sz w:val="12"/>
                <w:szCs w:val="12"/>
                <w:color w:val="auto"/>
              </w:rPr>
              <w:t>0.50</w:t>
            </w:r>
          </w:p>
        </w:tc>
        <w:tc>
          <w:tcPr>
            <w:tcW w:w="320" w:type="dxa"/>
            <w:vAlign w:val="bottom"/>
          </w:tcPr>
          <w:p>
            <w:pPr>
              <w:spacing w:after="0"/>
              <w:rPr>
                <w:sz w:val="12"/>
                <w:szCs w:val="12"/>
                <w:color w:val="auto"/>
              </w:rPr>
            </w:pPr>
          </w:p>
        </w:tc>
        <w:tc>
          <w:tcPr>
            <w:tcW w:w="200" w:type="dxa"/>
            <w:vAlign w:val="bottom"/>
          </w:tcPr>
          <w:p>
            <w:pPr>
              <w:jc w:val="right"/>
              <w:ind w:right="93"/>
              <w:spacing w:after="0"/>
              <w:rPr>
                <w:sz w:val="20"/>
                <w:szCs w:val="20"/>
                <w:color w:val="auto"/>
              </w:rPr>
            </w:pPr>
            <w:r>
              <w:rPr>
                <w:rFonts w:ascii="Arial" w:cs="Arial" w:eastAsia="Arial" w:hAnsi="Arial"/>
                <w:sz w:val="9"/>
                <w:szCs w:val="9"/>
                <w:color w:val="auto"/>
                <w:w w:val="78"/>
              </w:rPr>
              <w:t>$</w:t>
            </w:r>
          </w:p>
        </w:tc>
        <w:tc>
          <w:tcPr>
            <w:tcW w:w="800" w:type="dxa"/>
            <w:vAlign w:val="bottom"/>
            <w:gridSpan w:val="2"/>
          </w:tcPr>
          <w:p>
            <w:pPr>
              <w:jc w:val="right"/>
              <w:ind w:right="180"/>
              <w:spacing w:after="0"/>
              <w:rPr>
                <w:sz w:val="20"/>
                <w:szCs w:val="20"/>
                <w:color w:val="auto"/>
              </w:rPr>
            </w:pPr>
            <w:r>
              <w:rPr>
                <w:rFonts w:ascii="Arial" w:cs="Arial" w:eastAsia="Arial" w:hAnsi="Arial"/>
                <w:sz w:val="12"/>
                <w:szCs w:val="12"/>
                <w:color w:val="auto"/>
              </w:rPr>
              <w:t>3.00</w:t>
            </w:r>
          </w:p>
        </w:tc>
        <w:tc>
          <w:tcPr>
            <w:tcW w:w="42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560" w:type="dxa"/>
            <w:vAlign w:val="bottom"/>
          </w:tcPr>
          <w:p>
            <w:pPr>
              <w:jc w:val="right"/>
              <w:spacing w:after="0"/>
              <w:rPr>
                <w:sz w:val="20"/>
                <w:szCs w:val="20"/>
                <w:color w:val="auto"/>
              </w:rPr>
            </w:pPr>
            <w:r>
              <w:rPr>
                <w:rFonts w:ascii="Arial" w:cs="Arial" w:eastAsia="Arial" w:hAnsi="Arial"/>
                <w:sz w:val="12"/>
                <w:szCs w:val="12"/>
                <w:color w:val="auto"/>
              </w:rPr>
              <w:t>1.50</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98"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The accompanying notes are an integral part of these condensed consolidated financial statements.</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4</w:t>
      </w:r>
    </w:p>
    <w:p>
      <w:pPr>
        <w:sectPr>
          <w:pgSz w:w="11900" w:h="16838" w:orient="portrait"/>
          <w:cols w:equalWidth="0" w:num="1">
            <w:col w:w="11480"/>
          </w:cols>
          <w:pgMar w:left="220" w:top="354" w:right="199" w:bottom="1440" w:gutter="0" w:footer="0" w:header="0"/>
        </w:sectPr>
      </w:pPr>
    </w:p>
    <w:bookmarkStart w:id="4" w:name="page5"/>
    <w:bookmarkEnd w:id="4"/>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121920</wp:posOffset>
            </wp:positionH>
            <wp:positionV relativeFrom="page">
              <wp:posOffset>88900</wp:posOffset>
            </wp:positionV>
            <wp:extent cx="7329170" cy="298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329170" cy="29845"/>
                    </a:xfrm>
                    <a:prstGeom prst="rect">
                      <a:avLst/>
                    </a:prstGeom>
                    <a:noFill/>
                  </pic:spPr>
                </pic:pic>
              </a:graphicData>
            </a:graphic>
          </wp:anchor>
        </w:drawing>
      </w:r>
      <w:hyperlink w:anchor="page2">
        <w:r>
          <w:rPr>
            <w:rFonts w:ascii="Arial" w:cs="Arial" w:eastAsia="Arial" w:hAnsi="Arial"/>
            <w:sz w:val="12"/>
            <w:szCs w:val="12"/>
            <w:b w:val="1"/>
            <w:bCs w:val="1"/>
            <w:u w:val="single" w:color="auto"/>
            <w:color w:val="0000EE"/>
          </w:rPr>
          <w:t>Table of Contents</w:t>
        </w:r>
      </w:hyperlink>
    </w:p>
    <w:p>
      <w:pPr>
        <w:spacing w:after="0" w:line="207"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WYNN RESORTS, LIMITED AND SUBSIDIARIES</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CONDENSED CONSOLIDATED STATEMENTS OF COMPREHENSIVE INCOME</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(amounts in thousands)</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(unaudited)</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103"/>
        </w:trPr>
        <w:tc>
          <w:tcPr>
            <w:tcW w:w="7340" w:type="dxa"/>
            <w:vAlign w:val="bottom"/>
          </w:tcPr>
          <w:p>
            <w:pPr>
              <w:spacing w:after="0"/>
              <w:rPr>
                <w:sz w:val="8"/>
                <w:szCs w:val="8"/>
                <w:color w:val="auto"/>
              </w:rPr>
            </w:pPr>
          </w:p>
        </w:tc>
        <w:tc>
          <w:tcPr>
            <w:tcW w:w="120" w:type="dxa"/>
            <w:vAlign w:val="bottom"/>
          </w:tcPr>
          <w:p>
            <w:pPr>
              <w:spacing w:after="0"/>
              <w:rPr>
                <w:sz w:val="8"/>
                <w:szCs w:val="8"/>
                <w:color w:val="auto"/>
              </w:rPr>
            </w:pPr>
          </w:p>
        </w:tc>
        <w:tc>
          <w:tcPr>
            <w:tcW w:w="1160" w:type="dxa"/>
            <w:vAlign w:val="bottom"/>
            <w:gridSpan w:val="3"/>
          </w:tcPr>
          <w:p>
            <w:pPr>
              <w:jc w:val="right"/>
              <w:spacing w:after="0"/>
              <w:rPr>
                <w:sz w:val="20"/>
                <w:szCs w:val="20"/>
                <w:color w:val="auto"/>
              </w:rPr>
            </w:pPr>
            <w:r>
              <w:rPr>
                <w:rFonts w:ascii="Arial" w:cs="Arial" w:eastAsia="Arial" w:hAnsi="Arial"/>
                <w:sz w:val="9"/>
                <w:szCs w:val="9"/>
                <w:b w:val="1"/>
                <w:bCs w:val="1"/>
                <w:color w:val="auto"/>
              </w:rPr>
              <w:t>Three Months Ended</w:t>
            </w:r>
          </w:p>
        </w:tc>
        <w:tc>
          <w:tcPr>
            <w:tcW w:w="400" w:type="dxa"/>
            <w:vAlign w:val="bottom"/>
          </w:tcPr>
          <w:p>
            <w:pPr>
              <w:spacing w:after="0"/>
              <w:rPr>
                <w:sz w:val="8"/>
                <w:szCs w:val="8"/>
                <w:color w:val="auto"/>
              </w:rPr>
            </w:pPr>
          </w:p>
        </w:tc>
        <w:tc>
          <w:tcPr>
            <w:tcW w:w="300" w:type="dxa"/>
            <w:vAlign w:val="bottom"/>
          </w:tcPr>
          <w:p>
            <w:pPr>
              <w:spacing w:after="0"/>
              <w:rPr>
                <w:sz w:val="8"/>
                <w:szCs w:val="8"/>
                <w:color w:val="auto"/>
              </w:rPr>
            </w:pPr>
          </w:p>
        </w:tc>
        <w:tc>
          <w:tcPr>
            <w:tcW w:w="26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00" w:type="dxa"/>
            <w:vAlign w:val="bottom"/>
            <w:gridSpan w:val="3"/>
          </w:tcPr>
          <w:p>
            <w:pPr>
              <w:jc w:val="right"/>
              <w:spacing w:after="0"/>
              <w:rPr>
                <w:sz w:val="20"/>
                <w:szCs w:val="20"/>
                <w:color w:val="auto"/>
              </w:rPr>
            </w:pPr>
            <w:r>
              <w:rPr>
                <w:rFonts w:ascii="Arial" w:cs="Arial" w:eastAsia="Arial" w:hAnsi="Arial"/>
                <w:sz w:val="9"/>
                <w:szCs w:val="9"/>
                <w:b w:val="1"/>
                <w:bCs w:val="1"/>
                <w:color w:val="auto"/>
              </w:rPr>
              <w:t>Nine Months Ended</w:t>
            </w: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r>
      <w:tr>
        <w:trPr>
          <w:trHeight w:val="108"/>
        </w:trPr>
        <w:tc>
          <w:tcPr>
            <w:tcW w:w="734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44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gridSpan w:val="2"/>
          </w:tcPr>
          <w:p>
            <w:pPr>
              <w:jc w:val="right"/>
              <w:ind w:right="113"/>
              <w:spacing w:after="0"/>
              <w:rPr>
                <w:sz w:val="20"/>
                <w:szCs w:val="20"/>
                <w:color w:val="auto"/>
              </w:rPr>
            </w:pPr>
            <w:r>
              <w:rPr>
                <w:rFonts w:ascii="Arial" w:cs="Arial" w:eastAsia="Arial" w:hAnsi="Arial"/>
                <w:sz w:val="9"/>
                <w:szCs w:val="9"/>
                <w:b w:val="1"/>
                <w:bCs w:val="1"/>
                <w:color w:val="auto"/>
                <w:w w:val="87"/>
              </w:rPr>
              <w:t>September 30,</w:t>
            </w:r>
          </w:p>
        </w:tc>
        <w:tc>
          <w:tcPr>
            <w:tcW w:w="400" w:type="dxa"/>
            <w:vAlign w:val="bottom"/>
            <w:tcBorders>
              <w:bottom w:val="single" w:sz="8" w:color="auto"/>
            </w:tcBorders>
          </w:tcPr>
          <w:p>
            <w:pPr>
              <w:spacing w:after="0"/>
              <w:rPr>
                <w:sz w:val="9"/>
                <w:szCs w:val="9"/>
                <w:color w:val="auto"/>
              </w:rPr>
            </w:pPr>
          </w:p>
        </w:tc>
        <w:tc>
          <w:tcPr>
            <w:tcW w:w="300" w:type="dxa"/>
            <w:vAlign w:val="bottom"/>
          </w:tcPr>
          <w:p>
            <w:pPr>
              <w:spacing w:after="0"/>
              <w:rPr>
                <w:sz w:val="9"/>
                <w:szCs w:val="9"/>
                <w:color w:val="auto"/>
              </w:rPr>
            </w:pPr>
          </w:p>
        </w:tc>
        <w:tc>
          <w:tcPr>
            <w:tcW w:w="26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gridSpan w:val="2"/>
          </w:tcPr>
          <w:p>
            <w:pPr>
              <w:jc w:val="right"/>
              <w:ind w:right="93"/>
              <w:spacing w:after="0"/>
              <w:rPr>
                <w:sz w:val="20"/>
                <w:szCs w:val="20"/>
                <w:color w:val="auto"/>
              </w:rPr>
            </w:pPr>
            <w:r>
              <w:rPr>
                <w:rFonts w:ascii="Arial" w:cs="Arial" w:eastAsia="Arial" w:hAnsi="Arial"/>
                <w:sz w:val="9"/>
                <w:szCs w:val="9"/>
                <w:b w:val="1"/>
                <w:bCs w:val="1"/>
                <w:color w:val="auto"/>
                <w:w w:val="87"/>
              </w:rPr>
              <w:t>September 30,</w:t>
            </w:r>
          </w:p>
        </w:tc>
        <w:tc>
          <w:tcPr>
            <w:tcW w:w="48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r>
      <w:tr>
        <w:trPr>
          <w:trHeight w:val="88"/>
        </w:trPr>
        <w:tc>
          <w:tcPr>
            <w:tcW w:w="7340" w:type="dxa"/>
            <w:vAlign w:val="bottom"/>
            <w:tcBorders>
              <w:bottom w:val="single" w:sz="8" w:color="CCEEFF"/>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440" w:type="dxa"/>
            <w:vAlign w:val="bottom"/>
            <w:tcBorders>
              <w:bottom w:val="single" w:sz="8" w:color="auto"/>
            </w:tcBorders>
          </w:tcPr>
          <w:p>
            <w:pPr>
              <w:jc w:val="right"/>
              <w:ind w:right="125"/>
              <w:spacing w:after="0" w:line="88" w:lineRule="exact"/>
              <w:rPr>
                <w:sz w:val="20"/>
                <w:szCs w:val="20"/>
                <w:color w:val="auto"/>
              </w:rPr>
            </w:pPr>
            <w:r>
              <w:rPr>
                <w:rFonts w:ascii="Arial" w:cs="Arial" w:eastAsia="Arial" w:hAnsi="Arial"/>
                <w:sz w:val="9"/>
                <w:szCs w:val="9"/>
                <w:b w:val="1"/>
                <w:bCs w:val="1"/>
                <w:color w:val="auto"/>
              </w:rPr>
              <w:t>2013</w:t>
            </w:r>
          </w:p>
        </w:tc>
        <w:tc>
          <w:tcPr>
            <w:tcW w:w="540" w:type="dxa"/>
            <w:vAlign w:val="bottom"/>
            <w:tcBorders>
              <w:bottom w:val="single" w:sz="8" w:color="CCEEFF"/>
            </w:tcBorders>
          </w:tcPr>
          <w:p>
            <w:pPr>
              <w:spacing w:after="0"/>
              <w:rPr>
                <w:sz w:val="7"/>
                <w:szCs w:val="7"/>
                <w:color w:val="auto"/>
              </w:rPr>
            </w:pPr>
          </w:p>
        </w:tc>
        <w:tc>
          <w:tcPr>
            <w:tcW w:w="180" w:type="dxa"/>
            <w:vAlign w:val="bottom"/>
            <w:tcBorders>
              <w:bottom w:val="single" w:sz="8" w:color="auto"/>
            </w:tcBorders>
          </w:tcPr>
          <w:p>
            <w:pPr>
              <w:spacing w:after="0"/>
              <w:rPr>
                <w:sz w:val="7"/>
                <w:szCs w:val="7"/>
                <w:color w:val="auto"/>
              </w:rPr>
            </w:pPr>
          </w:p>
        </w:tc>
        <w:tc>
          <w:tcPr>
            <w:tcW w:w="400" w:type="dxa"/>
            <w:vAlign w:val="bottom"/>
            <w:tcBorders>
              <w:bottom w:val="single" w:sz="8" w:color="auto"/>
            </w:tcBorders>
          </w:tcPr>
          <w:p>
            <w:pPr>
              <w:jc w:val="right"/>
              <w:ind w:right="143"/>
              <w:spacing w:after="0" w:line="88" w:lineRule="exact"/>
              <w:rPr>
                <w:sz w:val="20"/>
                <w:szCs w:val="20"/>
                <w:color w:val="auto"/>
              </w:rPr>
            </w:pPr>
            <w:r>
              <w:rPr>
                <w:rFonts w:ascii="Arial" w:cs="Arial" w:eastAsia="Arial" w:hAnsi="Arial"/>
                <w:sz w:val="9"/>
                <w:szCs w:val="9"/>
                <w:b w:val="1"/>
                <w:bCs w:val="1"/>
                <w:color w:val="auto"/>
                <w:w w:val="89"/>
              </w:rPr>
              <w:t>2012</w:t>
            </w:r>
          </w:p>
        </w:tc>
        <w:tc>
          <w:tcPr>
            <w:tcW w:w="300" w:type="dxa"/>
            <w:vAlign w:val="bottom"/>
            <w:tcBorders>
              <w:bottom w:val="single" w:sz="8" w:color="CCEEFF"/>
            </w:tcBorders>
          </w:tcPr>
          <w:p>
            <w:pPr>
              <w:spacing w:after="0"/>
              <w:rPr>
                <w:sz w:val="7"/>
                <w:szCs w:val="7"/>
                <w:color w:val="auto"/>
              </w:rPr>
            </w:pPr>
          </w:p>
        </w:tc>
        <w:tc>
          <w:tcPr>
            <w:tcW w:w="260" w:type="dxa"/>
            <w:vAlign w:val="bottom"/>
            <w:tcBorders>
              <w:bottom w:val="single" w:sz="8" w:color="CCEEFF"/>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500" w:type="dxa"/>
            <w:vAlign w:val="bottom"/>
            <w:tcBorders>
              <w:bottom w:val="single" w:sz="8" w:color="auto"/>
            </w:tcBorders>
          </w:tcPr>
          <w:p>
            <w:pPr>
              <w:jc w:val="right"/>
              <w:ind w:right="165"/>
              <w:spacing w:after="0" w:line="88" w:lineRule="exact"/>
              <w:rPr>
                <w:sz w:val="20"/>
                <w:szCs w:val="20"/>
                <w:color w:val="auto"/>
              </w:rPr>
            </w:pPr>
            <w:r>
              <w:rPr>
                <w:rFonts w:ascii="Arial" w:cs="Arial" w:eastAsia="Arial" w:hAnsi="Arial"/>
                <w:sz w:val="9"/>
                <w:szCs w:val="9"/>
                <w:b w:val="1"/>
                <w:bCs w:val="1"/>
                <w:color w:val="auto"/>
              </w:rPr>
              <w:t>2013</w:t>
            </w:r>
          </w:p>
        </w:tc>
        <w:tc>
          <w:tcPr>
            <w:tcW w:w="540" w:type="dxa"/>
            <w:vAlign w:val="bottom"/>
            <w:tcBorders>
              <w:bottom w:val="single" w:sz="8" w:color="CCEEFF"/>
            </w:tcBorders>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480" w:type="dxa"/>
            <w:vAlign w:val="bottom"/>
            <w:tcBorders>
              <w:bottom w:val="single" w:sz="8" w:color="auto"/>
            </w:tcBorders>
          </w:tcPr>
          <w:p>
            <w:pPr>
              <w:jc w:val="right"/>
              <w:ind w:right="163"/>
              <w:spacing w:after="0" w:line="88" w:lineRule="exact"/>
              <w:rPr>
                <w:sz w:val="20"/>
                <w:szCs w:val="20"/>
                <w:color w:val="auto"/>
              </w:rPr>
            </w:pPr>
            <w:r>
              <w:rPr>
                <w:rFonts w:ascii="Arial" w:cs="Arial" w:eastAsia="Arial" w:hAnsi="Arial"/>
                <w:sz w:val="9"/>
                <w:szCs w:val="9"/>
                <w:b w:val="1"/>
                <w:bCs w:val="1"/>
                <w:color w:val="auto"/>
              </w:rPr>
              <w:t>2012</w:t>
            </w:r>
          </w:p>
        </w:tc>
        <w:tc>
          <w:tcPr>
            <w:tcW w:w="100" w:type="dxa"/>
            <w:vAlign w:val="bottom"/>
            <w:tcBorders>
              <w:bottom w:val="single" w:sz="8" w:color="CCEEFF"/>
            </w:tcBorders>
          </w:tcPr>
          <w:p>
            <w:pPr>
              <w:spacing w:after="0"/>
              <w:rPr>
                <w:sz w:val="7"/>
                <w:szCs w:val="7"/>
                <w:color w:val="auto"/>
              </w:rPr>
            </w:pPr>
          </w:p>
        </w:tc>
      </w:tr>
      <w:tr>
        <w:trPr>
          <w:trHeight w:val="133"/>
        </w:trPr>
        <w:tc>
          <w:tcPr>
            <w:tcW w:w="7340" w:type="dxa"/>
            <w:vAlign w:val="bottom"/>
            <w:shd w:val="clear" w:color="auto" w:fill="CCEEFF"/>
          </w:tcPr>
          <w:p>
            <w:pPr>
              <w:spacing w:after="0" w:line="129" w:lineRule="exact"/>
              <w:rPr>
                <w:sz w:val="20"/>
                <w:szCs w:val="20"/>
                <w:color w:val="auto"/>
              </w:rPr>
            </w:pPr>
            <w:r>
              <w:rPr>
                <w:rFonts w:ascii="Arial" w:cs="Arial" w:eastAsia="Arial" w:hAnsi="Arial"/>
                <w:sz w:val="12"/>
                <w:szCs w:val="12"/>
                <w:color w:val="auto"/>
              </w:rPr>
              <w:t>Net income</w:t>
            </w:r>
          </w:p>
        </w:tc>
        <w:tc>
          <w:tcPr>
            <w:tcW w:w="120" w:type="dxa"/>
            <w:vAlign w:val="bottom"/>
            <w:shd w:val="clear" w:color="auto" w:fill="CCEEFF"/>
          </w:tcPr>
          <w:p>
            <w:pPr>
              <w:jc w:val="right"/>
              <w:ind w:right="13"/>
              <w:spacing w:after="0"/>
              <w:rPr>
                <w:sz w:val="20"/>
                <w:szCs w:val="20"/>
                <w:color w:val="auto"/>
              </w:rPr>
            </w:pPr>
            <w:r>
              <w:rPr>
                <w:rFonts w:ascii="Arial" w:cs="Arial" w:eastAsia="Arial" w:hAnsi="Arial"/>
                <w:sz w:val="9"/>
                <w:szCs w:val="9"/>
                <w:color w:val="auto"/>
                <w:w w:val="78"/>
              </w:rPr>
              <w:t>$</w:t>
            </w:r>
          </w:p>
        </w:tc>
        <w:tc>
          <w:tcPr>
            <w:tcW w:w="440" w:type="dxa"/>
            <w:vAlign w:val="bottom"/>
            <w:shd w:val="clear" w:color="auto" w:fill="CCEEFF"/>
          </w:tcPr>
          <w:p>
            <w:pPr>
              <w:jc w:val="right"/>
              <w:spacing w:after="0" w:line="133" w:lineRule="exact"/>
              <w:rPr>
                <w:sz w:val="20"/>
                <w:szCs w:val="20"/>
                <w:color w:val="auto"/>
              </w:rPr>
            </w:pPr>
            <w:r>
              <w:rPr>
                <w:rFonts w:ascii="Arial" w:cs="Arial" w:eastAsia="Arial" w:hAnsi="Arial"/>
                <w:sz w:val="12"/>
                <w:szCs w:val="12"/>
                <w:color w:val="auto"/>
                <w:w w:val="96"/>
              </w:rPr>
              <w:t>248,811</w:t>
            </w:r>
          </w:p>
        </w:tc>
        <w:tc>
          <w:tcPr>
            <w:tcW w:w="540" w:type="dxa"/>
            <w:vAlign w:val="bottom"/>
            <w:shd w:val="clear" w:color="auto" w:fill="CCEEFF"/>
          </w:tcPr>
          <w:p>
            <w:pPr>
              <w:spacing w:after="0"/>
              <w:rPr>
                <w:sz w:val="11"/>
                <w:szCs w:val="11"/>
                <w:color w:val="auto"/>
              </w:rPr>
            </w:pPr>
          </w:p>
        </w:tc>
        <w:tc>
          <w:tcPr>
            <w:tcW w:w="180" w:type="dxa"/>
            <w:vAlign w:val="bottom"/>
            <w:shd w:val="clear" w:color="auto" w:fill="CCEEFF"/>
          </w:tcPr>
          <w:p>
            <w:pPr>
              <w:jc w:val="right"/>
              <w:ind w:right="73"/>
              <w:spacing w:after="0"/>
              <w:rPr>
                <w:sz w:val="20"/>
                <w:szCs w:val="20"/>
                <w:color w:val="auto"/>
              </w:rPr>
            </w:pPr>
            <w:r>
              <w:rPr>
                <w:rFonts w:ascii="Arial" w:cs="Arial" w:eastAsia="Arial" w:hAnsi="Arial"/>
                <w:sz w:val="9"/>
                <w:szCs w:val="9"/>
                <w:color w:val="auto"/>
                <w:w w:val="78"/>
              </w:rPr>
              <w:t>$</w:t>
            </w:r>
          </w:p>
        </w:tc>
        <w:tc>
          <w:tcPr>
            <w:tcW w:w="400" w:type="dxa"/>
            <w:vAlign w:val="bottom"/>
            <w:shd w:val="clear" w:color="auto" w:fill="CCEEFF"/>
          </w:tcPr>
          <w:p>
            <w:pPr>
              <w:jc w:val="right"/>
              <w:spacing w:after="0" w:line="133" w:lineRule="exact"/>
              <w:rPr>
                <w:sz w:val="20"/>
                <w:szCs w:val="20"/>
                <w:color w:val="auto"/>
              </w:rPr>
            </w:pPr>
            <w:r>
              <w:rPr>
                <w:rFonts w:ascii="Arial" w:cs="Arial" w:eastAsia="Arial" w:hAnsi="Arial"/>
                <w:sz w:val="12"/>
                <w:szCs w:val="12"/>
                <w:color w:val="auto"/>
                <w:w w:val="87"/>
              </w:rPr>
              <w:t>165,171</w:t>
            </w:r>
          </w:p>
        </w:tc>
        <w:tc>
          <w:tcPr>
            <w:tcW w:w="3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20" w:type="dxa"/>
            <w:vAlign w:val="bottom"/>
            <w:shd w:val="clear" w:color="auto" w:fill="CCEEFF"/>
          </w:tcPr>
          <w:p>
            <w:pPr>
              <w:jc w:val="right"/>
              <w:ind w:right="13"/>
              <w:spacing w:after="0"/>
              <w:rPr>
                <w:sz w:val="20"/>
                <w:szCs w:val="20"/>
                <w:color w:val="auto"/>
              </w:rPr>
            </w:pPr>
            <w:r>
              <w:rPr>
                <w:rFonts w:ascii="Arial" w:cs="Arial" w:eastAsia="Arial" w:hAnsi="Arial"/>
                <w:sz w:val="9"/>
                <w:szCs w:val="9"/>
                <w:color w:val="auto"/>
                <w:w w:val="78"/>
              </w:rPr>
              <w:t>$</w:t>
            </w:r>
          </w:p>
        </w:tc>
        <w:tc>
          <w:tcPr>
            <w:tcW w:w="500" w:type="dxa"/>
            <w:vAlign w:val="bottom"/>
            <w:shd w:val="clear" w:color="auto" w:fill="CCEEFF"/>
          </w:tcPr>
          <w:p>
            <w:pPr>
              <w:jc w:val="right"/>
              <w:spacing w:after="0" w:line="133" w:lineRule="exact"/>
              <w:rPr>
                <w:sz w:val="20"/>
                <w:szCs w:val="20"/>
                <w:color w:val="auto"/>
              </w:rPr>
            </w:pPr>
            <w:r>
              <w:rPr>
                <w:rFonts w:ascii="Arial" w:cs="Arial" w:eastAsia="Arial" w:hAnsi="Arial"/>
                <w:sz w:val="12"/>
                <w:szCs w:val="12"/>
                <w:color w:val="auto"/>
              </w:rPr>
              <w:t>713,671</w:t>
            </w:r>
          </w:p>
        </w:tc>
        <w:tc>
          <w:tcPr>
            <w:tcW w:w="540" w:type="dxa"/>
            <w:vAlign w:val="bottom"/>
            <w:shd w:val="clear" w:color="auto" w:fill="CCEEFF"/>
          </w:tcPr>
          <w:p>
            <w:pPr>
              <w:spacing w:after="0"/>
              <w:rPr>
                <w:sz w:val="11"/>
                <w:szCs w:val="11"/>
                <w:color w:val="auto"/>
              </w:rPr>
            </w:pPr>
          </w:p>
        </w:tc>
        <w:tc>
          <w:tcPr>
            <w:tcW w:w="160" w:type="dxa"/>
            <w:vAlign w:val="bottom"/>
            <w:shd w:val="clear" w:color="auto" w:fill="CCEEFF"/>
          </w:tcPr>
          <w:p>
            <w:pPr>
              <w:jc w:val="right"/>
              <w:ind w:right="53"/>
              <w:spacing w:after="0"/>
              <w:rPr>
                <w:sz w:val="20"/>
                <w:szCs w:val="20"/>
                <w:color w:val="auto"/>
              </w:rPr>
            </w:pPr>
            <w:r>
              <w:rPr>
                <w:rFonts w:ascii="Arial" w:cs="Arial" w:eastAsia="Arial" w:hAnsi="Arial"/>
                <w:sz w:val="9"/>
                <w:szCs w:val="9"/>
                <w:color w:val="auto"/>
                <w:w w:val="78"/>
              </w:rPr>
              <w:t>$</w:t>
            </w:r>
          </w:p>
        </w:tc>
        <w:tc>
          <w:tcPr>
            <w:tcW w:w="480" w:type="dxa"/>
            <w:vAlign w:val="bottom"/>
            <w:shd w:val="clear" w:color="auto" w:fill="CCEEFF"/>
          </w:tcPr>
          <w:p>
            <w:pPr>
              <w:jc w:val="right"/>
              <w:spacing w:after="0" w:line="133" w:lineRule="exact"/>
              <w:rPr>
                <w:sz w:val="20"/>
                <w:szCs w:val="20"/>
                <w:color w:val="auto"/>
              </w:rPr>
            </w:pPr>
            <w:r>
              <w:rPr>
                <w:rFonts w:ascii="Arial" w:cs="Arial" w:eastAsia="Arial" w:hAnsi="Arial"/>
                <w:sz w:val="12"/>
                <w:szCs w:val="12"/>
                <w:color w:val="auto"/>
              </w:rPr>
              <w:t>562,873</w:t>
            </w:r>
          </w:p>
        </w:tc>
        <w:tc>
          <w:tcPr>
            <w:tcW w:w="100" w:type="dxa"/>
            <w:vAlign w:val="bottom"/>
            <w:shd w:val="clear" w:color="auto" w:fill="CCEEFF"/>
          </w:tcPr>
          <w:p>
            <w:pPr>
              <w:spacing w:after="0"/>
              <w:rPr>
                <w:sz w:val="11"/>
                <w:szCs w:val="11"/>
                <w:color w:val="auto"/>
              </w:rPr>
            </w:pPr>
          </w:p>
        </w:tc>
      </w:tr>
      <w:tr>
        <w:trPr>
          <w:trHeight w:val="215"/>
        </w:trPr>
        <w:tc>
          <w:tcPr>
            <w:tcW w:w="7340" w:type="dxa"/>
            <w:vAlign w:val="bottom"/>
          </w:tcPr>
          <w:p>
            <w:pPr>
              <w:spacing w:after="0"/>
              <w:rPr>
                <w:sz w:val="20"/>
                <w:szCs w:val="20"/>
                <w:color w:val="auto"/>
              </w:rPr>
            </w:pPr>
            <w:r>
              <w:rPr>
                <w:rFonts w:ascii="Arial" w:cs="Arial" w:eastAsia="Arial" w:hAnsi="Arial"/>
                <w:sz w:val="12"/>
                <w:szCs w:val="12"/>
                <w:color w:val="auto"/>
              </w:rPr>
              <w:t>Other comprehensive income:</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145"/>
        </w:trPr>
        <w:tc>
          <w:tcPr>
            <w:tcW w:w="7340" w:type="dxa"/>
            <w:vAlign w:val="bottom"/>
            <w:shd w:val="clear" w:color="auto" w:fill="CCEEFF"/>
          </w:tcPr>
          <w:p>
            <w:pPr>
              <w:ind w:left="280"/>
              <w:spacing w:after="0"/>
              <w:rPr>
                <w:sz w:val="20"/>
                <w:szCs w:val="20"/>
                <w:color w:val="auto"/>
              </w:rPr>
            </w:pPr>
            <w:r>
              <w:rPr>
                <w:rFonts w:ascii="Arial" w:cs="Arial" w:eastAsia="Arial" w:hAnsi="Arial"/>
                <w:sz w:val="12"/>
                <w:szCs w:val="12"/>
                <w:color w:val="auto"/>
              </w:rPr>
              <w:t>Foreign currency translation adjustments, net of tax</w:t>
            </w:r>
          </w:p>
        </w:tc>
        <w:tc>
          <w:tcPr>
            <w:tcW w:w="12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28</w:t>
            </w:r>
          </w:p>
        </w:tc>
        <w:tc>
          <w:tcPr>
            <w:tcW w:w="5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1,263</w:t>
            </w:r>
          </w:p>
        </w:tc>
        <w:tc>
          <w:tcPr>
            <w:tcW w:w="3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455"/>
              <w:spacing w:after="0"/>
              <w:rPr>
                <w:sz w:val="20"/>
                <w:szCs w:val="20"/>
                <w:color w:val="auto"/>
              </w:rPr>
            </w:pPr>
            <w:r>
              <w:rPr>
                <w:rFonts w:ascii="Arial" w:cs="Arial" w:eastAsia="Arial" w:hAnsi="Arial"/>
                <w:sz w:val="12"/>
                <w:szCs w:val="12"/>
                <w:color w:val="auto"/>
              </w:rPr>
              <w:t>(1,758)</w:t>
            </w:r>
          </w:p>
        </w:tc>
        <w:tc>
          <w:tcPr>
            <w:tcW w:w="16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2,006</w:t>
            </w:r>
          </w:p>
        </w:tc>
        <w:tc>
          <w:tcPr>
            <w:tcW w:w="100" w:type="dxa"/>
            <w:vAlign w:val="bottom"/>
            <w:shd w:val="clear" w:color="auto" w:fill="CCEEFF"/>
          </w:tcPr>
          <w:p>
            <w:pPr>
              <w:spacing w:after="0"/>
              <w:rPr>
                <w:sz w:val="12"/>
                <w:szCs w:val="12"/>
                <w:color w:val="auto"/>
              </w:rPr>
            </w:pPr>
          </w:p>
        </w:tc>
      </w:tr>
      <w:tr>
        <w:trPr>
          <w:trHeight w:val="144"/>
        </w:trPr>
        <w:tc>
          <w:tcPr>
            <w:tcW w:w="7340" w:type="dxa"/>
            <w:vAlign w:val="bottom"/>
          </w:tcPr>
          <w:p>
            <w:pPr>
              <w:ind w:left="280"/>
              <w:spacing w:after="0"/>
              <w:rPr>
                <w:sz w:val="20"/>
                <w:szCs w:val="20"/>
                <w:color w:val="auto"/>
              </w:rPr>
            </w:pPr>
            <w:r>
              <w:rPr>
                <w:rFonts w:ascii="Arial" w:cs="Arial" w:eastAsia="Arial" w:hAnsi="Arial"/>
                <w:sz w:val="12"/>
                <w:szCs w:val="12"/>
                <w:color w:val="auto"/>
              </w:rPr>
              <w:t>Unrealized gain on available-for-sale securities, net of tax</w:t>
            </w:r>
          </w:p>
        </w:tc>
        <w:tc>
          <w:tcPr>
            <w:tcW w:w="12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415</w:t>
            </w:r>
          </w:p>
        </w:tc>
        <w:tc>
          <w:tcPr>
            <w:tcW w:w="54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784</w:t>
            </w:r>
          </w:p>
        </w:tc>
        <w:tc>
          <w:tcPr>
            <w:tcW w:w="3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231</w:t>
            </w:r>
          </w:p>
        </w:tc>
        <w:tc>
          <w:tcPr>
            <w:tcW w:w="54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1,709</w:t>
            </w:r>
          </w:p>
        </w:tc>
        <w:tc>
          <w:tcPr>
            <w:tcW w:w="100" w:type="dxa"/>
            <w:vAlign w:val="bottom"/>
          </w:tcPr>
          <w:p>
            <w:pPr>
              <w:spacing w:after="0"/>
              <w:rPr>
                <w:sz w:val="12"/>
                <w:szCs w:val="12"/>
                <w:color w:val="auto"/>
              </w:rPr>
            </w:pPr>
          </w:p>
        </w:tc>
      </w:tr>
      <w:tr>
        <w:trPr>
          <w:trHeight w:val="142"/>
        </w:trPr>
        <w:tc>
          <w:tcPr>
            <w:tcW w:w="7340" w:type="dxa"/>
            <w:vAlign w:val="bottom"/>
            <w:shd w:val="clear" w:color="auto" w:fill="CCEEFF"/>
          </w:tcPr>
          <w:p>
            <w:pPr>
              <w:spacing w:after="0"/>
              <w:rPr>
                <w:sz w:val="20"/>
                <w:szCs w:val="20"/>
                <w:color w:val="auto"/>
              </w:rPr>
            </w:pPr>
            <w:r>
              <w:rPr>
                <w:rFonts w:ascii="Arial" w:cs="Arial" w:eastAsia="Arial" w:hAnsi="Arial"/>
                <w:sz w:val="12"/>
                <w:szCs w:val="12"/>
                <w:color w:val="auto"/>
              </w:rPr>
              <w:t>Total comprehensive income</w:t>
            </w:r>
          </w:p>
        </w:tc>
        <w:tc>
          <w:tcPr>
            <w:tcW w:w="12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2"/>
                <w:szCs w:val="12"/>
                <w:color w:val="auto"/>
                <w:w w:val="96"/>
              </w:rPr>
              <w:t>249,254</w:t>
            </w:r>
          </w:p>
        </w:tc>
        <w:tc>
          <w:tcPr>
            <w:tcW w:w="5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2"/>
                <w:szCs w:val="12"/>
                <w:color w:val="auto"/>
                <w:w w:val="87"/>
              </w:rPr>
              <w:t>167,218</w:t>
            </w:r>
          </w:p>
        </w:tc>
        <w:tc>
          <w:tcPr>
            <w:tcW w:w="3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495"/>
              <w:spacing w:after="0"/>
              <w:rPr>
                <w:sz w:val="20"/>
                <w:szCs w:val="20"/>
                <w:color w:val="auto"/>
              </w:rPr>
            </w:pPr>
            <w:r>
              <w:rPr>
                <w:rFonts w:ascii="Arial" w:cs="Arial" w:eastAsia="Arial" w:hAnsi="Arial"/>
                <w:sz w:val="12"/>
                <w:szCs w:val="12"/>
                <w:color w:val="auto"/>
              </w:rPr>
              <w:t>712,144</w:t>
            </w:r>
          </w:p>
        </w:tc>
        <w:tc>
          <w:tcPr>
            <w:tcW w:w="16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566,588</w:t>
            </w:r>
          </w:p>
        </w:tc>
        <w:tc>
          <w:tcPr>
            <w:tcW w:w="100" w:type="dxa"/>
            <w:vAlign w:val="bottom"/>
            <w:shd w:val="clear" w:color="auto" w:fill="CCEEFF"/>
          </w:tcPr>
          <w:p>
            <w:pPr>
              <w:spacing w:after="0"/>
              <w:rPr>
                <w:sz w:val="12"/>
                <w:szCs w:val="12"/>
                <w:color w:val="auto"/>
              </w:rPr>
            </w:pPr>
          </w:p>
        </w:tc>
      </w:tr>
      <w:tr>
        <w:trPr>
          <w:trHeight w:val="144"/>
        </w:trPr>
        <w:tc>
          <w:tcPr>
            <w:tcW w:w="7340" w:type="dxa"/>
            <w:vAlign w:val="bottom"/>
          </w:tcPr>
          <w:p>
            <w:pPr>
              <w:ind w:left="280"/>
              <w:spacing w:after="0"/>
              <w:rPr>
                <w:sz w:val="20"/>
                <w:szCs w:val="20"/>
                <w:color w:val="auto"/>
              </w:rPr>
            </w:pPr>
            <w:r>
              <w:rPr>
                <w:rFonts w:ascii="Arial" w:cs="Arial" w:eastAsia="Arial" w:hAnsi="Arial"/>
                <w:sz w:val="12"/>
                <w:szCs w:val="12"/>
                <w:color w:val="auto"/>
              </w:rPr>
              <w:t>Less: Comprehensive income attributable to noncontrolling interest</w:t>
            </w:r>
          </w:p>
        </w:tc>
        <w:tc>
          <w:tcPr>
            <w:tcW w:w="120" w:type="dxa"/>
            <w:vAlign w:val="bottom"/>
          </w:tcPr>
          <w:p>
            <w:pPr>
              <w:spacing w:after="0"/>
              <w:rPr>
                <w:sz w:val="12"/>
                <w:szCs w:val="12"/>
                <w:color w:val="auto"/>
              </w:rPr>
            </w:pPr>
          </w:p>
        </w:tc>
        <w:tc>
          <w:tcPr>
            <w:tcW w:w="980" w:type="dxa"/>
            <w:vAlign w:val="bottom"/>
            <w:gridSpan w:val="2"/>
          </w:tcPr>
          <w:p>
            <w:pPr>
              <w:jc w:val="right"/>
              <w:ind w:right="455"/>
              <w:spacing w:after="0"/>
              <w:rPr>
                <w:sz w:val="20"/>
                <w:szCs w:val="20"/>
                <w:color w:val="auto"/>
              </w:rPr>
            </w:pPr>
            <w:r>
              <w:rPr>
                <w:rFonts w:ascii="Arial" w:cs="Arial" w:eastAsia="Arial" w:hAnsi="Arial"/>
                <w:sz w:val="12"/>
                <w:szCs w:val="12"/>
                <w:color w:val="auto"/>
              </w:rPr>
              <w:t>(66,834)</w:t>
            </w:r>
          </w:p>
        </w:tc>
        <w:tc>
          <w:tcPr>
            <w:tcW w:w="180" w:type="dxa"/>
            <w:vAlign w:val="bottom"/>
          </w:tcPr>
          <w:p>
            <w:pPr>
              <w:spacing w:after="0"/>
              <w:rPr>
                <w:sz w:val="12"/>
                <w:szCs w:val="12"/>
                <w:color w:val="auto"/>
              </w:rPr>
            </w:pPr>
          </w:p>
        </w:tc>
        <w:tc>
          <w:tcPr>
            <w:tcW w:w="700" w:type="dxa"/>
            <w:vAlign w:val="bottom"/>
            <w:gridSpan w:val="2"/>
          </w:tcPr>
          <w:p>
            <w:pPr>
              <w:jc w:val="right"/>
              <w:ind w:right="260"/>
              <w:spacing w:after="0"/>
              <w:rPr>
                <w:sz w:val="20"/>
                <w:szCs w:val="20"/>
                <w:color w:val="auto"/>
              </w:rPr>
            </w:pPr>
            <w:r>
              <w:rPr>
                <w:rFonts w:ascii="Arial" w:cs="Arial" w:eastAsia="Arial" w:hAnsi="Arial"/>
                <w:sz w:val="12"/>
                <w:szCs w:val="12"/>
                <w:color w:val="auto"/>
                <w:w w:val="93"/>
              </w:rPr>
              <w:t>(53,654)</w:t>
            </w: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gridSpan w:val="2"/>
          </w:tcPr>
          <w:p>
            <w:pPr>
              <w:jc w:val="right"/>
              <w:ind w:right="455"/>
              <w:spacing w:after="0"/>
              <w:rPr>
                <w:sz w:val="20"/>
                <w:szCs w:val="20"/>
                <w:color w:val="auto"/>
              </w:rPr>
            </w:pPr>
            <w:r>
              <w:rPr>
                <w:rFonts w:ascii="Arial" w:cs="Arial" w:eastAsia="Arial" w:hAnsi="Arial"/>
                <w:sz w:val="12"/>
                <w:szCs w:val="12"/>
                <w:color w:val="auto"/>
              </w:rPr>
              <w:t>(198,475)</w:t>
            </w:r>
          </w:p>
        </w:tc>
        <w:tc>
          <w:tcPr>
            <w:tcW w:w="160" w:type="dxa"/>
            <w:vAlign w:val="bottom"/>
          </w:tcPr>
          <w:p>
            <w:pPr>
              <w:spacing w:after="0"/>
              <w:rPr>
                <w:sz w:val="12"/>
                <w:szCs w:val="12"/>
                <w:color w:val="auto"/>
              </w:rPr>
            </w:pPr>
          </w:p>
        </w:tc>
        <w:tc>
          <w:tcPr>
            <w:tcW w:w="580" w:type="dxa"/>
            <w:vAlign w:val="bottom"/>
            <w:gridSpan w:val="2"/>
          </w:tcPr>
          <w:p>
            <w:pPr>
              <w:jc w:val="right"/>
              <w:ind w:right="60"/>
              <w:spacing w:after="0"/>
              <w:rPr>
                <w:sz w:val="20"/>
                <w:szCs w:val="20"/>
                <w:color w:val="auto"/>
              </w:rPr>
            </w:pPr>
            <w:r>
              <w:rPr>
                <w:rFonts w:ascii="Arial" w:cs="Arial" w:eastAsia="Arial" w:hAnsi="Arial"/>
                <w:sz w:val="12"/>
                <w:szCs w:val="12"/>
                <w:color w:val="auto"/>
                <w:w w:val="97"/>
              </w:rPr>
              <w:t>(173,140)</w:t>
            </w:r>
          </w:p>
        </w:tc>
      </w:tr>
      <w:tr>
        <w:trPr>
          <w:trHeight w:val="20"/>
        </w:trPr>
        <w:tc>
          <w:tcPr>
            <w:tcW w:w="73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42"/>
        </w:trPr>
        <w:tc>
          <w:tcPr>
            <w:tcW w:w="7340" w:type="dxa"/>
            <w:vAlign w:val="bottom"/>
            <w:shd w:val="clear" w:color="auto" w:fill="CCEEFF"/>
          </w:tcPr>
          <w:p>
            <w:pPr>
              <w:spacing w:after="0"/>
              <w:rPr>
                <w:sz w:val="20"/>
                <w:szCs w:val="20"/>
                <w:color w:val="auto"/>
              </w:rPr>
            </w:pPr>
            <w:r>
              <w:rPr>
                <w:rFonts w:ascii="Arial" w:cs="Arial" w:eastAsia="Arial" w:hAnsi="Arial"/>
                <w:sz w:val="12"/>
                <w:szCs w:val="12"/>
                <w:color w:val="auto"/>
              </w:rPr>
              <w:t>Comprehensive income attributable to Wynn Resorts, Limited</w:t>
            </w:r>
          </w:p>
        </w:tc>
        <w:tc>
          <w:tcPr>
            <w:tcW w:w="120" w:type="dxa"/>
            <w:vAlign w:val="bottom"/>
            <w:shd w:val="clear" w:color="auto" w:fill="CCEEFF"/>
          </w:tcPr>
          <w:p>
            <w:pPr>
              <w:jc w:val="right"/>
              <w:ind w:right="13"/>
              <w:spacing w:after="0"/>
              <w:rPr>
                <w:sz w:val="20"/>
                <w:szCs w:val="20"/>
                <w:color w:val="auto"/>
              </w:rPr>
            </w:pPr>
            <w:r>
              <w:rPr>
                <w:rFonts w:ascii="Arial" w:cs="Arial" w:eastAsia="Arial" w:hAnsi="Arial"/>
                <w:sz w:val="9"/>
                <w:szCs w:val="9"/>
                <w:color w:val="auto"/>
                <w:w w:val="78"/>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2"/>
                <w:szCs w:val="12"/>
                <w:color w:val="auto"/>
                <w:w w:val="96"/>
              </w:rPr>
              <w:t>182,420</w:t>
            </w:r>
          </w:p>
        </w:tc>
        <w:tc>
          <w:tcPr>
            <w:tcW w:w="540" w:type="dxa"/>
            <w:vAlign w:val="bottom"/>
            <w:shd w:val="clear" w:color="auto" w:fill="CCEEFF"/>
          </w:tcPr>
          <w:p>
            <w:pPr>
              <w:spacing w:after="0"/>
              <w:rPr>
                <w:sz w:val="12"/>
                <w:szCs w:val="12"/>
                <w:color w:val="auto"/>
              </w:rPr>
            </w:pPr>
          </w:p>
        </w:tc>
        <w:tc>
          <w:tcPr>
            <w:tcW w:w="180" w:type="dxa"/>
            <w:vAlign w:val="bottom"/>
            <w:shd w:val="clear" w:color="auto" w:fill="CCEEFF"/>
          </w:tcPr>
          <w:p>
            <w:pPr>
              <w:jc w:val="right"/>
              <w:ind w:right="73"/>
              <w:spacing w:after="0"/>
              <w:rPr>
                <w:sz w:val="20"/>
                <w:szCs w:val="20"/>
                <w:color w:val="auto"/>
              </w:rPr>
            </w:pPr>
            <w:r>
              <w:rPr>
                <w:rFonts w:ascii="Arial" w:cs="Arial" w:eastAsia="Arial" w:hAnsi="Arial"/>
                <w:sz w:val="9"/>
                <w:szCs w:val="9"/>
                <w:color w:val="auto"/>
                <w:w w:val="78"/>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2"/>
                <w:szCs w:val="12"/>
                <w:color w:val="auto"/>
                <w:w w:val="87"/>
              </w:rPr>
              <w:t>113,564</w:t>
            </w:r>
          </w:p>
        </w:tc>
        <w:tc>
          <w:tcPr>
            <w:tcW w:w="300" w:type="dxa"/>
            <w:vAlign w:val="bottom"/>
            <w:shd w:val="clear" w:color="auto" w:fill="CCEEFF"/>
          </w:tcPr>
          <w:p>
            <w:pPr>
              <w:spacing w:after="0"/>
              <w:rPr>
                <w:sz w:val="12"/>
                <w:szCs w:val="12"/>
                <w:color w:val="auto"/>
              </w:rPr>
            </w:pPr>
          </w:p>
        </w:tc>
        <w:tc>
          <w:tcPr>
            <w:tcW w:w="380" w:type="dxa"/>
            <w:vAlign w:val="bottom"/>
            <w:gridSpan w:val="2"/>
            <w:shd w:val="clear" w:color="auto" w:fill="CCEEFF"/>
          </w:tcPr>
          <w:p>
            <w:pPr>
              <w:jc w:val="right"/>
              <w:ind w:right="13"/>
              <w:spacing w:after="0"/>
              <w:rPr>
                <w:sz w:val="20"/>
                <w:szCs w:val="20"/>
                <w:color w:val="auto"/>
              </w:rPr>
            </w:pPr>
            <w:r>
              <w:rPr>
                <w:rFonts w:ascii="Arial" w:cs="Arial" w:eastAsia="Arial" w:hAnsi="Arial"/>
                <w:sz w:val="12"/>
                <w:szCs w:val="12"/>
                <w:color w:val="auto"/>
              </w:rPr>
              <w:t>$</w:t>
            </w:r>
          </w:p>
        </w:tc>
        <w:tc>
          <w:tcPr>
            <w:tcW w:w="1040" w:type="dxa"/>
            <w:vAlign w:val="bottom"/>
            <w:gridSpan w:val="2"/>
            <w:shd w:val="clear" w:color="auto" w:fill="CCEEFF"/>
          </w:tcPr>
          <w:p>
            <w:pPr>
              <w:jc w:val="right"/>
              <w:ind w:right="495"/>
              <w:spacing w:after="0"/>
              <w:rPr>
                <w:sz w:val="20"/>
                <w:szCs w:val="20"/>
                <w:color w:val="auto"/>
              </w:rPr>
            </w:pPr>
            <w:r>
              <w:rPr>
                <w:rFonts w:ascii="Arial" w:cs="Arial" w:eastAsia="Arial" w:hAnsi="Arial"/>
                <w:sz w:val="12"/>
                <w:szCs w:val="12"/>
                <w:color w:val="auto"/>
              </w:rPr>
              <w:t>513,669</w:t>
            </w:r>
          </w:p>
        </w:tc>
        <w:tc>
          <w:tcPr>
            <w:tcW w:w="160" w:type="dxa"/>
            <w:vAlign w:val="bottom"/>
            <w:shd w:val="clear" w:color="auto" w:fill="CCEEFF"/>
          </w:tcPr>
          <w:p>
            <w:pPr>
              <w:jc w:val="right"/>
              <w:ind w:right="53"/>
              <w:spacing w:after="0"/>
              <w:rPr>
                <w:sz w:val="20"/>
                <w:szCs w:val="20"/>
                <w:color w:val="auto"/>
              </w:rPr>
            </w:pPr>
            <w:r>
              <w:rPr>
                <w:rFonts w:ascii="Arial" w:cs="Arial" w:eastAsia="Arial" w:hAnsi="Arial"/>
                <w:sz w:val="9"/>
                <w:szCs w:val="9"/>
                <w:color w:val="auto"/>
                <w:w w:val="78"/>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393,448</w:t>
            </w:r>
          </w:p>
        </w:tc>
        <w:tc>
          <w:tcPr>
            <w:tcW w:w="100" w:type="dxa"/>
            <w:vAlign w:val="bottom"/>
            <w:shd w:val="clear" w:color="auto" w:fill="CCEEFF"/>
          </w:tcPr>
          <w:p>
            <w:pPr>
              <w:spacing w:after="0"/>
              <w:rPr>
                <w:sz w:val="12"/>
                <w:szCs w:val="12"/>
                <w:color w:val="auto"/>
              </w:rPr>
            </w:pPr>
          </w:p>
        </w:tc>
      </w:tr>
      <w:tr>
        <w:trPr>
          <w:trHeight w:val="27"/>
        </w:trPr>
        <w:tc>
          <w:tcPr>
            <w:tcW w:w="73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The accompanying notes are an integral part of these condensed consolidated financial statements.</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5</w:t>
      </w:r>
    </w:p>
    <w:p>
      <w:pPr>
        <w:sectPr>
          <w:pgSz w:w="11900" w:h="16838" w:orient="portrait"/>
          <w:cols w:equalWidth="0" w:num="1">
            <w:col w:w="11480"/>
          </w:cols>
          <w:pgMar w:left="220" w:top="354" w:right="199" w:bottom="1440" w:gutter="0" w:footer="0" w:header="0"/>
        </w:sectPr>
      </w:pPr>
    </w:p>
    <w:bookmarkStart w:id="5" w:name="page6"/>
    <w:bookmarkEnd w:id="5"/>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121920</wp:posOffset>
            </wp:positionH>
            <wp:positionV relativeFrom="page">
              <wp:posOffset>88900</wp:posOffset>
            </wp:positionV>
            <wp:extent cx="7329170" cy="298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329170" cy="29845"/>
                    </a:xfrm>
                    <a:prstGeom prst="rect">
                      <a:avLst/>
                    </a:prstGeom>
                    <a:noFill/>
                  </pic:spPr>
                </pic:pic>
              </a:graphicData>
            </a:graphic>
          </wp:anchor>
        </w:drawing>
      </w:r>
      <w:hyperlink w:anchor="page2">
        <w:r>
          <w:rPr>
            <w:rFonts w:ascii="Arial" w:cs="Arial" w:eastAsia="Arial" w:hAnsi="Arial"/>
            <w:sz w:val="12"/>
            <w:szCs w:val="12"/>
            <w:b w:val="1"/>
            <w:bCs w:val="1"/>
            <w:u w:val="single" w:color="auto"/>
            <w:color w:val="0000EE"/>
          </w:rPr>
          <w:t>Table of Contents</w:t>
        </w:r>
      </w:hyperlink>
    </w:p>
    <w:p>
      <w:pPr>
        <w:spacing w:after="0" w:line="207"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WYNN RESORTS, LIMITED AND SUBSIDIARIES</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CONDENSED CONSOLIDATED STATEMENTS OF CASH FLOWS</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(amounts in thousands)</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(unaudited)</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103"/>
        </w:trPr>
        <w:tc>
          <w:tcPr>
            <w:tcW w:w="6540" w:type="dxa"/>
            <w:vAlign w:val="bottom"/>
          </w:tcPr>
          <w:p>
            <w:pPr>
              <w:spacing w:after="0"/>
              <w:rPr>
                <w:sz w:val="8"/>
                <w:szCs w:val="8"/>
                <w:color w:val="auto"/>
              </w:rPr>
            </w:pPr>
          </w:p>
        </w:tc>
        <w:tc>
          <w:tcPr>
            <w:tcW w:w="2740" w:type="dxa"/>
            <w:vAlign w:val="bottom"/>
          </w:tcPr>
          <w:p>
            <w:pPr>
              <w:spacing w:after="0"/>
              <w:rPr>
                <w:sz w:val="8"/>
                <w:szCs w:val="8"/>
                <w:color w:val="auto"/>
              </w:rPr>
            </w:pPr>
          </w:p>
        </w:tc>
        <w:tc>
          <w:tcPr>
            <w:tcW w:w="180" w:type="dxa"/>
            <w:vAlign w:val="bottom"/>
          </w:tcPr>
          <w:p>
            <w:pPr>
              <w:spacing w:after="0"/>
              <w:rPr>
                <w:sz w:val="8"/>
                <w:szCs w:val="8"/>
                <w:color w:val="auto"/>
              </w:rPr>
            </w:pPr>
          </w:p>
        </w:tc>
        <w:tc>
          <w:tcPr>
            <w:tcW w:w="1320" w:type="dxa"/>
            <w:vAlign w:val="bottom"/>
            <w:gridSpan w:val="3"/>
          </w:tcPr>
          <w:p>
            <w:pPr>
              <w:jc w:val="right"/>
              <w:ind w:right="33"/>
              <w:spacing w:after="0"/>
              <w:rPr>
                <w:sz w:val="20"/>
                <w:szCs w:val="20"/>
                <w:color w:val="auto"/>
              </w:rPr>
            </w:pPr>
            <w:r>
              <w:rPr>
                <w:rFonts w:ascii="Arial" w:cs="Arial" w:eastAsia="Arial" w:hAnsi="Arial"/>
                <w:sz w:val="9"/>
                <w:szCs w:val="9"/>
                <w:b w:val="1"/>
                <w:bCs w:val="1"/>
                <w:color w:val="auto"/>
              </w:rPr>
              <w:t>Nine Months Ended</w:t>
            </w:r>
          </w:p>
        </w:tc>
        <w:tc>
          <w:tcPr>
            <w:tcW w:w="580" w:type="dxa"/>
            <w:vAlign w:val="bottom"/>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8"/>
        </w:trPr>
        <w:tc>
          <w:tcPr>
            <w:tcW w:w="6540" w:type="dxa"/>
            <w:vAlign w:val="bottom"/>
          </w:tcPr>
          <w:p>
            <w:pPr>
              <w:spacing w:after="0"/>
              <w:rPr>
                <w:sz w:val="9"/>
                <w:szCs w:val="9"/>
                <w:color w:val="auto"/>
              </w:rPr>
            </w:pPr>
          </w:p>
        </w:tc>
        <w:tc>
          <w:tcPr>
            <w:tcW w:w="2740" w:type="dxa"/>
            <w:vAlign w:val="bottom"/>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1320" w:type="dxa"/>
            <w:vAlign w:val="bottom"/>
            <w:tcBorders>
              <w:bottom w:val="single" w:sz="8" w:color="auto"/>
            </w:tcBorders>
            <w:gridSpan w:val="3"/>
          </w:tcPr>
          <w:p>
            <w:pPr>
              <w:jc w:val="right"/>
              <w:ind w:right="133"/>
              <w:spacing w:after="0"/>
              <w:rPr>
                <w:sz w:val="20"/>
                <w:szCs w:val="20"/>
                <w:color w:val="auto"/>
              </w:rPr>
            </w:pPr>
            <w:r>
              <w:rPr>
                <w:rFonts w:ascii="Arial" w:cs="Arial" w:eastAsia="Arial" w:hAnsi="Arial"/>
                <w:sz w:val="9"/>
                <w:szCs w:val="9"/>
                <w:b w:val="1"/>
                <w:bCs w:val="1"/>
                <w:color w:val="auto"/>
              </w:rPr>
              <w:t>September 30,</w:t>
            </w:r>
          </w:p>
        </w:tc>
        <w:tc>
          <w:tcPr>
            <w:tcW w:w="580" w:type="dxa"/>
            <w:vAlign w:val="bottom"/>
            <w:tcBorders>
              <w:bottom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88"/>
        </w:trPr>
        <w:tc>
          <w:tcPr>
            <w:tcW w:w="6540" w:type="dxa"/>
            <w:vAlign w:val="bottom"/>
            <w:tcBorders>
              <w:bottom w:val="single" w:sz="8" w:color="CCEEFF"/>
            </w:tcBorders>
          </w:tcPr>
          <w:p>
            <w:pPr>
              <w:spacing w:after="0"/>
              <w:rPr>
                <w:sz w:val="7"/>
                <w:szCs w:val="7"/>
                <w:color w:val="auto"/>
              </w:rPr>
            </w:pPr>
          </w:p>
        </w:tc>
        <w:tc>
          <w:tcPr>
            <w:tcW w:w="2740" w:type="dxa"/>
            <w:vAlign w:val="bottom"/>
            <w:tcBorders>
              <w:bottom w:val="single" w:sz="8" w:color="CCEEFF"/>
            </w:tcBorders>
          </w:tcPr>
          <w:p>
            <w:pPr>
              <w:spacing w:after="0"/>
              <w:rPr>
                <w:sz w:val="7"/>
                <w:szCs w:val="7"/>
                <w:color w:val="auto"/>
              </w:rPr>
            </w:pPr>
          </w:p>
        </w:tc>
        <w:tc>
          <w:tcPr>
            <w:tcW w:w="180" w:type="dxa"/>
            <w:vAlign w:val="bottom"/>
            <w:tcBorders>
              <w:bottom w:val="single" w:sz="8" w:color="auto"/>
            </w:tcBorders>
          </w:tcPr>
          <w:p>
            <w:pPr>
              <w:spacing w:after="0"/>
              <w:rPr>
                <w:sz w:val="7"/>
                <w:szCs w:val="7"/>
                <w:color w:val="auto"/>
              </w:rPr>
            </w:pPr>
          </w:p>
        </w:tc>
        <w:tc>
          <w:tcPr>
            <w:tcW w:w="600" w:type="dxa"/>
            <w:vAlign w:val="bottom"/>
            <w:tcBorders>
              <w:bottom w:val="single" w:sz="8" w:color="auto"/>
            </w:tcBorders>
          </w:tcPr>
          <w:p>
            <w:pPr>
              <w:jc w:val="right"/>
              <w:ind w:right="242"/>
              <w:spacing w:after="0" w:line="88" w:lineRule="exact"/>
              <w:rPr>
                <w:sz w:val="20"/>
                <w:szCs w:val="20"/>
                <w:color w:val="auto"/>
              </w:rPr>
            </w:pPr>
            <w:r>
              <w:rPr>
                <w:rFonts w:ascii="Arial" w:cs="Arial" w:eastAsia="Arial" w:hAnsi="Arial"/>
                <w:sz w:val="9"/>
                <w:szCs w:val="9"/>
                <w:b w:val="1"/>
                <w:bCs w:val="1"/>
                <w:color w:val="auto"/>
              </w:rPr>
              <w:t>2013</w:t>
            </w:r>
          </w:p>
        </w:tc>
        <w:tc>
          <w:tcPr>
            <w:tcW w:w="440" w:type="dxa"/>
            <w:vAlign w:val="bottom"/>
            <w:tcBorders>
              <w:bottom w:val="single" w:sz="8" w:color="CCEEFF"/>
            </w:tcBorders>
          </w:tcPr>
          <w:p>
            <w:pPr>
              <w:spacing w:after="0"/>
              <w:rPr>
                <w:sz w:val="7"/>
                <w:szCs w:val="7"/>
                <w:color w:val="auto"/>
              </w:rPr>
            </w:pPr>
          </w:p>
        </w:tc>
        <w:tc>
          <w:tcPr>
            <w:tcW w:w="280" w:type="dxa"/>
            <w:vAlign w:val="bottom"/>
            <w:tcBorders>
              <w:bottom w:val="single" w:sz="8" w:color="auto"/>
            </w:tcBorders>
          </w:tcPr>
          <w:p>
            <w:pPr>
              <w:spacing w:after="0"/>
              <w:rPr>
                <w:sz w:val="7"/>
                <w:szCs w:val="7"/>
                <w:color w:val="auto"/>
              </w:rPr>
            </w:pPr>
          </w:p>
        </w:tc>
        <w:tc>
          <w:tcPr>
            <w:tcW w:w="580" w:type="dxa"/>
            <w:vAlign w:val="bottom"/>
            <w:tcBorders>
              <w:bottom w:val="single" w:sz="8" w:color="auto"/>
            </w:tcBorders>
          </w:tcPr>
          <w:p>
            <w:pPr>
              <w:jc w:val="right"/>
              <w:ind w:right="282"/>
              <w:spacing w:after="0" w:line="88" w:lineRule="exact"/>
              <w:rPr>
                <w:sz w:val="20"/>
                <w:szCs w:val="20"/>
                <w:color w:val="auto"/>
              </w:rPr>
            </w:pPr>
            <w:r>
              <w:rPr>
                <w:rFonts w:ascii="Arial" w:cs="Arial" w:eastAsia="Arial" w:hAnsi="Arial"/>
                <w:sz w:val="9"/>
                <w:szCs w:val="9"/>
                <w:b w:val="1"/>
                <w:bCs w:val="1"/>
                <w:color w:val="auto"/>
              </w:rPr>
              <w:t>2012</w:t>
            </w:r>
          </w:p>
        </w:tc>
        <w:tc>
          <w:tcPr>
            <w:tcW w:w="120" w:type="dxa"/>
            <w:vAlign w:val="bottom"/>
            <w:tcBorders>
              <w:bottom w:val="single" w:sz="8" w:color="CCEEFF"/>
            </w:tcBorders>
          </w:tcPr>
          <w:p>
            <w:pPr>
              <w:spacing w:after="0"/>
              <w:rPr>
                <w:sz w:val="7"/>
                <w:szCs w:val="7"/>
                <w:color w:val="auto"/>
              </w:rPr>
            </w:pPr>
          </w:p>
        </w:tc>
        <w:tc>
          <w:tcPr>
            <w:tcW w:w="0" w:type="dxa"/>
            <w:vAlign w:val="bottom"/>
          </w:tcPr>
          <w:p>
            <w:pPr>
              <w:spacing w:after="0"/>
              <w:rPr>
                <w:sz w:val="1"/>
                <w:szCs w:val="1"/>
                <w:color w:val="auto"/>
              </w:rPr>
            </w:pPr>
          </w:p>
        </w:tc>
      </w:tr>
      <w:tr>
        <w:trPr>
          <w:trHeight w:val="124"/>
        </w:trPr>
        <w:tc>
          <w:tcPr>
            <w:tcW w:w="6540" w:type="dxa"/>
            <w:vAlign w:val="bottom"/>
            <w:shd w:val="clear" w:color="auto" w:fill="CCEEFF"/>
          </w:tcPr>
          <w:p>
            <w:pPr>
              <w:spacing w:after="0" w:line="124" w:lineRule="exact"/>
              <w:rPr>
                <w:sz w:val="20"/>
                <w:szCs w:val="20"/>
                <w:color w:val="auto"/>
              </w:rPr>
            </w:pPr>
            <w:r>
              <w:rPr>
                <w:rFonts w:ascii="Arial" w:cs="Arial" w:eastAsia="Arial" w:hAnsi="Arial"/>
                <w:sz w:val="12"/>
                <w:szCs w:val="12"/>
                <w:color w:val="auto"/>
              </w:rPr>
              <w:t>Cash flows from operating activities:</w:t>
            </w:r>
          </w:p>
        </w:tc>
        <w:tc>
          <w:tcPr>
            <w:tcW w:w="274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4"/>
        </w:trPr>
        <w:tc>
          <w:tcPr>
            <w:tcW w:w="6540" w:type="dxa"/>
            <w:vAlign w:val="bottom"/>
          </w:tcPr>
          <w:p>
            <w:pPr>
              <w:spacing w:after="0"/>
              <w:rPr>
                <w:sz w:val="20"/>
                <w:szCs w:val="20"/>
                <w:color w:val="auto"/>
              </w:rPr>
            </w:pPr>
            <w:r>
              <w:rPr>
                <w:rFonts w:ascii="Arial" w:cs="Arial" w:eastAsia="Arial" w:hAnsi="Arial"/>
                <w:sz w:val="12"/>
                <w:szCs w:val="12"/>
                <w:color w:val="auto"/>
              </w:rPr>
              <w:t>Net income</w:t>
            </w:r>
          </w:p>
        </w:tc>
        <w:tc>
          <w:tcPr>
            <w:tcW w:w="2920" w:type="dxa"/>
            <w:vAlign w:val="bottom"/>
            <w:gridSpan w:val="2"/>
          </w:tcPr>
          <w:p>
            <w:pPr>
              <w:jc w:val="right"/>
              <w:ind w:right="73"/>
              <w:spacing w:after="0"/>
              <w:rPr>
                <w:sz w:val="20"/>
                <w:szCs w:val="20"/>
                <w:color w:val="auto"/>
              </w:rPr>
            </w:pPr>
            <w:r>
              <w:rPr>
                <w:rFonts w:ascii="Arial" w:cs="Arial" w:eastAsia="Arial" w:hAnsi="Arial"/>
                <w:sz w:val="12"/>
                <w:szCs w:val="12"/>
                <w:color w:val="auto"/>
              </w:rPr>
              <w:t>$</w:t>
            </w:r>
          </w:p>
        </w:tc>
        <w:tc>
          <w:tcPr>
            <w:tcW w:w="600" w:type="dxa"/>
            <w:vAlign w:val="bottom"/>
          </w:tcPr>
          <w:p>
            <w:pPr>
              <w:jc w:val="right"/>
              <w:spacing w:after="0"/>
              <w:rPr>
                <w:sz w:val="20"/>
                <w:szCs w:val="20"/>
                <w:color w:val="auto"/>
              </w:rPr>
            </w:pPr>
            <w:r>
              <w:rPr>
                <w:rFonts w:ascii="Arial" w:cs="Arial" w:eastAsia="Arial" w:hAnsi="Arial"/>
                <w:sz w:val="12"/>
                <w:szCs w:val="12"/>
                <w:color w:val="auto"/>
              </w:rPr>
              <w:t>713,671</w:t>
            </w:r>
          </w:p>
        </w:tc>
        <w:tc>
          <w:tcPr>
            <w:tcW w:w="440" w:type="dxa"/>
            <w:vAlign w:val="bottom"/>
          </w:tcPr>
          <w:p>
            <w:pPr>
              <w:spacing w:after="0"/>
              <w:rPr>
                <w:sz w:val="12"/>
                <w:szCs w:val="12"/>
                <w:color w:val="auto"/>
              </w:rPr>
            </w:pPr>
          </w:p>
        </w:tc>
        <w:tc>
          <w:tcPr>
            <w:tcW w:w="280" w:type="dxa"/>
            <w:vAlign w:val="bottom"/>
          </w:tcPr>
          <w:p>
            <w:pPr>
              <w:jc w:val="right"/>
              <w:ind w:right="173"/>
              <w:spacing w:after="0"/>
              <w:rPr>
                <w:sz w:val="20"/>
                <w:szCs w:val="20"/>
                <w:color w:val="auto"/>
              </w:rPr>
            </w:pPr>
            <w:r>
              <w:rPr>
                <w:rFonts w:ascii="Arial" w:cs="Arial" w:eastAsia="Arial" w:hAnsi="Arial"/>
                <w:sz w:val="9"/>
                <w:szCs w:val="9"/>
                <w:color w:val="auto"/>
                <w:w w:val="78"/>
              </w:rPr>
              <w:t>$</w:t>
            </w:r>
          </w:p>
        </w:tc>
        <w:tc>
          <w:tcPr>
            <w:tcW w:w="580" w:type="dxa"/>
            <w:vAlign w:val="bottom"/>
          </w:tcPr>
          <w:p>
            <w:pPr>
              <w:jc w:val="right"/>
              <w:spacing w:after="0"/>
              <w:rPr>
                <w:sz w:val="20"/>
                <w:szCs w:val="20"/>
                <w:color w:val="auto"/>
              </w:rPr>
            </w:pPr>
            <w:r>
              <w:rPr>
                <w:rFonts w:ascii="Arial" w:cs="Arial" w:eastAsia="Arial" w:hAnsi="Arial"/>
                <w:sz w:val="12"/>
                <w:szCs w:val="12"/>
                <w:color w:val="auto"/>
              </w:rPr>
              <w:t>562,873</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6540" w:type="dxa"/>
            <w:vAlign w:val="bottom"/>
            <w:shd w:val="clear" w:color="auto" w:fill="CCEEFF"/>
          </w:tcPr>
          <w:p>
            <w:pPr>
              <w:spacing w:after="0"/>
              <w:rPr>
                <w:sz w:val="20"/>
                <w:szCs w:val="20"/>
                <w:color w:val="auto"/>
              </w:rPr>
            </w:pPr>
            <w:r>
              <w:rPr>
                <w:rFonts w:ascii="Arial" w:cs="Arial" w:eastAsia="Arial" w:hAnsi="Arial"/>
                <w:sz w:val="12"/>
                <w:szCs w:val="12"/>
                <w:color w:val="auto"/>
              </w:rPr>
              <w:t>Adjustments to reconcile net income to net cash provided by operating activities:</w:t>
            </w:r>
          </w:p>
        </w:tc>
        <w:tc>
          <w:tcPr>
            <w:tcW w:w="27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6540" w:type="dxa"/>
            <w:vAlign w:val="bottom"/>
          </w:tcPr>
          <w:p>
            <w:pPr>
              <w:ind w:left="280"/>
              <w:spacing w:after="0"/>
              <w:rPr>
                <w:sz w:val="20"/>
                <w:szCs w:val="20"/>
                <w:color w:val="auto"/>
              </w:rPr>
            </w:pPr>
            <w:r>
              <w:rPr>
                <w:rFonts w:ascii="Arial" w:cs="Arial" w:eastAsia="Arial" w:hAnsi="Arial"/>
                <w:sz w:val="12"/>
                <w:szCs w:val="12"/>
                <w:color w:val="auto"/>
              </w:rPr>
              <w:t>Depreciation and amortization</w:t>
            </w:r>
          </w:p>
        </w:tc>
        <w:tc>
          <w:tcPr>
            <w:tcW w:w="27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Arial" w:cs="Arial" w:eastAsia="Arial" w:hAnsi="Arial"/>
                <w:sz w:val="12"/>
                <w:szCs w:val="12"/>
                <w:color w:val="auto"/>
              </w:rPr>
              <w:t>279,061</w:t>
            </w:r>
          </w:p>
        </w:tc>
        <w:tc>
          <w:tcPr>
            <w:tcW w:w="4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2"/>
                <w:szCs w:val="12"/>
                <w:color w:val="auto"/>
              </w:rPr>
              <w:t>280,142</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6540" w:type="dxa"/>
            <w:vAlign w:val="bottom"/>
            <w:shd w:val="clear" w:color="auto" w:fill="CCEEFF"/>
          </w:tcPr>
          <w:p>
            <w:pPr>
              <w:ind w:left="280"/>
              <w:spacing w:after="0"/>
              <w:rPr>
                <w:sz w:val="20"/>
                <w:szCs w:val="20"/>
                <w:color w:val="auto"/>
              </w:rPr>
            </w:pPr>
            <w:r>
              <w:rPr>
                <w:rFonts w:ascii="Arial" w:cs="Arial" w:eastAsia="Arial" w:hAnsi="Arial"/>
                <w:sz w:val="12"/>
                <w:szCs w:val="12"/>
                <w:color w:val="auto"/>
              </w:rPr>
              <w:t>Deferred income taxes</w:t>
            </w:r>
          </w:p>
        </w:tc>
        <w:tc>
          <w:tcPr>
            <w:tcW w:w="27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400"/>
              <w:spacing w:after="0"/>
              <w:rPr>
                <w:sz w:val="20"/>
                <w:szCs w:val="20"/>
                <w:color w:val="auto"/>
              </w:rPr>
            </w:pPr>
            <w:r>
              <w:rPr>
                <w:rFonts w:ascii="Arial" w:cs="Arial" w:eastAsia="Arial" w:hAnsi="Arial"/>
                <w:sz w:val="12"/>
                <w:szCs w:val="12"/>
                <w:color w:val="auto"/>
              </w:rPr>
              <w:t>(13,863)</w:t>
            </w:r>
          </w:p>
        </w:tc>
        <w:tc>
          <w:tcPr>
            <w:tcW w:w="28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(15,814)</w:t>
            </w:r>
          </w:p>
        </w:tc>
        <w:tc>
          <w:tcPr>
            <w:tcW w:w="0" w:type="dxa"/>
            <w:vAlign w:val="bottom"/>
          </w:tcPr>
          <w:p>
            <w:pPr>
              <w:spacing w:after="0"/>
              <w:rPr>
                <w:sz w:val="1"/>
                <w:szCs w:val="1"/>
                <w:color w:val="auto"/>
              </w:rPr>
            </w:pPr>
          </w:p>
        </w:tc>
      </w:tr>
      <w:tr>
        <w:trPr>
          <w:trHeight w:val="144"/>
        </w:trPr>
        <w:tc>
          <w:tcPr>
            <w:tcW w:w="6540" w:type="dxa"/>
            <w:vAlign w:val="bottom"/>
          </w:tcPr>
          <w:p>
            <w:pPr>
              <w:ind w:left="280"/>
              <w:spacing w:after="0"/>
              <w:rPr>
                <w:sz w:val="20"/>
                <w:szCs w:val="20"/>
                <w:color w:val="auto"/>
              </w:rPr>
            </w:pPr>
            <w:r>
              <w:rPr>
                <w:rFonts w:ascii="Arial" w:cs="Arial" w:eastAsia="Arial" w:hAnsi="Arial"/>
                <w:sz w:val="12"/>
                <w:szCs w:val="12"/>
                <w:color w:val="auto"/>
              </w:rPr>
              <w:t>Stock-based compensation</w:t>
            </w:r>
          </w:p>
        </w:tc>
        <w:tc>
          <w:tcPr>
            <w:tcW w:w="27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Arial" w:cs="Arial" w:eastAsia="Arial" w:hAnsi="Arial"/>
                <w:sz w:val="12"/>
                <w:szCs w:val="12"/>
                <w:color w:val="auto"/>
              </w:rPr>
              <w:t>35,072</w:t>
            </w:r>
          </w:p>
        </w:tc>
        <w:tc>
          <w:tcPr>
            <w:tcW w:w="4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2"/>
                <w:szCs w:val="12"/>
                <w:color w:val="auto"/>
              </w:rPr>
              <w:t>13,704</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6540" w:type="dxa"/>
            <w:vAlign w:val="bottom"/>
            <w:shd w:val="clear" w:color="auto" w:fill="CCEEFF"/>
          </w:tcPr>
          <w:p>
            <w:pPr>
              <w:ind w:left="280"/>
              <w:spacing w:after="0"/>
              <w:rPr>
                <w:sz w:val="20"/>
                <w:szCs w:val="20"/>
                <w:color w:val="auto"/>
              </w:rPr>
            </w:pPr>
            <w:r>
              <w:rPr>
                <w:rFonts w:ascii="Arial" w:cs="Arial" w:eastAsia="Arial" w:hAnsi="Arial"/>
                <w:sz w:val="12"/>
                <w:szCs w:val="12"/>
                <w:color w:val="auto"/>
              </w:rPr>
              <w:t>Excess tax benefits from stock-based compensation</w:t>
            </w:r>
          </w:p>
        </w:tc>
        <w:tc>
          <w:tcPr>
            <w:tcW w:w="27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400"/>
              <w:spacing w:after="0"/>
              <w:rPr>
                <w:sz w:val="20"/>
                <w:szCs w:val="20"/>
                <w:color w:val="auto"/>
              </w:rPr>
            </w:pPr>
            <w:r>
              <w:rPr>
                <w:rFonts w:ascii="Arial" w:cs="Arial" w:eastAsia="Arial" w:hAnsi="Arial"/>
                <w:sz w:val="12"/>
                <w:szCs w:val="12"/>
                <w:color w:val="auto"/>
              </w:rPr>
              <w:t>(10,646)</w:t>
            </w:r>
          </w:p>
        </w:tc>
        <w:tc>
          <w:tcPr>
            <w:tcW w:w="28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(1,638)</w:t>
            </w:r>
          </w:p>
        </w:tc>
        <w:tc>
          <w:tcPr>
            <w:tcW w:w="0" w:type="dxa"/>
            <w:vAlign w:val="bottom"/>
          </w:tcPr>
          <w:p>
            <w:pPr>
              <w:spacing w:after="0"/>
              <w:rPr>
                <w:sz w:val="1"/>
                <w:szCs w:val="1"/>
                <w:color w:val="auto"/>
              </w:rPr>
            </w:pPr>
          </w:p>
        </w:tc>
      </w:tr>
      <w:tr>
        <w:trPr>
          <w:trHeight w:val="144"/>
        </w:trPr>
        <w:tc>
          <w:tcPr>
            <w:tcW w:w="6540" w:type="dxa"/>
            <w:vAlign w:val="bottom"/>
          </w:tcPr>
          <w:p>
            <w:pPr>
              <w:ind w:left="280"/>
              <w:spacing w:after="0"/>
              <w:rPr>
                <w:sz w:val="20"/>
                <w:szCs w:val="20"/>
                <w:color w:val="auto"/>
              </w:rPr>
            </w:pPr>
            <w:r>
              <w:rPr>
                <w:rFonts w:ascii="Arial" w:cs="Arial" w:eastAsia="Arial" w:hAnsi="Arial"/>
                <w:sz w:val="12"/>
                <w:szCs w:val="12"/>
                <w:color w:val="auto"/>
              </w:rPr>
              <w:t>Amortization of deferred financing costs and other</w:t>
            </w:r>
          </w:p>
        </w:tc>
        <w:tc>
          <w:tcPr>
            <w:tcW w:w="27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Arial" w:cs="Arial" w:eastAsia="Arial" w:hAnsi="Arial"/>
                <w:sz w:val="12"/>
                <w:szCs w:val="12"/>
                <w:color w:val="auto"/>
              </w:rPr>
              <w:t>13,312</w:t>
            </w:r>
          </w:p>
        </w:tc>
        <w:tc>
          <w:tcPr>
            <w:tcW w:w="4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2"/>
                <w:szCs w:val="12"/>
                <w:color w:val="auto"/>
              </w:rPr>
              <w:t>18,834</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6540" w:type="dxa"/>
            <w:vAlign w:val="bottom"/>
            <w:shd w:val="clear" w:color="auto" w:fill="CCEEFF"/>
          </w:tcPr>
          <w:p>
            <w:pPr>
              <w:ind w:left="280"/>
              <w:spacing w:after="0"/>
              <w:rPr>
                <w:sz w:val="20"/>
                <w:szCs w:val="20"/>
                <w:color w:val="auto"/>
              </w:rPr>
            </w:pPr>
            <w:r>
              <w:rPr>
                <w:rFonts w:ascii="Arial" w:cs="Arial" w:eastAsia="Arial" w:hAnsi="Arial"/>
                <w:sz w:val="12"/>
                <w:szCs w:val="12"/>
                <w:color w:val="auto"/>
              </w:rPr>
              <w:t>Loss on extinguishment of debt</w:t>
            </w:r>
          </w:p>
        </w:tc>
        <w:tc>
          <w:tcPr>
            <w:tcW w:w="27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26,578</w:t>
            </w:r>
          </w:p>
        </w:tc>
        <w:tc>
          <w:tcPr>
            <w:tcW w:w="4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13,116</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6540" w:type="dxa"/>
            <w:vAlign w:val="bottom"/>
          </w:tcPr>
          <w:p>
            <w:pPr>
              <w:ind w:left="280"/>
              <w:spacing w:after="0"/>
              <w:rPr>
                <w:sz w:val="20"/>
                <w:szCs w:val="20"/>
                <w:color w:val="auto"/>
              </w:rPr>
            </w:pPr>
            <w:r>
              <w:rPr>
                <w:rFonts w:ascii="Arial" w:cs="Arial" w:eastAsia="Arial" w:hAnsi="Arial"/>
                <w:sz w:val="12"/>
                <w:szCs w:val="12"/>
                <w:color w:val="auto"/>
              </w:rPr>
              <w:t>Provision for doubtful accounts</w:t>
            </w:r>
          </w:p>
        </w:tc>
        <w:tc>
          <w:tcPr>
            <w:tcW w:w="27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Arial" w:cs="Arial" w:eastAsia="Arial" w:hAnsi="Arial"/>
                <w:sz w:val="12"/>
                <w:szCs w:val="12"/>
                <w:color w:val="auto"/>
              </w:rPr>
              <w:t>7,104</w:t>
            </w:r>
          </w:p>
        </w:tc>
        <w:tc>
          <w:tcPr>
            <w:tcW w:w="4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2"/>
                <w:szCs w:val="12"/>
                <w:color w:val="auto"/>
              </w:rPr>
              <w:t>6,068</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6540" w:type="dxa"/>
            <w:vAlign w:val="bottom"/>
            <w:shd w:val="clear" w:color="auto" w:fill="CCEEFF"/>
          </w:tcPr>
          <w:p>
            <w:pPr>
              <w:ind w:left="280"/>
              <w:spacing w:after="0"/>
              <w:rPr>
                <w:sz w:val="20"/>
                <w:szCs w:val="20"/>
                <w:color w:val="auto"/>
              </w:rPr>
            </w:pPr>
            <w:r>
              <w:rPr>
                <w:rFonts w:ascii="Arial" w:cs="Arial" w:eastAsia="Arial" w:hAnsi="Arial"/>
                <w:sz w:val="12"/>
                <w:szCs w:val="12"/>
                <w:color w:val="auto"/>
              </w:rPr>
              <w:t>Property charges and other</w:t>
            </w:r>
          </w:p>
        </w:tc>
        <w:tc>
          <w:tcPr>
            <w:tcW w:w="27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4,097</w:t>
            </w:r>
          </w:p>
        </w:tc>
        <w:tc>
          <w:tcPr>
            <w:tcW w:w="4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35,049</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6540" w:type="dxa"/>
            <w:vAlign w:val="bottom"/>
          </w:tcPr>
          <w:p>
            <w:pPr>
              <w:ind w:left="280"/>
              <w:spacing w:after="0"/>
              <w:rPr>
                <w:sz w:val="20"/>
                <w:szCs w:val="20"/>
                <w:color w:val="auto"/>
              </w:rPr>
            </w:pPr>
            <w:r>
              <w:rPr>
                <w:rFonts w:ascii="Arial" w:cs="Arial" w:eastAsia="Arial" w:hAnsi="Arial"/>
                <w:sz w:val="12"/>
                <w:szCs w:val="12"/>
                <w:color w:val="auto"/>
              </w:rPr>
              <w:t>Equity in income of unconsolidated affiliates, net of distributions</w:t>
            </w:r>
          </w:p>
        </w:tc>
        <w:tc>
          <w:tcPr>
            <w:tcW w:w="27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Arial" w:cs="Arial" w:eastAsia="Arial" w:hAnsi="Arial"/>
                <w:sz w:val="12"/>
                <w:szCs w:val="12"/>
                <w:color w:val="auto"/>
              </w:rPr>
              <w:t>328</w:t>
            </w:r>
          </w:p>
        </w:tc>
        <w:tc>
          <w:tcPr>
            <w:tcW w:w="4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2"/>
                <w:szCs w:val="12"/>
                <w:color w:val="auto"/>
              </w:rPr>
              <w:t>282</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6540" w:type="dxa"/>
            <w:vAlign w:val="bottom"/>
            <w:shd w:val="clear" w:color="auto" w:fill="CCEEFF"/>
          </w:tcPr>
          <w:p>
            <w:pPr>
              <w:ind w:left="280"/>
              <w:spacing w:after="0"/>
              <w:rPr>
                <w:sz w:val="20"/>
                <w:szCs w:val="20"/>
                <w:color w:val="auto"/>
              </w:rPr>
            </w:pPr>
            <w:r>
              <w:rPr>
                <w:rFonts w:ascii="Arial" w:cs="Arial" w:eastAsia="Arial" w:hAnsi="Arial"/>
                <w:sz w:val="12"/>
                <w:szCs w:val="12"/>
                <w:color w:val="auto"/>
              </w:rPr>
              <w:t>Increase in swap fair value</w:t>
            </w:r>
          </w:p>
        </w:tc>
        <w:tc>
          <w:tcPr>
            <w:tcW w:w="27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400"/>
              <w:spacing w:after="0"/>
              <w:rPr>
                <w:sz w:val="20"/>
                <w:szCs w:val="20"/>
                <w:color w:val="auto"/>
              </w:rPr>
            </w:pPr>
            <w:r>
              <w:rPr>
                <w:rFonts w:ascii="Arial" w:cs="Arial" w:eastAsia="Arial" w:hAnsi="Arial"/>
                <w:sz w:val="12"/>
                <w:szCs w:val="12"/>
                <w:color w:val="auto"/>
              </w:rPr>
              <w:t>(13,131)</w:t>
            </w:r>
          </w:p>
        </w:tc>
        <w:tc>
          <w:tcPr>
            <w:tcW w:w="28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(4,930)</w:t>
            </w:r>
          </w:p>
        </w:tc>
        <w:tc>
          <w:tcPr>
            <w:tcW w:w="0" w:type="dxa"/>
            <w:vAlign w:val="bottom"/>
          </w:tcPr>
          <w:p>
            <w:pPr>
              <w:spacing w:after="0"/>
              <w:rPr>
                <w:sz w:val="1"/>
                <w:szCs w:val="1"/>
                <w:color w:val="auto"/>
              </w:rPr>
            </w:pPr>
          </w:p>
        </w:tc>
      </w:tr>
      <w:tr>
        <w:trPr>
          <w:trHeight w:val="144"/>
        </w:trPr>
        <w:tc>
          <w:tcPr>
            <w:tcW w:w="6540" w:type="dxa"/>
            <w:vAlign w:val="bottom"/>
          </w:tcPr>
          <w:p>
            <w:pPr>
              <w:ind w:left="280"/>
              <w:spacing w:after="0"/>
              <w:rPr>
                <w:sz w:val="20"/>
                <w:szCs w:val="20"/>
                <w:color w:val="auto"/>
              </w:rPr>
            </w:pPr>
            <w:r>
              <w:rPr>
                <w:rFonts w:ascii="Arial" w:cs="Arial" w:eastAsia="Arial" w:hAnsi="Arial"/>
                <w:sz w:val="12"/>
                <w:szCs w:val="12"/>
                <w:color w:val="auto"/>
              </w:rPr>
              <w:t>Increase (decrease) in cash from changes in:</w:t>
            </w:r>
          </w:p>
        </w:tc>
        <w:tc>
          <w:tcPr>
            <w:tcW w:w="27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6540" w:type="dxa"/>
            <w:vAlign w:val="bottom"/>
            <w:shd w:val="clear" w:color="auto" w:fill="CCEEFF"/>
          </w:tcPr>
          <w:p>
            <w:pPr>
              <w:ind w:left="560"/>
              <w:spacing w:after="0"/>
              <w:rPr>
                <w:sz w:val="20"/>
                <w:szCs w:val="20"/>
                <w:color w:val="auto"/>
              </w:rPr>
            </w:pPr>
            <w:r>
              <w:rPr>
                <w:rFonts w:ascii="Arial" w:cs="Arial" w:eastAsia="Arial" w:hAnsi="Arial"/>
                <w:sz w:val="12"/>
                <w:szCs w:val="12"/>
                <w:color w:val="auto"/>
              </w:rPr>
              <w:t>Receivables, net</w:t>
            </w:r>
          </w:p>
        </w:tc>
        <w:tc>
          <w:tcPr>
            <w:tcW w:w="27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15,578</w:t>
            </w:r>
          </w:p>
        </w:tc>
        <w:tc>
          <w:tcPr>
            <w:tcW w:w="4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16,896</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6540" w:type="dxa"/>
            <w:vAlign w:val="bottom"/>
          </w:tcPr>
          <w:p>
            <w:pPr>
              <w:ind w:left="560"/>
              <w:spacing w:after="0"/>
              <w:rPr>
                <w:sz w:val="20"/>
                <w:szCs w:val="20"/>
                <w:color w:val="auto"/>
              </w:rPr>
            </w:pPr>
            <w:r>
              <w:rPr>
                <w:rFonts w:ascii="Arial" w:cs="Arial" w:eastAsia="Arial" w:hAnsi="Arial"/>
                <w:sz w:val="12"/>
                <w:szCs w:val="12"/>
                <w:color w:val="auto"/>
              </w:rPr>
              <w:t>Inventories and prepaid expenses and other</w:t>
            </w:r>
          </w:p>
        </w:tc>
        <w:tc>
          <w:tcPr>
            <w:tcW w:w="27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40" w:type="dxa"/>
            <w:vAlign w:val="bottom"/>
            <w:gridSpan w:val="2"/>
          </w:tcPr>
          <w:p>
            <w:pPr>
              <w:jc w:val="right"/>
              <w:ind w:right="400"/>
              <w:spacing w:after="0"/>
              <w:rPr>
                <w:sz w:val="20"/>
                <w:szCs w:val="20"/>
                <w:color w:val="auto"/>
              </w:rPr>
            </w:pPr>
            <w:r>
              <w:rPr>
                <w:rFonts w:ascii="Arial" w:cs="Arial" w:eastAsia="Arial" w:hAnsi="Arial"/>
                <w:sz w:val="12"/>
                <w:szCs w:val="12"/>
                <w:color w:val="auto"/>
              </w:rPr>
              <w:t>(11,616)</w:t>
            </w:r>
          </w:p>
        </w:tc>
        <w:tc>
          <w:tcPr>
            <w:tcW w:w="28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2"/>
                <w:szCs w:val="12"/>
                <w:color w:val="auto"/>
              </w:rPr>
              <w:t>5,216</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6540" w:type="dxa"/>
            <w:vAlign w:val="bottom"/>
            <w:shd w:val="clear" w:color="auto" w:fill="CCEEFF"/>
          </w:tcPr>
          <w:p>
            <w:pPr>
              <w:ind w:left="560"/>
              <w:spacing w:after="0"/>
              <w:rPr>
                <w:sz w:val="20"/>
                <w:szCs w:val="20"/>
                <w:color w:val="auto"/>
              </w:rPr>
            </w:pPr>
            <w:r>
              <w:rPr>
                <w:rFonts w:ascii="Arial" w:cs="Arial" w:eastAsia="Arial" w:hAnsi="Arial"/>
                <w:sz w:val="12"/>
                <w:szCs w:val="12"/>
                <w:color w:val="auto"/>
              </w:rPr>
              <w:t>Accounts payable and accrued expenses</w:t>
            </w:r>
          </w:p>
        </w:tc>
        <w:tc>
          <w:tcPr>
            <w:tcW w:w="2740" w:type="dxa"/>
            <w:vAlign w:val="bottom"/>
            <w:shd w:val="clear" w:color="auto" w:fill="CCEEFF"/>
          </w:tcPr>
          <w:p>
            <w:pPr>
              <w:spacing w:after="0"/>
              <w:rPr>
                <w:sz w:val="12"/>
                <w:szCs w:val="12"/>
                <w:color w:val="auto"/>
              </w:rPr>
            </w:pPr>
          </w:p>
        </w:tc>
        <w:tc>
          <w:tcPr>
            <w:tcW w:w="180" w:type="dxa"/>
            <w:vAlign w:val="bottom"/>
            <w:tcBorders>
              <w:bottom w:val="single" w:sz="8" w:color="auto"/>
            </w:tcBorders>
            <w:shd w:val="clear" w:color="auto" w:fill="CCEEFF"/>
          </w:tcPr>
          <w:p>
            <w:pPr>
              <w:spacing w:after="0"/>
              <w:rPr>
                <w:sz w:val="12"/>
                <w:szCs w:val="12"/>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235,789</w:t>
            </w:r>
          </w:p>
        </w:tc>
        <w:tc>
          <w:tcPr>
            <w:tcW w:w="440" w:type="dxa"/>
            <w:vAlign w:val="bottom"/>
            <w:shd w:val="clear" w:color="auto" w:fill="CCEEFF"/>
          </w:tcPr>
          <w:p>
            <w:pPr>
              <w:spacing w:after="0"/>
              <w:rPr>
                <w:sz w:val="12"/>
                <w:szCs w:val="12"/>
                <w:color w:val="auto"/>
              </w:rPr>
            </w:pPr>
          </w:p>
        </w:tc>
        <w:tc>
          <w:tcPr>
            <w:tcW w:w="280" w:type="dxa"/>
            <w:vAlign w:val="bottom"/>
            <w:tcBorders>
              <w:bottom w:val="single" w:sz="8" w:color="auto"/>
            </w:tcBorders>
            <w:shd w:val="clear" w:color="auto" w:fill="CCEEFF"/>
          </w:tcPr>
          <w:p>
            <w:pPr>
              <w:spacing w:after="0"/>
              <w:rPr>
                <w:sz w:val="12"/>
                <w:szCs w:val="12"/>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59,438</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6540" w:type="dxa"/>
            <w:vAlign w:val="bottom"/>
          </w:tcPr>
          <w:p>
            <w:pPr>
              <w:ind w:left="860"/>
              <w:spacing w:after="0"/>
              <w:rPr>
                <w:sz w:val="20"/>
                <w:szCs w:val="20"/>
                <w:color w:val="auto"/>
              </w:rPr>
            </w:pPr>
            <w:r>
              <w:rPr>
                <w:rFonts w:ascii="Arial" w:cs="Arial" w:eastAsia="Arial" w:hAnsi="Arial"/>
                <w:sz w:val="12"/>
                <w:szCs w:val="12"/>
                <w:color w:val="auto"/>
              </w:rPr>
              <w:t>Net cash provided by operating activities</w:t>
            </w:r>
          </w:p>
        </w:tc>
        <w:tc>
          <w:tcPr>
            <w:tcW w:w="274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1,281,334</w:t>
            </w:r>
          </w:p>
        </w:tc>
        <w:tc>
          <w:tcPr>
            <w:tcW w:w="440" w:type="dxa"/>
            <w:vAlign w:val="bottom"/>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989,236</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6540" w:type="dxa"/>
            <w:vAlign w:val="bottom"/>
            <w:shd w:val="clear" w:color="auto" w:fill="CCEEFF"/>
          </w:tcPr>
          <w:p>
            <w:pPr>
              <w:spacing w:after="0"/>
              <w:rPr>
                <w:sz w:val="20"/>
                <w:szCs w:val="20"/>
                <w:color w:val="auto"/>
              </w:rPr>
            </w:pPr>
            <w:r>
              <w:rPr>
                <w:rFonts w:ascii="Arial" w:cs="Arial" w:eastAsia="Arial" w:hAnsi="Arial"/>
                <w:sz w:val="12"/>
                <w:szCs w:val="12"/>
                <w:color w:val="auto"/>
              </w:rPr>
              <w:t>Cash flows from investing activities:</w:t>
            </w:r>
          </w:p>
        </w:tc>
        <w:tc>
          <w:tcPr>
            <w:tcW w:w="27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6540" w:type="dxa"/>
            <w:vAlign w:val="bottom"/>
          </w:tcPr>
          <w:p>
            <w:pPr>
              <w:ind w:left="280"/>
              <w:spacing w:after="0"/>
              <w:rPr>
                <w:sz w:val="20"/>
                <w:szCs w:val="20"/>
                <w:color w:val="auto"/>
              </w:rPr>
            </w:pPr>
            <w:r>
              <w:rPr>
                <w:rFonts w:ascii="Arial" w:cs="Arial" w:eastAsia="Arial" w:hAnsi="Arial"/>
                <w:sz w:val="12"/>
                <w:szCs w:val="12"/>
                <w:color w:val="auto"/>
              </w:rPr>
              <w:t>Capital expenditures, net of construction payables and retention</w:t>
            </w:r>
          </w:p>
        </w:tc>
        <w:tc>
          <w:tcPr>
            <w:tcW w:w="27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40" w:type="dxa"/>
            <w:vAlign w:val="bottom"/>
            <w:gridSpan w:val="2"/>
          </w:tcPr>
          <w:p>
            <w:pPr>
              <w:jc w:val="right"/>
              <w:ind w:right="400"/>
              <w:spacing w:after="0"/>
              <w:rPr>
                <w:sz w:val="20"/>
                <w:szCs w:val="20"/>
                <w:color w:val="auto"/>
              </w:rPr>
            </w:pPr>
            <w:r>
              <w:rPr>
                <w:rFonts w:ascii="Arial" w:cs="Arial" w:eastAsia="Arial" w:hAnsi="Arial"/>
                <w:sz w:val="12"/>
                <w:szCs w:val="12"/>
                <w:color w:val="auto"/>
              </w:rPr>
              <w:t>(324,828)</w:t>
            </w:r>
          </w:p>
        </w:tc>
        <w:tc>
          <w:tcPr>
            <w:tcW w:w="280" w:type="dxa"/>
            <w:vAlign w:val="bottom"/>
          </w:tcPr>
          <w:p>
            <w:pPr>
              <w:spacing w:after="0"/>
              <w:rPr>
                <w:sz w:val="12"/>
                <w:szCs w:val="12"/>
                <w:color w:val="auto"/>
              </w:rPr>
            </w:pPr>
          </w:p>
        </w:tc>
        <w:tc>
          <w:tcPr>
            <w:tcW w:w="700" w:type="dxa"/>
            <w:vAlign w:val="bottom"/>
            <w:gridSpan w:val="2"/>
          </w:tcPr>
          <w:p>
            <w:pPr>
              <w:jc w:val="right"/>
              <w:ind w:right="80"/>
              <w:spacing w:after="0"/>
              <w:rPr>
                <w:sz w:val="20"/>
                <w:szCs w:val="20"/>
                <w:color w:val="auto"/>
              </w:rPr>
            </w:pPr>
            <w:r>
              <w:rPr>
                <w:rFonts w:ascii="Arial" w:cs="Arial" w:eastAsia="Arial" w:hAnsi="Arial"/>
                <w:sz w:val="12"/>
                <w:szCs w:val="12"/>
                <w:color w:val="auto"/>
              </w:rPr>
              <w:t>(168,315)</w:t>
            </w:r>
          </w:p>
        </w:tc>
        <w:tc>
          <w:tcPr>
            <w:tcW w:w="0" w:type="dxa"/>
            <w:vAlign w:val="bottom"/>
          </w:tcPr>
          <w:p>
            <w:pPr>
              <w:spacing w:after="0"/>
              <w:rPr>
                <w:sz w:val="1"/>
                <w:szCs w:val="1"/>
                <w:color w:val="auto"/>
              </w:rPr>
            </w:pPr>
          </w:p>
        </w:tc>
      </w:tr>
      <w:tr>
        <w:trPr>
          <w:trHeight w:val="144"/>
        </w:trPr>
        <w:tc>
          <w:tcPr>
            <w:tcW w:w="6540" w:type="dxa"/>
            <w:vAlign w:val="bottom"/>
            <w:shd w:val="clear" w:color="auto" w:fill="CCEEFF"/>
          </w:tcPr>
          <w:p>
            <w:pPr>
              <w:ind w:left="280"/>
              <w:spacing w:after="0"/>
              <w:rPr>
                <w:sz w:val="20"/>
                <w:szCs w:val="20"/>
                <w:color w:val="auto"/>
              </w:rPr>
            </w:pPr>
            <w:r>
              <w:rPr>
                <w:rFonts w:ascii="Arial" w:cs="Arial" w:eastAsia="Arial" w:hAnsi="Arial"/>
                <w:sz w:val="12"/>
                <w:szCs w:val="12"/>
                <w:color w:val="auto"/>
              </w:rPr>
              <w:t>Purchase of corporate debt securities</w:t>
            </w:r>
          </w:p>
        </w:tc>
        <w:tc>
          <w:tcPr>
            <w:tcW w:w="27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400"/>
              <w:spacing w:after="0"/>
              <w:rPr>
                <w:sz w:val="20"/>
                <w:szCs w:val="20"/>
                <w:color w:val="auto"/>
              </w:rPr>
            </w:pPr>
            <w:r>
              <w:rPr>
                <w:rFonts w:ascii="Arial" w:cs="Arial" w:eastAsia="Arial" w:hAnsi="Arial"/>
                <w:sz w:val="12"/>
                <w:szCs w:val="12"/>
                <w:color w:val="auto"/>
              </w:rPr>
              <w:t>(190,477)</w:t>
            </w:r>
          </w:p>
        </w:tc>
        <w:tc>
          <w:tcPr>
            <w:tcW w:w="28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(297,781)</w:t>
            </w:r>
          </w:p>
        </w:tc>
        <w:tc>
          <w:tcPr>
            <w:tcW w:w="0" w:type="dxa"/>
            <w:vAlign w:val="bottom"/>
          </w:tcPr>
          <w:p>
            <w:pPr>
              <w:spacing w:after="0"/>
              <w:rPr>
                <w:sz w:val="1"/>
                <w:szCs w:val="1"/>
                <w:color w:val="auto"/>
              </w:rPr>
            </w:pPr>
          </w:p>
        </w:tc>
      </w:tr>
      <w:tr>
        <w:trPr>
          <w:trHeight w:val="144"/>
        </w:trPr>
        <w:tc>
          <w:tcPr>
            <w:tcW w:w="6540" w:type="dxa"/>
            <w:vAlign w:val="bottom"/>
          </w:tcPr>
          <w:p>
            <w:pPr>
              <w:ind w:left="280"/>
              <w:spacing w:after="0"/>
              <w:rPr>
                <w:sz w:val="20"/>
                <w:szCs w:val="20"/>
                <w:color w:val="auto"/>
              </w:rPr>
            </w:pPr>
            <w:r>
              <w:rPr>
                <w:rFonts w:ascii="Arial" w:cs="Arial" w:eastAsia="Arial" w:hAnsi="Arial"/>
                <w:sz w:val="12"/>
                <w:szCs w:val="12"/>
                <w:color w:val="auto"/>
              </w:rPr>
              <w:t>Proceeds from sale or maturity of corporate debt securities</w:t>
            </w:r>
          </w:p>
        </w:tc>
        <w:tc>
          <w:tcPr>
            <w:tcW w:w="27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Arial" w:cs="Arial" w:eastAsia="Arial" w:hAnsi="Arial"/>
                <w:sz w:val="12"/>
                <w:szCs w:val="12"/>
                <w:color w:val="auto"/>
              </w:rPr>
              <w:t>113,346</w:t>
            </w:r>
          </w:p>
        </w:tc>
        <w:tc>
          <w:tcPr>
            <w:tcW w:w="4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2"/>
                <w:szCs w:val="12"/>
                <w:color w:val="auto"/>
              </w:rPr>
              <w:t>118,168</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6540" w:type="dxa"/>
            <w:vAlign w:val="bottom"/>
            <w:shd w:val="clear" w:color="auto" w:fill="CCEEFF"/>
          </w:tcPr>
          <w:p>
            <w:pPr>
              <w:ind w:left="280"/>
              <w:spacing w:after="0"/>
              <w:rPr>
                <w:sz w:val="20"/>
                <w:szCs w:val="20"/>
                <w:color w:val="auto"/>
              </w:rPr>
            </w:pPr>
            <w:r>
              <w:rPr>
                <w:rFonts w:ascii="Arial" w:cs="Arial" w:eastAsia="Arial" w:hAnsi="Arial"/>
                <w:sz w:val="12"/>
                <w:szCs w:val="12"/>
                <w:color w:val="auto"/>
              </w:rPr>
              <w:t>Restricted cash</w:t>
            </w:r>
          </w:p>
        </w:tc>
        <w:tc>
          <w:tcPr>
            <w:tcW w:w="27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400"/>
              <w:spacing w:after="0"/>
              <w:rPr>
                <w:sz w:val="20"/>
                <w:szCs w:val="20"/>
                <w:color w:val="auto"/>
              </w:rPr>
            </w:pPr>
            <w:r>
              <w:rPr>
                <w:rFonts w:ascii="Arial" w:cs="Arial" w:eastAsia="Arial" w:hAnsi="Arial"/>
                <w:sz w:val="12"/>
                <w:szCs w:val="12"/>
                <w:color w:val="auto"/>
              </w:rPr>
              <w:t>(100,597)</w:t>
            </w:r>
          </w:p>
        </w:tc>
        <w:tc>
          <w:tcPr>
            <w:tcW w:w="28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44"/>
        </w:trPr>
        <w:tc>
          <w:tcPr>
            <w:tcW w:w="6540" w:type="dxa"/>
            <w:vAlign w:val="bottom"/>
          </w:tcPr>
          <w:p>
            <w:pPr>
              <w:ind w:left="280"/>
              <w:spacing w:after="0"/>
              <w:rPr>
                <w:sz w:val="20"/>
                <w:szCs w:val="20"/>
                <w:color w:val="auto"/>
              </w:rPr>
            </w:pPr>
            <w:r>
              <w:rPr>
                <w:rFonts w:ascii="Arial" w:cs="Arial" w:eastAsia="Arial" w:hAnsi="Arial"/>
                <w:sz w:val="12"/>
                <w:szCs w:val="12"/>
                <w:color w:val="auto"/>
              </w:rPr>
              <w:t>Deposits and purchase of other assets</w:t>
            </w:r>
          </w:p>
        </w:tc>
        <w:tc>
          <w:tcPr>
            <w:tcW w:w="27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40" w:type="dxa"/>
            <w:vAlign w:val="bottom"/>
            <w:gridSpan w:val="2"/>
          </w:tcPr>
          <w:p>
            <w:pPr>
              <w:jc w:val="right"/>
              <w:ind w:right="400"/>
              <w:spacing w:after="0"/>
              <w:rPr>
                <w:sz w:val="20"/>
                <w:szCs w:val="20"/>
                <w:color w:val="auto"/>
              </w:rPr>
            </w:pPr>
            <w:r>
              <w:rPr>
                <w:rFonts w:ascii="Arial" w:cs="Arial" w:eastAsia="Arial" w:hAnsi="Arial"/>
                <w:sz w:val="12"/>
                <w:szCs w:val="12"/>
                <w:color w:val="auto"/>
              </w:rPr>
              <w:t>(8,369)</w:t>
            </w:r>
          </w:p>
        </w:tc>
        <w:tc>
          <w:tcPr>
            <w:tcW w:w="280" w:type="dxa"/>
            <w:vAlign w:val="bottom"/>
          </w:tcPr>
          <w:p>
            <w:pPr>
              <w:spacing w:after="0"/>
              <w:rPr>
                <w:sz w:val="12"/>
                <w:szCs w:val="12"/>
                <w:color w:val="auto"/>
              </w:rPr>
            </w:pPr>
          </w:p>
        </w:tc>
        <w:tc>
          <w:tcPr>
            <w:tcW w:w="700" w:type="dxa"/>
            <w:vAlign w:val="bottom"/>
            <w:gridSpan w:val="2"/>
          </w:tcPr>
          <w:p>
            <w:pPr>
              <w:jc w:val="right"/>
              <w:ind w:right="80"/>
              <w:spacing w:after="0"/>
              <w:rPr>
                <w:sz w:val="20"/>
                <w:szCs w:val="20"/>
                <w:color w:val="auto"/>
              </w:rPr>
            </w:pPr>
            <w:r>
              <w:rPr>
                <w:rFonts w:ascii="Arial" w:cs="Arial" w:eastAsia="Arial" w:hAnsi="Arial"/>
                <w:sz w:val="12"/>
                <w:szCs w:val="12"/>
                <w:color w:val="auto"/>
              </w:rPr>
              <w:t>(3,753)</w:t>
            </w:r>
          </w:p>
        </w:tc>
        <w:tc>
          <w:tcPr>
            <w:tcW w:w="0" w:type="dxa"/>
            <w:vAlign w:val="bottom"/>
          </w:tcPr>
          <w:p>
            <w:pPr>
              <w:spacing w:after="0"/>
              <w:rPr>
                <w:sz w:val="1"/>
                <w:szCs w:val="1"/>
                <w:color w:val="auto"/>
              </w:rPr>
            </w:pPr>
          </w:p>
        </w:tc>
      </w:tr>
      <w:tr>
        <w:trPr>
          <w:trHeight w:val="144"/>
        </w:trPr>
        <w:tc>
          <w:tcPr>
            <w:tcW w:w="6540" w:type="dxa"/>
            <w:vAlign w:val="bottom"/>
            <w:shd w:val="clear" w:color="auto" w:fill="CCEEFF"/>
          </w:tcPr>
          <w:p>
            <w:pPr>
              <w:ind w:left="280"/>
              <w:spacing w:after="0"/>
              <w:rPr>
                <w:sz w:val="20"/>
                <w:szCs w:val="20"/>
                <w:color w:val="auto"/>
              </w:rPr>
            </w:pPr>
            <w:r>
              <w:rPr>
                <w:rFonts w:ascii="Arial" w:cs="Arial" w:eastAsia="Arial" w:hAnsi="Arial"/>
                <w:sz w:val="12"/>
                <w:szCs w:val="12"/>
                <w:color w:val="auto"/>
              </w:rPr>
              <w:t>Proceeds from sale of assets</w:t>
            </w:r>
          </w:p>
        </w:tc>
        <w:tc>
          <w:tcPr>
            <w:tcW w:w="2740" w:type="dxa"/>
            <w:vAlign w:val="bottom"/>
            <w:shd w:val="clear" w:color="auto" w:fill="CCEEFF"/>
          </w:tcPr>
          <w:p>
            <w:pPr>
              <w:spacing w:after="0"/>
              <w:rPr>
                <w:sz w:val="12"/>
                <w:szCs w:val="12"/>
                <w:color w:val="auto"/>
              </w:rPr>
            </w:pPr>
          </w:p>
        </w:tc>
        <w:tc>
          <w:tcPr>
            <w:tcW w:w="180" w:type="dxa"/>
            <w:vAlign w:val="bottom"/>
            <w:tcBorders>
              <w:bottom w:val="single" w:sz="8" w:color="auto"/>
            </w:tcBorders>
            <w:shd w:val="clear" w:color="auto" w:fill="CCEEFF"/>
          </w:tcPr>
          <w:p>
            <w:pPr>
              <w:spacing w:after="0"/>
              <w:rPr>
                <w:sz w:val="12"/>
                <w:szCs w:val="12"/>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20,347</w:t>
            </w:r>
          </w:p>
        </w:tc>
        <w:tc>
          <w:tcPr>
            <w:tcW w:w="440" w:type="dxa"/>
            <w:vAlign w:val="bottom"/>
            <w:shd w:val="clear" w:color="auto" w:fill="CCEEFF"/>
          </w:tcPr>
          <w:p>
            <w:pPr>
              <w:spacing w:after="0"/>
              <w:rPr>
                <w:sz w:val="12"/>
                <w:szCs w:val="12"/>
                <w:color w:val="auto"/>
              </w:rPr>
            </w:pPr>
          </w:p>
        </w:tc>
        <w:tc>
          <w:tcPr>
            <w:tcW w:w="280" w:type="dxa"/>
            <w:vAlign w:val="bottom"/>
            <w:tcBorders>
              <w:bottom w:val="single" w:sz="8" w:color="auto"/>
            </w:tcBorders>
            <w:shd w:val="clear" w:color="auto" w:fill="CCEEFF"/>
          </w:tcPr>
          <w:p>
            <w:pPr>
              <w:spacing w:after="0"/>
              <w:rPr>
                <w:sz w:val="12"/>
                <w:szCs w:val="12"/>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551</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6540" w:type="dxa"/>
            <w:vAlign w:val="bottom"/>
          </w:tcPr>
          <w:p>
            <w:pPr>
              <w:ind w:left="860"/>
              <w:spacing w:after="0"/>
              <w:rPr>
                <w:sz w:val="20"/>
                <w:szCs w:val="20"/>
                <w:color w:val="auto"/>
              </w:rPr>
            </w:pPr>
            <w:r>
              <w:rPr>
                <w:rFonts w:ascii="Arial" w:cs="Arial" w:eastAsia="Arial" w:hAnsi="Arial"/>
                <w:sz w:val="12"/>
                <w:szCs w:val="12"/>
                <w:color w:val="auto"/>
              </w:rPr>
              <w:t>Net cash used in investing activities</w:t>
            </w:r>
          </w:p>
        </w:tc>
        <w:tc>
          <w:tcPr>
            <w:tcW w:w="27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40" w:type="dxa"/>
            <w:vAlign w:val="bottom"/>
            <w:gridSpan w:val="2"/>
          </w:tcPr>
          <w:p>
            <w:pPr>
              <w:jc w:val="right"/>
              <w:ind w:right="400"/>
              <w:spacing w:after="0"/>
              <w:rPr>
                <w:sz w:val="20"/>
                <w:szCs w:val="20"/>
                <w:color w:val="auto"/>
              </w:rPr>
            </w:pPr>
            <w:r>
              <w:rPr>
                <w:rFonts w:ascii="Arial" w:cs="Arial" w:eastAsia="Arial" w:hAnsi="Arial"/>
                <w:sz w:val="12"/>
                <w:szCs w:val="12"/>
                <w:color w:val="auto"/>
              </w:rPr>
              <w:t>(490,578)</w:t>
            </w:r>
          </w:p>
        </w:tc>
        <w:tc>
          <w:tcPr>
            <w:tcW w:w="280" w:type="dxa"/>
            <w:vAlign w:val="bottom"/>
          </w:tcPr>
          <w:p>
            <w:pPr>
              <w:spacing w:after="0"/>
              <w:rPr>
                <w:sz w:val="12"/>
                <w:szCs w:val="12"/>
                <w:color w:val="auto"/>
              </w:rPr>
            </w:pPr>
          </w:p>
        </w:tc>
        <w:tc>
          <w:tcPr>
            <w:tcW w:w="700" w:type="dxa"/>
            <w:vAlign w:val="bottom"/>
            <w:gridSpan w:val="2"/>
          </w:tcPr>
          <w:p>
            <w:pPr>
              <w:jc w:val="right"/>
              <w:ind w:right="80"/>
              <w:spacing w:after="0"/>
              <w:rPr>
                <w:sz w:val="20"/>
                <w:szCs w:val="20"/>
                <w:color w:val="auto"/>
              </w:rPr>
            </w:pPr>
            <w:r>
              <w:rPr>
                <w:rFonts w:ascii="Arial" w:cs="Arial" w:eastAsia="Arial" w:hAnsi="Arial"/>
                <w:sz w:val="12"/>
                <w:szCs w:val="12"/>
                <w:color w:val="auto"/>
              </w:rPr>
              <w:t>(351,130)</w:t>
            </w:r>
          </w:p>
        </w:tc>
        <w:tc>
          <w:tcPr>
            <w:tcW w:w="0" w:type="dxa"/>
            <w:vAlign w:val="bottom"/>
          </w:tcPr>
          <w:p>
            <w:pPr>
              <w:spacing w:after="0"/>
              <w:rPr>
                <w:sz w:val="1"/>
                <w:szCs w:val="1"/>
                <w:color w:val="auto"/>
              </w:rPr>
            </w:pPr>
          </w:p>
        </w:tc>
      </w:tr>
      <w:tr>
        <w:trPr>
          <w:trHeight w:val="143"/>
        </w:trPr>
        <w:tc>
          <w:tcPr>
            <w:tcW w:w="6540" w:type="dxa"/>
            <w:vAlign w:val="bottom"/>
            <w:shd w:val="clear" w:color="auto" w:fill="CCEEFF"/>
          </w:tcPr>
          <w:p>
            <w:pPr>
              <w:spacing w:after="0"/>
              <w:rPr>
                <w:sz w:val="20"/>
                <w:szCs w:val="20"/>
                <w:color w:val="auto"/>
              </w:rPr>
            </w:pPr>
            <w:r>
              <w:rPr>
                <w:rFonts w:ascii="Arial" w:cs="Arial" w:eastAsia="Arial" w:hAnsi="Arial"/>
                <w:sz w:val="12"/>
                <w:szCs w:val="12"/>
                <w:color w:val="auto"/>
              </w:rPr>
              <w:t>Cash flows from financing activities:</w:t>
            </w:r>
          </w:p>
        </w:tc>
        <w:tc>
          <w:tcPr>
            <w:tcW w:w="2740" w:type="dxa"/>
            <w:vAlign w:val="bottom"/>
            <w:shd w:val="clear" w:color="auto" w:fill="CCEEFF"/>
          </w:tcPr>
          <w:p>
            <w:pPr>
              <w:spacing w:after="0"/>
              <w:rPr>
                <w:sz w:val="12"/>
                <w:szCs w:val="12"/>
                <w:color w:val="auto"/>
              </w:rPr>
            </w:pPr>
          </w:p>
        </w:tc>
        <w:tc>
          <w:tcPr>
            <w:tcW w:w="180" w:type="dxa"/>
            <w:vAlign w:val="bottom"/>
            <w:tcBorders>
              <w:top w:val="single" w:sz="8" w:color="auto"/>
            </w:tcBorders>
            <w:shd w:val="clear" w:color="auto" w:fill="CCEEFF"/>
          </w:tcPr>
          <w:p>
            <w:pPr>
              <w:spacing w:after="0"/>
              <w:rPr>
                <w:sz w:val="12"/>
                <w:szCs w:val="12"/>
                <w:color w:val="auto"/>
              </w:rPr>
            </w:pPr>
          </w:p>
        </w:tc>
        <w:tc>
          <w:tcPr>
            <w:tcW w:w="600" w:type="dxa"/>
            <w:vAlign w:val="bottom"/>
            <w:tcBorders>
              <w:top w:val="single" w:sz="8" w:color="auto"/>
            </w:tcBorders>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280" w:type="dxa"/>
            <w:vAlign w:val="bottom"/>
            <w:tcBorders>
              <w:top w:val="single" w:sz="8" w:color="auto"/>
            </w:tcBorders>
            <w:shd w:val="clear" w:color="auto" w:fill="CCEEFF"/>
          </w:tcPr>
          <w:p>
            <w:pPr>
              <w:spacing w:after="0"/>
              <w:rPr>
                <w:sz w:val="12"/>
                <w:szCs w:val="12"/>
                <w:color w:val="auto"/>
              </w:rPr>
            </w:pPr>
          </w:p>
        </w:tc>
        <w:tc>
          <w:tcPr>
            <w:tcW w:w="580" w:type="dxa"/>
            <w:vAlign w:val="bottom"/>
            <w:tcBorders>
              <w:top w:val="single" w:sz="8" w:color="auto"/>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6540" w:type="dxa"/>
            <w:vAlign w:val="bottom"/>
          </w:tcPr>
          <w:p>
            <w:pPr>
              <w:ind w:left="280"/>
              <w:spacing w:after="0"/>
              <w:rPr>
                <w:sz w:val="20"/>
                <w:szCs w:val="20"/>
                <w:color w:val="auto"/>
              </w:rPr>
            </w:pPr>
            <w:r>
              <w:rPr>
                <w:rFonts w:ascii="Arial" w:cs="Arial" w:eastAsia="Arial" w:hAnsi="Arial"/>
                <w:sz w:val="12"/>
                <w:szCs w:val="12"/>
                <w:color w:val="auto"/>
              </w:rPr>
              <w:t>Proceeds from exercise of stock options</w:t>
            </w:r>
          </w:p>
        </w:tc>
        <w:tc>
          <w:tcPr>
            <w:tcW w:w="27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Arial" w:cs="Arial" w:eastAsia="Arial" w:hAnsi="Arial"/>
                <w:sz w:val="12"/>
                <w:szCs w:val="12"/>
                <w:color w:val="auto"/>
              </w:rPr>
              <w:t>17,545</w:t>
            </w:r>
          </w:p>
        </w:tc>
        <w:tc>
          <w:tcPr>
            <w:tcW w:w="4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2"/>
                <w:szCs w:val="12"/>
                <w:color w:val="auto"/>
              </w:rPr>
              <w:t>1,227</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6540" w:type="dxa"/>
            <w:vAlign w:val="bottom"/>
            <w:shd w:val="clear" w:color="auto" w:fill="CCEEFF"/>
          </w:tcPr>
          <w:p>
            <w:pPr>
              <w:ind w:left="280"/>
              <w:spacing w:after="0"/>
              <w:rPr>
                <w:sz w:val="20"/>
                <w:szCs w:val="20"/>
                <w:color w:val="auto"/>
              </w:rPr>
            </w:pPr>
            <w:r>
              <w:rPr>
                <w:rFonts w:ascii="Arial" w:cs="Arial" w:eastAsia="Arial" w:hAnsi="Arial"/>
                <w:sz w:val="12"/>
                <w:szCs w:val="12"/>
                <w:color w:val="auto"/>
              </w:rPr>
              <w:t>Excess tax benefits from stock-based compensation</w:t>
            </w:r>
          </w:p>
        </w:tc>
        <w:tc>
          <w:tcPr>
            <w:tcW w:w="27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10,646</w:t>
            </w:r>
          </w:p>
        </w:tc>
        <w:tc>
          <w:tcPr>
            <w:tcW w:w="4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1,638</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6540" w:type="dxa"/>
            <w:vAlign w:val="bottom"/>
          </w:tcPr>
          <w:p>
            <w:pPr>
              <w:ind w:left="280"/>
              <w:spacing w:after="0"/>
              <w:rPr>
                <w:sz w:val="20"/>
                <w:szCs w:val="20"/>
                <w:color w:val="auto"/>
              </w:rPr>
            </w:pPr>
            <w:r>
              <w:rPr>
                <w:rFonts w:ascii="Arial" w:cs="Arial" w:eastAsia="Arial" w:hAnsi="Arial"/>
                <w:sz w:val="12"/>
                <w:szCs w:val="12"/>
                <w:color w:val="auto"/>
              </w:rPr>
              <w:t>Proceeds from issuance of long-term debt</w:t>
            </w:r>
          </w:p>
        </w:tc>
        <w:tc>
          <w:tcPr>
            <w:tcW w:w="27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Arial" w:cs="Arial" w:eastAsia="Arial" w:hAnsi="Arial"/>
                <w:sz w:val="12"/>
                <w:szCs w:val="12"/>
                <w:color w:val="auto"/>
              </w:rPr>
              <w:t>697,842</w:t>
            </w:r>
          </w:p>
        </w:tc>
        <w:tc>
          <w:tcPr>
            <w:tcW w:w="4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2"/>
                <w:szCs w:val="12"/>
                <w:color w:val="auto"/>
              </w:rPr>
              <w:t>1,648,598</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6540" w:type="dxa"/>
            <w:vAlign w:val="bottom"/>
            <w:shd w:val="clear" w:color="auto" w:fill="CCEEFF"/>
          </w:tcPr>
          <w:p>
            <w:pPr>
              <w:ind w:left="280"/>
              <w:spacing w:after="0"/>
              <w:rPr>
                <w:sz w:val="20"/>
                <w:szCs w:val="20"/>
                <w:color w:val="auto"/>
              </w:rPr>
            </w:pPr>
            <w:r>
              <w:rPr>
                <w:rFonts w:ascii="Arial" w:cs="Arial" w:eastAsia="Arial" w:hAnsi="Arial"/>
                <w:sz w:val="12"/>
                <w:szCs w:val="12"/>
                <w:color w:val="auto"/>
              </w:rPr>
              <w:t>Principal payments on long-term debt</w:t>
            </w:r>
          </w:p>
        </w:tc>
        <w:tc>
          <w:tcPr>
            <w:tcW w:w="27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400"/>
              <w:spacing w:after="0"/>
              <w:rPr>
                <w:sz w:val="20"/>
                <w:szCs w:val="20"/>
                <w:color w:val="auto"/>
              </w:rPr>
            </w:pPr>
            <w:r>
              <w:rPr>
                <w:rFonts w:ascii="Arial" w:cs="Arial" w:eastAsia="Arial" w:hAnsi="Arial"/>
                <w:sz w:val="12"/>
                <w:szCs w:val="12"/>
                <w:color w:val="auto"/>
              </w:rPr>
              <w:t>(275,755)</w:t>
            </w:r>
          </w:p>
        </w:tc>
        <w:tc>
          <w:tcPr>
            <w:tcW w:w="28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w w:val="97"/>
              </w:rPr>
              <w:t>(1,022,108)</w:t>
            </w:r>
          </w:p>
        </w:tc>
        <w:tc>
          <w:tcPr>
            <w:tcW w:w="0" w:type="dxa"/>
            <w:vAlign w:val="bottom"/>
          </w:tcPr>
          <w:p>
            <w:pPr>
              <w:spacing w:after="0"/>
              <w:rPr>
                <w:sz w:val="1"/>
                <w:szCs w:val="1"/>
                <w:color w:val="auto"/>
              </w:rPr>
            </w:pPr>
          </w:p>
        </w:tc>
      </w:tr>
      <w:tr>
        <w:trPr>
          <w:trHeight w:val="144"/>
        </w:trPr>
        <w:tc>
          <w:tcPr>
            <w:tcW w:w="6540" w:type="dxa"/>
            <w:vAlign w:val="bottom"/>
          </w:tcPr>
          <w:p>
            <w:pPr>
              <w:ind w:left="280"/>
              <w:spacing w:after="0"/>
              <w:rPr>
                <w:sz w:val="20"/>
                <w:szCs w:val="20"/>
                <w:color w:val="auto"/>
              </w:rPr>
            </w:pPr>
            <w:r>
              <w:rPr>
                <w:rFonts w:ascii="Arial" w:cs="Arial" w:eastAsia="Arial" w:hAnsi="Arial"/>
                <w:sz w:val="12"/>
                <w:szCs w:val="12"/>
                <w:color w:val="auto"/>
              </w:rPr>
              <w:t>Restricted cash for redemption of notes payable</w:t>
            </w:r>
          </w:p>
        </w:tc>
        <w:tc>
          <w:tcPr>
            <w:tcW w:w="27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40" w:type="dxa"/>
            <w:vAlign w:val="bottom"/>
            <w:gridSpan w:val="2"/>
          </w:tcPr>
          <w:p>
            <w:pPr>
              <w:jc w:val="right"/>
              <w:ind w:right="400"/>
              <w:spacing w:after="0"/>
              <w:rPr>
                <w:sz w:val="20"/>
                <w:szCs w:val="20"/>
                <w:color w:val="auto"/>
              </w:rPr>
            </w:pPr>
            <w:r>
              <w:rPr>
                <w:rFonts w:ascii="Arial" w:cs="Arial" w:eastAsia="Arial" w:hAnsi="Arial"/>
                <w:sz w:val="12"/>
                <w:szCs w:val="12"/>
                <w:color w:val="auto"/>
              </w:rPr>
              <w:t>(243,038)</w:t>
            </w:r>
          </w:p>
        </w:tc>
        <w:tc>
          <w:tcPr>
            <w:tcW w:w="280" w:type="dxa"/>
            <w:vAlign w:val="bottom"/>
          </w:tcPr>
          <w:p>
            <w:pPr>
              <w:spacing w:after="0"/>
              <w:rPr>
                <w:sz w:val="12"/>
                <w:szCs w:val="12"/>
                <w:color w:val="auto"/>
              </w:rPr>
            </w:pPr>
          </w:p>
        </w:tc>
        <w:tc>
          <w:tcPr>
            <w:tcW w:w="700" w:type="dxa"/>
            <w:vAlign w:val="bottom"/>
            <w:gridSpan w:val="2"/>
          </w:tcPr>
          <w:p>
            <w:pPr>
              <w:jc w:val="right"/>
              <w:ind w:right="18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44"/>
        </w:trPr>
        <w:tc>
          <w:tcPr>
            <w:tcW w:w="6540" w:type="dxa"/>
            <w:vAlign w:val="bottom"/>
            <w:shd w:val="clear" w:color="auto" w:fill="CCEEFF"/>
          </w:tcPr>
          <w:p>
            <w:pPr>
              <w:ind w:left="280"/>
              <w:spacing w:after="0"/>
              <w:rPr>
                <w:sz w:val="20"/>
                <w:szCs w:val="20"/>
                <w:color w:val="auto"/>
              </w:rPr>
            </w:pPr>
            <w:r>
              <w:rPr>
                <w:rFonts w:ascii="Arial" w:cs="Arial" w:eastAsia="Arial" w:hAnsi="Arial"/>
                <w:sz w:val="12"/>
                <w:szCs w:val="12"/>
                <w:color w:val="auto"/>
              </w:rPr>
              <w:t>Interest rate swap settlement</w:t>
            </w:r>
          </w:p>
        </w:tc>
        <w:tc>
          <w:tcPr>
            <w:tcW w:w="27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500"/>
              <w:spacing w:after="0"/>
              <w:rPr>
                <w:sz w:val="20"/>
                <w:szCs w:val="20"/>
                <w:color w:val="auto"/>
              </w:rPr>
            </w:pPr>
            <w:r>
              <w:rPr>
                <w:rFonts w:ascii="Arial" w:cs="Arial" w:eastAsia="Arial" w:hAnsi="Arial"/>
                <w:sz w:val="12"/>
                <w:szCs w:val="12"/>
                <w:color w:val="auto"/>
              </w:rPr>
              <w:t>—</w:t>
            </w:r>
          </w:p>
        </w:tc>
        <w:tc>
          <w:tcPr>
            <w:tcW w:w="28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(2,368)</w:t>
            </w:r>
          </w:p>
        </w:tc>
        <w:tc>
          <w:tcPr>
            <w:tcW w:w="0" w:type="dxa"/>
            <w:vAlign w:val="bottom"/>
          </w:tcPr>
          <w:p>
            <w:pPr>
              <w:spacing w:after="0"/>
              <w:rPr>
                <w:sz w:val="1"/>
                <w:szCs w:val="1"/>
                <w:color w:val="auto"/>
              </w:rPr>
            </w:pPr>
          </w:p>
        </w:tc>
      </w:tr>
      <w:tr>
        <w:trPr>
          <w:trHeight w:val="144"/>
        </w:trPr>
        <w:tc>
          <w:tcPr>
            <w:tcW w:w="6540" w:type="dxa"/>
            <w:vAlign w:val="bottom"/>
          </w:tcPr>
          <w:p>
            <w:pPr>
              <w:ind w:left="280"/>
              <w:spacing w:after="0"/>
              <w:rPr>
                <w:sz w:val="20"/>
                <w:szCs w:val="20"/>
                <w:color w:val="auto"/>
              </w:rPr>
            </w:pPr>
            <w:r>
              <w:rPr>
                <w:rFonts w:ascii="Arial" w:cs="Arial" w:eastAsia="Arial" w:hAnsi="Arial"/>
                <w:sz w:val="12"/>
                <w:szCs w:val="12"/>
                <w:color w:val="auto"/>
              </w:rPr>
              <w:t>Payments on long-term land concession obligation</w:t>
            </w:r>
          </w:p>
        </w:tc>
        <w:tc>
          <w:tcPr>
            <w:tcW w:w="27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40" w:type="dxa"/>
            <w:vAlign w:val="bottom"/>
            <w:gridSpan w:val="2"/>
          </w:tcPr>
          <w:p>
            <w:pPr>
              <w:jc w:val="right"/>
              <w:ind w:right="400"/>
              <w:spacing w:after="0"/>
              <w:rPr>
                <w:sz w:val="20"/>
                <w:szCs w:val="20"/>
                <w:color w:val="auto"/>
              </w:rPr>
            </w:pPr>
            <w:r>
              <w:rPr>
                <w:rFonts w:ascii="Arial" w:cs="Arial" w:eastAsia="Arial" w:hAnsi="Arial"/>
                <w:sz w:val="12"/>
                <w:szCs w:val="12"/>
                <w:color w:val="auto"/>
              </w:rPr>
              <w:t>(13,785)</w:t>
            </w:r>
          </w:p>
        </w:tc>
        <w:tc>
          <w:tcPr>
            <w:tcW w:w="280" w:type="dxa"/>
            <w:vAlign w:val="bottom"/>
          </w:tcPr>
          <w:p>
            <w:pPr>
              <w:spacing w:after="0"/>
              <w:rPr>
                <w:sz w:val="12"/>
                <w:szCs w:val="12"/>
                <w:color w:val="auto"/>
              </w:rPr>
            </w:pPr>
          </w:p>
        </w:tc>
        <w:tc>
          <w:tcPr>
            <w:tcW w:w="700" w:type="dxa"/>
            <w:vAlign w:val="bottom"/>
            <w:gridSpan w:val="2"/>
          </w:tcPr>
          <w:p>
            <w:pPr>
              <w:jc w:val="right"/>
              <w:ind w:right="18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44"/>
        </w:trPr>
        <w:tc>
          <w:tcPr>
            <w:tcW w:w="6540" w:type="dxa"/>
            <w:vAlign w:val="bottom"/>
            <w:shd w:val="clear" w:color="auto" w:fill="CCEEFF"/>
          </w:tcPr>
          <w:p>
            <w:pPr>
              <w:ind w:left="280"/>
              <w:spacing w:after="0"/>
              <w:rPr>
                <w:sz w:val="20"/>
                <w:szCs w:val="20"/>
                <w:color w:val="auto"/>
              </w:rPr>
            </w:pPr>
            <w:r>
              <w:rPr>
                <w:rFonts w:ascii="Arial" w:cs="Arial" w:eastAsia="Arial" w:hAnsi="Arial"/>
                <w:sz w:val="12"/>
                <w:szCs w:val="12"/>
                <w:color w:val="auto"/>
              </w:rPr>
              <w:t>Payments of financing costs</w:t>
            </w:r>
          </w:p>
        </w:tc>
        <w:tc>
          <w:tcPr>
            <w:tcW w:w="27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400"/>
              <w:spacing w:after="0"/>
              <w:rPr>
                <w:sz w:val="20"/>
                <w:szCs w:val="20"/>
                <w:color w:val="auto"/>
              </w:rPr>
            </w:pPr>
            <w:r>
              <w:rPr>
                <w:rFonts w:ascii="Arial" w:cs="Arial" w:eastAsia="Arial" w:hAnsi="Arial"/>
                <w:sz w:val="12"/>
                <w:szCs w:val="12"/>
                <w:color w:val="auto"/>
              </w:rPr>
              <w:t>(24,591)</w:t>
            </w:r>
          </w:p>
        </w:tc>
        <w:tc>
          <w:tcPr>
            <w:tcW w:w="28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(44,491)</w:t>
            </w:r>
          </w:p>
        </w:tc>
        <w:tc>
          <w:tcPr>
            <w:tcW w:w="0" w:type="dxa"/>
            <w:vAlign w:val="bottom"/>
          </w:tcPr>
          <w:p>
            <w:pPr>
              <w:spacing w:after="0"/>
              <w:rPr>
                <w:sz w:val="1"/>
                <w:szCs w:val="1"/>
                <w:color w:val="auto"/>
              </w:rPr>
            </w:pPr>
          </w:p>
        </w:tc>
      </w:tr>
      <w:tr>
        <w:trPr>
          <w:trHeight w:val="144"/>
        </w:trPr>
        <w:tc>
          <w:tcPr>
            <w:tcW w:w="6540" w:type="dxa"/>
            <w:vAlign w:val="bottom"/>
          </w:tcPr>
          <w:p>
            <w:pPr>
              <w:ind w:left="280"/>
              <w:spacing w:after="0"/>
              <w:rPr>
                <w:sz w:val="20"/>
                <w:szCs w:val="20"/>
                <w:color w:val="auto"/>
              </w:rPr>
            </w:pPr>
            <w:r>
              <w:rPr>
                <w:rFonts w:ascii="Arial" w:cs="Arial" w:eastAsia="Arial" w:hAnsi="Arial"/>
                <w:sz w:val="12"/>
                <w:szCs w:val="12"/>
                <w:color w:val="auto"/>
              </w:rPr>
              <w:t>Purchase of treasury stock</w:t>
            </w:r>
          </w:p>
        </w:tc>
        <w:tc>
          <w:tcPr>
            <w:tcW w:w="27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40" w:type="dxa"/>
            <w:vAlign w:val="bottom"/>
            <w:gridSpan w:val="2"/>
          </w:tcPr>
          <w:p>
            <w:pPr>
              <w:jc w:val="right"/>
              <w:ind w:right="400"/>
              <w:spacing w:after="0"/>
              <w:rPr>
                <w:sz w:val="20"/>
                <w:szCs w:val="20"/>
                <w:color w:val="auto"/>
              </w:rPr>
            </w:pPr>
            <w:r>
              <w:rPr>
                <w:rFonts w:ascii="Arial" w:cs="Arial" w:eastAsia="Arial" w:hAnsi="Arial"/>
                <w:sz w:val="12"/>
                <w:szCs w:val="12"/>
                <w:color w:val="auto"/>
              </w:rPr>
              <w:t>(13,952)</w:t>
            </w:r>
          </w:p>
        </w:tc>
        <w:tc>
          <w:tcPr>
            <w:tcW w:w="280" w:type="dxa"/>
            <w:vAlign w:val="bottom"/>
          </w:tcPr>
          <w:p>
            <w:pPr>
              <w:spacing w:after="0"/>
              <w:rPr>
                <w:sz w:val="12"/>
                <w:szCs w:val="12"/>
                <w:color w:val="auto"/>
              </w:rPr>
            </w:pPr>
          </w:p>
        </w:tc>
        <w:tc>
          <w:tcPr>
            <w:tcW w:w="700" w:type="dxa"/>
            <w:vAlign w:val="bottom"/>
            <w:gridSpan w:val="2"/>
          </w:tcPr>
          <w:p>
            <w:pPr>
              <w:jc w:val="right"/>
              <w:ind w:right="80"/>
              <w:spacing w:after="0"/>
              <w:rPr>
                <w:sz w:val="20"/>
                <w:szCs w:val="20"/>
                <w:color w:val="auto"/>
              </w:rPr>
            </w:pPr>
            <w:r>
              <w:rPr>
                <w:rFonts w:ascii="Arial" w:cs="Arial" w:eastAsia="Arial" w:hAnsi="Arial"/>
                <w:sz w:val="12"/>
                <w:szCs w:val="12"/>
                <w:color w:val="auto"/>
              </w:rPr>
              <w:t>(911)</w:t>
            </w:r>
          </w:p>
        </w:tc>
        <w:tc>
          <w:tcPr>
            <w:tcW w:w="0" w:type="dxa"/>
            <w:vAlign w:val="bottom"/>
          </w:tcPr>
          <w:p>
            <w:pPr>
              <w:spacing w:after="0"/>
              <w:rPr>
                <w:sz w:val="1"/>
                <w:szCs w:val="1"/>
                <w:color w:val="auto"/>
              </w:rPr>
            </w:pPr>
          </w:p>
        </w:tc>
      </w:tr>
      <w:tr>
        <w:trPr>
          <w:trHeight w:val="144"/>
        </w:trPr>
        <w:tc>
          <w:tcPr>
            <w:tcW w:w="6540" w:type="dxa"/>
            <w:vAlign w:val="bottom"/>
            <w:shd w:val="clear" w:color="auto" w:fill="CCEEFF"/>
          </w:tcPr>
          <w:p>
            <w:pPr>
              <w:ind w:left="280"/>
              <w:spacing w:after="0"/>
              <w:rPr>
                <w:sz w:val="20"/>
                <w:szCs w:val="20"/>
                <w:color w:val="auto"/>
              </w:rPr>
            </w:pPr>
            <w:r>
              <w:rPr>
                <w:rFonts w:ascii="Arial" w:cs="Arial" w:eastAsia="Arial" w:hAnsi="Arial"/>
                <w:sz w:val="12"/>
                <w:szCs w:val="12"/>
                <w:color w:val="auto"/>
              </w:rPr>
              <w:t>Dividends paid</w:t>
            </w:r>
          </w:p>
        </w:tc>
        <w:tc>
          <w:tcPr>
            <w:tcW w:w="27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400"/>
              <w:spacing w:after="0"/>
              <w:rPr>
                <w:sz w:val="20"/>
                <w:szCs w:val="20"/>
                <w:color w:val="auto"/>
              </w:rPr>
            </w:pPr>
            <w:r>
              <w:rPr>
                <w:rFonts w:ascii="Arial" w:cs="Arial" w:eastAsia="Arial" w:hAnsi="Arial"/>
                <w:sz w:val="12"/>
                <w:szCs w:val="12"/>
                <w:color w:val="auto"/>
              </w:rPr>
              <w:t>(631,698)</w:t>
            </w:r>
          </w:p>
        </w:tc>
        <w:tc>
          <w:tcPr>
            <w:tcW w:w="28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(154,059)</w:t>
            </w:r>
          </w:p>
        </w:tc>
        <w:tc>
          <w:tcPr>
            <w:tcW w:w="0" w:type="dxa"/>
            <w:vAlign w:val="bottom"/>
          </w:tcPr>
          <w:p>
            <w:pPr>
              <w:spacing w:after="0"/>
              <w:rPr>
                <w:sz w:val="1"/>
                <w:szCs w:val="1"/>
                <w:color w:val="auto"/>
              </w:rPr>
            </w:pPr>
          </w:p>
        </w:tc>
      </w:tr>
      <w:tr>
        <w:trPr>
          <w:trHeight w:val="20"/>
        </w:trPr>
        <w:tc>
          <w:tcPr>
            <w:tcW w:w="6540" w:type="dxa"/>
            <w:vAlign w:val="bottom"/>
            <w:vMerge w:val="restart"/>
          </w:tcPr>
          <w:p>
            <w:pPr>
              <w:ind w:left="860"/>
              <w:spacing w:after="0"/>
              <w:rPr>
                <w:sz w:val="20"/>
                <w:szCs w:val="20"/>
                <w:color w:val="auto"/>
              </w:rPr>
            </w:pPr>
            <w:r>
              <w:rPr>
                <w:rFonts w:ascii="Arial" w:cs="Arial" w:eastAsia="Arial" w:hAnsi="Arial"/>
                <w:sz w:val="12"/>
                <w:szCs w:val="12"/>
                <w:color w:val="auto"/>
              </w:rPr>
              <w:t>Net cash (used in) provided by financing activities</w:t>
            </w:r>
          </w:p>
        </w:tc>
        <w:tc>
          <w:tcPr>
            <w:tcW w:w="27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1"/>
        </w:trPr>
        <w:tc>
          <w:tcPr>
            <w:tcW w:w="6540" w:type="dxa"/>
            <w:vAlign w:val="bottom"/>
            <w:vMerge w:val="continue"/>
          </w:tcPr>
          <w:p>
            <w:pPr>
              <w:spacing w:after="0"/>
              <w:rPr>
                <w:sz w:val="12"/>
                <w:szCs w:val="12"/>
                <w:color w:val="auto"/>
              </w:rPr>
            </w:pPr>
          </w:p>
        </w:tc>
        <w:tc>
          <w:tcPr>
            <w:tcW w:w="27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40" w:type="dxa"/>
            <w:vAlign w:val="bottom"/>
            <w:gridSpan w:val="2"/>
          </w:tcPr>
          <w:p>
            <w:pPr>
              <w:jc w:val="right"/>
              <w:ind w:right="400"/>
              <w:spacing w:after="0"/>
              <w:rPr>
                <w:sz w:val="20"/>
                <w:szCs w:val="20"/>
                <w:color w:val="auto"/>
              </w:rPr>
            </w:pPr>
            <w:r>
              <w:rPr>
                <w:rFonts w:ascii="Arial" w:cs="Arial" w:eastAsia="Arial" w:hAnsi="Arial"/>
                <w:sz w:val="12"/>
                <w:szCs w:val="12"/>
                <w:color w:val="auto"/>
              </w:rPr>
              <w:t>(476,786)</w:t>
            </w:r>
          </w:p>
        </w:tc>
        <w:tc>
          <w:tcPr>
            <w:tcW w:w="28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2"/>
                <w:szCs w:val="12"/>
                <w:color w:val="auto"/>
              </w:rPr>
              <w:t>427,526</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6540" w:type="dxa"/>
            <w:vAlign w:val="bottom"/>
            <w:shd w:val="clear" w:color="auto" w:fill="CCEEFF"/>
          </w:tcPr>
          <w:p>
            <w:pPr>
              <w:spacing w:after="0"/>
              <w:rPr>
                <w:sz w:val="20"/>
                <w:szCs w:val="20"/>
                <w:color w:val="auto"/>
              </w:rPr>
            </w:pPr>
            <w:r>
              <w:rPr>
                <w:rFonts w:ascii="Arial" w:cs="Arial" w:eastAsia="Arial" w:hAnsi="Arial"/>
                <w:sz w:val="12"/>
                <w:szCs w:val="12"/>
                <w:color w:val="auto"/>
              </w:rPr>
              <w:t>Effect of exchange rate on cash</w:t>
            </w:r>
          </w:p>
        </w:tc>
        <w:tc>
          <w:tcPr>
            <w:tcW w:w="2740" w:type="dxa"/>
            <w:vAlign w:val="bottom"/>
            <w:shd w:val="clear" w:color="auto" w:fill="CCEEFF"/>
          </w:tcPr>
          <w:p>
            <w:pPr>
              <w:spacing w:after="0"/>
              <w:rPr>
                <w:sz w:val="12"/>
                <w:szCs w:val="12"/>
                <w:color w:val="auto"/>
              </w:rPr>
            </w:pPr>
          </w:p>
        </w:tc>
        <w:tc>
          <w:tcPr>
            <w:tcW w:w="180" w:type="dxa"/>
            <w:vAlign w:val="bottom"/>
            <w:tcBorders>
              <w:top w:val="single" w:sz="8" w:color="auto"/>
              <w:bottom w:val="single" w:sz="8" w:color="auto"/>
            </w:tcBorders>
            <w:shd w:val="clear" w:color="auto" w:fill="CCEEFF"/>
          </w:tcPr>
          <w:p>
            <w:pPr>
              <w:spacing w:after="0"/>
              <w:rPr>
                <w:sz w:val="12"/>
                <w:szCs w:val="12"/>
                <w:color w:val="auto"/>
              </w:rPr>
            </w:pP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1,966</w:t>
            </w:r>
          </w:p>
        </w:tc>
        <w:tc>
          <w:tcPr>
            <w:tcW w:w="440" w:type="dxa"/>
            <w:vAlign w:val="bottom"/>
            <w:shd w:val="clear" w:color="auto" w:fill="CCEEFF"/>
          </w:tcPr>
          <w:p>
            <w:pPr>
              <w:spacing w:after="0"/>
              <w:rPr>
                <w:sz w:val="12"/>
                <w:szCs w:val="12"/>
                <w:color w:val="auto"/>
              </w:rPr>
            </w:pPr>
          </w:p>
        </w:tc>
        <w:tc>
          <w:tcPr>
            <w:tcW w:w="280" w:type="dxa"/>
            <w:vAlign w:val="bottom"/>
            <w:tcBorders>
              <w:top w:val="single" w:sz="8" w:color="auto"/>
              <w:bottom w:val="single" w:sz="8" w:color="auto"/>
            </w:tcBorders>
            <w:shd w:val="clear" w:color="auto" w:fill="CCEEFF"/>
          </w:tcPr>
          <w:p>
            <w:pPr>
              <w:spacing w:after="0"/>
              <w:rPr>
                <w:sz w:val="12"/>
                <w:szCs w:val="12"/>
                <w:color w:val="auto"/>
              </w:rPr>
            </w:pP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2,718</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6540" w:type="dxa"/>
            <w:vAlign w:val="bottom"/>
          </w:tcPr>
          <w:p>
            <w:pPr>
              <w:spacing w:after="0"/>
              <w:rPr>
                <w:sz w:val="20"/>
                <w:szCs w:val="20"/>
                <w:color w:val="auto"/>
              </w:rPr>
            </w:pPr>
            <w:r>
              <w:rPr>
                <w:rFonts w:ascii="Arial" w:cs="Arial" w:eastAsia="Arial" w:hAnsi="Arial"/>
                <w:sz w:val="12"/>
                <w:szCs w:val="12"/>
                <w:color w:val="auto"/>
              </w:rPr>
              <w:t>Cash and cash equivalents:</w:t>
            </w:r>
          </w:p>
        </w:tc>
        <w:tc>
          <w:tcPr>
            <w:tcW w:w="27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6540" w:type="dxa"/>
            <w:vAlign w:val="bottom"/>
            <w:shd w:val="clear" w:color="auto" w:fill="CCEEFF"/>
          </w:tcPr>
          <w:p>
            <w:pPr>
              <w:ind w:left="280"/>
              <w:spacing w:after="0"/>
              <w:rPr>
                <w:sz w:val="20"/>
                <w:szCs w:val="20"/>
                <w:color w:val="auto"/>
              </w:rPr>
            </w:pPr>
            <w:r>
              <w:rPr>
                <w:rFonts w:ascii="Arial" w:cs="Arial" w:eastAsia="Arial" w:hAnsi="Arial"/>
                <w:sz w:val="12"/>
                <w:szCs w:val="12"/>
                <w:color w:val="auto"/>
              </w:rPr>
              <w:t>Increase in cash and cash equivalents</w:t>
            </w:r>
          </w:p>
        </w:tc>
        <w:tc>
          <w:tcPr>
            <w:tcW w:w="27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315,936</w:t>
            </w:r>
          </w:p>
        </w:tc>
        <w:tc>
          <w:tcPr>
            <w:tcW w:w="4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1,068,350</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6540" w:type="dxa"/>
            <w:vAlign w:val="bottom"/>
          </w:tcPr>
          <w:p>
            <w:pPr>
              <w:ind w:left="280"/>
              <w:spacing w:after="0"/>
              <w:rPr>
                <w:sz w:val="20"/>
                <w:szCs w:val="20"/>
                <w:color w:val="auto"/>
              </w:rPr>
            </w:pPr>
            <w:r>
              <w:rPr>
                <w:rFonts w:ascii="Arial" w:cs="Arial" w:eastAsia="Arial" w:hAnsi="Arial"/>
                <w:sz w:val="12"/>
                <w:szCs w:val="12"/>
                <w:color w:val="auto"/>
              </w:rPr>
              <w:t>Balance, beginning of period</w:t>
            </w:r>
          </w:p>
        </w:tc>
        <w:tc>
          <w:tcPr>
            <w:tcW w:w="274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1,725,219</w:t>
            </w:r>
          </w:p>
        </w:tc>
        <w:tc>
          <w:tcPr>
            <w:tcW w:w="440" w:type="dxa"/>
            <w:vAlign w:val="bottom"/>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1,262,587</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540" w:type="dxa"/>
            <w:vAlign w:val="bottom"/>
            <w:shd w:val="clear" w:color="auto" w:fill="CCEEFF"/>
          </w:tcPr>
          <w:p>
            <w:pPr>
              <w:ind w:left="280"/>
              <w:spacing w:after="0"/>
              <w:rPr>
                <w:sz w:val="20"/>
                <w:szCs w:val="20"/>
                <w:color w:val="auto"/>
              </w:rPr>
            </w:pPr>
            <w:r>
              <w:rPr>
                <w:rFonts w:ascii="Arial" w:cs="Arial" w:eastAsia="Arial" w:hAnsi="Arial"/>
                <w:sz w:val="12"/>
                <w:szCs w:val="12"/>
                <w:color w:val="auto"/>
              </w:rPr>
              <w:t>Balance, end of period</w:t>
            </w:r>
          </w:p>
        </w:tc>
        <w:tc>
          <w:tcPr>
            <w:tcW w:w="2740" w:type="dxa"/>
            <w:vAlign w:val="bottom"/>
            <w:shd w:val="clear" w:color="auto" w:fill="CCEEFF"/>
          </w:tcPr>
          <w:p>
            <w:pPr>
              <w:spacing w:after="0"/>
              <w:rPr>
                <w:sz w:val="12"/>
                <w:szCs w:val="12"/>
                <w:color w:val="auto"/>
              </w:rPr>
            </w:pPr>
          </w:p>
        </w:tc>
        <w:tc>
          <w:tcPr>
            <w:tcW w:w="180" w:type="dxa"/>
            <w:vAlign w:val="bottom"/>
            <w:tcBorders>
              <w:bottom w:val="single" w:sz="8" w:color="auto"/>
            </w:tcBorders>
            <w:shd w:val="clear" w:color="auto" w:fill="CCEEFF"/>
          </w:tcPr>
          <w:p>
            <w:pPr>
              <w:jc w:val="right"/>
              <w:ind w:right="73"/>
              <w:spacing w:after="0"/>
              <w:rPr>
                <w:sz w:val="20"/>
                <w:szCs w:val="20"/>
                <w:color w:val="auto"/>
              </w:rPr>
            </w:pPr>
            <w:r>
              <w:rPr>
                <w:rFonts w:ascii="Arial" w:cs="Arial" w:eastAsia="Arial" w:hAnsi="Arial"/>
                <w:sz w:val="9"/>
                <w:szCs w:val="9"/>
                <w:color w:val="auto"/>
                <w:w w:val="78"/>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2,041,155</w:t>
            </w:r>
          </w:p>
        </w:tc>
        <w:tc>
          <w:tcPr>
            <w:tcW w:w="440" w:type="dxa"/>
            <w:vAlign w:val="bottom"/>
            <w:shd w:val="clear" w:color="auto" w:fill="CCEEFF"/>
          </w:tcPr>
          <w:p>
            <w:pPr>
              <w:spacing w:after="0"/>
              <w:rPr>
                <w:sz w:val="12"/>
                <w:szCs w:val="12"/>
                <w:color w:val="auto"/>
              </w:rPr>
            </w:pPr>
          </w:p>
        </w:tc>
        <w:tc>
          <w:tcPr>
            <w:tcW w:w="280" w:type="dxa"/>
            <w:vAlign w:val="bottom"/>
            <w:tcBorders>
              <w:bottom w:val="single" w:sz="8" w:color="auto"/>
            </w:tcBorders>
            <w:shd w:val="clear" w:color="auto" w:fill="CCEEFF"/>
          </w:tcPr>
          <w:p>
            <w:pPr>
              <w:jc w:val="right"/>
              <w:ind w:right="173"/>
              <w:spacing w:after="0"/>
              <w:rPr>
                <w:sz w:val="20"/>
                <w:szCs w:val="20"/>
                <w:color w:val="auto"/>
              </w:rPr>
            </w:pPr>
            <w:r>
              <w:rPr>
                <w:rFonts w:ascii="Arial" w:cs="Arial" w:eastAsia="Arial" w:hAnsi="Arial"/>
                <w:sz w:val="9"/>
                <w:szCs w:val="9"/>
                <w:color w:val="auto"/>
                <w:w w:val="78"/>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2,330,937</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bl>
    <w:p>
      <w:pPr>
        <w:spacing w:after="0" w:line="138"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The accompanying notes are an integral part of these condensed consolidated financial statements.</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6</w:t>
      </w:r>
    </w:p>
    <w:p>
      <w:pPr>
        <w:sectPr>
          <w:pgSz w:w="11900" w:h="16838" w:orient="portrait"/>
          <w:cols w:equalWidth="0" w:num="1">
            <w:col w:w="11480"/>
          </w:cols>
          <w:pgMar w:left="220" w:top="354" w:right="199" w:bottom="1440" w:gutter="0" w:footer="0" w:header="0"/>
        </w:sectPr>
      </w:pPr>
    </w:p>
    <w:bookmarkStart w:id="6" w:name="page7"/>
    <w:bookmarkEnd w:id="6"/>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121920</wp:posOffset>
            </wp:positionH>
            <wp:positionV relativeFrom="page">
              <wp:posOffset>88900</wp:posOffset>
            </wp:positionV>
            <wp:extent cx="7329170" cy="298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329170" cy="29845"/>
                    </a:xfrm>
                    <a:prstGeom prst="rect">
                      <a:avLst/>
                    </a:prstGeom>
                    <a:noFill/>
                  </pic:spPr>
                </pic:pic>
              </a:graphicData>
            </a:graphic>
          </wp:anchor>
        </w:drawing>
      </w:r>
      <w:hyperlink w:anchor="page2">
        <w:r>
          <w:rPr>
            <w:rFonts w:ascii="Arial" w:cs="Arial" w:eastAsia="Arial" w:hAnsi="Arial"/>
            <w:sz w:val="12"/>
            <w:szCs w:val="12"/>
            <w:b w:val="1"/>
            <w:bCs w:val="1"/>
            <w:u w:val="single" w:color="auto"/>
            <w:color w:val="0000EE"/>
          </w:rPr>
          <w:t>Table of Contents</w:t>
        </w:r>
      </w:hyperlink>
    </w:p>
    <w:p>
      <w:pPr>
        <w:spacing w:after="0" w:line="207"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WYNN RESORTS, LIMITED AND SUBSIDIARIES</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CONDENSED CONSOLIDATED STATEMENT OF STOCKHOLDERS’ EQUITY</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(amounts in thousands, except share data)</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(unaudited)</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08"/>
        </w:trPr>
        <w:tc>
          <w:tcPr>
            <w:tcW w:w="3900" w:type="dxa"/>
            <w:vAlign w:val="bottom"/>
          </w:tcPr>
          <w:p>
            <w:pPr>
              <w:spacing w:after="0"/>
              <w:rPr>
                <w:sz w:val="9"/>
                <w:szCs w:val="9"/>
                <w:color w:val="auto"/>
              </w:rPr>
            </w:pPr>
          </w:p>
        </w:tc>
        <w:tc>
          <w:tcPr>
            <w:tcW w:w="900" w:type="dxa"/>
            <w:vAlign w:val="bottom"/>
            <w:tcBorders>
              <w:bottom w:val="single" w:sz="8" w:color="auto"/>
            </w:tcBorders>
            <w:gridSpan w:val="4"/>
          </w:tcPr>
          <w:p>
            <w:pPr>
              <w:jc w:val="right"/>
              <w:ind w:right="17"/>
              <w:spacing w:after="0"/>
              <w:rPr>
                <w:sz w:val="20"/>
                <w:szCs w:val="20"/>
                <w:color w:val="auto"/>
              </w:rPr>
            </w:pPr>
            <w:r>
              <w:rPr>
                <w:rFonts w:ascii="Arial" w:cs="Arial" w:eastAsia="Arial" w:hAnsi="Arial"/>
                <w:sz w:val="9"/>
                <w:szCs w:val="9"/>
                <w:b w:val="1"/>
                <w:bCs w:val="1"/>
                <w:color w:val="auto"/>
              </w:rPr>
              <w:t>Common stock</w:t>
            </w:r>
          </w:p>
        </w:tc>
        <w:tc>
          <w:tcPr>
            <w:tcW w:w="260" w:type="dxa"/>
            <w:vAlign w:val="bottom"/>
            <w:tcBorders>
              <w:bottom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80" w:type="dxa"/>
            <w:vAlign w:val="bottom"/>
          </w:tcPr>
          <w:p>
            <w:pPr>
              <w:spacing w:after="0"/>
              <w:rPr>
                <w:sz w:val="9"/>
                <w:szCs w:val="9"/>
                <w:color w:val="auto"/>
              </w:rPr>
            </w:pPr>
          </w:p>
        </w:tc>
        <w:tc>
          <w:tcPr>
            <w:tcW w:w="460" w:type="dxa"/>
            <w:vAlign w:val="bottom"/>
          </w:tcPr>
          <w:p>
            <w:pPr>
              <w:spacing w:after="0"/>
              <w:rPr>
                <w:sz w:val="9"/>
                <w:szCs w:val="9"/>
                <w:color w:val="auto"/>
              </w:rPr>
            </w:pPr>
          </w:p>
        </w:tc>
        <w:tc>
          <w:tcPr>
            <w:tcW w:w="300" w:type="dxa"/>
            <w:vAlign w:val="bottom"/>
          </w:tcPr>
          <w:p>
            <w:pPr>
              <w:spacing w:after="0"/>
              <w:rPr>
                <w:sz w:val="9"/>
                <w:szCs w:val="9"/>
                <w:color w:val="auto"/>
              </w:rPr>
            </w:pPr>
          </w:p>
        </w:tc>
        <w:tc>
          <w:tcPr>
            <w:tcW w:w="40" w:type="dxa"/>
            <w:vAlign w:val="bottom"/>
          </w:tcPr>
          <w:p>
            <w:pPr>
              <w:spacing w:after="0"/>
              <w:rPr>
                <w:sz w:val="9"/>
                <w:szCs w:val="9"/>
                <w:color w:val="auto"/>
              </w:rPr>
            </w:pPr>
          </w:p>
        </w:tc>
        <w:tc>
          <w:tcPr>
            <w:tcW w:w="460" w:type="dxa"/>
            <w:vAlign w:val="bottom"/>
          </w:tcPr>
          <w:p>
            <w:pPr>
              <w:spacing w:after="0"/>
              <w:rPr>
                <w:sz w:val="9"/>
                <w:szCs w:val="9"/>
                <w:color w:val="auto"/>
              </w:rPr>
            </w:pPr>
          </w:p>
        </w:tc>
        <w:tc>
          <w:tcPr>
            <w:tcW w:w="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640" w:type="dxa"/>
            <w:vAlign w:val="bottom"/>
          </w:tcPr>
          <w:p>
            <w:pPr>
              <w:spacing w:after="0"/>
              <w:rPr>
                <w:sz w:val="9"/>
                <w:szCs w:val="9"/>
                <w:color w:val="auto"/>
              </w:rPr>
            </w:pPr>
          </w:p>
        </w:tc>
        <w:tc>
          <w:tcPr>
            <w:tcW w:w="300" w:type="dxa"/>
            <w:vAlign w:val="bottom"/>
          </w:tcPr>
          <w:p>
            <w:pPr>
              <w:spacing w:after="0"/>
              <w:rPr>
                <w:sz w:val="9"/>
                <w:szCs w:val="9"/>
                <w:color w:val="auto"/>
              </w:rPr>
            </w:pPr>
          </w:p>
        </w:tc>
        <w:tc>
          <w:tcPr>
            <w:tcW w:w="40" w:type="dxa"/>
            <w:vAlign w:val="bottom"/>
          </w:tcPr>
          <w:p>
            <w:pPr>
              <w:spacing w:after="0"/>
              <w:rPr>
                <w:sz w:val="9"/>
                <w:szCs w:val="9"/>
                <w:color w:val="auto"/>
              </w:rPr>
            </w:pPr>
          </w:p>
        </w:tc>
        <w:tc>
          <w:tcPr>
            <w:tcW w:w="400" w:type="dxa"/>
            <w:vAlign w:val="bottom"/>
          </w:tcPr>
          <w:p>
            <w:pPr>
              <w:spacing w:after="0"/>
              <w:rPr>
                <w:sz w:val="9"/>
                <w:szCs w:val="9"/>
                <w:color w:val="auto"/>
              </w:rPr>
            </w:pPr>
          </w:p>
        </w:tc>
        <w:tc>
          <w:tcPr>
            <w:tcW w:w="300" w:type="dxa"/>
            <w:vAlign w:val="bottom"/>
          </w:tcPr>
          <w:p>
            <w:pPr>
              <w:spacing w:after="0"/>
              <w:rPr>
                <w:sz w:val="9"/>
                <w:szCs w:val="9"/>
                <w:color w:val="auto"/>
              </w:rPr>
            </w:pPr>
          </w:p>
        </w:tc>
        <w:tc>
          <w:tcPr>
            <w:tcW w:w="60" w:type="dxa"/>
            <w:vAlign w:val="bottom"/>
          </w:tcPr>
          <w:p>
            <w:pPr>
              <w:spacing w:after="0"/>
              <w:rPr>
                <w:sz w:val="9"/>
                <w:szCs w:val="9"/>
                <w:color w:val="auto"/>
              </w:rPr>
            </w:pPr>
          </w:p>
        </w:tc>
        <w:tc>
          <w:tcPr>
            <w:tcW w:w="960" w:type="dxa"/>
            <w:vAlign w:val="bottom"/>
            <w:gridSpan w:val="2"/>
            <w:vMerge w:val="restart"/>
          </w:tcPr>
          <w:p>
            <w:pPr>
              <w:jc w:val="center"/>
              <w:ind w:right="360"/>
              <w:spacing w:after="0"/>
              <w:rPr>
                <w:sz w:val="20"/>
                <w:szCs w:val="20"/>
                <w:color w:val="auto"/>
              </w:rPr>
            </w:pPr>
            <w:r>
              <w:rPr>
                <w:rFonts w:ascii="Arial" w:cs="Arial" w:eastAsia="Arial" w:hAnsi="Arial"/>
                <w:sz w:val="9"/>
                <w:szCs w:val="9"/>
                <w:b w:val="1"/>
                <w:bCs w:val="1"/>
                <w:color w:val="auto"/>
                <w:w w:val="92"/>
              </w:rPr>
              <w:t>Total</w:t>
            </w:r>
          </w:p>
        </w:tc>
        <w:tc>
          <w:tcPr>
            <w:tcW w:w="60" w:type="dxa"/>
            <w:vAlign w:val="bottom"/>
          </w:tcPr>
          <w:p>
            <w:pPr>
              <w:spacing w:after="0"/>
              <w:rPr>
                <w:sz w:val="9"/>
                <w:szCs w:val="9"/>
                <w:color w:val="auto"/>
              </w:rPr>
            </w:pPr>
          </w:p>
        </w:tc>
        <w:tc>
          <w:tcPr>
            <w:tcW w:w="660" w:type="dxa"/>
            <w:vAlign w:val="bottom"/>
          </w:tcPr>
          <w:p>
            <w:pPr>
              <w:spacing w:after="0"/>
              <w:rPr>
                <w:sz w:val="9"/>
                <w:szCs w:val="9"/>
                <w:color w:val="auto"/>
              </w:rPr>
            </w:pPr>
          </w:p>
        </w:tc>
        <w:tc>
          <w:tcPr>
            <w:tcW w:w="300" w:type="dxa"/>
            <w:vAlign w:val="bottom"/>
          </w:tcPr>
          <w:p>
            <w:pPr>
              <w:spacing w:after="0"/>
              <w:rPr>
                <w:sz w:val="9"/>
                <w:szCs w:val="9"/>
                <w:color w:val="auto"/>
              </w:rPr>
            </w:pPr>
          </w:p>
        </w:tc>
        <w:tc>
          <w:tcPr>
            <w:tcW w:w="60" w:type="dxa"/>
            <w:vAlign w:val="bottom"/>
          </w:tcPr>
          <w:p>
            <w:pPr>
              <w:spacing w:after="0"/>
              <w:rPr>
                <w:sz w:val="9"/>
                <w:szCs w:val="9"/>
                <w:color w:val="auto"/>
              </w:rPr>
            </w:pPr>
          </w:p>
        </w:tc>
        <w:tc>
          <w:tcPr>
            <w:tcW w:w="60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0"/>
        </w:trPr>
        <w:tc>
          <w:tcPr>
            <w:tcW w:w="3900" w:type="dxa"/>
            <w:vAlign w:val="bottom"/>
          </w:tcPr>
          <w:p>
            <w:pPr>
              <w:spacing w:after="0"/>
              <w:rPr>
                <w:sz w:val="6"/>
                <w:szCs w:val="6"/>
                <w:color w:val="auto"/>
              </w:rPr>
            </w:pPr>
          </w:p>
        </w:tc>
        <w:tc>
          <w:tcPr>
            <w:tcW w:w="560" w:type="dxa"/>
            <w:vAlign w:val="bottom"/>
          </w:tcPr>
          <w:p>
            <w:pPr>
              <w:spacing w:after="0"/>
              <w:rPr>
                <w:sz w:val="6"/>
                <w:szCs w:val="6"/>
                <w:color w:val="auto"/>
              </w:rPr>
            </w:pPr>
          </w:p>
        </w:tc>
        <w:tc>
          <w:tcPr>
            <w:tcW w:w="20" w:type="dxa"/>
            <w:vAlign w:val="bottom"/>
          </w:tcPr>
          <w:p>
            <w:pPr>
              <w:spacing w:after="0"/>
              <w:rPr>
                <w:sz w:val="6"/>
                <w:szCs w:val="6"/>
                <w:color w:val="auto"/>
              </w:rPr>
            </w:pPr>
          </w:p>
        </w:tc>
        <w:tc>
          <w:tcPr>
            <w:tcW w:w="280" w:type="dxa"/>
            <w:vAlign w:val="bottom"/>
          </w:tcPr>
          <w:p>
            <w:pPr>
              <w:spacing w:after="0"/>
              <w:rPr>
                <w:sz w:val="6"/>
                <w:szCs w:val="6"/>
                <w:color w:val="auto"/>
              </w:rPr>
            </w:pPr>
          </w:p>
        </w:tc>
        <w:tc>
          <w:tcPr>
            <w:tcW w:w="40" w:type="dxa"/>
            <w:vAlign w:val="bottom"/>
          </w:tcPr>
          <w:p>
            <w:pPr>
              <w:spacing w:after="0"/>
              <w:rPr>
                <w:sz w:val="6"/>
                <w:szCs w:val="6"/>
                <w:color w:val="auto"/>
              </w:rPr>
            </w:pPr>
          </w:p>
        </w:tc>
        <w:tc>
          <w:tcPr>
            <w:tcW w:w="260" w:type="dxa"/>
            <w:vAlign w:val="bottom"/>
          </w:tcPr>
          <w:p>
            <w:pPr>
              <w:spacing w:after="0"/>
              <w:rPr>
                <w:sz w:val="6"/>
                <w:szCs w:val="6"/>
                <w:color w:val="auto"/>
              </w:rPr>
            </w:pPr>
          </w:p>
        </w:tc>
        <w:tc>
          <w:tcPr>
            <w:tcW w:w="280" w:type="dxa"/>
            <w:vAlign w:val="bottom"/>
          </w:tcPr>
          <w:p>
            <w:pPr>
              <w:spacing w:after="0"/>
              <w:rPr>
                <w:sz w:val="6"/>
                <w:szCs w:val="6"/>
                <w:color w:val="auto"/>
              </w:rPr>
            </w:pPr>
          </w:p>
        </w:tc>
        <w:tc>
          <w:tcPr>
            <w:tcW w:w="80" w:type="dxa"/>
            <w:vAlign w:val="bottom"/>
          </w:tcPr>
          <w:p>
            <w:pPr>
              <w:spacing w:after="0"/>
              <w:rPr>
                <w:sz w:val="6"/>
                <w:szCs w:val="6"/>
                <w:color w:val="auto"/>
              </w:rPr>
            </w:pPr>
          </w:p>
        </w:tc>
        <w:tc>
          <w:tcPr>
            <w:tcW w:w="460" w:type="dxa"/>
            <w:vAlign w:val="bottom"/>
          </w:tcPr>
          <w:p>
            <w:pPr>
              <w:spacing w:after="0"/>
              <w:rPr>
                <w:sz w:val="6"/>
                <w:szCs w:val="6"/>
                <w:color w:val="auto"/>
              </w:rPr>
            </w:pPr>
          </w:p>
        </w:tc>
        <w:tc>
          <w:tcPr>
            <w:tcW w:w="300" w:type="dxa"/>
            <w:vAlign w:val="bottom"/>
          </w:tcPr>
          <w:p>
            <w:pPr>
              <w:spacing w:after="0"/>
              <w:rPr>
                <w:sz w:val="6"/>
                <w:szCs w:val="6"/>
                <w:color w:val="auto"/>
              </w:rPr>
            </w:pPr>
          </w:p>
        </w:tc>
        <w:tc>
          <w:tcPr>
            <w:tcW w:w="40" w:type="dxa"/>
            <w:vAlign w:val="bottom"/>
          </w:tcPr>
          <w:p>
            <w:pPr>
              <w:spacing w:after="0"/>
              <w:rPr>
                <w:sz w:val="6"/>
                <w:szCs w:val="6"/>
                <w:color w:val="auto"/>
              </w:rPr>
            </w:pPr>
          </w:p>
        </w:tc>
        <w:tc>
          <w:tcPr>
            <w:tcW w:w="460" w:type="dxa"/>
            <w:vAlign w:val="bottom"/>
          </w:tcPr>
          <w:p>
            <w:pPr>
              <w:spacing w:after="0"/>
              <w:rPr>
                <w:sz w:val="6"/>
                <w:szCs w:val="6"/>
                <w:color w:val="auto"/>
              </w:rPr>
            </w:pPr>
          </w:p>
        </w:tc>
        <w:tc>
          <w:tcPr>
            <w:tcW w:w="160" w:type="dxa"/>
            <w:vAlign w:val="bottom"/>
          </w:tcPr>
          <w:p>
            <w:pPr>
              <w:spacing w:after="0"/>
              <w:rPr>
                <w:sz w:val="6"/>
                <w:szCs w:val="6"/>
                <w:color w:val="auto"/>
              </w:rPr>
            </w:pPr>
          </w:p>
        </w:tc>
        <w:tc>
          <w:tcPr>
            <w:tcW w:w="120" w:type="dxa"/>
            <w:vAlign w:val="bottom"/>
          </w:tcPr>
          <w:p>
            <w:pPr>
              <w:spacing w:after="0"/>
              <w:rPr>
                <w:sz w:val="6"/>
                <w:szCs w:val="6"/>
                <w:color w:val="auto"/>
              </w:rPr>
            </w:pPr>
          </w:p>
        </w:tc>
        <w:tc>
          <w:tcPr>
            <w:tcW w:w="60" w:type="dxa"/>
            <w:vAlign w:val="bottom"/>
          </w:tcPr>
          <w:p>
            <w:pPr>
              <w:spacing w:after="0"/>
              <w:rPr>
                <w:sz w:val="6"/>
                <w:szCs w:val="6"/>
                <w:color w:val="auto"/>
              </w:rPr>
            </w:pPr>
          </w:p>
        </w:tc>
        <w:tc>
          <w:tcPr>
            <w:tcW w:w="640" w:type="dxa"/>
            <w:vAlign w:val="bottom"/>
          </w:tcPr>
          <w:p>
            <w:pPr>
              <w:spacing w:after="0"/>
              <w:rPr>
                <w:sz w:val="6"/>
                <w:szCs w:val="6"/>
                <w:color w:val="auto"/>
              </w:rPr>
            </w:pPr>
          </w:p>
        </w:tc>
        <w:tc>
          <w:tcPr>
            <w:tcW w:w="300" w:type="dxa"/>
            <w:vAlign w:val="bottom"/>
          </w:tcPr>
          <w:p>
            <w:pPr>
              <w:spacing w:after="0"/>
              <w:rPr>
                <w:sz w:val="6"/>
                <w:szCs w:val="6"/>
                <w:color w:val="auto"/>
              </w:rPr>
            </w:pPr>
          </w:p>
        </w:tc>
        <w:tc>
          <w:tcPr>
            <w:tcW w:w="40" w:type="dxa"/>
            <w:vAlign w:val="bottom"/>
          </w:tcPr>
          <w:p>
            <w:pPr>
              <w:spacing w:after="0"/>
              <w:rPr>
                <w:sz w:val="6"/>
                <w:szCs w:val="6"/>
                <w:color w:val="auto"/>
              </w:rPr>
            </w:pPr>
          </w:p>
        </w:tc>
        <w:tc>
          <w:tcPr>
            <w:tcW w:w="400" w:type="dxa"/>
            <w:vAlign w:val="bottom"/>
          </w:tcPr>
          <w:p>
            <w:pPr>
              <w:spacing w:after="0"/>
              <w:rPr>
                <w:sz w:val="6"/>
                <w:szCs w:val="6"/>
                <w:color w:val="auto"/>
              </w:rPr>
            </w:pPr>
          </w:p>
        </w:tc>
        <w:tc>
          <w:tcPr>
            <w:tcW w:w="300" w:type="dxa"/>
            <w:vAlign w:val="bottom"/>
          </w:tcPr>
          <w:p>
            <w:pPr>
              <w:spacing w:after="0"/>
              <w:rPr>
                <w:sz w:val="6"/>
                <w:szCs w:val="6"/>
                <w:color w:val="auto"/>
              </w:rPr>
            </w:pPr>
          </w:p>
        </w:tc>
        <w:tc>
          <w:tcPr>
            <w:tcW w:w="60" w:type="dxa"/>
            <w:vAlign w:val="bottom"/>
          </w:tcPr>
          <w:p>
            <w:pPr>
              <w:spacing w:after="0"/>
              <w:rPr>
                <w:sz w:val="6"/>
                <w:szCs w:val="6"/>
                <w:color w:val="auto"/>
              </w:rPr>
            </w:pPr>
          </w:p>
        </w:tc>
        <w:tc>
          <w:tcPr>
            <w:tcW w:w="960" w:type="dxa"/>
            <w:vAlign w:val="bottom"/>
            <w:gridSpan w:val="2"/>
            <w:vMerge w:val="continue"/>
          </w:tcPr>
          <w:p>
            <w:pPr>
              <w:spacing w:after="0"/>
              <w:rPr>
                <w:sz w:val="6"/>
                <w:szCs w:val="6"/>
                <w:color w:val="auto"/>
              </w:rPr>
            </w:pPr>
          </w:p>
        </w:tc>
        <w:tc>
          <w:tcPr>
            <w:tcW w:w="60" w:type="dxa"/>
            <w:vAlign w:val="bottom"/>
          </w:tcPr>
          <w:p>
            <w:pPr>
              <w:spacing w:after="0"/>
              <w:rPr>
                <w:sz w:val="6"/>
                <w:szCs w:val="6"/>
                <w:color w:val="auto"/>
              </w:rPr>
            </w:pPr>
          </w:p>
        </w:tc>
        <w:tc>
          <w:tcPr>
            <w:tcW w:w="660" w:type="dxa"/>
            <w:vAlign w:val="bottom"/>
          </w:tcPr>
          <w:p>
            <w:pPr>
              <w:spacing w:after="0"/>
              <w:rPr>
                <w:sz w:val="6"/>
                <w:szCs w:val="6"/>
                <w:color w:val="auto"/>
              </w:rPr>
            </w:pPr>
          </w:p>
        </w:tc>
        <w:tc>
          <w:tcPr>
            <w:tcW w:w="300" w:type="dxa"/>
            <w:vAlign w:val="bottom"/>
          </w:tcPr>
          <w:p>
            <w:pPr>
              <w:spacing w:after="0"/>
              <w:rPr>
                <w:sz w:val="6"/>
                <w:szCs w:val="6"/>
                <w:color w:val="auto"/>
              </w:rPr>
            </w:pPr>
          </w:p>
        </w:tc>
        <w:tc>
          <w:tcPr>
            <w:tcW w:w="60" w:type="dxa"/>
            <w:vAlign w:val="bottom"/>
          </w:tcPr>
          <w:p>
            <w:pPr>
              <w:spacing w:after="0"/>
              <w:rPr>
                <w:sz w:val="6"/>
                <w:szCs w:val="6"/>
                <w:color w:val="auto"/>
              </w:rPr>
            </w:pPr>
          </w:p>
        </w:tc>
        <w:tc>
          <w:tcPr>
            <w:tcW w:w="600" w:type="dxa"/>
            <w:vAlign w:val="bottom"/>
          </w:tcPr>
          <w:p>
            <w:pPr>
              <w:spacing w:after="0"/>
              <w:rPr>
                <w:sz w:val="6"/>
                <w:szCs w:val="6"/>
                <w:color w:val="auto"/>
              </w:rPr>
            </w:pPr>
          </w:p>
        </w:tc>
        <w:tc>
          <w:tcPr>
            <w:tcW w:w="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99"/>
        </w:trPr>
        <w:tc>
          <w:tcPr>
            <w:tcW w:w="390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 w:type="dxa"/>
            <w:vAlign w:val="bottom"/>
          </w:tcPr>
          <w:p>
            <w:pPr>
              <w:spacing w:after="0"/>
              <w:rPr>
                <w:sz w:val="8"/>
                <w:szCs w:val="8"/>
                <w:color w:val="auto"/>
              </w:rPr>
            </w:pPr>
          </w:p>
        </w:tc>
        <w:tc>
          <w:tcPr>
            <w:tcW w:w="280" w:type="dxa"/>
            <w:vAlign w:val="bottom"/>
          </w:tcPr>
          <w:p>
            <w:pPr>
              <w:spacing w:after="0"/>
              <w:rPr>
                <w:sz w:val="8"/>
                <w:szCs w:val="8"/>
                <w:color w:val="auto"/>
              </w:rPr>
            </w:pPr>
          </w:p>
        </w:tc>
        <w:tc>
          <w:tcPr>
            <w:tcW w:w="40" w:type="dxa"/>
            <w:vAlign w:val="bottom"/>
          </w:tcPr>
          <w:p>
            <w:pPr>
              <w:spacing w:after="0"/>
              <w:rPr>
                <w:sz w:val="8"/>
                <w:szCs w:val="8"/>
                <w:color w:val="auto"/>
              </w:rPr>
            </w:pPr>
          </w:p>
        </w:tc>
        <w:tc>
          <w:tcPr>
            <w:tcW w:w="260" w:type="dxa"/>
            <w:vAlign w:val="bottom"/>
          </w:tcPr>
          <w:p>
            <w:pPr>
              <w:spacing w:after="0"/>
              <w:rPr>
                <w:sz w:val="8"/>
                <w:szCs w:val="8"/>
                <w:color w:val="auto"/>
              </w:rPr>
            </w:pPr>
          </w:p>
        </w:tc>
        <w:tc>
          <w:tcPr>
            <w:tcW w:w="280" w:type="dxa"/>
            <w:vAlign w:val="bottom"/>
          </w:tcPr>
          <w:p>
            <w:pPr>
              <w:spacing w:after="0"/>
              <w:rPr>
                <w:sz w:val="8"/>
                <w:szCs w:val="8"/>
                <w:color w:val="auto"/>
              </w:rPr>
            </w:pPr>
          </w:p>
        </w:tc>
        <w:tc>
          <w:tcPr>
            <w:tcW w:w="80" w:type="dxa"/>
            <w:vAlign w:val="bottom"/>
          </w:tcPr>
          <w:p>
            <w:pPr>
              <w:spacing w:after="0"/>
              <w:rPr>
                <w:sz w:val="8"/>
                <w:szCs w:val="8"/>
                <w:color w:val="auto"/>
              </w:rPr>
            </w:pPr>
          </w:p>
        </w:tc>
        <w:tc>
          <w:tcPr>
            <w:tcW w:w="460" w:type="dxa"/>
            <w:vAlign w:val="bottom"/>
          </w:tcPr>
          <w:p>
            <w:pPr>
              <w:spacing w:after="0"/>
              <w:rPr>
                <w:sz w:val="8"/>
                <w:szCs w:val="8"/>
                <w:color w:val="auto"/>
              </w:rPr>
            </w:pPr>
          </w:p>
        </w:tc>
        <w:tc>
          <w:tcPr>
            <w:tcW w:w="300" w:type="dxa"/>
            <w:vAlign w:val="bottom"/>
          </w:tcPr>
          <w:p>
            <w:pPr>
              <w:spacing w:after="0"/>
              <w:rPr>
                <w:sz w:val="8"/>
                <w:szCs w:val="8"/>
                <w:color w:val="auto"/>
              </w:rPr>
            </w:pPr>
          </w:p>
        </w:tc>
        <w:tc>
          <w:tcPr>
            <w:tcW w:w="40" w:type="dxa"/>
            <w:vAlign w:val="bottom"/>
          </w:tcPr>
          <w:p>
            <w:pPr>
              <w:spacing w:after="0"/>
              <w:rPr>
                <w:sz w:val="8"/>
                <w:szCs w:val="8"/>
                <w:color w:val="auto"/>
              </w:rPr>
            </w:pPr>
          </w:p>
        </w:tc>
        <w:tc>
          <w:tcPr>
            <w:tcW w:w="460" w:type="dxa"/>
            <w:vAlign w:val="bottom"/>
          </w:tcPr>
          <w:p>
            <w:pPr>
              <w:spacing w:after="0"/>
              <w:rPr>
                <w:sz w:val="8"/>
                <w:szCs w:val="8"/>
                <w:color w:val="auto"/>
              </w:rPr>
            </w:pPr>
          </w:p>
        </w:tc>
        <w:tc>
          <w:tcPr>
            <w:tcW w:w="16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 w:type="dxa"/>
            <w:vAlign w:val="bottom"/>
          </w:tcPr>
          <w:p>
            <w:pPr>
              <w:spacing w:after="0"/>
              <w:rPr>
                <w:sz w:val="8"/>
                <w:szCs w:val="8"/>
                <w:color w:val="auto"/>
              </w:rPr>
            </w:pPr>
          </w:p>
        </w:tc>
        <w:tc>
          <w:tcPr>
            <w:tcW w:w="940" w:type="dxa"/>
            <w:vAlign w:val="bottom"/>
            <w:gridSpan w:val="2"/>
          </w:tcPr>
          <w:p>
            <w:pPr>
              <w:jc w:val="center"/>
              <w:ind w:right="340"/>
              <w:spacing w:after="0" w:line="99" w:lineRule="exact"/>
              <w:rPr>
                <w:sz w:val="20"/>
                <w:szCs w:val="20"/>
                <w:color w:val="auto"/>
              </w:rPr>
            </w:pPr>
            <w:r>
              <w:rPr>
                <w:rFonts w:ascii="Arial" w:cs="Arial" w:eastAsia="Arial" w:hAnsi="Arial"/>
                <w:sz w:val="9"/>
                <w:szCs w:val="9"/>
                <w:b w:val="1"/>
                <w:bCs w:val="1"/>
                <w:color w:val="auto"/>
                <w:w w:val="91"/>
              </w:rPr>
              <w:t>Accumulated</w:t>
            </w:r>
          </w:p>
        </w:tc>
        <w:tc>
          <w:tcPr>
            <w:tcW w:w="40" w:type="dxa"/>
            <w:vAlign w:val="bottom"/>
          </w:tcPr>
          <w:p>
            <w:pPr>
              <w:spacing w:after="0"/>
              <w:rPr>
                <w:sz w:val="8"/>
                <w:szCs w:val="8"/>
                <w:color w:val="auto"/>
              </w:rPr>
            </w:pPr>
          </w:p>
        </w:tc>
        <w:tc>
          <w:tcPr>
            <w:tcW w:w="400" w:type="dxa"/>
            <w:vAlign w:val="bottom"/>
          </w:tcPr>
          <w:p>
            <w:pPr>
              <w:spacing w:after="0"/>
              <w:rPr>
                <w:sz w:val="8"/>
                <w:szCs w:val="8"/>
                <w:color w:val="auto"/>
              </w:rPr>
            </w:pPr>
          </w:p>
        </w:tc>
        <w:tc>
          <w:tcPr>
            <w:tcW w:w="300" w:type="dxa"/>
            <w:vAlign w:val="bottom"/>
          </w:tcPr>
          <w:p>
            <w:pPr>
              <w:spacing w:after="0"/>
              <w:rPr>
                <w:sz w:val="8"/>
                <w:szCs w:val="8"/>
                <w:color w:val="auto"/>
              </w:rPr>
            </w:pPr>
          </w:p>
        </w:tc>
        <w:tc>
          <w:tcPr>
            <w:tcW w:w="60" w:type="dxa"/>
            <w:vAlign w:val="bottom"/>
          </w:tcPr>
          <w:p>
            <w:pPr>
              <w:spacing w:after="0"/>
              <w:rPr>
                <w:sz w:val="8"/>
                <w:szCs w:val="8"/>
                <w:color w:val="auto"/>
              </w:rPr>
            </w:pPr>
          </w:p>
        </w:tc>
        <w:tc>
          <w:tcPr>
            <w:tcW w:w="960" w:type="dxa"/>
            <w:vAlign w:val="bottom"/>
            <w:gridSpan w:val="2"/>
          </w:tcPr>
          <w:p>
            <w:pPr>
              <w:jc w:val="center"/>
              <w:ind w:right="360"/>
              <w:spacing w:after="0" w:line="99" w:lineRule="exact"/>
              <w:rPr>
                <w:sz w:val="20"/>
                <w:szCs w:val="20"/>
                <w:color w:val="auto"/>
              </w:rPr>
            </w:pPr>
            <w:r>
              <w:rPr>
                <w:rFonts w:ascii="Arial" w:cs="Arial" w:eastAsia="Arial" w:hAnsi="Arial"/>
                <w:sz w:val="9"/>
                <w:szCs w:val="9"/>
                <w:b w:val="1"/>
                <w:bCs w:val="1"/>
                <w:color w:val="auto"/>
                <w:w w:val="95"/>
              </w:rPr>
              <w:t>Wynn Resorts,</w:t>
            </w:r>
          </w:p>
        </w:tc>
        <w:tc>
          <w:tcPr>
            <w:tcW w:w="60" w:type="dxa"/>
            <w:vAlign w:val="bottom"/>
          </w:tcPr>
          <w:p>
            <w:pPr>
              <w:spacing w:after="0"/>
              <w:rPr>
                <w:sz w:val="8"/>
                <w:szCs w:val="8"/>
                <w:color w:val="auto"/>
              </w:rPr>
            </w:pPr>
          </w:p>
        </w:tc>
        <w:tc>
          <w:tcPr>
            <w:tcW w:w="660" w:type="dxa"/>
            <w:vAlign w:val="bottom"/>
          </w:tcPr>
          <w:p>
            <w:pPr>
              <w:spacing w:after="0"/>
              <w:rPr>
                <w:sz w:val="8"/>
                <w:szCs w:val="8"/>
                <w:color w:val="auto"/>
              </w:rPr>
            </w:pPr>
          </w:p>
        </w:tc>
        <w:tc>
          <w:tcPr>
            <w:tcW w:w="300" w:type="dxa"/>
            <w:vAlign w:val="bottom"/>
          </w:tcPr>
          <w:p>
            <w:pPr>
              <w:spacing w:after="0"/>
              <w:rPr>
                <w:sz w:val="8"/>
                <w:szCs w:val="8"/>
                <w:color w:val="auto"/>
              </w:rPr>
            </w:pPr>
          </w:p>
        </w:tc>
        <w:tc>
          <w:tcPr>
            <w:tcW w:w="60" w:type="dxa"/>
            <w:vAlign w:val="bottom"/>
          </w:tcPr>
          <w:p>
            <w:pPr>
              <w:spacing w:after="0"/>
              <w:rPr>
                <w:sz w:val="8"/>
                <w:szCs w:val="8"/>
                <w:color w:val="auto"/>
              </w:rPr>
            </w:pPr>
          </w:p>
        </w:tc>
        <w:tc>
          <w:tcPr>
            <w:tcW w:w="60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9"/>
        </w:trPr>
        <w:tc>
          <w:tcPr>
            <w:tcW w:w="390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 w:type="dxa"/>
            <w:vAlign w:val="bottom"/>
          </w:tcPr>
          <w:p>
            <w:pPr>
              <w:spacing w:after="0"/>
              <w:rPr>
                <w:sz w:val="8"/>
                <w:szCs w:val="8"/>
                <w:color w:val="auto"/>
              </w:rPr>
            </w:pPr>
          </w:p>
        </w:tc>
        <w:tc>
          <w:tcPr>
            <w:tcW w:w="280" w:type="dxa"/>
            <w:vAlign w:val="bottom"/>
          </w:tcPr>
          <w:p>
            <w:pPr>
              <w:spacing w:after="0"/>
              <w:rPr>
                <w:sz w:val="8"/>
                <w:szCs w:val="8"/>
                <w:color w:val="auto"/>
              </w:rPr>
            </w:pPr>
          </w:p>
        </w:tc>
        <w:tc>
          <w:tcPr>
            <w:tcW w:w="40" w:type="dxa"/>
            <w:vAlign w:val="bottom"/>
          </w:tcPr>
          <w:p>
            <w:pPr>
              <w:spacing w:after="0"/>
              <w:rPr>
                <w:sz w:val="8"/>
                <w:szCs w:val="8"/>
                <w:color w:val="auto"/>
              </w:rPr>
            </w:pPr>
          </w:p>
        </w:tc>
        <w:tc>
          <w:tcPr>
            <w:tcW w:w="260" w:type="dxa"/>
            <w:vAlign w:val="bottom"/>
          </w:tcPr>
          <w:p>
            <w:pPr>
              <w:spacing w:after="0"/>
              <w:rPr>
                <w:sz w:val="8"/>
                <w:szCs w:val="8"/>
                <w:color w:val="auto"/>
              </w:rPr>
            </w:pPr>
          </w:p>
        </w:tc>
        <w:tc>
          <w:tcPr>
            <w:tcW w:w="280" w:type="dxa"/>
            <w:vAlign w:val="bottom"/>
          </w:tcPr>
          <w:p>
            <w:pPr>
              <w:spacing w:after="0"/>
              <w:rPr>
                <w:sz w:val="8"/>
                <w:szCs w:val="8"/>
                <w:color w:val="auto"/>
              </w:rPr>
            </w:pPr>
          </w:p>
        </w:tc>
        <w:tc>
          <w:tcPr>
            <w:tcW w:w="80" w:type="dxa"/>
            <w:vAlign w:val="bottom"/>
          </w:tcPr>
          <w:p>
            <w:pPr>
              <w:spacing w:after="0"/>
              <w:rPr>
                <w:sz w:val="8"/>
                <w:szCs w:val="8"/>
                <w:color w:val="auto"/>
              </w:rPr>
            </w:pPr>
          </w:p>
        </w:tc>
        <w:tc>
          <w:tcPr>
            <w:tcW w:w="460" w:type="dxa"/>
            <w:vAlign w:val="bottom"/>
          </w:tcPr>
          <w:p>
            <w:pPr>
              <w:spacing w:after="0"/>
              <w:rPr>
                <w:sz w:val="8"/>
                <w:szCs w:val="8"/>
                <w:color w:val="auto"/>
              </w:rPr>
            </w:pPr>
          </w:p>
        </w:tc>
        <w:tc>
          <w:tcPr>
            <w:tcW w:w="300" w:type="dxa"/>
            <w:vAlign w:val="bottom"/>
          </w:tcPr>
          <w:p>
            <w:pPr>
              <w:spacing w:after="0"/>
              <w:rPr>
                <w:sz w:val="8"/>
                <w:szCs w:val="8"/>
                <w:color w:val="auto"/>
              </w:rPr>
            </w:pPr>
          </w:p>
        </w:tc>
        <w:tc>
          <w:tcPr>
            <w:tcW w:w="40" w:type="dxa"/>
            <w:vAlign w:val="bottom"/>
          </w:tcPr>
          <w:p>
            <w:pPr>
              <w:spacing w:after="0"/>
              <w:rPr>
                <w:sz w:val="8"/>
                <w:szCs w:val="8"/>
                <w:color w:val="auto"/>
              </w:rPr>
            </w:pPr>
          </w:p>
        </w:tc>
        <w:tc>
          <w:tcPr>
            <w:tcW w:w="620" w:type="dxa"/>
            <w:vAlign w:val="bottom"/>
            <w:gridSpan w:val="2"/>
          </w:tcPr>
          <w:p>
            <w:pPr>
              <w:jc w:val="right"/>
              <w:ind w:right="220"/>
              <w:spacing w:after="0" w:line="99" w:lineRule="exact"/>
              <w:rPr>
                <w:sz w:val="20"/>
                <w:szCs w:val="20"/>
                <w:color w:val="auto"/>
              </w:rPr>
            </w:pPr>
            <w:r>
              <w:rPr>
                <w:rFonts w:ascii="Arial" w:cs="Arial" w:eastAsia="Arial" w:hAnsi="Arial"/>
                <w:sz w:val="9"/>
                <w:szCs w:val="9"/>
                <w:b w:val="1"/>
                <w:bCs w:val="1"/>
                <w:color w:val="auto"/>
                <w:w w:val="86"/>
              </w:rPr>
              <w:t>Additional</w:t>
            </w:r>
          </w:p>
        </w:tc>
        <w:tc>
          <w:tcPr>
            <w:tcW w:w="120" w:type="dxa"/>
            <w:vAlign w:val="bottom"/>
          </w:tcPr>
          <w:p>
            <w:pPr>
              <w:spacing w:after="0"/>
              <w:rPr>
                <w:sz w:val="8"/>
                <w:szCs w:val="8"/>
                <w:color w:val="auto"/>
              </w:rPr>
            </w:pPr>
          </w:p>
        </w:tc>
        <w:tc>
          <w:tcPr>
            <w:tcW w:w="60" w:type="dxa"/>
            <w:vAlign w:val="bottom"/>
          </w:tcPr>
          <w:p>
            <w:pPr>
              <w:spacing w:after="0"/>
              <w:rPr>
                <w:sz w:val="8"/>
                <w:szCs w:val="8"/>
                <w:color w:val="auto"/>
              </w:rPr>
            </w:pPr>
          </w:p>
        </w:tc>
        <w:tc>
          <w:tcPr>
            <w:tcW w:w="940" w:type="dxa"/>
            <w:vAlign w:val="bottom"/>
            <w:gridSpan w:val="2"/>
          </w:tcPr>
          <w:p>
            <w:pPr>
              <w:jc w:val="center"/>
              <w:ind w:right="340"/>
              <w:spacing w:after="0" w:line="99" w:lineRule="exact"/>
              <w:rPr>
                <w:sz w:val="20"/>
                <w:szCs w:val="20"/>
                <w:color w:val="auto"/>
              </w:rPr>
            </w:pPr>
            <w:r>
              <w:rPr>
                <w:rFonts w:ascii="Arial" w:cs="Arial" w:eastAsia="Arial" w:hAnsi="Arial"/>
                <w:sz w:val="9"/>
                <w:szCs w:val="9"/>
                <w:b w:val="1"/>
                <w:bCs w:val="1"/>
                <w:color w:val="auto"/>
                <w:w w:val="88"/>
              </w:rPr>
              <w:t>other</w:t>
            </w:r>
          </w:p>
        </w:tc>
        <w:tc>
          <w:tcPr>
            <w:tcW w:w="40" w:type="dxa"/>
            <w:vAlign w:val="bottom"/>
          </w:tcPr>
          <w:p>
            <w:pPr>
              <w:spacing w:after="0"/>
              <w:rPr>
                <w:sz w:val="8"/>
                <w:szCs w:val="8"/>
                <w:color w:val="auto"/>
              </w:rPr>
            </w:pPr>
          </w:p>
        </w:tc>
        <w:tc>
          <w:tcPr>
            <w:tcW w:w="400" w:type="dxa"/>
            <w:vAlign w:val="bottom"/>
          </w:tcPr>
          <w:p>
            <w:pPr>
              <w:spacing w:after="0"/>
              <w:rPr>
                <w:sz w:val="8"/>
                <w:szCs w:val="8"/>
                <w:color w:val="auto"/>
              </w:rPr>
            </w:pPr>
          </w:p>
        </w:tc>
        <w:tc>
          <w:tcPr>
            <w:tcW w:w="300" w:type="dxa"/>
            <w:vAlign w:val="bottom"/>
          </w:tcPr>
          <w:p>
            <w:pPr>
              <w:spacing w:after="0"/>
              <w:rPr>
                <w:sz w:val="8"/>
                <w:szCs w:val="8"/>
                <w:color w:val="auto"/>
              </w:rPr>
            </w:pPr>
          </w:p>
        </w:tc>
        <w:tc>
          <w:tcPr>
            <w:tcW w:w="60" w:type="dxa"/>
            <w:vAlign w:val="bottom"/>
          </w:tcPr>
          <w:p>
            <w:pPr>
              <w:spacing w:after="0"/>
              <w:rPr>
                <w:sz w:val="8"/>
                <w:szCs w:val="8"/>
                <w:color w:val="auto"/>
              </w:rPr>
            </w:pPr>
          </w:p>
        </w:tc>
        <w:tc>
          <w:tcPr>
            <w:tcW w:w="960" w:type="dxa"/>
            <w:vAlign w:val="bottom"/>
            <w:gridSpan w:val="2"/>
          </w:tcPr>
          <w:p>
            <w:pPr>
              <w:jc w:val="center"/>
              <w:ind w:right="360"/>
              <w:spacing w:after="0" w:line="99" w:lineRule="exact"/>
              <w:rPr>
                <w:sz w:val="20"/>
                <w:szCs w:val="20"/>
                <w:color w:val="auto"/>
              </w:rPr>
            </w:pPr>
            <w:r>
              <w:rPr>
                <w:rFonts w:ascii="Arial" w:cs="Arial" w:eastAsia="Arial" w:hAnsi="Arial"/>
                <w:sz w:val="9"/>
                <w:szCs w:val="9"/>
                <w:b w:val="1"/>
                <w:bCs w:val="1"/>
                <w:color w:val="auto"/>
                <w:w w:val="96"/>
              </w:rPr>
              <w:t>Ltd.</w:t>
            </w:r>
          </w:p>
        </w:tc>
        <w:tc>
          <w:tcPr>
            <w:tcW w:w="60" w:type="dxa"/>
            <w:vAlign w:val="bottom"/>
          </w:tcPr>
          <w:p>
            <w:pPr>
              <w:spacing w:after="0"/>
              <w:rPr>
                <w:sz w:val="8"/>
                <w:szCs w:val="8"/>
                <w:color w:val="auto"/>
              </w:rPr>
            </w:pPr>
          </w:p>
        </w:tc>
        <w:tc>
          <w:tcPr>
            <w:tcW w:w="660" w:type="dxa"/>
            <w:vAlign w:val="bottom"/>
          </w:tcPr>
          <w:p>
            <w:pPr>
              <w:spacing w:after="0"/>
              <w:rPr>
                <w:sz w:val="8"/>
                <w:szCs w:val="8"/>
                <w:color w:val="auto"/>
              </w:rPr>
            </w:pPr>
          </w:p>
        </w:tc>
        <w:tc>
          <w:tcPr>
            <w:tcW w:w="300" w:type="dxa"/>
            <w:vAlign w:val="bottom"/>
          </w:tcPr>
          <w:p>
            <w:pPr>
              <w:spacing w:after="0"/>
              <w:rPr>
                <w:sz w:val="8"/>
                <w:szCs w:val="8"/>
                <w:color w:val="auto"/>
              </w:rPr>
            </w:pPr>
          </w:p>
        </w:tc>
        <w:tc>
          <w:tcPr>
            <w:tcW w:w="60" w:type="dxa"/>
            <w:vAlign w:val="bottom"/>
          </w:tcPr>
          <w:p>
            <w:pPr>
              <w:spacing w:after="0"/>
              <w:rPr>
                <w:sz w:val="8"/>
                <w:szCs w:val="8"/>
                <w:color w:val="auto"/>
              </w:rPr>
            </w:pPr>
          </w:p>
        </w:tc>
        <w:tc>
          <w:tcPr>
            <w:tcW w:w="680" w:type="dxa"/>
            <w:vAlign w:val="bottom"/>
            <w:gridSpan w:val="2"/>
          </w:tcPr>
          <w:p>
            <w:pPr>
              <w:jc w:val="center"/>
              <w:ind w:right="140"/>
              <w:spacing w:after="0" w:line="99" w:lineRule="exact"/>
              <w:rPr>
                <w:sz w:val="20"/>
                <w:szCs w:val="20"/>
                <w:color w:val="auto"/>
              </w:rPr>
            </w:pPr>
            <w:r>
              <w:rPr>
                <w:rFonts w:ascii="Arial" w:cs="Arial" w:eastAsia="Arial" w:hAnsi="Arial"/>
                <w:sz w:val="9"/>
                <w:szCs w:val="9"/>
                <w:b w:val="1"/>
                <w:bCs w:val="1"/>
                <w:color w:val="auto"/>
                <w:w w:val="83"/>
              </w:rPr>
              <w:t>Total</w:t>
            </w:r>
          </w:p>
        </w:tc>
        <w:tc>
          <w:tcPr>
            <w:tcW w:w="0" w:type="dxa"/>
            <w:vAlign w:val="bottom"/>
          </w:tcPr>
          <w:p>
            <w:pPr>
              <w:spacing w:after="0"/>
              <w:rPr>
                <w:sz w:val="1"/>
                <w:szCs w:val="1"/>
                <w:color w:val="auto"/>
              </w:rPr>
            </w:pPr>
          </w:p>
        </w:tc>
      </w:tr>
      <w:tr>
        <w:trPr>
          <w:trHeight w:val="99"/>
        </w:trPr>
        <w:tc>
          <w:tcPr>
            <w:tcW w:w="3900" w:type="dxa"/>
            <w:vAlign w:val="bottom"/>
          </w:tcPr>
          <w:p>
            <w:pPr>
              <w:spacing w:after="0"/>
              <w:rPr>
                <w:sz w:val="8"/>
                <w:szCs w:val="8"/>
                <w:color w:val="auto"/>
              </w:rPr>
            </w:pPr>
          </w:p>
        </w:tc>
        <w:tc>
          <w:tcPr>
            <w:tcW w:w="860" w:type="dxa"/>
            <w:vAlign w:val="bottom"/>
            <w:gridSpan w:val="3"/>
          </w:tcPr>
          <w:p>
            <w:pPr>
              <w:jc w:val="right"/>
              <w:ind w:right="460"/>
              <w:spacing w:after="0" w:line="99" w:lineRule="exact"/>
              <w:rPr>
                <w:sz w:val="20"/>
                <w:szCs w:val="20"/>
                <w:color w:val="auto"/>
              </w:rPr>
            </w:pPr>
            <w:r>
              <w:rPr>
                <w:rFonts w:ascii="Arial" w:cs="Arial" w:eastAsia="Arial" w:hAnsi="Arial"/>
                <w:sz w:val="9"/>
                <w:szCs w:val="9"/>
                <w:b w:val="1"/>
                <w:bCs w:val="1"/>
                <w:color w:val="auto"/>
              </w:rPr>
              <w:t>Shares</w:t>
            </w:r>
          </w:p>
        </w:tc>
        <w:tc>
          <w:tcPr>
            <w:tcW w:w="40" w:type="dxa"/>
            <w:vAlign w:val="bottom"/>
          </w:tcPr>
          <w:p>
            <w:pPr>
              <w:spacing w:after="0"/>
              <w:rPr>
                <w:sz w:val="8"/>
                <w:szCs w:val="8"/>
                <w:color w:val="auto"/>
              </w:rPr>
            </w:pPr>
          </w:p>
        </w:tc>
        <w:tc>
          <w:tcPr>
            <w:tcW w:w="540" w:type="dxa"/>
            <w:vAlign w:val="bottom"/>
            <w:gridSpan w:val="2"/>
          </w:tcPr>
          <w:p>
            <w:pPr>
              <w:jc w:val="right"/>
              <w:ind w:right="360"/>
              <w:spacing w:after="0" w:line="99" w:lineRule="exact"/>
              <w:rPr>
                <w:sz w:val="20"/>
                <w:szCs w:val="20"/>
                <w:color w:val="auto"/>
              </w:rPr>
            </w:pPr>
            <w:r>
              <w:rPr>
                <w:rFonts w:ascii="Arial" w:cs="Arial" w:eastAsia="Arial" w:hAnsi="Arial"/>
                <w:sz w:val="9"/>
                <w:szCs w:val="9"/>
                <w:b w:val="1"/>
                <w:bCs w:val="1"/>
                <w:color w:val="auto"/>
              </w:rPr>
              <w:t>Par</w:t>
            </w:r>
          </w:p>
        </w:tc>
        <w:tc>
          <w:tcPr>
            <w:tcW w:w="80" w:type="dxa"/>
            <w:vAlign w:val="bottom"/>
          </w:tcPr>
          <w:p>
            <w:pPr>
              <w:spacing w:after="0"/>
              <w:rPr>
                <w:sz w:val="8"/>
                <w:szCs w:val="8"/>
                <w:color w:val="auto"/>
              </w:rPr>
            </w:pPr>
          </w:p>
        </w:tc>
        <w:tc>
          <w:tcPr>
            <w:tcW w:w="760" w:type="dxa"/>
            <w:vAlign w:val="bottom"/>
            <w:gridSpan w:val="2"/>
          </w:tcPr>
          <w:p>
            <w:pPr>
              <w:jc w:val="right"/>
              <w:ind w:right="361"/>
              <w:spacing w:after="0" w:line="99" w:lineRule="exact"/>
              <w:rPr>
                <w:sz w:val="20"/>
                <w:szCs w:val="20"/>
                <w:color w:val="auto"/>
              </w:rPr>
            </w:pPr>
            <w:r>
              <w:rPr>
                <w:rFonts w:ascii="Arial" w:cs="Arial" w:eastAsia="Arial" w:hAnsi="Arial"/>
                <w:sz w:val="9"/>
                <w:szCs w:val="9"/>
                <w:b w:val="1"/>
                <w:bCs w:val="1"/>
                <w:color w:val="auto"/>
                <w:w w:val="89"/>
              </w:rPr>
              <w:t>Treasury</w:t>
            </w:r>
          </w:p>
        </w:tc>
        <w:tc>
          <w:tcPr>
            <w:tcW w:w="40" w:type="dxa"/>
            <w:vAlign w:val="bottom"/>
          </w:tcPr>
          <w:p>
            <w:pPr>
              <w:spacing w:after="0"/>
              <w:rPr>
                <w:sz w:val="8"/>
                <w:szCs w:val="8"/>
                <w:color w:val="auto"/>
              </w:rPr>
            </w:pPr>
          </w:p>
        </w:tc>
        <w:tc>
          <w:tcPr>
            <w:tcW w:w="620" w:type="dxa"/>
            <w:vAlign w:val="bottom"/>
            <w:gridSpan w:val="2"/>
          </w:tcPr>
          <w:p>
            <w:pPr>
              <w:jc w:val="right"/>
              <w:ind w:right="280"/>
              <w:spacing w:after="0" w:line="99" w:lineRule="exact"/>
              <w:rPr>
                <w:sz w:val="20"/>
                <w:szCs w:val="20"/>
                <w:color w:val="auto"/>
              </w:rPr>
            </w:pPr>
            <w:r>
              <w:rPr>
                <w:rFonts w:ascii="Arial" w:cs="Arial" w:eastAsia="Arial" w:hAnsi="Arial"/>
                <w:sz w:val="9"/>
                <w:szCs w:val="9"/>
                <w:b w:val="1"/>
                <w:bCs w:val="1"/>
                <w:color w:val="auto"/>
              </w:rPr>
              <w:t>paid-in</w:t>
            </w:r>
          </w:p>
        </w:tc>
        <w:tc>
          <w:tcPr>
            <w:tcW w:w="120" w:type="dxa"/>
            <w:vAlign w:val="bottom"/>
          </w:tcPr>
          <w:p>
            <w:pPr>
              <w:spacing w:after="0"/>
              <w:rPr>
                <w:sz w:val="8"/>
                <w:szCs w:val="8"/>
                <w:color w:val="auto"/>
              </w:rPr>
            </w:pPr>
          </w:p>
        </w:tc>
        <w:tc>
          <w:tcPr>
            <w:tcW w:w="60" w:type="dxa"/>
            <w:vAlign w:val="bottom"/>
          </w:tcPr>
          <w:p>
            <w:pPr>
              <w:spacing w:after="0"/>
              <w:rPr>
                <w:sz w:val="8"/>
                <w:szCs w:val="8"/>
                <w:color w:val="auto"/>
              </w:rPr>
            </w:pPr>
          </w:p>
        </w:tc>
        <w:tc>
          <w:tcPr>
            <w:tcW w:w="940" w:type="dxa"/>
            <w:vAlign w:val="bottom"/>
            <w:gridSpan w:val="2"/>
          </w:tcPr>
          <w:p>
            <w:pPr>
              <w:jc w:val="center"/>
              <w:ind w:right="360"/>
              <w:spacing w:after="0" w:line="99" w:lineRule="exact"/>
              <w:rPr>
                <w:sz w:val="20"/>
                <w:szCs w:val="20"/>
                <w:color w:val="auto"/>
              </w:rPr>
            </w:pPr>
            <w:r>
              <w:rPr>
                <w:rFonts w:ascii="Arial" w:cs="Arial" w:eastAsia="Arial" w:hAnsi="Arial"/>
                <w:sz w:val="9"/>
                <w:szCs w:val="9"/>
                <w:b w:val="1"/>
                <w:bCs w:val="1"/>
                <w:color w:val="auto"/>
                <w:w w:val="87"/>
              </w:rPr>
              <w:t>comprehensive</w:t>
            </w:r>
          </w:p>
        </w:tc>
        <w:tc>
          <w:tcPr>
            <w:tcW w:w="40" w:type="dxa"/>
            <w:vAlign w:val="bottom"/>
          </w:tcPr>
          <w:p>
            <w:pPr>
              <w:spacing w:after="0"/>
              <w:rPr>
                <w:sz w:val="8"/>
                <w:szCs w:val="8"/>
                <w:color w:val="auto"/>
              </w:rPr>
            </w:pPr>
          </w:p>
        </w:tc>
        <w:tc>
          <w:tcPr>
            <w:tcW w:w="700" w:type="dxa"/>
            <w:vAlign w:val="bottom"/>
            <w:gridSpan w:val="2"/>
          </w:tcPr>
          <w:p>
            <w:pPr>
              <w:jc w:val="right"/>
              <w:ind w:right="340"/>
              <w:spacing w:after="0" w:line="99" w:lineRule="exact"/>
              <w:rPr>
                <w:sz w:val="20"/>
                <w:szCs w:val="20"/>
                <w:color w:val="auto"/>
              </w:rPr>
            </w:pPr>
            <w:r>
              <w:rPr>
                <w:rFonts w:ascii="Arial" w:cs="Arial" w:eastAsia="Arial" w:hAnsi="Arial"/>
                <w:sz w:val="9"/>
                <w:szCs w:val="9"/>
                <w:b w:val="1"/>
                <w:bCs w:val="1"/>
                <w:color w:val="auto"/>
                <w:w w:val="89"/>
              </w:rPr>
              <w:t>Retained</w:t>
            </w:r>
          </w:p>
        </w:tc>
        <w:tc>
          <w:tcPr>
            <w:tcW w:w="60" w:type="dxa"/>
            <w:vAlign w:val="bottom"/>
          </w:tcPr>
          <w:p>
            <w:pPr>
              <w:spacing w:after="0"/>
              <w:rPr>
                <w:sz w:val="8"/>
                <w:szCs w:val="8"/>
                <w:color w:val="auto"/>
              </w:rPr>
            </w:pPr>
          </w:p>
        </w:tc>
        <w:tc>
          <w:tcPr>
            <w:tcW w:w="960" w:type="dxa"/>
            <w:vAlign w:val="bottom"/>
            <w:gridSpan w:val="2"/>
          </w:tcPr>
          <w:p>
            <w:pPr>
              <w:jc w:val="center"/>
              <w:ind w:right="360"/>
              <w:spacing w:after="0" w:line="99" w:lineRule="exact"/>
              <w:rPr>
                <w:sz w:val="20"/>
                <w:szCs w:val="20"/>
                <w:color w:val="auto"/>
              </w:rPr>
            </w:pPr>
            <w:r>
              <w:rPr>
                <w:rFonts w:ascii="Arial" w:cs="Arial" w:eastAsia="Arial" w:hAnsi="Arial"/>
                <w:sz w:val="9"/>
                <w:szCs w:val="9"/>
                <w:b w:val="1"/>
                <w:bCs w:val="1"/>
                <w:color w:val="auto"/>
                <w:w w:val="88"/>
              </w:rPr>
              <w:t>stockholders’</w:t>
            </w:r>
          </w:p>
        </w:tc>
        <w:tc>
          <w:tcPr>
            <w:tcW w:w="60" w:type="dxa"/>
            <w:vAlign w:val="bottom"/>
          </w:tcPr>
          <w:p>
            <w:pPr>
              <w:spacing w:after="0"/>
              <w:rPr>
                <w:sz w:val="8"/>
                <w:szCs w:val="8"/>
                <w:color w:val="auto"/>
              </w:rPr>
            </w:pPr>
          </w:p>
        </w:tc>
        <w:tc>
          <w:tcPr>
            <w:tcW w:w="960" w:type="dxa"/>
            <w:vAlign w:val="bottom"/>
            <w:gridSpan w:val="2"/>
          </w:tcPr>
          <w:p>
            <w:pPr>
              <w:ind w:left="20"/>
              <w:spacing w:after="0" w:line="99" w:lineRule="exact"/>
              <w:rPr>
                <w:sz w:val="20"/>
                <w:szCs w:val="20"/>
                <w:color w:val="auto"/>
              </w:rPr>
            </w:pPr>
            <w:r>
              <w:rPr>
                <w:rFonts w:ascii="Arial" w:cs="Arial" w:eastAsia="Arial" w:hAnsi="Arial"/>
                <w:sz w:val="9"/>
                <w:szCs w:val="9"/>
                <w:b w:val="1"/>
                <w:bCs w:val="1"/>
                <w:color w:val="auto"/>
              </w:rPr>
              <w:t>Noncontrolling</w:t>
            </w:r>
          </w:p>
        </w:tc>
        <w:tc>
          <w:tcPr>
            <w:tcW w:w="60" w:type="dxa"/>
            <w:vAlign w:val="bottom"/>
          </w:tcPr>
          <w:p>
            <w:pPr>
              <w:spacing w:after="0"/>
              <w:rPr>
                <w:sz w:val="8"/>
                <w:szCs w:val="8"/>
                <w:color w:val="auto"/>
              </w:rPr>
            </w:pPr>
          </w:p>
        </w:tc>
        <w:tc>
          <w:tcPr>
            <w:tcW w:w="680" w:type="dxa"/>
            <w:vAlign w:val="bottom"/>
            <w:gridSpan w:val="2"/>
          </w:tcPr>
          <w:p>
            <w:pPr>
              <w:jc w:val="center"/>
              <w:ind w:right="140"/>
              <w:spacing w:after="0" w:line="99" w:lineRule="exact"/>
              <w:rPr>
                <w:sz w:val="20"/>
                <w:szCs w:val="20"/>
                <w:color w:val="auto"/>
              </w:rPr>
            </w:pPr>
            <w:r>
              <w:rPr>
                <w:rFonts w:ascii="Arial" w:cs="Arial" w:eastAsia="Arial" w:hAnsi="Arial"/>
                <w:sz w:val="9"/>
                <w:szCs w:val="9"/>
                <w:b w:val="1"/>
                <w:bCs w:val="1"/>
                <w:color w:val="auto"/>
                <w:w w:val="85"/>
              </w:rPr>
              <w:t>stockholders’</w:t>
            </w:r>
          </w:p>
        </w:tc>
        <w:tc>
          <w:tcPr>
            <w:tcW w:w="0" w:type="dxa"/>
            <w:vAlign w:val="bottom"/>
          </w:tcPr>
          <w:p>
            <w:pPr>
              <w:spacing w:after="0"/>
              <w:rPr>
                <w:sz w:val="1"/>
                <w:szCs w:val="1"/>
                <w:color w:val="auto"/>
              </w:rPr>
            </w:pPr>
          </w:p>
        </w:tc>
      </w:tr>
      <w:tr>
        <w:trPr>
          <w:trHeight w:val="108"/>
        </w:trPr>
        <w:tc>
          <w:tcPr>
            <w:tcW w:w="3900" w:type="dxa"/>
            <w:vAlign w:val="bottom"/>
          </w:tcPr>
          <w:p>
            <w:pPr>
              <w:spacing w:after="0"/>
              <w:rPr>
                <w:sz w:val="9"/>
                <w:szCs w:val="9"/>
                <w:color w:val="auto"/>
              </w:rPr>
            </w:pPr>
          </w:p>
        </w:tc>
        <w:tc>
          <w:tcPr>
            <w:tcW w:w="860" w:type="dxa"/>
            <w:vAlign w:val="bottom"/>
            <w:gridSpan w:val="3"/>
          </w:tcPr>
          <w:p>
            <w:pPr>
              <w:jc w:val="right"/>
              <w:ind w:right="360"/>
              <w:spacing w:after="0"/>
              <w:rPr>
                <w:sz w:val="20"/>
                <w:szCs w:val="20"/>
                <w:color w:val="auto"/>
              </w:rPr>
            </w:pPr>
            <w:r>
              <w:rPr>
                <w:rFonts w:ascii="Arial" w:cs="Arial" w:eastAsia="Arial" w:hAnsi="Arial"/>
                <w:sz w:val="9"/>
                <w:szCs w:val="9"/>
                <w:b w:val="1"/>
                <w:bCs w:val="1"/>
                <w:color w:val="auto"/>
                <w:w w:val="93"/>
              </w:rPr>
              <w:t>outstanding</w:t>
            </w:r>
          </w:p>
        </w:tc>
        <w:tc>
          <w:tcPr>
            <w:tcW w:w="40" w:type="dxa"/>
            <w:vAlign w:val="bottom"/>
          </w:tcPr>
          <w:p>
            <w:pPr>
              <w:spacing w:after="0"/>
              <w:rPr>
                <w:sz w:val="9"/>
                <w:szCs w:val="9"/>
                <w:color w:val="auto"/>
              </w:rPr>
            </w:pPr>
          </w:p>
        </w:tc>
        <w:tc>
          <w:tcPr>
            <w:tcW w:w="540" w:type="dxa"/>
            <w:vAlign w:val="bottom"/>
            <w:gridSpan w:val="2"/>
          </w:tcPr>
          <w:p>
            <w:pPr>
              <w:jc w:val="right"/>
              <w:ind w:right="320"/>
              <w:spacing w:after="0"/>
              <w:rPr>
                <w:sz w:val="20"/>
                <w:szCs w:val="20"/>
                <w:color w:val="auto"/>
              </w:rPr>
            </w:pPr>
            <w:r>
              <w:rPr>
                <w:rFonts w:ascii="Arial" w:cs="Arial" w:eastAsia="Arial" w:hAnsi="Arial"/>
                <w:sz w:val="9"/>
                <w:szCs w:val="9"/>
                <w:b w:val="1"/>
                <w:bCs w:val="1"/>
                <w:color w:val="auto"/>
                <w:w w:val="86"/>
              </w:rPr>
              <w:t>value</w:t>
            </w:r>
          </w:p>
        </w:tc>
        <w:tc>
          <w:tcPr>
            <w:tcW w:w="80" w:type="dxa"/>
            <w:vAlign w:val="bottom"/>
          </w:tcPr>
          <w:p>
            <w:pPr>
              <w:spacing w:after="0"/>
              <w:rPr>
                <w:sz w:val="9"/>
                <w:szCs w:val="9"/>
                <w:color w:val="auto"/>
              </w:rPr>
            </w:pPr>
          </w:p>
        </w:tc>
        <w:tc>
          <w:tcPr>
            <w:tcW w:w="760" w:type="dxa"/>
            <w:vAlign w:val="bottom"/>
            <w:gridSpan w:val="2"/>
          </w:tcPr>
          <w:p>
            <w:pPr>
              <w:jc w:val="right"/>
              <w:ind w:right="421"/>
              <w:spacing w:after="0"/>
              <w:rPr>
                <w:sz w:val="20"/>
                <w:szCs w:val="20"/>
                <w:color w:val="auto"/>
              </w:rPr>
            </w:pPr>
            <w:r>
              <w:rPr>
                <w:rFonts w:ascii="Arial" w:cs="Arial" w:eastAsia="Arial" w:hAnsi="Arial"/>
                <w:sz w:val="9"/>
                <w:szCs w:val="9"/>
                <w:b w:val="1"/>
                <w:bCs w:val="1"/>
                <w:color w:val="auto"/>
              </w:rPr>
              <w:t>stock</w:t>
            </w:r>
          </w:p>
        </w:tc>
        <w:tc>
          <w:tcPr>
            <w:tcW w:w="40" w:type="dxa"/>
            <w:vAlign w:val="bottom"/>
          </w:tcPr>
          <w:p>
            <w:pPr>
              <w:spacing w:after="0"/>
              <w:rPr>
                <w:sz w:val="9"/>
                <w:szCs w:val="9"/>
                <w:color w:val="auto"/>
              </w:rPr>
            </w:pPr>
          </w:p>
        </w:tc>
        <w:tc>
          <w:tcPr>
            <w:tcW w:w="620" w:type="dxa"/>
            <w:vAlign w:val="bottom"/>
            <w:gridSpan w:val="2"/>
          </w:tcPr>
          <w:p>
            <w:pPr>
              <w:jc w:val="right"/>
              <w:ind w:right="280"/>
              <w:spacing w:after="0"/>
              <w:rPr>
                <w:sz w:val="20"/>
                <w:szCs w:val="20"/>
                <w:color w:val="auto"/>
              </w:rPr>
            </w:pPr>
            <w:r>
              <w:rPr>
                <w:rFonts w:ascii="Arial" w:cs="Arial" w:eastAsia="Arial" w:hAnsi="Arial"/>
                <w:sz w:val="9"/>
                <w:szCs w:val="9"/>
                <w:b w:val="1"/>
                <w:bCs w:val="1"/>
                <w:color w:val="auto"/>
              </w:rPr>
              <w:t>capital</w:t>
            </w: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940" w:type="dxa"/>
            <w:vAlign w:val="bottom"/>
            <w:gridSpan w:val="2"/>
          </w:tcPr>
          <w:p>
            <w:pPr>
              <w:jc w:val="center"/>
              <w:ind w:right="340"/>
              <w:spacing w:after="0"/>
              <w:rPr>
                <w:sz w:val="20"/>
                <w:szCs w:val="20"/>
                <w:color w:val="auto"/>
              </w:rPr>
            </w:pPr>
            <w:r>
              <w:rPr>
                <w:rFonts w:ascii="Arial" w:cs="Arial" w:eastAsia="Arial" w:hAnsi="Arial"/>
                <w:sz w:val="9"/>
                <w:szCs w:val="9"/>
                <w:b w:val="1"/>
                <w:bCs w:val="1"/>
                <w:color w:val="auto"/>
                <w:w w:val="88"/>
              </w:rPr>
              <w:t>income</w:t>
            </w:r>
          </w:p>
        </w:tc>
        <w:tc>
          <w:tcPr>
            <w:tcW w:w="40" w:type="dxa"/>
            <w:vAlign w:val="bottom"/>
          </w:tcPr>
          <w:p>
            <w:pPr>
              <w:spacing w:after="0"/>
              <w:rPr>
                <w:sz w:val="9"/>
                <w:szCs w:val="9"/>
                <w:color w:val="auto"/>
              </w:rPr>
            </w:pPr>
          </w:p>
        </w:tc>
        <w:tc>
          <w:tcPr>
            <w:tcW w:w="700" w:type="dxa"/>
            <w:vAlign w:val="bottom"/>
            <w:gridSpan w:val="2"/>
          </w:tcPr>
          <w:p>
            <w:pPr>
              <w:jc w:val="right"/>
              <w:ind w:right="360"/>
              <w:spacing w:after="0"/>
              <w:rPr>
                <w:sz w:val="20"/>
                <w:szCs w:val="20"/>
                <w:color w:val="auto"/>
              </w:rPr>
            </w:pPr>
            <w:r>
              <w:rPr>
                <w:rFonts w:ascii="Arial" w:cs="Arial" w:eastAsia="Arial" w:hAnsi="Arial"/>
                <w:sz w:val="9"/>
                <w:szCs w:val="9"/>
                <w:b w:val="1"/>
                <w:bCs w:val="1"/>
                <w:color w:val="auto"/>
                <w:w w:val="85"/>
              </w:rPr>
              <w:t>earnings</w:t>
            </w:r>
          </w:p>
        </w:tc>
        <w:tc>
          <w:tcPr>
            <w:tcW w:w="60" w:type="dxa"/>
            <w:vAlign w:val="bottom"/>
          </w:tcPr>
          <w:p>
            <w:pPr>
              <w:spacing w:after="0"/>
              <w:rPr>
                <w:sz w:val="9"/>
                <w:szCs w:val="9"/>
                <w:color w:val="auto"/>
              </w:rPr>
            </w:pPr>
          </w:p>
        </w:tc>
        <w:tc>
          <w:tcPr>
            <w:tcW w:w="960" w:type="dxa"/>
            <w:vAlign w:val="bottom"/>
            <w:gridSpan w:val="2"/>
          </w:tcPr>
          <w:p>
            <w:pPr>
              <w:jc w:val="center"/>
              <w:ind w:right="360"/>
              <w:spacing w:after="0"/>
              <w:rPr>
                <w:sz w:val="20"/>
                <w:szCs w:val="20"/>
                <w:color w:val="auto"/>
              </w:rPr>
            </w:pPr>
            <w:r>
              <w:rPr>
                <w:rFonts w:ascii="Arial" w:cs="Arial" w:eastAsia="Arial" w:hAnsi="Arial"/>
                <w:sz w:val="9"/>
                <w:szCs w:val="9"/>
                <w:b w:val="1"/>
                <w:bCs w:val="1"/>
                <w:color w:val="auto"/>
                <w:w w:val="90"/>
              </w:rPr>
              <w:t>equity (deficit)</w:t>
            </w:r>
          </w:p>
        </w:tc>
        <w:tc>
          <w:tcPr>
            <w:tcW w:w="60" w:type="dxa"/>
            <w:vAlign w:val="bottom"/>
          </w:tcPr>
          <w:p>
            <w:pPr>
              <w:spacing w:after="0"/>
              <w:rPr>
                <w:sz w:val="9"/>
                <w:szCs w:val="9"/>
                <w:color w:val="auto"/>
              </w:rPr>
            </w:pPr>
          </w:p>
        </w:tc>
        <w:tc>
          <w:tcPr>
            <w:tcW w:w="960" w:type="dxa"/>
            <w:vAlign w:val="bottom"/>
            <w:gridSpan w:val="2"/>
          </w:tcPr>
          <w:p>
            <w:pPr>
              <w:ind w:left="160"/>
              <w:spacing w:after="0"/>
              <w:rPr>
                <w:sz w:val="20"/>
                <w:szCs w:val="20"/>
                <w:color w:val="auto"/>
              </w:rPr>
            </w:pPr>
            <w:r>
              <w:rPr>
                <w:rFonts w:ascii="Arial" w:cs="Arial" w:eastAsia="Arial" w:hAnsi="Arial"/>
                <w:sz w:val="9"/>
                <w:szCs w:val="9"/>
                <w:b w:val="1"/>
                <w:bCs w:val="1"/>
                <w:color w:val="auto"/>
              </w:rPr>
              <w:t>interest</w:t>
            </w:r>
          </w:p>
        </w:tc>
        <w:tc>
          <w:tcPr>
            <w:tcW w:w="60" w:type="dxa"/>
            <w:vAlign w:val="bottom"/>
          </w:tcPr>
          <w:p>
            <w:pPr>
              <w:spacing w:after="0"/>
              <w:rPr>
                <w:sz w:val="9"/>
                <w:szCs w:val="9"/>
                <w:color w:val="auto"/>
              </w:rPr>
            </w:pPr>
          </w:p>
        </w:tc>
        <w:tc>
          <w:tcPr>
            <w:tcW w:w="680" w:type="dxa"/>
            <w:vAlign w:val="bottom"/>
            <w:gridSpan w:val="2"/>
          </w:tcPr>
          <w:p>
            <w:pPr>
              <w:jc w:val="center"/>
              <w:ind w:right="120"/>
              <w:spacing w:after="0"/>
              <w:rPr>
                <w:sz w:val="20"/>
                <w:szCs w:val="20"/>
                <w:color w:val="auto"/>
              </w:rPr>
            </w:pPr>
            <w:r>
              <w:rPr>
                <w:rFonts w:ascii="Arial" w:cs="Arial" w:eastAsia="Arial" w:hAnsi="Arial"/>
                <w:sz w:val="9"/>
                <w:szCs w:val="9"/>
                <w:b w:val="1"/>
                <w:bCs w:val="1"/>
                <w:color w:val="auto"/>
                <w:w w:val="90"/>
              </w:rPr>
              <w:t>equity</w:t>
            </w:r>
          </w:p>
        </w:tc>
        <w:tc>
          <w:tcPr>
            <w:tcW w:w="0" w:type="dxa"/>
            <w:vAlign w:val="bottom"/>
          </w:tcPr>
          <w:p>
            <w:pPr>
              <w:spacing w:after="0"/>
              <w:rPr>
                <w:sz w:val="1"/>
                <w:szCs w:val="1"/>
                <w:color w:val="auto"/>
              </w:rPr>
            </w:pPr>
          </w:p>
        </w:tc>
      </w:tr>
      <w:tr>
        <w:trPr>
          <w:trHeight w:val="88"/>
        </w:trPr>
        <w:tc>
          <w:tcPr>
            <w:tcW w:w="3900" w:type="dxa"/>
            <w:vAlign w:val="bottom"/>
            <w:tcBorders>
              <w:top w:val="single" w:sz="8" w:color="CCEEFF"/>
            </w:tcBorders>
            <w:shd w:val="clear" w:color="auto" w:fill="CCEEFF"/>
          </w:tcPr>
          <w:p>
            <w:pPr>
              <w:spacing w:after="0" w:line="88" w:lineRule="exact"/>
              <w:rPr>
                <w:sz w:val="20"/>
                <w:szCs w:val="20"/>
                <w:color w:val="auto"/>
              </w:rPr>
            </w:pPr>
            <w:r>
              <w:rPr>
                <w:rFonts w:ascii="Arial" w:cs="Arial" w:eastAsia="Arial" w:hAnsi="Arial"/>
                <w:sz w:val="9"/>
                <w:szCs w:val="9"/>
                <w:b w:val="1"/>
                <w:bCs w:val="1"/>
                <w:color w:val="auto"/>
              </w:rPr>
              <w:t>Balances, January 1, 2013</w:t>
            </w:r>
          </w:p>
        </w:tc>
        <w:tc>
          <w:tcPr>
            <w:tcW w:w="560" w:type="dxa"/>
            <w:vAlign w:val="bottom"/>
            <w:tcBorders>
              <w:top w:val="single" w:sz="8" w:color="auto"/>
            </w:tcBorders>
            <w:shd w:val="clear" w:color="auto" w:fill="CCEEFF"/>
          </w:tcPr>
          <w:p>
            <w:pPr>
              <w:jc w:val="right"/>
              <w:spacing w:after="0" w:line="88" w:lineRule="exact"/>
              <w:rPr>
                <w:sz w:val="20"/>
                <w:szCs w:val="20"/>
                <w:color w:val="auto"/>
              </w:rPr>
            </w:pPr>
            <w:r>
              <w:rPr>
                <w:rFonts w:ascii="Arial" w:cs="Arial" w:eastAsia="Arial" w:hAnsi="Arial"/>
                <w:sz w:val="9"/>
                <w:szCs w:val="9"/>
                <w:b w:val="1"/>
                <w:bCs w:val="1"/>
                <w:color w:val="auto"/>
              </w:rPr>
              <w:t>100,866,712</w:t>
            </w:r>
          </w:p>
        </w:tc>
        <w:tc>
          <w:tcPr>
            <w:tcW w:w="20" w:type="dxa"/>
            <w:vAlign w:val="bottom"/>
            <w:tcBorders>
              <w:top w:val="single" w:sz="8" w:color="CCEEFF"/>
            </w:tcBorders>
            <w:shd w:val="clear" w:color="auto" w:fill="CCEEFF"/>
          </w:tcPr>
          <w:p>
            <w:pPr>
              <w:spacing w:after="0"/>
              <w:rPr>
                <w:sz w:val="7"/>
                <w:szCs w:val="7"/>
                <w:color w:val="auto"/>
              </w:rPr>
            </w:pPr>
          </w:p>
        </w:tc>
        <w:tc>
          <w:tcPr>
            <w:tcW w:w="280" w:type="dxa"/>
            <w:vAlign w:val="bottom"/>
            <w:tcBorders>
              <w:top w:val="single" w:sz="8" w:color="CCEEFF"/>
            </w:tcBorders>
            <w:shd w:val="clear" w:color="auto" w:fill="CCEEFF"/>
          </w:tcPr>
          <w:p>
            <w:pPr>
              <w:spacing w:after="0"/>
              <w:rPr>
                <w:sz w:val="7"/>
                <w:szCs w:val="7"/>
                <w:color w:val="auto"/>
              </w:rPr>
            </w:pPr>
          </w:p>
        </w:tc>
        <w:tc>
          <w:tcPr>
            <w:tcW w:w="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5"/>
                <w:szCs w:val="5"/>
                <w:b w:val="1"/>
                <w:bCs w:val="1"/>
                <w:color w:val="auto"/>
                <w:w w:val="70"/>
              </w:rPr>
              <w:t>$</w:t>
            </w:r>
          </w:p>
        </w:tc>
        <w:tc>
          <w:tcPr>
            <w:tcW w:w="260" w:type="dxa"/>
            <w:vAlign w:val="bottom"/>
            <w:tcBorders>
              <w:top w:val="single" w:sz="8" w:color="auto"/>
            </w:tcBorders>
            <w:shd w:val="clear" w:color="auto" w:fill="CCEEFF"/>
          </w:tcPr>
          <w:p>
            <w:pPr>
              <w:jc w:val="right"/>
              <w:spacing w:after="0" w:line="88" w:lineRule="exact"/>
              <w:rPr>
                <w:sz w:val="20"/>
                <w:szCs w:val="20"/>
                <w:color w:val="auto"/>
              </w:rPr>
            </w:pPr>
            <w:r>
              <w:rPr>
                <w:rFonts w:ascii="Arial" w:cs="Arial" w:eastAsia="Arial" w:hAnsi="Arial"/>
                <w:sz w:val="9"/>
                <w:szCs w:val="9"/>
                <w:b w:val="1"/>
                <w:bCs w:val="1"/>
                <w:color w:val="auto"/>
              </w:rPr>
              <w:t>1,137</w:t>
            </w:r>
          </w:p>
        </w:tc>
        <w:tc>
          <w:tcPr>
            <w:tcW w:w="280" w:type="dxa"/>
            <w:vAlign w:val="bottom"/>
            <w:tcBorders>
              <w:top w:val="single" w:sz="8" w:color="CCEEFF"/>
            </w:tcBorders>
            <w:shd w:val="clear" w:color="auto" w:fill="CCEEFF"/>
          </w:tcPr>
          <w:p>
            <w:pPr>
              <w:spacing w:after="0"/>
              <w:rPr>
                <w:sz w:val="7"/>
                <w:szCs w:val="7"/>
                <w:color w:val="auto"/>
              </w:rPr>
            </w:pPr>
          </w:p>
        </w:tc>
        <w:tc>
          <w:tcPr>
            <w:tcW w:w="80" w:type="dxa"/>
            <w:vAlign w:val="bottom"/>
            <w:tcBorders>
              <w:top w:val="single" w:sz="8" w:color="auto"/>
            </w:tcBorders>
            <w:shd w:val="clear" w:color="auto" w:fill="CCEEFF"/>
          </w:tcPr>
          <w:p>
            <w:pPr>
              <w:jc w:val="right"/>
              <w:ind w:right="17"/>
              <w:spacing w:after="0"/>
              <w:rPr>
                <w:sz w:val="20"/>
                <w:szCs w:val="20"/>
                <w:color w:val="auto"/>
              </w:rPr>
            </w:pPr>
            <w:r>
              <w:rPr>
                <w:rFonts w:ascii="Arial" w:cs="Arial" w:eastAsia="Arial" w:hAnsi="Arial"/>
                <w:sz w:val="5"/>
                <w:szCs w:val="5"/>
                <w:b w:val="1"/>
                <w:bCs w:val="1"/>
                <w:color w:val="auto"/>
                <w:w w:val="70"/>
              </w:rPr>
              <w:t>$</w:t>
            </w:r>
          </w:p>
        </w:tc>
        <w:tc>
          <w:tcPr>
            <w:tcW w:w="460" w:type="dxa"/>
            <w:vAlign w:val="bottom"/>
            <w:tcBorders>
              <w:top w:val="single" w:sz="8" w:color="auto"/>
            </w:tcBorders>
            <w:shd w:val="clear" w:color="auto" w:fill="CCEEFF"/>
          </w:tcPr>
          <w:p>
            <w:pPr>
              <w:jc w:val="right"/>
              <w:spacing w:after="0" w:line="88" w:lineRule="exact"/>
              <w:rPr>
                <w:sz w:val="20"/>
                <w:szCs w:val="20"/>
                <w:color w:val="auto"/>
              </w:rPr>
            </w:pPr>
            <w:r>
              <w:rPr>
                <w:rFonts w:ascii="Arial" w:cs="Arial" w:eastAsia="Arial" w:hAnsi="Arial"/>
                <w:sz w:val="9"/>
                <w:szCs w:val="9"/>
                <w:b w:val="1"/>
                <w:bCs w:val="1"/>
                <w:color w:val="auto"/>
                <w:w w:val="95"/>
              </w:rPr>
              <w:t>(1,127,947)</w:t>
            </w:r>
          </w:p>
        </w:tc>
        <w:tc>
          <w:tcPr>
            <w:tcW w:w="300" w:type="dxa"/>
            <w:vAlign w:val="bottom"/>
            <w:tcBorders>
              <w:top w:val="single" w:sz="8" w:color="CCEEFF"/>
            </w:tcBorders>
            <w:shd w:val="clear" w:color="auto" w:fill="CCEEFF"/>
          </w:tcPr>
          <w:p>
            <w:pPr>
              <w:spacing w:after="0"/>
              <w:rPr>
                <w:sz w:val="7"/>
                <w:szCs w:val="7"/>
                <w:color w:val="auto"/>
              </w:rPr>
            </w:pPr>
          </w:p>
        </w:tc>
        <w:tc>
          <w:tcPr>
            <w:tcW w:w="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5"/>
                <w:szCs w:val="5"/>
                <w:b w:val="1"/>
                <w:bCs w:val="1"/>
                <w:color w:val="auto"/>
                <w:w w:val="70"/>
              </w:rPr>
              <w:t>$</w:t>
            </w:r>
          </w:p>
        </w:tc>
        <w:tc>
          <w:tcPr>
            <w:tcW w:w="460" w:type="dxa"/>
            <w:vAlign w:val="bottom"/>
            <w:tcBorders>
              <w:top w:val="single" w:sz="8" w:color="auto"/>
            </w:tcBorders>
            <w:shd w:val="clear" w:color="auto" w:fill="CCEEFF"/>
          </w:tcPr>
          <w:p>
            <w:pPr>
              <w:jc w:val="right"/>
              <w:spacing w:after="0" w:line="88" w:lineRule="exact"/>
              <w:rPr>
                <w:sz w:val="20"/>
                <w:szCs w:val="20"/>
                <w:color w:val="auto"/>
              </w:rPr>
            </w:pPr>
            <w:r>
              <w:rPr>
                <w:rFonts w:ascii="Arial" w:cs="Arial" w:eastAsia="Arial" w:hAnsi="Arial"/>
                <w:sz w:val="9"/>
                <w:szCs w:val="9"/>
                <w:b w:val="1"/>
                <w:bCs w:val="1"/>
                <w:color w:val="auto"/>
              </w:rPr>
              <w:t>818,821</w:t>
            </w:r>
          </w:p>
        </w:tc>
        <w:tc>
          <w:tcPr>
            <w:tcW w:w="160" w:type="dxa"/>
            <w:vAlign w:val="bottom"/>
            <w:tcBorders>
              <w:top w:val="single" w:sz="8" w:color="CCEEFF"/>
            </w:tcBorders>
            <w:shd w:val="clear" w:color="auto" w:fill="CCEEFF"/>
          </w:tcPr>
          <w:p>
            <w:pPr>
              <w:spacing w:after="0"/>
              <w:rPr>
                <w:sz w:val="7"/>
                <w:szCs w:val="7"/>
                <w:color w:val="auto"/>
              </w:rPr>
            </w:pPr>
          </w:p>
        </w:tc>
        <w:tc>
          <w:tcPr>
            <w:tcW w:w="120" w:type="dxa"/>
            <w:vAlign w:val="bottom"/>
            <w:tcBorders>
              <w:top w:val="single" w:sz="8" w:color="CCEEFF"/>
            </w:tcBorders>
            <w:shd w:val="clear" w:color="auto" w:fill="CCEEFF"/>
          </w:tcPr>
          <w:p>
            <w:pPr>
              <w:spacing w:after="0"/>
              <w:rPr>
                <w:sz w:val="7"/>
                <w:szCs w:val="7"/>
                <w:color w:val="auto"/>
              </w:rPr>
            </w:pPr>
          </w:p>
        </w:tc>
        <w:tc>
          <w:tcPr>
            <w:tcW w:w="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5"/>
                <w:szCs w:val="5"/>
                <w:b w:val="1"/>
                <w:bCs w:val="1"/>
                <w:color w:val="auto"/>
                <w:w w:val="70"/>
              </w:rPr>
              <w:t>$</w:t>
            </w:r>
          </w:p>
        </w:tc>
        <w:tc>
          <w:tcPr>
            <w:tcW w:w="640" w:type="dxa"/>
            <w:vAlign w:val="bottom"/>
            <w:tcBorders>
              <w:top w:val="single" w:sz="8" w:color="auto"/>
            </w:tcBorders>
            <w:shd w:val="clear" w:color="auto" w:fill="CCEEFF"/>
          </w:tcPr>
          <w:p>
            <w:pPr>
              <w:jc w:val="center"/>
              <w:ind w:left="395"/>
              <w:spacing w:after="0" w:line="88" w:lineRule="exact"/>
              <w:rPr>
                <w:sz w:val="20"/>
                <w:szCs w:val="20"/>
                <w:color w:val="auto"/>
              </w:rPr>
            </w:pPr>
            <w:r>
              <w:rPr>
                <w:rFonts w:ascii="Arial" w:cs="Arial" w:eastAsia="Arial" w:hAnsi="Arial"/>
                <w:sz w:val="9"/>
                <w:szCs w:val="9"/>
                <w:b w:val="1"/>
                <w:bCs w:val="1"/>
                <w:color w:val="auto"/>
                <w:w w:val="88"/>
              </w:rPr>
              <w:t>4,177</w:t>
            </w:r>
          </w:p>
        </w:tc>
        <w:tc>
          <w:tcPr>
            <w:tcW w:w="300" w:type="dxa"/>
            <w:vAlign w:val="bottom"/>
            <w:tcBorders>
              <w:top w:val="single" w:sz="8" w:color="CCEEFF"/>
            </w:tcBorders>
            <w:shd w:val="clear" w:color="auto" w:fill="CCEEFF"/>
          </w:tcPr>
          <w:p>
            <w:pPr>
              <w:spacing w:after="0"/>
              <w:rPr>
                <w:sz w:val="7"/>
                <w:szCs w:val="7"/>
                <w:color w:val="auto"/>
              </w:rPr>
            </w:pPr>
          </w:p>
        </w:tc>
        <w:tc>
          <w:tcPr>
            <w:tcW w:w="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5"/>
                <w:szCs w:val="5"/>
                <w:b w:val="1"/>
                <w:bCs w:val="1"/>
                <w:color w:val="auto"/>
                <w:w w:val="70"/>
              </w:rPr>
              <w:t>$</w:t>
            </w:r>
          </w:p>
        </w:tc>
        <w:tc>
          <w:tcPr>
            <w:tcW w:w="400" w:type="dxa"/>
            <w:vAlign w:val="bottom"/>
            <w:tcBorders>
              <w:top w:val="single" w:sz="8" w:color="auto"/>
            </w:tcBorders>
            <w:shd w:val="clear" w:color="auto" w:fill="CCEEFF"/>
          </w:tcPr>
          <w:p>
            <w:pPr>
              <w:jc w:val="right"/>
              <w:spacing w:after="0" w:line="88" w:lineRule="exact"/>
              <w:rPr>
                <w:sz w:val="20"/>
                <w:szCs w:val="20"/>
                <w:color w:val="auto"/>
              </w:rPr>
            </w:pPr>
            <w:r>
              <w:rPr>
                <w:rFonts w:ascii="Arial" w:cs="Arial" w:eastAsia="Arial" w:hAnsi="Arial"/>
                <w:sz w:val="9"/>
                <w:szCs w:val="9"/>
                <w:b w:val="1"/>
                <w:bCs w:val="1"/>
                <w:color w:val="auto"/>
              </w:rPr>
              <w:t>44,775</w:t>
            </w:r>
          </w:p>
        </w:tc>
        <w:tc>
          <w:tcPr>
            <w:tcW w:w="300" w:type="dxa"/>
            <w:vAlign w:val="bottom"/>
            <w:tcBorders>
              <w:top w:val="single" w:sz="8" w:color="CCEEFF"/>
            </w:tcBorders>
            <w:shd w:val="clear" w:color="auto" w:fill="CCEEFF"/>
          </w:tcPr>
          <w:p>
            <w:pPr>
              <w:spacing w:after="0"/>
              <w:rPr>
                <w:sz w:val="7"/>
                <w:szCs w:val="7"/>
                <w:color w:val="auto"/>
              </w:rPr>
            </w:pPr>
          </w:p>
        </w:tc>
        <w:tc>
          <w:tcPr>
            <w:tcW w:w="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5"/>
                <w:szCs w:val="5"/>
                <w:b w:val="1"/>
                <w:bCs w:val="1"/>
                <w:color w:val="auto"/>
                <w:w w:val="70"/>
              </w:rPr>
              <w:t>$</w:t>
            </w:r>
          </w:p>
        </w:tc>
        <w:tc>
          <w:tcPr>
            <w:tcW w:w="680" w:type="dxa"/>
            <w:vAlign w:val="bottom"/>
            <w:tcBorders>
              <w:top w:val="single" w:sz="8" w:color="auto"/>
            </w:tcBorders>
            <w:shd w:val="clear" w:color="auto" w:fill="CCEEFF"/>
          </w:tcPr>
          <w:p>
            <w:pPr>
              <w:jc w:val="right"/>
              <w:spacing w:after="0" w:line="88" w:lineRule="exact"/>
              <w:rPr>
                <w:sz w:val="20"/>
                <w:szCs w:val="20"/>
                <w:color w:val="auto"/>
              </w:rPr>
            </w:pPr>
            <w:r>
              <w:rPr>
                <w:rFonts w:ascii="Arial" w:cs="Arial" w:eastAsia="Arial" w:hAnsi="Arial"/>
                <w:sz w:val="9"/>
                <w:szCs w:val="9"/>
                <w:b w:val="1"/>
                <w:bCs w:val="1"/>
                <w:color w:val="auto"/>
              </w:rPr>
              <w:t>(259,037)</w:t>
            </w:r>
          </w:p>
        </w:tc>
        <w:tc>
          <w:tcPr>
            <w:tcW w:w="280" w:type="dxa"/>
            <w:vAlign w:val="bottom"/>
            <w:tcBorders>
              <w:top w:val="single" w:sz="8" w:color="CCEEFF"/>
            </w:tcBorders>
            <w:shd w:val="clear" w:color="auto" w:fill="CCEEFF"/>
          </w:tcPr>
          <w:p>
            <w:pPr>
              <w:spacing w:after="0"/>
              <w:rPr>
                <w:sz w:val="7"/>
                <w:szCs w:val="7"/>
                <w:color w:val="auto"/>
              </w:rPr>
            </w:pPr>
          </w:p>
        </w:tc>
        <w:tc>
          <w:tcPr>
            <w:tcW w:w="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5"/>
                <w:szCs w:val="5"/>
                <w:b w:val="1"/>
                <w:bCs w:val="1"/>
                <w:color w:val="auto"/>
                <w:w w:val="70"/>
              </w:rPr>
              <w:t>$</w:t>
            </w:r>
          </w:p>
        </w:tc>
        <w:tc>
          <w:tcPr>
            <w:tcW w:w="660" w:type="dxa"/>
            <w:vAlign w:val="bottom"/>
            <w:tcBorders>
              <w:top w:val="single" w:sz="8" w:color="auto"/>
            </w:tcBorders>
            <w:shd w:val="clear" w:color="auto" w:fill="CCEEFF"/>
          </w:tcPr>
          <w:p>
            <w:pPr>
              <w:ind w:left="380"/>
              <w:spacing w:after="0" w:line="88" w:lineRule="exact"/>
              <w:rPr>
                <w:sz w:val="20"/>
                <w:szCs w:val="20"/>
                <w:color w:val="auto"/>
              </w:rPr>
            </w:pPr>
            <w:r>
              <w:rPr>
                <w:rFonts w:ascii="Arial" w:cs="Arial" w:eastAsia="Arial" w:hAnsi="Arial"/>
                <w:sz w:val="9"/>
                <w:szCs w:val="9"/>
                <w:b w:val="1"/>
                <w:bCs w:val="1"/>
                <w:color w:val="auto"/>
                <w:w w:val="79"/>
              </w:rPr>
              <w:t>362,969</w:t>
            </w:r>
          </w:p>
        </w:tc>
        <w:tc>
          <w:tcPr>
            <w:tcW w:w="300" w:type="dxa"/>
            <w:vAlign w:val="bottom"/>
            <w:tcBorders>
              <w:top w:val="single" w:sz="8" w:color="CCEEFF"/>
            </w:tcBorders>
            <w:shd w:val="clear" w:color="auto" w:fill="CCEEFF"/>
          </w:tcPr>
          <w:p>
            <w:pPr>
              <w:spacing w:after="0"/>
              <w:rPr>
                <w:sz w:val="7"/>
                <w:szCs w:val="7"/>
                <w:color w:val="auto"/>
              </w:rPr>
            </w:pPr>
          </w:p>
        </w:tc>
        <w:tc>
          <w:tcPr>
            <w:tcW w:w="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5"/>
                <w:szCs w:val="5"/>
                <w:b w:val="1"/>
                <w:bCs w:val="1"/>
                <w:color w:val="auto"/>
                <w:w w:val="70"/>
              </w:rPr>
              <w:t>$</w:t>
            </w:r>
          </w:p>
        </w:tc>
        <w:tc>
          <w:tcPr>
            <w:tcW w:w="600" w:type="dxa"/>
            <w:vAlign w:val="bottom"/>
            <w:tcBorders>
              <w:top w:val="single" w:sz="8" w:color="auto"/>
            </w:tcBorders>
            <w:shd w:val="clear" w:color="auto" w:fill="CCEEFF"/>
          </w:tcPr>
          <w:p>
            <w:pPr>
              <w:jc w:val="right"/>
              <w:spacing w:after="0" w:line="88" w:lineRule="exact"/>
              <w:rPr>
                <w:sz w:val="20"/>
                <w:szCs w:val="20"/>
                <w:color w:val="auto"/>
              </w:rPr>
            </w:pPr>
            <w:r>
              <w:rPr>
                <w:rFonts w:ascii="Arial" w:cs="Arial" w:eastAsia="Arial" w:hAnsi="Arial"/>
                <w:sz w:val="9"/>
                <w:szCs w:val="9"/>
                <w:b w:val="1"/>
                <w:bCs w:val="1"/>
                <w:color w:val="auto"/>
              </w:rPr>
              <w:t>103,932</w:t>
            </w:r>
          </w:p>
        </w:tc>
        <w:tc>
          <w:tcPr>
            <w:tcW w:w="80" w:type="dxa"/>
            <w:vAlign w:val="bottom"/>
            <w:tcBorders>
              <w:top w:val="single" w:sz="8" w:color="CCEEFF"/>
            </w:tcBorders>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71"/>
        </w:trPr>
        <w:tc>
          <w:tcPr>
            <w:tcW w:w="3900" w:type="dxa"/>
            <w:vAlign w:val="bottom"/>
          </w:tcPr>
          <w:p>
            <w:pPr>
              <w:spacing w:after="0"/>
              <w:rPr>
                <w:sz w:val="20"/>
                <w:szCs w:val="20"/>
                <w:color w:val="auto"/>
              </w:rPr>
            </w:pPr>
            <w:r>
              <w:rPr>
                <w:rFonts w:ascii="Arial" w:cs="Arial" w:eastAsia="Arial" w:hAnsi="Arial"/>
                <w:sz w:val="9"/>
                <w:szCs w:val="9"/>
                <w:b w:val="1"/>
                <w:bCs w:val="1"/>
                <w:color w:val="auto"/>
              </w:rPr>
              <w:t>Net income</w:t>
            </w:r>
          </w:p>
        </w:tc>
        <w:tc>
          <w:tcPr>
            <w:tcW w:w="860" w:type="dxa"/>
            <w:vAlign w:val="bottom"/>
            <w:gridSpan w:val="3"/>
          </w:tcPr>
          <w:p>
            <w:pPr>
              <w:jc w:val="right"/>
              <w:ind w:right="340"/>
              <w:spacing w:after="0"/>
              <w:rPr>
                <w:sz w:val="20"/>
                <w:szCs w:val="20"/>
                <w:color w:val="auto"/>
              </w:rPr>
            </w:pPr>
            <w:r>
              <w:rPr>
                <w:rFonts w:ascii="Arial" w:cs="Arial" w:eastAsia="Arial" w:hAnsi="Arial"/>
                <w:sz w:val="9"/>
                <w:szCs w:val="9"/>
                <w:b w:val="1"/>
                <w:bCs w:val="1"/>
                <w:color w:val="auto"/>
              </w:rPr>
              <w:t>—</w:t>
            </w:r>
          </w:p>
        </w:tc>
        <w:tc>
          <w:tcPr>
            <w:tcW w:w="40" w:type="dxa"/>
            <w:vAlign w:val="bottom"/>
          </w:tcPr>
          <w:p>
            <w:pPr>
              <w:spacing w:after="0"/>
              <w:rPr>
                <w:sz w:val="14"/>
                <w:szCs w:val="14"/>
                <w:color w:val="auto"/>
              </w:rPr>
            </w:pPr>
          </w:p>
        </w:tc>
        <w:tc>
          <w:tcPr>
            <w:tcW w:w="540" w:type="dxa"/>
            <w:vAlign w:val="bottom"/>
            <w:gridSpan w:val="2"/>
          </w:tcPr>
          <w:p>
            <w:pPr>
              <w:jc w:val="right"/>
              <w:ind w:right="320"/>
              <w:spacing w:after="0"/>
              <w:rPr>
                <w:sz w:val="20"/>
                <w:szCs w:val="20"/>
                <w:color w:val="auto"/>
              </w:rPr>
            </w:pPr>
            <w:r>
              <w:rPr>
                <w:rFonts w:ascii="Arial" w:cs="Arial" w:eastAsia="Arial" w:hAnsi="Arial"/>
                <w:sz w:val="9"/>
                <w:szCs w:val="9"/>
                <w:b w:val="1"/>
                <w:bCs w:val="1"/>
                <w:color w:val="auto"/>
              </w:rPr>
              <w:t>—</w:t>
            </w:r>
          </w:p>
        </w:tc>
        <w:tc>
          <w:tcPr>
            <w:tcW w:w="80" w:type="dxa"/>
            <w:vAlign w:val="bottom"/>
          </w:tcPr>
          <w:p>
            <w:pPr>
              <w:spacing w:after="0"/>
              <w:rPr>
                <w:sz w:val="14"/>
                <w:szCs w:val="14"/>
                <w:color w:val="auto"/>
              </w:rPr>
            </w:pPr>
          </w:p>
        </w:tc>
        <w:tc>
          <w:tcPr>
            <w:tcW w:w="760" w:type="dxa"/>
            <w:vAlign w:val="bottom"/>
            <w:gridSpan w:val="2"/>
          </w:tcPr>
          <w:p>
            <w:pPr>
              <w:jc w:val="right"/>
              <w:ind w:right="301"/>
              <w:spacing w:after="0"/>
              <w:rPr>
                <w:sz w:val="20"/>
                <w:szCs w:val="20"/>
                <w:color w:val="auto"/>
              </w:rPr>
            </w:pPr>
            <w:r>
              <w:rPr>
                <w:rFonts w:ascii="Arial" w:cs="Arial" w:eastAsia="Arial" w:hAnsi="Arial"/>
                <w:sz w:val="9"/>
                <w:szCs w:val="9"/>
                <w:b w:val="1"/>
                <w:bCs w:val="1"/>
                <w:color w:val="auto"/>
              </w:rPr>
              <w:t>—</w:t>
            </w:r>
          </w:p>
        </w:tc>
        <w:tc>
          <w:tcPr>
            <w:tcW w:w="40" w:type="dxa"/>
            <w:vAlign w:val="bottom"/>
          </w:tcPr>
          <w:p>
            <w:pPr>
              <w:spacing w:after="0"/>
              <w:rPr>
                <w:sz w:val="14"/>
                <w:szCs w:val="14"/>
                <w:color w:val="auto"/>
              </w:rPr>
            </w:pPr>
          </w:p>
        </w:tc>
        <w:tc>
          <w:tcPr>
            <w:tcW w:w="620" w:type="dxa"/>
            <w:vAlign w:val="bottom"/>
            <w:gridSpan w:val="2"/>
          </w:tcPr>
          <w:p>
            <w:pPr>
              <w:jc w:val="right"/>
              <w:ind w:right="200"/>
              <w:spacing w:after="0"/>
              <w:rPr>
                <w:sz w:val="20"/>
                <w:szCs w:val="20"/>
                <w:color w:val="auto"/>
              </w:rPr>
            </w:pPr>
            <w:r>
              <w:rPr>
                <w:rFonts w:ascii="Arial" w:cs="Arial" w:eastAsia="Arial" w:hAnsi="Arial"/>
                <w:sz w:val="9"/>
                <w:szCs w:val="9"/>
                <w:b w:val="1"/>
                <w:bCs w:val="1"/>
                <w:color w:val="auto"/>
              </w:rPr>
              <w:t>—</w:t>
            </w: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40" w:type="dxa"/>
            <w:vAlign w:val="bottom"/>
            <w:gridSpan w:val="2"/>
          </w:tcPr>
          <w:p>
            <w:pPr>
              <w:ind w:left="520"/>
              <w:spacing w:after="0"/>
              <w:rPr>
                <w:sz w:val="20"/>
                <w:szCs w:val="20"/>
                <w:color w:val="auto"/>
              </w:rPr>
            </w:pPr>
            <w:r>
              <w:rPr>
                <w:rFonts w:ascii="Arial" w:cs="Arial" w:eastAsia="Arial" w:hAnsi="Arial"/>
                <w:sz w:val="9"/>
                <w:szCs w:val="9"/>
                <w:b w:val="1"/>
                <w:bCs w:val="1"/>
                <w:color w:val="auto"/>
              </w:rPr>
              <w:t>—</w:t>
            </w:r>
          </w:p>
        </w:tc>
        <w:tc>
          <w:tcPr>
            <w:tcW w:w="40" w:type="dxa"/>
            <w:vAlign w:val="bottom"/>
          </w:tcPr>
          <w:p>
            <w:pPr>
              <w:spacing w:after="0"/>
              <w:rPr>
                <w:sz w:val="14"/>
                <w:szCs w:val="14"/>
                <w:color w:val="auto"/>
              </w:rPr>
            </w:pPr>
          </w:p>
        </w:tc>
        <w:tc>
          <w:tcPr>
            <w:tcW w:w="700" w:type="dxa"/>
            <w:vAlign w:val="bottom"/>
            <w:gridSpan w:val="2"/>
          </w:tcPr>
          <w:p>
            <w:pPr>
              <w:jc w:val="right"/>
              <w:ind w:right="300"/>
              <w:spacing w:after="0"/>
              <w:rPr>
                <w:sz w:val="20"/>
                <w:szCs w:val="20"/>
                <w:color w:val="auto"/>
              </w:rPr>
            </w:pPr>
            <w:r>
              <w:rPr>
                <w:rFonts w:ascii="Arial" w:cs="Arial" w:eastAsia="Arial" w:hAnsi="Arial"/>
                <w:sz w:val="9"/>
                <w:szCs w:val="9"/>
                <w:b w:val="1"/>
                <w:bCs w:val="1"/>
                <w:color w:val="auto"/>
              </w:rPr>
              <w:t>514,768</w:t>
            </w:r>
          </w:p>
        </w:tc>
        <w:tc>
          <w:tcPr>
            <w:tcW w:w="60" w:type="dxa"/>
            <w:vAlign w:val="bottom"/>
          </w:tcPr>
          <w:p>
            <w:pPr>
              <w:spacing w:after="0"/>
              <w:rPr>
                <w:sz w:val="14"/>
                <w:szCs w:val="14"/>
                <w:color w:val="auto"/>
              </w:rPr>
            </w:pPr>
          </w:p>
        </w:tc>
        <w:tc>
          <w:tcPr>
            <w:tcW w:w="960" w:type="dxa"/>
            <w:vAlign w:val="bottom"/>
            <w:gridSpan w:val="2"/>
          </w:tcPr>
          <w:p>
            <w:pPr>
              <w:jc w:val="right"/>
              <w:ind w:right="280"/>
              <w:spacing w:after="0"/>
              <w:rPr>
                <w:sz w:val="20"/>
                <w:szCs w:val="20"/>
                <w:color w:val="auto"/>
              </w:rPr>
            </w:pPr>
            <w:r>
              <w:rPr>
                <w:rFonts w:ascii="Arial" w:cs="Arial" w:eastAsia="Arial" w:hAnsi="Arial"/>
                <w:sz w:val="9"/>
                <w:szCs w:val="9"/>
                <w:b w:val="1"/>
                <w:bCs w:val="1"/>
                <w:color w:val="auto"/>
              </w:rPr>
              <w:t>514,768</w:t>
            </w:r>
          </w:p>
        </w:tc>
        <w:tc>
          <w:tcPr>
            <w:tcW w:w="60" w:type="dxa"/>
            <w:vAlign w:val="bottom"/>
          </w:tcPr>
          <w:p>
            <w:pPr>
              <w:spacing w:after="0"/>
              <w:rPr>
                <w:sz w:val="14"/>
                <w:szCs w:val="14"/>
                <w:color w:val="auto"/>
              </w:rPr>
            </w:pPr>
          </w:p>
        </w:tc>
        <w:tc>
          <w:tcPr>
            <w:tcW w:w="960" w:type="dxa"/>
            <w:vAlign w:val="bottom"/>
            <w:gridSpan w:val="2"/>
          </w:tcPr>
          <w:p>
            <w:pPr>
              <w:jc w:val="right"/>
              <w:ind w:right="300"/>
              <w:spacing w:after="0"/>
              <w:rPr>
                <w:sz w:val="20"/>
                <w:szCs w:val="20"/>
                <w:color w:val="auto"/>
              </w:rPr>
            </w:pPr>
            <w:r>
              <w:rPr>
                <w:rFonts w:ascii="Arial" w:cs="Arial" w:eastAsia="Arial" w:hAnsi="Arial"/>
                <w:sz w:val="9"/>
                <w:szCs w:val="9"/>
                <w:b w:val="1"/>
                <w:bCs w:val="1"/>
                <w:color w:val="auto"/>
              </w:rPr>
              <w:t>198,903</w:t>
            </w:r>
          </w:p>
        </w:tc>
        <w:tc>
          <w:tcPr>
            <w:tcW w:w="6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9"/>
                <w:szCs w:val="9"/>
                <w:b w:val="1"/>
                <w:bCs w:val="1"/>
                <w:color w:val="auto"/>
              </w:rPr>
              <w:t>713,671</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9"/>
        </w:trPr>
        <w:tc>
          <w:tcPr>
            <w:tcW w:w="3900" w:type="dxa"/>
            <w:vAlign w:val="bottom"/>
            <w:shd w:val="clear" w:color="auto" w:fill="CCEEFF"/>
          </w:tcPr>
          <w:p>
            <w:pPr>
              <w:spacing w:after="0" w:line="99" w:lineRule="exact"/>
              <w:rPr>
                <w:sz w:val="20"/>
                <w:szCs w:val="20"/>
                <w:color w:val="auto"/>
              </w:rPr>
            </w:pPr>
            <w:r>
              <w:rPr>
                <w:rFonts w:ascii="Arial" w:cs="Arial" w:eastAsia="Arial" w:hAnsi="Arial"/>
                <w:sz w:val="9"/>
                <w:szCs w:val="9"/>
                <w:b w:val="1"/>
                <w:bCs w:val="1"/>
                <w:color w:val="auto"/>
              </w:rPr>
              <w:t>Currency translation adjustment</w:t>
            </w:r>
          </w:p>
        </w:tc>
        <w:tc>
          <w:tcPr>
            <w:tcW w:w="860" w:type="dxa"/>
            <w:vAlign w:val="bottom"/>
            <w:gridSpan w:val="3"/>
            <w:shd w:val="clear" w:color="auto" w:fill="CCEEFF"/>
          </w:tcPr>
          <w:p>
            <w:pPr>
              <w:jc w:val="right"/>
              <w:ind w:right="340"/>
              <w:spacing w:after="0" w:line="99" w:lineRule="exact"/>
              <w:rPr>
                <w:sz w:val="20"/>
                <w:szCs w:val="20"/>
                <w:color w:val="auto"/>
              </w:rPr>
            </w:pPr>
            <w:r>
              <w:rPr>
                <w:rFonts w:ascii="Arial" w:cs="Arial" w:eastAsia="Arial" w:hAnsi="Arial"/>
                <w:sz w:val="9"/>
                <w:szCs w:val="9"/>
                <w:b w:val="1"/>
                <w:bCs w:val="1"/>
                <w:color w:val="auto"/>
              </w:rPr>
              <w:t>—</w:t>
            </w:r>
          </w:p>
        </w:tc>
        <w:tc>
          <w:tcPr>
            <w:tcW w:w="40" w:type="dxa"/>
            <w:vAlign w:val="bottom"/>
            <w:shd w:val="clear" w:color="auto" w:fill="CCEEFF"/>
          </w:tcPr>
          <w:p>
            <w:pPr>
              <w:spacing w:after="0"/>
              <w:rPr>
                <w:sz w:val="8"/>
                <w:szCs w:val="8"/>
                <w:color w:val="auto"/>
              </w:rPr>
            </w:pPr>
          </w:p>
        </w:tc>
        <w:tc>
          <w:tcPr>
            <w:tcW w:w="540" w:type="dxa"/>
            <w:vAlign w:val="bottom"/>
            <w:gridSpan w:val="2"/>
            <w:shd w:val="clear" w:color="auto" w:fill="CCEEFF"/>
          </w:tcPr>
          <w:p>
            <w:pPr>
              <w:jc w:val="right"/>
              <w:ind w:right="320"/>
              <w:spacing w:after="0" w:line="99" w:lineRule="exact"/>
              <w:rPr>
                <w:sz w:val="20"/>
                <w:szCs w:val="20"/>
                <w:color w:val="auto"/>
              </w:rPr>
            </w:pPr>
            <w:r>
              <w:rPr>
                <w:rFonts w:ascii="Arial" w:cs="Arial" w:eastAsia="Arial" w:hAnsi="Arial"/>
                <w:sz w:val="9"/>
                <w:szCs w:val="9"/>
                <w:b w:val="1"/>
                <w:bCs w:val="1"/>
                <w:color w:val="auto"/>
              </w:rPr>
              <w:t>—</w:t>
            </w:r>
          </w:p>
        </w:tc>
        <w:tc>
          <w:tcPr>
            <w:tcW w:w="80" w:type="dxa"/>
            <w:vAlign w:val="bottom"/>
            <w:shd w:val="clear" w:color="auto" w:fill="CCEEFF"/>
          </w:tcPr>
          <w:p>
            <w:pPr>
              <w:spacing w:after="0"/>
              <w:rPr>
                <w:sz w:val="8"/>
                <w:szCs w:val="8"/>
                <w:color w:val="auto"/>
              </w:rPr>
            </w:pPr>
          </w:p>
        </w:tc>
        <w:tc>
          <w:tcPr>
            <w:tcW w:w="760" w:type="dxa"/>
            <w:vAlign w:val="bottom"/>
            <w:gridSpan w:val="2"/>
            <w:shd w:val="clear" w:color="auto" w:fill="CCEEFF"/>
          </w:tcPr>
          <w:p>
            <w:pPr>
              <w:jc w:val="right"/>
              <w:ind w:right="301"/>
              <w:spacing w:after="0" w:line="99" w:lineRule="exact"/>
              <w:rPr>
                <w:sz w:val="20"/>
                <w:szCs w:val="20"/>
                <w:color w:val="auto"/>
              </w:rPr>
            </w:pPr>
            <w:r>
              <w:rPr>
                <w:rFonts w:ascii="Arial" w:cs="Arial" w:eastAsia="Arial" w:hAnsi="Arial"/>
                <w:sz w:val="9"/>
                <w:szCs w:val="9"/>
                <w:b w:val="1"/>
                <w:bCs w:val="1"/>
                <w:color w:val="auto"/>
              </w:rPr>
              <w:t>—</w:t>
            </w:r>
          </w:p>
        </w:tc>
        <w:tc>
          <w:tcPr>
            <w:tcW w:w="40" w:type="dxa"/>
            <w:vAlign w:val="bottom"/>
            <w:shd w:val="clear" w:color="auto" w:fill="CCEEFF"/>
          </w:tcPr>
          <w:p>
            <w:pPr>
              <w:spacing w:after="0"/>
              <w:rPr>
                <w:sz w:val="8"/>
                <w:szCs w:val="8"/>
                <w:color w:val="auto"/>
              </w:rPr>
            </w:pPr>
          </w:p>
        </w:tc>
        <w:tc>
          <w:tcPr>
            <w:tcW w:w="620" w:type="dxa"/>
            <w:vAlign w:val="bottom"/>
            <w:gridSpan w:val="2"/>
            <w:shd w:val="clear" w:color="auto" w:fill="CCEEFF"/>
          </w:tcPr>
          <w:p>
            <w:pPr>
              <w:jc w:val="right"/>
              <w:ind w:right="200"/>
              <w:spacing w:after="0" w:line="99" w:lineRule="exact"/>
              <w:rPr>
                <w:sz w:val="20"/>
                <w:szCs w:val="20"/>
                <w:color w:val="auto"/>
              </w:rPr>
            </w:pPr>
            <w:r>
              <w:rPr>
                <w:rFonts w:ascii="Arial" w:cs="Arial" w:eastAsia="Arial" w:hAnsi="Arial"/>
                <w:sz w:val="9"/>
                <w:szCs w:val="9"/>
                <w:b w:val="1"/>
                <w:bCs w:val="1"/>
                <w:color w:val="auto"/>
              </w:rPr>
              <w:t>—</w:t>
            </w:r>
          </w:p>
        </w:tc>
        <w:tc>
          <w:tcPr>
            <w:tcW w:w="12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940" w:type="dxa"/>
            <w:vAlign w:val="bottom"/>
            <w:gridSpan w:val="2"/>
            <w:shd w:val="clear" w:color="auto" w:fill="CCEEFF"/>
          </w:tcPr>
          <w:p>
            <w:pPr>
              <w:jc w:val="center"/>
              <w:ind w:left="115"/>
              <w:spacing w:after="0" w:line="99" w:lineRule="exact"/>
              <w:rPr>
                <w:sz w:val="20"/>
                <w:szCs w:val="20"/>
                <w:color w:val="auto"/>
              </w:rPr>
            </w:pPr>
            <w:r>
              <w:rPr>
                <w:rFonts w:ascii="Arial" w:cs="Arial" w:eastAsia="Arial" w:hAnsi="Arial"/>
                <w:sz w:val="9"/>
                <w:szCs w:val="9"/>
                <w:b w:val="1"/>
                <w:bCs w:val="1"/>
                <w:color w:val="auto"/>
                <w:w w:val="91"/>
              </w:rPr>
              <w:t>(1,271)</w:t>
            </w:r>
          </w:p>
        </w:tc>
        <w:tc>
          <w:tcPr>
            <w:tcW w:w="40" w:type="dxa"/>
            <w:vAlign w:val="bottom"/>
            <w:shd w:val="clear" w:color="auto" w:fill="CCEEFF"/>
          </w:tcPr>
          <w:p>
            <w:pPr>
              <w:spacing w:after="0"/>
              <w:rPr>
                <w:sz w:val="8"/>
                <w:szCs w:val="8"/>
                <w:color w:val="auto"/>
              </w:rPr>
            </w:pPr>
          </w:p>
        </w:tc>
        <w:tc>
          <w:tcPr>
            <w:tcW w:w="700" w:type="dxa"/>
            <w:vAlign w:val="bottom"/>
            <w:gridSpan w:val="2"/>
            <w:shd w:val="clear" w:color="auto" w:fill="CCEEFF"/>
          </w:tcPr>
          <w:p>
            <w:pPr>
              <w:jc w:val="right"/>
              <w:ind w:right="340"/>
              <w:spacing w:after="0" w:line="99" w:lineRule="exact"/>
              <w:rPr>
                <w:sz w:val="20"/>
                <w:szCs w:val="20"/>
                <w:color w:val="auto"/>
              </w:rPr>
            </w:pPr>
            <w:r>
              <w:rPr>
                <w:rFonts w:ascii="Arial" w:cs="Arial" w:eastAsia="Arial" w:hAnsi="Arial"/>
                <w:sz w:val="9"/>
                <w:szCs w:val="9"/>
                <w:b w:val="1"/>
                <w:bCs w:val="1"/>
                <w:color w:val="auto"/>
              </w:rPr>
              <w:t>—</w:t>
            </w:r>
          </w:p>
        </w:tc>
        <w:tc>
          <w:tcPr>
            <w:tcW w:w="60" w:type="dxa"/>
            <w:vAlign w:val="bottom"/>
            <w:shd w:val="clear" w:color="auto" w:fill="CCEEFF"/>
          </w:tcPr>
          <w:p>
            <w:pPr>
              <w:spacing w:after="0"/>
              <w:rPr>
                <w:sz w:val="8"/>
                <w:szCs w:val="8"/>
                <w:color w:val="auto"/>
              </w:rPr>
            </w:pPr>
          </w:p>
        </w:tc>
        <w:tc>
          <w:tcPr>
            <w:tcW w:w="960" w:type="dxa"/>
            <w:vAlign w:val="bottom"/>
            <w:gridSpan w:val="2"/>
            <w:shd w:val="clear" w:color="auto" w:fill="CCEEFF"/>
          </w:tcPr>
          <w:p>
            <w:pPr>
              <w:jc w:val="right"/>
              <w:ind w:right="260"/>
              <w:spacing w:after="0" w:line="99" w:lineRule="exact"/>
              <w:rPr>
                <w:sz w:val="20"/>
                <w:szCs w:val="20"/>
                <w:color w:val="auto"/>
              </w:rPr>
            </w:pPr>
            <w:r>
              <w:rPr>
                <w:rFonts w:ascii="Arial" w:cs="Arial" w:eastAsia="Arial" w:hAnsi="Arial"/>
                <w:sz w:val="9"/>
                <w:szCs w:val="9"/>
                <w:b w:val="1"/>
                <w:bCs w:val="1"/>
                <w:color w:val="auto"/>
              </w:rPr>
              <w:t>(1,271)</w:t>
            </w:r>
          </w:p>
        </w:tc>
        <w:tc>
          <w:tcPr>
            <w:tcW w:w="60" w:type="dxa"/>
            <w:vAlign w:val="bottom"/>
            <w:shd w:val="clear" w:color="auto" w:fill="CCEEFF"/>
          </w:tcPr>
          <w:p>
            <w:pPr>
              <w:spacing w:after="0"/>
              <w:rPr>
                <w:sz w:val="8"/>
                <w:szCs w:val="8"/>
                <w:color w:val="auto"/>
              </w:rPr>
            </w:pPr>
          </w:p>
        </w:tc>
        <w:tc>
          <w:tcPr>
            <w:tcW w:w="960" w:type="dxa"/>
            <w:vAlign w:val="bottom"/>
            <w:gridSpan w:val="2"/>
            <w:shd w:val="clear" w:color="auto" w:fill="CCEEFF"/>
          </w:tcPr>
          <w:p>
            <w:pPr>
              <w:jc w:val="right"/>
              <w:ind w:right="260"/>
              <w:spacing w:after="0" w:line="99" w:lineRule="exact"/>
              <w:rPr>
                <w:sz w:val="20"/>
                <w:szCs w:val="20"/>
                <w:color w:val="auto"/>
              </w:rPr>
            </w:pPr>
            <w:r>
              <w:rPr>
                <w:rFonts w:ascii="Arial" w:cs="Arial" w:eastAsia="Arial" w:hAnsi="Arial"/>
                <w:sz w:val="9"/>
                <w:szCs w:val="9"/>
                <w:b w:val="1"/>
                <w:bCs w:val="1"/>
                <w:color w:val="auto"/>
              </w:rPr>
              <w:t>(487)</w:t>
            </w:r>
          </w:p>
        </w:tc>
        <w:tc>
          <w:tcPr>
            <w:tcW w:w="60" w:type="dxa"/>
            <w:vAlign w:val="bottom"/>
            <w:shd w:val="clear" w:color="auto" w:fill="CCEEFF"/>
          </w:tcPr>
          <w:p>
            <w:pPr>
              <w:spacing w:after="0"/>
              <w:rPr>
                <w:sz w:val="8"/>
                <w:szCs w:val="8"/>
                <w:color w:val="auto"/>
              </w:rPr>
            </w:pPr>
          </w:p>
        </w:tc>
        <w:tc>
          <w:tcPr>
            <w:tcW w:w="680" w:type="dxa"/>
            <w:vAlign w:val="bottom"/>
            <w:gridSpan w:val="2"/>
            <w:shd w:val="clear" w:color="auto" w:fill="CCEEFF"/>
          </w:tcPr>
          <w:p>
            <w:pPr>
              <w:jc w:val="right"/>
              <w:ind w:right="40"/>
              <w:spacing w:after="0" w:line="99" w:lineRule="exact"/>
              <w:rPr>
                <w:sz w:val="20"/>
                <w:szCs w:val="20"/>
                <w:color w:val="auto"/>
              </w:rPr>
            </w:pPr>
            <w:r>
              <w:rPr>
                <w:rFonts w:ascii="Arial" w:cs="Arial" w:eastAsia="Arial" w:hAnsi="Arial"/>
                <w:sz w:val="9"/>
                <w:szCs w:val="9"/>
                <w:b w:val="1"/>
                <w:bCs w:val="1"/>
                <w:color w:val="auto"/>
              </w:rPr>
              <w:t>(1,758)</w:t>
            </w:r>
          </w:p>
        </w:tc>
        <w:tc>
          <w:tcPr>
            <w:tcW w:w="0" w:type="dxa"/>
            <w:vAlign w:val="bottom"/>
          </w:tcPr>
          <w:p>
            <w:pPr>
              <w:spacing w:after="0"/>
              <w:rPr>
                <w:sz w:val="1"/>
                <w:szCs w:val="1"/>
                <w:color w:val="auto"/>
              </w:rPr>
            </w:pPr>
          </w:p>
        </w:tc>
      </w:tr>
      <w:tr>
        <w:trPr>
          <w:trHeight w:val="99"/>
        </w:trPr>
        <w:tc>
          <w:tcPr>
            <w:tcW w:w="3900" w:type="dxa"/>
            <w:vAlign w:val="bottom"/>
          </w:tcPr>
          <w:p>
            <w:pPr>
              <w:spacing w:after="0" w:line="99" w:lineRule="exact"/>
              <w:rPr>
                <w:sz w:val="20"/>
                <w:szCs w:val="20"/>
                <w:color w:val="auto"/>
              </w:rPr>
            </w:pPr>
            <w:r>
              <w:rPr>
                <w:rFonts w:ascii="Arial" w:cs="Arial" w:eastAsia="Arial" w:hAnsi="Arial"/>
                <w:sz w:val="9"/>
                <w:szCs w:val="9"/>
                <w:b w:val="1"/>
                <w:bCs w:val="1"/>
                <w:color w:val="auto"/>
              </w:rPr>
              <w:t>Net unrealized gain on investments</w:t>
            </w:r>
          </w:p>
        </w:tc>
        <w:tc>
          <w:tcPr>
            <w:tcW w:w="860" w:type="dxa"/>
            <w:vAlign w:val="bottom"/>
            <w:gridSpan w:val="3"/>
          </w:tcPr>
          <w:p>
            <w:pPr>
              <w:jc w:val="right"/>
              <w:ind w:right="340"/>
              <w:spacing w:after="0" w:line="99" w:lineRule="exact"/>
              <w:rPr>
                <w:sz w:val="20"/>
                <w:szCs w:val="20"/>
                <w:color w:val="auto"/>
              </w:rPr>
            </w:pPr>
            <w:r>
              <w:rPr>
                <w:rFonts w:ascii="Arial" w:cs="Arial" w:eastAsia="Arial" w:hAnsi="Arial"/>
                <w:sz w:val="9"/>
                <w:szCs w:val="9"/>
                <w:b w:val="1"/>
                <w:bCs w:val="1"/>
                <w:color w:val="auto"/>
              </w:rPr>
              <w:t>—</w:t>
            </w:r>
          </w:p>
        </w:tc>
        <w:tc>
          <w:tcPr>
            <w:tcW w:w="40" w:type="dxa"/>
            <w:vAlign w:val="bottom"/>
          </w:tcPr>
          <w:p>
            <w:pPr>
              <w:spacing w:after="0"/>
              <w:rPr>
                <w:sz w:val="8"/>
                <w:szCs w:val="8"/>
                <w:color w:val="auto"/>
              </w:rPr>
            </w:pPr>
          </w:p>
        </w:tc>
        <w:tc>
          <w:tcPr>
            <w:tcW w:w="540" w:type="dxa"/>
            <w:vAlign w:val="bottom"/>
            <w:gridSpan w:val="2"/>
          </w:tcPr>
          <w:p>
            <w:pPr>
              <w:jc w:val="right"/>
              <w:ind w:right="320"/>
              <w:spacing w:after="0" w:line="99" w:lineRule="exact"/>
              <w:rPr>
                <w:sz w:val="20"/>
                <w:szCs w:val="20"/>
                <w:color w:val="auto"/>
              </w:rPr>
            </w:pPr>
            <w:r>
              <w:rPr>
                <w:rFonts w:ascii="Arial" w:cs="Arial" w:eastAsia="Arial" w:hAnsi="Arial"/>
                <w:sz w:val="9"/>
                <w:szCs w:val="9"/>
                <w:b w:val="1"/>
                <w:bCs w:val="1"/>
                <w:color w:val="auto"/>
              </w:rPr>
              <w:t>—</w:t>
            </w:r>
          </w:p>
        </w:tc>
        <w:tc>
          <w:tcPr>
            <w:tcW w:w="80" w:type="dxa"/>
            <w:vAlign w:val="bottom"/>
          </w:tcPr>
          <w:p>
            <w:pPr>
              <w:spacing w:after="0"/>
              <w:rPr>
                <w:sz w:val="8"/>
                <w:szCs w:val="8"/>
                <w:color w:val="auto"/>
              </w:rPr>
            </w:pPr>
          </w:p>
        </w:tc>
        <w:tc>
          <w:tcPr>
            <w:tcW w:w="760" w:type="dxa"/>
            <w:vAlign w:val="bottom"/>
            <w:gridSpan w:val="2"/>
          </w:tcPr>
          <w:p>
            <w:pPr>
              <w:jc w:val="right"/>
              <w:ind w:right="301"/>
              <w:spacing w:after="0" w:line="99" w:lineRule="exact"/>
              <w:rPr>
                <w:sz w:val="20"/>
                <w:szCs w:val="20"/>
                <w:color w:val="auto"/>
              </w:rPr>
            </w:pPr>
            <w:r>
              <w:rPr>
                <w:rFonts w:ascii="Arial" w:cs="Arial" w:eastAsia="Arial" w:hAnsi="Arial"/>
                <w:sz w:val="9"/>
                <w:szCs w:val="9"/>
                <w:b w:val="1"/>
                <w:bCs w:val="1"/>
                <w:color w:val="auto"/>
              </w:rPr>
              <w:t>—</w:t>
            </w:r>
          </w:p>
        </w:tc>
        <w:tc>
          <w:tcPr>
            <w:tcW w:w="40" w:type="dxa"/>
            <w:vAlign w:val="bottom"/>
          </w:tcPr>
          <w:p>
            <w:pPr>
              <w:spacing w:after="0"/>
              <w:rPr>
                <w:sz w:val="8"/>
                <w:szCs w:val="8"/>
                <w:color w:val="auto"/>
              </w:rPr>
            </w:pPr>
          </w:p>
        </w:tc>
        <w:tc>
          <w:tcPr>
            <w:tcW w:w="620" w:type="dxa"/>
            <w:vAlign w:val="bottom"/>
            <w:gridSpan w:val="2"/>
          </w:tcPr>
          <w:p>
            <w:pPr>
              <w:jc w:val="right"/>
              <w:ind w:right="200"/>
              <w:spacing w:after="0" w:line="99" w:lineRule="exact"/>
              <w:rPr>
                <w:sz w:val="20"/>
                <w:szCs w:val="20"/>
                <w:color w:val="auto"/>
              </w:rPr>
            </w:pPr>
            <w:r>
              <w:rPr>
                <w:rFonts w:ascii="Arial" w:cs="Arial" w:eastAsia="Arial" w:hAnsi="Arial"/>
                <w:sz w:val="9"/>
                <w:szCs w:val="9"/>
                <w:b w:val="1"/>
                <w:bCs w:val="1"/>
                <w:color w:val="auto"/>
              </w:rPr>
              <w:t>—</w:t>
            </w:r>
          </w:p>
        </w:tc>
        <w:tc>
          <w:tcPr>
            <w:tcW w:w="120" w:type="dxa"/>
            <w:vAlign w:val="bottom"/>
          </w:tcPr>
          <w:p>
            <w:pPr>
              <w:spacing w:after="0"/>
              <w:rPr>
                <w:sz w:val="8"/>
                <w:szCs w:val="8"/>
                <w:color w:val="auto"/>
              </w:rPr>
            </w:pPr>
          </w:p>
        </w:tc>
        <w:tc>
          <w:tcPr>
            <w:tcW w:w="60" w:type="dxa"/>
            <w:vAlign w:val="bottom"/>
          </w:tcPr>
          <w:p>
            <w:pPr>
              <w:spacing w:after="0"/>
              <w:rPr>
                <w:sz w:val="8"/>
                <w:szCs w:val="8"/>
                <w:color w:val="auto"/>
              </w:rPr>
            </w:pPr>
          </w:p>
        </w:tc>
        <w:tc>
          <w:tcPr>
            <w:tcW w:w="940" w:type="dxa"/>
            <w:vAlign w:val="bottom"/>
            <w:gridSpan w:val="2"/>
          </w:tcPr>
          <w:p>
            <w:pPr>
              <w:ind w:left="520"/>
              <w:spacing w:after="0" w:line="99" w:lineRule="exact"/>
              <w:rPr>
                <w:sz w:val="20"/>
                <w:szCs w:val="20"/>
                <w:color w:val="auto"/>
              </w:rPr>
            </w:pPr>
            <w:r>
              <w:rPr>
                <w:rFonts w:ascii="Arial" w:cs="Arial" w:eastAsia="Arial" w:hAnsi="Arial"/>
                <w:sz w:val="9"/>
                <w:szCs w:val="9"/>
                <w:b w:val="1"/>
                <w:bCs w:val="1"/>
                <w:color w:val="auto"/>
              </w:rPr>
              <w:t>172</w:t>
            </w:r>
          </w:p>
        </w:tc>
        <w:tc>
          <w:tcPr>
            <w:tcW w:w="40" w:type="dxa"/>
            <w:vAlign w:val="bottom"/>
          </w:tcPr>
          <w:p>
            <w:pPr>
              <w:spacing w:after="0"/>
              <w:rPr>
                <w:sz w:val="8"/>
                <w:szCs w:val="8"/>
                <w:color w:val="auto"/>
              </w:rPr>
            </w:pPr>
          </w:p>
        </w:tc>
        <w:tc>
          <w:tcPr>
            <w:tcW w:w="700" w:type="dxa"/>
            <w:vAlign w:val="bottom"/>
            <w:gridSpan w:val="2"/>
          </w:tcPr>
          <w:p>
            <w:pPr>
              <w:jc w:val="right"/>
              <w:ind w:right="340"/>
              <w:spacing w:after="0" w:line="99" w:lineRule="exact"/>
              <w:rPr>
                <w:sz w:val="20"/>
                <w:szCs w:val="20"/>
                <w:color w:val="auto"/>
              </w:rPr>
            </w:pPr>
            <w:r>
              <w:rPr>
                <w:rFonts w:ascii="Arial" w:cs="Arial" w:eastAsia="Arial" w:hAnsi="Arial"/>
                <w:sz w:val="9"/>
                <w:szCs w:val="9"/>
                <w:b w:val="1"/>
                <w:bCs w:val="1"/>
                <w:color w:val="auto"/>
              </w:rPr>
              <w:t>—</w:t>
            </w:r>
          </w:p>
        </w:tc>
        <w:tc>
          <w:tcPr>
            <w:tcW w:w="60" w:type="dxa"/>
            <w:vAlign w:val="bottom"/>
          </w:tcPr>
          <w:p>
            <w:pPr>
              <w:spacing w:after="0"/>
              <w:rPr>
                <w:sz w:val="8"/>
                <w:szCs w:val="8"/>
                <w:color w:val="auto"/>
              </w:rPr>
            </w:pPr>
          </w:p>
        </w:tc>
        <w:tc>
          <w:tcPr>
            <w:tcW w:w="960" w:type="dxa"/>
            <w:vAlign w:val="bottom"/>
            <w:gridSpan w:val="2"/>
          </w:tcPr>
          <w:p>
            <w:pPr>
              <w:jc w:val="right"/>
              <w:ind w:right="280"/>
              <w:spacing w:after="0" w:line="99" w:lineRule="exact"/>
              <w:rPr>
                <w:sz w:val="20"/>
                <w:szCs w:val="20"/>
                <w:color w:val="auto"/>
              </w:rPr>
            </w:pPr>
            <w:r>
              <w:rPr>
                <w:rFonts w:ascii="Arial" w:cs="Arial" w:eastAsia="Arial" w:hAnsi="Arial"/>
                <w:sz w:val="9"/>
                <w:szCs w:val="9"/>
                <w:b w:val="1"/>
                <w:bCs w:val="1"/>
                <w:color w:val="auto"/>
              </w:rPr>
              <w:t>172</w:t>
            </w:r>
          </w:p>
        </w:tc>
        <w:tc>
          <w:tcPr>
            <w:tcW w:w="60" w:type="dxa"/>
            <w:vAlign w:val="bottom"/>
          </w:tcPr>
          <w:p>
            <w:pPr>
              <w:spacing w:after="0"/>
              <w:rPr>
                <w:sz w:val="8"/>
                <w:szCs w:val="8"/>
                <w:color w:val="auto"/>
              </w:rPr>
            </w:pPr>
          </w:p>
        </w:tc>
        <w:tc>
          <w:tcPr>
            <w:tcW w:w="960" w:type="dxa"/>
            <w:vAlign w:val="bottom"/>
            <w:gridSpan w:val="2"/>
          </w:tcPr>
          <w:p>
            <w:pPr>
              <w:jc w:val="right"/>
              <w:ind w:right="300"/>
              <w:spacing w:after="0" w:line="99" w:lineRule="exact"/>
              <w:rPr>
                <w:sz w:val="20"/>
                <w:szCs w:val="20"/>
                <w:color w:val="auto"/>
              </w:rPr>
            </w:pPr>
            <w:r>
              <w:rPr>
                <w:rFonts w:ascii="Arial" w:cs="Arial" w:eastAsia="Arial" w:hAnsi="Arial"/>
                <w:sz w:val="9"/>
                <w:szCs w:val="9"/>
                <w:b w:val="1"/>
                <w:bCs w:val="1"/>
                <w:color w:val="auto"/>
              </w:rPr>
              <w:t>59</w:t>
            </w:r>
          </w:p>
        </w:tc>
        <w:tc>
          <w:tcPr>
            <w:tcW w:w="60" w:type="dxa"/>
            <w:vAlign w:val="bottom"/>
          </w:tcPr>
          <w:p>
            <w:pPr>
              <w:spacing w:after="0"/>
              <w:rPr>
                <w:sz w:val="8"/>
                <w:szCs w:val="8"/>
                <w:color w:val="auto"/>
              </w:rPr>
            </w:pPr>
          </w:p>
        </w:tc>
        <w:tc>
          <w:tcPr>
            <w:tcW w:w="600" w:type="dxa"/>
            <w:vAlign w:val="bottom"/>
          </w:tcPr>
          <w:p>
            <w:pPr>
              <w:jc w:val="right"/>
              <w:spacing w:after="0" w:line="99" w:lineRule="exact"/>
              <w:rPr>
                <w:sz w:val="20"/>
                <w:szCs w:val="20"/>
                <w:color w:val="auto"/>
              </w:rPr>
            </w:pPr>
            <w:r>
              <w:rPr>
                <w:rFonts w:ascii="Arial" w:cs="Arial" w:eastAsia="Arial" w:hAnsi="Arial"/>
                <w:sz w:val="9"/>
                <w:szCs w:val="9"/>
                <w:b w:val="1"/>
                <w:bCs w:val="1"/>
                <w:color w:val="auto"/>
              </w:rPr>
              <w:t>231</w:t>
            </w: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9"/>
        </w:trPr>
        <w:tc>
          <w:tcPr>
            <w:tcW w:w="3900" w:type="dxa"/>
            <w:vAlign w:val="bottom"/>
            <w:shd w:val="clear" w:color="auto" w:fill="CCEEFF"/>
          </w:tcPr>
          <w:p>
            <w:pPr>
              <w:spacing w:after="0" w:line="99" w:lineRule="exact"/>
              <w:rPr>
                <w:sz w:val="20"/>
                <w:szCs w:val="20"/>
                <w:color w:val="auto"/>
              </w:rPr>
            </w:pPr>
            <w:r>
              <w:rPr>
                <w:rFonts w:ascii="Arial" w:cs="Arial" w:eastAsia="Arial" w:hAnsi="Arial"/>
                <w:sz w:val="9"/>
                <w:szCs w:val="9"/>
                <w:b w:val="1"/>
                <w:bCs w:val="1"/>
                <w:color w:val="auto"/>
              </w:rPr>
              <w:t>Exercise of stock options</w:t>
            </w:r>
          </w:p>
        </w:tc>
        <w:tc>
          <w:tcPr>
            <w:tcW w:w="580" w:type="dxa"/>
            <w:vAlign w:val="bottom"/>
            <w:gridSpan w:val="2"/>
            <w:shd w:val="clear" w:color="auto" w:fill="CCEEFF"/>
          </w:tcPr>
          <w:p>
            <w:pPr>
              <w:jc w:val="right"/>
              <w:ind w:right="20"/>
              <w:spacing w:after="0" w:line="99" w:lineRule="exact"/>
              <w:rPr>
                <w:sz w:val="20"/>
                <w:szCs w:val="20"/>
                <w:color w:val="auto"/>
              </w:rPr>
            </w:pPr>
            <w:r>
              <w:rPr>
                <w:rFonts w:ascii="Arial" w:cs="Arial" w:eastAsia="Arial" w:hAnsi="Arial"/>
                <w:sz w:val="9"/>
                <w:szCs w:val="9"/>
                <w:b w:val="1"/>
                <w:bCs w:val="1"/>
                <w:color w:val="auto"/>
              </w:rPr>
              <w:t>329,351</w:t>
            </w:r>
          </w:p>
        </w:tc>
        <w:tc>
          <w:tcPr>
            <w:tcW w:w="28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540" w:type="dxa"/>
            <w:vAlign w:val="bottom"/>
            <w:gridSpan w:val="2"/>
            <w:shd w:val="clear" w:color="auto" w:fill="CCEEFF"/>
          </w:tcPr>
          <w:p>
            <w:pPr>
              <w:jc w:val="right"/>
              <w:ind w:right="280"/>
              <w:spacing w:after="0" w:line="99" w:lineRule="exact"/>
              <w:rPr>
                <w:sz w:val="20"/>
                <w:szCs w:val="20"/>
                <w:color w:val="auto"/>
              </w:rPr>
            </w:pPr>
            <w:r>
              <w:rPr>
                <w:rFonts w:ascii="Arial" w:cs="Arial" w:eastAsia="Arial" w:hAnsi="Arial"/>
                <w:sz w:val="9"/>
                <w:szCs w:val="9"/>
                <w:b w:val="1"/>
                <w:bCs w:val="1"/>
                <w:color w:val="auto"/>
              </w:rPr>
              <w:t>3</w:t>
            </w:r>
          </w:p>
        </w:tc>
        <w:tc>
          <w:tcPr>
            <w:tcW w:w="80" w:type="dxa"/>
            <w:vAlign w:val="bottom"/>
            <w:shd w:val="clear" w:color="auto" w:fill="CCEEFF"/>
          </w:tcPr>
          <w:p>
            <w:pPr>
              <w:spacing w:after="0"/>
              <w:rPr>
                <w:sz w:val="8"/>
                <w:szCs w:val="8"/>
                <w:color w:val="auto"/>
              </w:rPr>
            </w:pPr>
          </w:p>
        </w:tc>
        <w:tc>
          <w:tcPr>
            <w:tcW w:w="760" w:type="dxa"/>
            <w:vAlign w:val="bottom"/>
            <w:gridSpan w:val="2"/>
            <w:shd w:val="clear" w:color="auto" w:fill="CCEEFF"/>
          </w:tcPr>
          <w:p>
            <w:pPr>
              <w:jc w:val="right"/>
              <w:ind w:right="301"/>
              <w:spacing w:after="0" w:line="99" w:lineRule="exact"/>
              <w:rPr>
                <w:sz w:val="20"/>
                <w:szCs w:val="20"/>
                <w:color w:val="auto"/>
              </w:rPr>
            </w:pPr>
            <w:r>
              <w:rPr>
                <w:rFonts w:ascii="Arial" w:cs="Arial" w:eastAsia="Arial" w:hAnsi="Arial"/>
                <w:sz w:val="9"/>
                <w:szCs w:val="9"/>
                <w:b w:val="1"/>
                <w:bCs w:val="1"/>
                <w:color w:val="auto"/>
              </w:rPr>
              <w:t>—</w:t>
            </w:r>
          </w:p>
        </w:tc>
        <w:tc>
          <w:tcPr>
            <w:tcW w:w="40" w:type="dxa"/>
            <w:vAlign w:val="bottom"/>
            <w:shd w:val="clear" w:color="auto" w:fill="CCEEFF"/>
          </w:tcPr>
          <w:p>
            <w:pPr>
              <w:spacing w:after="0"/>
              <w:rPr>
                <w:sz w:val="8"/>
                <w:szCs w:val="8"/>
                <w:color w:val="auto"/>
              </w:rPr>
            </w:pPr>
          </w:p>
        </w:tc>
        <w:tc>
          <w:tcPr>
            <w:tcW w:w="460" w:type="dxa"/>
            <w:vAlign w:val="bottom"/>
            <w:shd w:val="clear" w:color="auto" w:fill="CCEEFF"/>
          </w:tcPr>
          <w:p>
            <w:pPr>
              <w:jc w:val="right"/>
              <w:spacing w:after="0" w:line="99" w:lineRule="exact"/>
              <w:rPr>
                <w:sz w:val="20"/>
                <w:szCs w:val="20"/>
                <w:color w:val="auto"/>
              </w:rPr>
            </w:pPr>
            <w:r>
              <w:rPr>
                <w:rFonts w:ascii="Arial" w:cs="Arial" w:eastAsia="Arial" w:hAnsi="Arial"/>
                <w:sz w:val="9"/>
                <w:szCs w:val="9"/>
                <w:b w:val="1"/>
                <w:bCs w:val="1"/>
                <w:color w:val="auto"/>
              </w:rPr>
              <w:t>17,542</w:t>
            </w:r>
          </w:p>
        </w:tc>
        <w:tc>
          <w:tcPr>
            <w:tcW w:w="16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940" w:type="dxa"/>
            <w:vAlign w:val="bottom"/>
            <w:gridSpan w:val="2"/>
            <w:shd w:val="clear" w:color="auto" w:fill="CCEEFF"/>
          </w:tcPr>
          <w:p>
            <w:pPr>
              <w:ind w:left="520"/>
              <w:spacing w:after="0" w:line="99" w:lineRule="exact"/>
              <w:rPr>
                <w:sz w:val="20"/>
                <w:szCs w:val="20"/>
                <w:color w:val="auto"/>
              </w:rPr>
            </w:pPr>
            <w:r>
              <w:rPr>
                <w:rFonts w:ascii="Arial" w:cs="Arial" w:eastAsia="Arial" w:hAnsi="Arial"/>
                <w:sz w:val="9"/>
                <w:szCs w:val="9"/>
                <w:b w:val="1"/>
                <w:bCs w:val="1"/>
                <w:color w:val="auto"/>
              </w:rPr>
              <w:t>—</w:t>
            </w:r>
          </w:p>
        </w:tc>
        <w:tc>
          <w:tcPr>
            <w:tcW w:w="40" w:type="dxa"/>
            <w:vAlign w:val="bottom"/>
            <w:shd w:val="clear" w:color="auto" w:fill="CCEEFF"/>
          </w:tcPr>
          <w:p>
            <w:pPr>
              <w:spacing w:after="0"/>
              <w:rPr>
                <w:sz w:val="8"/>
                <w:szCs w:val="8"/>
                <w:color w:val="auto"/>
              </w:rPr>
            </w:pPr>
          </w:p>
        </w:tc>
        <w:tc>
          <w:tcPr>
            <w:tcW w:w="700" w:type="dxa"/>
            <w:vAlign w:val="bottom"/>
            <w:gridSpan w:val="2"/>
            <w:shd w:val="clear" w:color="auto" w:fill="CCEEFF"/>
          </w:tcPr>
          <w:p>
            <w:pPr>
              <w:jc w:val="right"/>
              <w:ind w:right="340"/>
              <w:spacing w:after="0" w:line="99" w:lineRule="exact"/>
              <w:rPr>
                <w:sz w:val="20"/>
                <w:szCs w:val="20"/>
                <w:color w:val="auto"/>
              </w:rPr>
            </w:pPr>
            <w:r>
              <w:rPr>
                <w:rFonts w:ascii="Arial" w:cs="Arial" w:eastAsia="Arial" w:hAnsi="Arial"/>
                <w:sz w:val="9"/>
                <w:szCs w:val="9"/>
                <w:b w:val="1"/>
                <w:bCs w:val="1"/>
                <w:color w:val="auto"/>
              </w:rPr>
              <w:t>—</w:t>
            </w:r>
          </w:p>
        </w:tc>
        <w:tc>
          <w:tcPr>
            <w:tcW w:w="60" w:type="dxa"/>
            <w:vAlign w:val="bottom"/>
            <w:shd w:val="clear" w:color="auto" w:fill="CCEEFF"/>
          </w:tcPr>
          <w:p>
            <w:pPr>
              <w:spacing w:after="0"/>
              <w:rPr>
                <w:sz w:val="8"/>
                <w:szCs w:val="8"/>
                <w:color w:val="auto"/>
              </w:rPr>
            </w:pPr>
          </w:p>
        </w:tc>
        <w:tc>
          <w:tcPr>
            <w:tcW w:w="960" w:type="dxa"/>
            <w:vAlign w:val="bottom"/>
            <w:gridSpan w:val="2"/>
            <w:shd w:val="clear" w:color="auto" w:fill="CCEEFF"/>
          </w:tcPr>
          <w:p>
            <w:pPr>
              <w:jc w:val="right"/>
              <w:ind w:right="280"/>
              <w:spacing w:after="0" w:line="99" w:lineRule="exact"/>
              <w:rPr>
                <w:sz w:val="20"/>
                <w:szCs w:val="20"/>
                <w:color w:val="auto"/>
              </w:rPr>
            </w:pPr>
            <w:r>
              <w:rPr>
                <w:rFonts w:ascii="Arial" w:cs="Arial" w:eastAsia="Arial" w:hAnsi="Arial"/>
                <w:sz w:val="9"/>
                <w:szCs w:val="9"/>
                <w:b w:val="1"/>
                <w:bCs w:val="1"/>
                <w:color w:val="auto"/>
              </w:rPr>
              <w:t>17,545</w:t>
            </w:r>
          </w:p>
        </w:tc>
        <w:tc>
          <w:tcPr>
            <w:tcW w:w="60" w:type="dxa"/>
            <w:vAlign w:val="bottom"/>
            <w:shd w:val="clear" w:color="auto" w:fill="CCEEFF"/>
          </w:tcPr>
          <w:p>
            <w:pPr>
              <w:spacing w:after="0"/>
              <w:rPr>
                <w:sz w:val="8"/>
                <w:szCs w:val="8"/>
                <w:color w:val="auto"/>
              </w:rPr>
            </w:pPr>
          </w:p>
        </w:tc>
        <w:tc>
          <w:tcPr>
            <w:tcW w:w="960" w:type="dxa"/>
            <w:vAlign w:val="bottom"/>
            <w:gridSpan w:val="2"/>
            <w:shd w:val="clear" w:color="auto" w:fill="CCEEFF"/>
          </w:tcPr>
          <w:p>
            <w:pPr>
              <w:ind w:left="540"/>
              <w:spacing w:after="0" w:line="99" w:lineRule="exact"/>
              <w:rPr>
                <w:sz w:val="20"/>
                <w:szCs w:val="20"/>
                <w:color w:val="auto"/>
              </w:rPr>
            </w:pPr>
            <w:r>
              <w:rPr>
                <w:rFonts w:ascii="Arial" w:cs="Arial" w:eastAsia="Arial" w:hAnsi="Arial"/>
                <w:sz w:val="9"/>
                <w:szCs w:val="9"/>
                <w:b w:val="1"/>
                <w:bCs w:val="1"/>
                <w:color w:val="auto"/>
              </w:rPr>
              <w:t>—</w:t>
            </w:r>
          </w:p>
        </w:tc>
        <w:tc>
          <w:tcPr>
            <w:tcW w:w="60" w:type="dxa"/>
            <w:vAlign w:val="bottom"/>
            <w:shd w:val="clear" w:color="auto" w:fill="CCEEFF"/>
          </w:tcPr>
          <w:p>
            <w:pPr>
              <w:spacing w:after="0"/>
              <w:rPr>
                <w:sz w:val="8"/>
                <w:szCs w:val="8"/>
                <w:color w:val="auto"/>
              </w:rPr>
            </w:pPr>
          </w:p>
        </w:tc>
        <w:tc>
          <w:tcPr>
            <w:tcW w:w="600" w:type="dxa"/>
            <w:vAlign w:val="bottom"/>
            <w:shd w:val="clear" w:color="auto" w:fill="CCEEFF"/>
          </w:tcPr>
          <w:p>
            <w:pPr>
              <w:jc w:val="right"/>
              <w:spacing w:after="0" w:line="99" w:lineRule="exact"/>
              <w:rPr>
                <w:sz w:val="20"/>
                <w:szCs w:val="20"/>
                <w:color w:val="auto"/>
              </w:rPr>
            </w:pPr>
            <w:r>
              <w:rPr>
                <w:rFonts w:ascii="Arial" w:cs="Arial" w:eastAsia="Arial" w:hAnsi="Arial"/>
                <w:sz w:val="9"/>
                <w:szCs w:val="9"/>
                <w:b w:val="1"/>
                <w:bCs w:val="1"/>
                <w:color w:val="auto"/>
              </w:rPr>
              <w:t>17,545</w:t>
            </w:r>
          </w:p>
        </w:tc>
        <w:tc>
          <w:tcPr>
            <w:tcW w:w="8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99"/>
        </w:trPr>
        <w:tc>
          <w:tcPr>
            <w:tcW w:w="3900" w:type="dxa"/>
            <w:vAlign w:val="bottom"/>
          </w:tcPr>
          <w:p>
            <w:pPr>
              <w:spacing w:after="0" w:line="99" w:lineRule="exact"/>
              <w:rPr>
                <w:sz w:val="20"/>
                <w:szCs w:val="20"/>
                <w:color w:val="auto"/>
              </w:rPr>
            </w:pPr>
            <w:r>
              <w:rPr>
                <w:rFonts w:ascii="Arial" w:cs="Arial" w:eastAsia="Arial" w:hAnsi="Arial"/>
                <w:sz w:val="9"/>
                <w:szCs w:val="9"/>
                <w:b w:val="1"/>
                <w:bCs w:val="1"/>
                <w:color w:val="auto"/>
              </w:rPr>
              <w:t>Cancellation of restricted stock</w:t>
            </w:r>
          </w:p>
        </w:tc>
        <w:tc>
          <w:tcPr>
            <w:tcW w:w="860" w:type="dxa"/>
            <w:vAlign w:val="bottom"/>
            <w:gridSpan w:val="3"/>
          </w:tcPr>
          <w:p>
            <w:pPr>
              <w:jc w:val="right"/>
              <w:ind w:right="260"/>
              <w:spacing w:after="0" w:line="99" w:lineRule="exact"/>
              <w:rPr>
                <w:sz w:val="20"/>
                <w:szCs w:val="20"/>
                <w:color w:val="auto"/>
              </w:rPr>
            </w:pPr>
            <w:r>
              <w:rPr>
                <w:rFonts w:ascii="Arial" w:cs="Arial" w:eastAsia="Arial" w:hAnsi="Arial"/>
                <w:sz w:val="9"/>
                <w:szCs w:val="9"/>
                <w:b w:val="1"/>
                <w:bCs w:val="1"/>
                <w:color w:val="auto"/>
              </w:rPr>
              <w:t>(78,100)</w:t>
            </w:r>
          </w:p>
        </w:tc>
        <w:tc>
          <w:tcPr>
            <w:tcW w:w="40" w:type="dxa"/>
            <w:vAlign w:val="bottom"/>
          </w:tcPr>
          <w:p>
            <w:pPr>
              <w:spacing w:after="0"/>
              <w:rPr>
                <w:sz w:val="8"/>
                <w:szCs w:val="8"/>
                <w:color w:val="auto"/>
              </w:rPr>
            </w:pPr>
          </w:p>
        </w:tc>
        <w:tc>
          <w:tcPr>
            <w:tcW w:w="540" w:type="dxa"/>
            <w:vAlign w:val="bottom"/>
            <w:gridSpan w:val="2"/>
          </w:tcPr>
          <w:p>
            <w:pPr>
              <w:jc w:val="right"/>
              <w:ind w:right="320"/>
              <w:spacing w:after="0" w:line="99" w:lineRule="exact"/>
              <w:rPr>
                <w:sz w:val="20"/>
                <w:szCs w:val="20"/>
                <w:color w:val="auto"/>
              </w:rPr>
            </w:pPr>
            <w:r>
              <w:rPr>
                <w:rFonts w:ascii="Arial" w:cs="Arial" w:eastAsia="Arial" w:hAnsi="Arial"/>
                <w:sz w:val="9"/>
                <w:szCs w:val="9"/>
                <w:b w:val="1"/>
                <w:bCs w:val="1"/>
                <w:color w:val="auto"/>
              </w:rPr>
              <w:t>—</w:t>
            </w:r>
          </w:p>
        </w:tc>
        <w:tc>
          <w:tcPr>
            <w:tcW w:w="80" w:type="dxa"/>
            <w:vAlign w:val="bottom"/>
          </w:tcPr>
          <w:p>
            <w:pPr>
              <w:spacing w:after="0"/>
              <w:rPr>
                <w:sz w:val="8"/>
                <w:szCs w:val="8"/>
                <w:color w:val="auto"/>
              </w:rPr>
            </w:pPr>
          </w:p>
        </w:tc>
        <w:tc>
          <w:tcPr>
            <w:tcW w:w="760" w:type="dxa"/>
            <w:vAlign w:val="bottom"/>
            <w:gridSpan w:val="2"/>
          </w:tcPr>
          <w:p>
            <w:pPr>
              <w:jc w:val="right"/>
              <w:ind w:right="301"/>
              <w:spacing w:after="0" w:line="99" w:lineRule="exact"/>
              <w:rPr>
                <w:sz w:val="20"/>
                <w:szCs w:val="20"/>
                <w:color w:val="auto"/>
              </w:rPr>
            </w:pPr>
            <w:r>
              <w:rPr>
                <w:rFonts w:ascii="Arial" w:cs="Arial" w:eastAsia="Arial" w:hAnsi="Arial"/>
                <w:sz w:val="9"/>
                <w:szCs w:val="9"/>
                <w:b w:val="1"/>
                <w:bCs w:val="1"/>
                <w:color w:val="auto"/>
              </w:rPr>
              <w:t>—</w:t>
            </w:r>
          </w:p>
        </w:tc>
        <w:tc>
          <w:tcPr>
            <w:tcW w:w="40" w:type="dxa"/>
            <w:vAlign w:val="bottom"/>
          </w:tcPr>
          <w:p>
            <w:pPr>
              <w:spacing w:after="0"/>
              <w:rPr>
                <w:sz w:val="8"/>
                <w:szCs w:val="8"/>
                <w:color w:val="auto"/>
              </w:rPr>
            </w:pPr>
          </w:p>
        </w:tc>
        <w:tc>
          <w:tcPr>
            <w:tcW w:w="620" w:type="dxa"/>
            <w:vAlign w:val="bottom"/>
            <w:gridSpan w:val="2"/>
          </w:tcPr>
          <w:p>
            <w:pPr>
              <w:jc w:val="right"/>
              <w:ind w:right="200"/>
              <w:spacing w:after="0" w:line="99" w:lineRule="exact"/>
              <w:rPr>
                <w:sz w:val="20"/>
                <w:szCs w:val="20"/>
                <w:color w:val="auto"/>
              </w:rPr>
            </w:pPr>
            <w:r>
              <w:rPr>
                <w:rFonts w:ascii="Arial" w:cs="Arial" w:eastAsia="Arial" w:hAnsi="Arial"/>
                <w:sz w:val="9"/>
                <w:szCs w:val="9"/>
                <w:b w:val="1"/>
                <w:bCs w:val="1"/>
                <w:color w:val="auto"/>
              </w:rPr>
              <w:t>—</w:t>
            </w:r>
          </w:p>
        </w:tc>
        <w:tc>
          <w:tcPr>
            <w:tcW w:w="120" w:type="dxa"/>
            <w:vAlign w:val="bottom"/>
          </w:tcPr>
          <w:p>
            <w:pPr>
              <w:spacing w:after="0"/>
              <w:rPr>
                <w:sz w:val="8"/>
                <w:szCs w:val="8"/>
                <w:color w:val="auto"/>
              </w:rPr>
            </w:pPr>
          </w:p>
        </w:tc>
        <w:tc>
          <w:tcPr>
            <w:tcW w:w="60" w:type="dxa"/>
            <w:vAlign w:val="bottom"/>
          </w:tcPr>
          <w:p>
            <w:pPr>
              <w:spacing w:after="0"/>
              <w:rPr>
                <w:sz w:val="8"/>
                <w:szCs w:val="8"/>
                <w:color w:val="auto"/>
              </w:rPr>
            </w:pPr>
          </w:p>
        </w:tc>
        <w:tc>
          <w:tcPr>
            <w:tcW w:w="940" w:type="dxa"/>
            <w:vAlign w:val="bottom"/>
            <w:gridSpan w:val="2"/>
          </w:tcPr>
          <w:p>
            <w:pPr>
              <w:ind w:left="520"/>
              <w:spacing w:after="0" w:line="99" w:lineRule="exact"/>
              <w:rPr>
                <w:sz w:val="20"/>
                <w:szCs w:val="20"/>
                <w:color w:val="auto"/>
              </w:rPr>
            </w:pPr>
            <w:r>
              <w:rPr>
                <w:rFonts w:ascii="Arial" w:cs="Arial" w:eastAsia="Arial" w:hAnsi="Arial"/>
                <w:sz w:val="9"/>
                <w:szCs w:val="9"/>
                <w:b w:val="1"/>
                <w:bCs w:val="1"/>
                <w:color w:val="auto"/>
              </w:rPr>
              <w:t>—</w:t>
            </w:r>
          </w:p>
        </w:tc>
        <w:tc>
          <w:tcPr>
            <w:tcW w:w="40" w:type="dxa"/>
            <w:vAlign w:val="bottom"/>
          </w:tcPr>
          <w:p>
            <w:pPr>
              <w:spacing w:after="0"/>
              <w:rPr>
                <w:sz w:val="8"/>
                <w:szCs w:val="8"/>
                <w:color w:val="auto"/>
              </w:rPr>
            </w:pPr>
          </w:p>
        </w:tc>
        <w:tc>
          <w:tcPr>
            <w:tcW w:w="700" w:type="dxa"/>
            <w:vAlign w:val="bottom"/>
            <w:gridSpan w:val="2"/>
          </w:tcPr>
          <w:p>
            <w:pPr>
              <w:jc w:val="right"/>
              <w:ind w:right="340"/>
              <w:spacing w:after="0" w:line="99" w:lineRule="exact"/>
              <w:rPr>
                <w:sz w:val="20"/>
                <w:szCs w:val="20"/>
                <w:color w:val="auto"/>
              </w:rPr>
            </w:pPr>
            <w:r>
              <w:rPr>
                <w:rFonts w:ascii="Arial" w:cs="Arial" w:eastAsia="Arial" w:hAnsi="Arial"/>
                <w:sz w:val="9"/>
                <w:szCs w:val="9"/>
                <w:b w:val="1"/>
                <w:bCs w:val="1"/>
                <w:color w:val="auto"/>
              </w:rPr>
              <w:t>—</w:t>
            </w:r>
          </w:p>
        </w:tc>
        <w:tc>
          <w:tcPr>
            <w:tcW w:w="60" w:type="dxa"/>
            <w:vAlign w:val="bottom"/>
          </w:tcPr>
          <w:p>
            <w:pPr>
              <w:spacing w:after="0"/>
              <w:rPr>
                <w:sz w:val="8"/>
                <w:szCs w:val="8"/>
                <w:color w:val="auto"/>
              </w:rPr>
            </w:pPr>
          </w:p>
        </w:tc>
        <w:tc>
          <w:tcPr>
            <w:tcW w:w="960" w:type="dxa"/>
            <w:vAlign w:val="bottom"/>
            <w:gridSpan w:val="2"/>
          </w:tcPr>
          <w:p>
            <w:pPr>
              <w:jc w:val="right"/>
              <w:ind w:right="340"/>
              <w:spacing w:after="0" w:line="99" w:lineRule="exact"/>
              <w:rPr>
                <w:sz w:val="20"/>
                <w:szCs w:val="20"/>
                <w:color w:val="auto"/>
              </w:rPr>
            </w:pPr>
            <w:r>
              <w:rPr>
                <w:rFonts w:ascii="Arial" w:cs="Arial" w:eastAsia="Arial" w:hAnsi="Arial"/>
                <w:sz w:val="9"/>
                <w:szCs w:val="9"/>
                <w:b w:val="1"/>
                <w:bCs w:val="1"/>
                <w:color w:val="auto"/>
              </w:rPr>
              <w:t>—</w:t>
            </w:r>
          </w:p>
        </w:tc>
        <w:tc>
          <w:tcPr>
            <w:tcW w:w="60" w:type="dxa"/>
            <w:vAlign w:val="bottom"/>
          </w:tcPr>
          <w:p>
            <w:pPr>
              <w:spacing w:after="0"/>
              <w:rPr>
                <w:sz w:val="8"/>
                <w:szCs w:val="8"/>
                <w:color w:val="auto"/>
              </w:rPr>
            </w:pPr>
          </w:p>
        </w:tc>
        <w:tc>
          <w:tcPr>
            <w:tcW w:w="960" w:type="dxa"/>
            <w:vAlign w:val="bottom"/>
            <w:gridSpan w:val="2"/>
          </w:tcPr>
          <w:p>
            <w:pPr>
              <w:ind w:left="540"/>
              <w:spacing w:after="0" w:line="99" w:lineRule="exact"/>
              <w:rPr>
                <w:sz w:val="20"/>
                <w:szCs w:val="20"/>
                <w:color w:val="auto"/>
              </w:rPr>
            </w:pPr>
            <w:r>
              <w:rPr>
                <w:rFonts w:ascii="Arial" w:cs="Arial" w:eastAsia="Arial" w:hAnsi="Arial"/>
                <w:sz w:val="9"/>
                <w:szCs w:val="9"/>
                <w:b w:val="1"/>
                <w:bCs w:val="1"/>
                <w:color w:val="auto"/>
              </w:rPr>
              <w:t>—</w:t>
            </w:r>
          </w:p>
        </w:tc>
        <w:tc>
          <w:tcPr>
            <w:tcW w:w="60" w:type="dxa"/>
            <w:vAlign w:val="bottom"/>
          </w:tcPr>
          <w:p>
            <w:pPr>
              <w:spacing w:after="0"/>
              <w:rPr>
                <w:sz w:val="8"/>
                <w:szCs w:val="8"/>
                <w:color w:val="auto"/>
              </w:rPr>
            </w:pPr>
          </w:p>
        </w:tc>
        <w:tc>
          <w:tcPr>
            <w:tcW w:w="680" w:type="dxa"/>
            <w:vAlign w:val="bottom"/>
            <w:gridSpan w:val="2"/>
          </w:tcPr>
          <w:p>
            <w:pPr>
              <w:jc w:val="right"/>
              <w:ind w:right="120"/>
              <w:spacing w:after="0" w:line="99" w:lineRule="exact"/>
              <w:rPr>
                <w:sz w:val="20"/>
                <w:szCs w:val="20"/>
                <w:color w:val="auto"/>
              </w:rPr>
            </w:pPr>
            <w:r>
              <w:rPr>
                <w:rFonts w:ascii="Arial" w:cs="Arial" w:eastAsia="Arial" w:hAnsi="Arial"/>
                <w:sz w:val="9"/>
                <w:szCs w:val="9"/>
                <w:b w:val="1"/>
                <w:bCs w:val="1"/>
                <w:color w:val="auto"/>
              </w:rPr>
              <w:t>—</w:t>
            </w:r>
          </w:p>
        </w:tc>
        <w:tc>
          <w:tcPr>
            <w:tcW w:w="0" w:type="dxa"/>
            <w:vAlign w:val="bottom"/>
          </w:tcPr>
          <w:p>
            <w:pPr>
              <w:spacing w:after="0"/>
              <w:rPr>
                <w:sz w:val="1"/>
                <w:szCs w:val="1"/>
                <w:color w:val="auto"/>
              </w:rPr>
            </w:pPr>
          </w:p>
        </w:tc>
      </w:tr>
      <w:tr>
        <w:trPr>
          <w:trHeight w:val="99"/>
        </w:trPr>
        <w:tc>
          <w:tcPr>
            <w:tcW w:w="3900" w:type="dxa"/>
            <w:vAlign w:val="bottom"/>
            <w:shd w:val="clear" w:color="auto" w:fill="CCEEFF"/>
          </w:tcPr>
          <w:p>
            <w:pPr>
              <w:spacing w:after="0" w:line="99" w:lineRule="exact"/>
              <w:rPr>
                <w:sz w:val="20"/>
                <w:szCs w:val="20"/>
                <w:color w:val="auto"/>
              </w:rPr>
            </w:pPr>
            <w:r>
              <w:rPr>
                <w:rFonts w:ascii="Arial" w:cs="Arial" w:eastAsia="Arial" w:hAnsi="Arial"/>
                <w:sz w:val="9"/>
                <w:szCs w:val="9"/>
                <w:b w:val="1"/>
                <w:bCs w:val="1"/>
                <w:color w:val="auto"/>
              </w:rPr>
              <w:t>Purchase of treasury stock</w:t>
            </w:r>
          </w:p>
        </w:tc>
        <w:tc>
          <w:tcPr>
            <w:tcW w:w="860" w:type="dxa"/>
            <w:vAlign w:val="bottom"/>
            <w:gridSpan w:val="3"/>
            <w:shd w:val="clear" w:color="auto" w:fill="CCEEFF"/>
          </w:tcPr>
          <w:p>
            <w:pPr>
              <w:jc w:val="right"/>
              <w:ind w:right="260"/>
              <w:spacing w:after="0" w:line="99" w:lineRule="exact"/>
              <w:rPr>
                <w:sz w:val="20"/>
                <w:szCs w:val="20"/>
                <w:color w:val="auto"/>
              </w:rPr>
            </w:pPr>
            <w:r>
              <w:rPr>
                <w:rFonts w:ascii="Arial" w:cs="Arial" w:eastAsia="Arial" w:hAnsi="Arial"/>
                <w:sz w:val="9"/>
                <w:szCs w:val="9"/>
                <w:b w:val="1"/>
                <w:bCs w:val="1"/>
                <w:color w:val="auto"/>
              </w:rPr>
              <w:t>(105,559)</w:t>
            </w:r>
          </w:p>
        </w:tc>
        <w:tc>
          <w:tcPr>
            <w:tcW w:w="40" w:type="dxa"/>
            <w:vAlign w:val="bottom"/>
            <w:shd w:val="clear" w:color="auto" w:fill="CCEEFF"/>
          </w:tcPr>
          <w:p>
            <w:pPr>
              <w:spacing w:after="0"/>
              <w:rPr>
                <w:sz w:val="8"/>
                <w:szCs w:val="8"/>
                <w:color w:val="auto"/>
              </w:rPr>
            </w:pPr>
          </w:p>
        </w:tc>
        <w:tc>
          <w:tcPr>
            <w:tcW w:w="540" w:type="dxa"/>
            <w:vAlign w:val="bottom"/>
            <w:gridSpan w:val="2"/>
            <w:shd w:val="clear" w:color="auto" w:fill="CCEEFF"/>
          </w:tcPr>
          <w:p>
            <w:pPr>
              <w:jc w:val="right"/>
              <w:ind w:right="320"/>
              <w:spacing w:after="0" w:line="99" w:lineRule="exact"/>
              <w:rPr>
                <w:sz w:val="20"/>
                <w:szCs w:val="20"/>
                <w:color w:val="auto"/>
              </w:rPr>
            </w:pPr>
            <w:r>
              <w:rPr>
                <w:rFonts w:ascii="Arial" w:cs="Arial" w:eastAsia="Arial" w:hAnsi="Arial"/>
                <w:sz w:val="9"/>
                <w:szCs w:val="9"/>
                <w:b w:val="1"/>
                <w:bCs w:val="1"/>
                <w:color w:val="auto"/>
              </w:rPr>
              <w:t>—</w:t>
            </w:r>
          </w:p>
        </w:tc>
        <w:tc>
          <w:tcPr>
            <w:tcW w:w="80" w:type="dxa"/>
            <w:vAlign w:val="bottom"/>
            <w:shd w:val="clear" w:color="auto" w:fill="CCEEFF"/>
          </w:tcPr>
          <w:p>
            <w:pPr>
              <w:spacing w:after="0"/>
              <w:rPr>
                <w:sz w:val="8"/>
                <w:szCs w:val="8"/>
                <w:color w:val="auto"/>
              </w:rPr>
            </w:pPr>
          </w:p>
        </w:tc>
        <w:tc>
          <w:tcPr>
            <w:tcW w:w="760" w:type="dxa"/>
            <w:vAlign w:val="bottom"/>
            <w:gridSpan w:val="2"/>
            <w:shd w:val="clear" w:color="auto" w:fill="CCEEFF"/>
          </w:tcPr>
          <w:p>
            <w:pPr>
              <w:jc w:val="right"/>
              <w:ind w:right="221"/>
              <w:spacing w:after="0" w:line="99" w:lineRule="exact"/>
              <w:rPr>
                <w:sz w:val="20"/>
                <w:szCs w:val="20"/>
                <w:color w:val="auto"/>
              </w:rPr>
            </w:pPr>
            <w:r>
              <w:rPr>
                <w:rFonts w:ascii="Arial" w:cs="Arial" w:eastAsia="Arial" w:hAnsi="Arial"/>
                <w:sz w:val="9"/>
                <w:szCs w:val="9"/>
                <w:b w:val="1"/>
                <w:bCs w:val="1"/>
                <w:color w:val="auto"/>
              </w:rPr>
              <w:t>(13,952)</w:t>
            </w:r>
          </w:p>
        </w:tc>
        <w:tc>
          <w:tcPr>
            <w:tcW w:w="40" w:type="dxa"/>
            <w:vAlign w:val="bottom"/>
            <w:shd w:val="clear" w:color="auto" w:fill="CCEEFF"/>
          </w:tcPr>
          <w:p>
            <w:pPr>
              <w:spacing w:after="0"/>
              <w:rPr>
                <w:sz w:val="8"/>
                <w:szCs w:val="8"/>
                <w:color w:val="auto"/>
              </w:rPr>
            </w:pPr>
          </w:p>
        </w:tc>
        <w:tc>
          <w:tcPr>
            <w:tcW w:w="620" w:type="dxa"/>
            <w:vAlign w:val="bottom"/>
            <w:gridSpan w:val="2"/>
            <w:shd w:val="clear" w:color="auto" w:fill="CCEEFF"/>
          </w:tcPr>
          <w:p>
            <w:pPr>
              <w:jc w:val="right"/>
              <w:ind w:right="200"/>
              <w:spacing w:after="0" w:line="99" w:lineRule="exact"/>
              <w:rPr>
                <w:sz w:val="20"/>
                <w:szCs w:val="20"/>
                <w:color w:val="auto"/>
              </w:rPr>
            </w:pPr>
            <w:r>
              <w:rPr>
                <w:rFonts w:ascii="Arial" w:cs="Arial" w:eastAsia="Arial" w:hAnsi="Arial"/>
                <w:sz w:val="9"/>
                <w:szCs w:val="9"/>
                <w:b w:val="1"/>
                <w:bCs w:val="1"/>
                <w:color w:val="auto"/>
              </w:rPr>
              <w:t>—</w:t>
            </w:r>
          </w:p>
        </w:tc>
        <w:tc>
          <w:tcPr>
            <w:tcW w:w="12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940" w:type="dxa"/>
            <w:vAlign w:val="bottom"/>
            <w:gridSpan w:val="2"/>
            <w:shd w:val="clear" w:color="auto" w:fill="CCEEFF"/>
          </w:tcPr>
          <w:p>
            <w:pPr>
              <w:ind w:left="520"/>
              <w:spacing w:after="0" w:line="99" w:lineRule="exact"/>
              <w:rPr>
                <w:sz w:val="20"/>
                <w:szCs w:val="20"/>
                <w:color w:val="auto"/>
              </w:rPr>
            </w:pPr>
            <w:r>
              <w:rPr>
                <w:rFonts w:ascii="Arial" w:cs="Arial" w:eastAsia="Arial" w:hAnsi="Arial"/>
                <w:sz w:val="9"/>
                <w:szCs w:val="9"/>
                <w:b w:val="1"/>
                <w:bCs w:val="1"/>
                <w:color w:val="auto"/>
              </w:rPr>
              <w:t>—</w:t>
            </w:r>
          </w:p>
        </w:tc>
        <w:tc>
          <w:tcPr>
            <w:tcW w:w="40" w:type="dxa"/>
            <w:vAlign w:val="bottom"/>
            <w:shd w:val="clear" w:color="auto" w:fill="CCEEFF"/>
          </w:tcPr>
          <w:p>
            <w:pPr>
              <w:spacing w:after="0"/>
              <w:rPr>
                <w:sz w:val="8"/>
                <w:szCs w:val="8"/>
                <w:color w:val="auto"/>
              </w:rPr>
            </w:pPr>
          </w:p>
        </w:tc>
        <w:tc>
          <w:tcPr>
            <w:tcW w:w="700" w:type="dxa"/>
            <w:vAlign w:val="bottom"/>
            <w:gridSpan w:val="2"/>
            <w:shd w:val="clear" w:color="auto" w:fill="CCEEFF"/>
          </w:tcPr>
          <w:p>
            <w:pPr>
              <w:jc w:val="right"/>
              <w:ind w:right="340"/>
              <w:spacing w:after="0" w:line="99" w:lineRule="exact"/>
              <w:rPr>
                <w:sz w:val="20"/>
                <w:szCs w:val="20"/>
                <w:color w:val="auto"/>
              </w:rPr>
            </w:pPr>
            <w:r>
              <w:rPr>
                <w:rFonts w:ascii="Arial" w:cs="Arial" w:eastAsia="Arial" w:hAnsi="Arial"/>
                <w:sz w:val="9"/>
                <w:szCs w:val="9"/>
                <w:b w:val="1"/>
                <w:bCs w:val="1"/>
                <w:color w:val="auto"/>
              </w:rPr>
              <w:t>—</w:t>
            </w:r>
          </w:p>
        </w:tc>
        <w:tc>
          <w:tcPr>
            <w:tcW w:w="60" w:type="dxa"/>
            <w:vAlign w:val="bottom"/>
            <w:shd w:val="clear" w:color="auto" w:fill="CCEEFF"/>
          </w:tcPr>
          <w:p>
            <w:pPr>
              <w:spacing w:after="0"/>
              <w:rPr>
                <w:sz w:val="8"/>
                <w:szCs w:val="8"/>
                <w:color w:val="auto"/>
              </w:rPr>
            </w:pPr>
          </w:p>
        </w:tc>
        <w:tc>
          <w:tcPr>
            <w:tcW w:w="960" w:type="dxa"/>
            <w:vAlign w:val="bottom"/>
            <w:gridSpan w:val="2"/>
            <w:shd w:val="clear" w:color="auto" w:fill="CCEEFF"/>
          </w:tcPr>
          <w:p>
            <w:pPr>
              <w:jc w:val="right"/>
              <w:ind w:right="260"/>
              <w:spacing w:after="0" w:line="99" w:lineRule="exact"/>
              <w:rPr>
                <w:sz w:val="20"/>
                <w:szCs w:val="20"/>
                <w:color w:val="auto"/>
              </w:rPr>
            </w:pPr>
            <w:r>
              <w:rPr>
                <w:rFonts w:ascii="Arial" w:cs="Arial" w:eastAsia="Arial" w:hAnsi="Arial"/>
                <w:sz w:val="9"/>
                <w:szCs w:val="9"/>
                <w:b w:val="1"/>
                <w:bCs w:val="1"/>
                <w:color w:val="auto"/>
              </w:rPr>
              <w:t>(13,952)</w:t>
            </w:r>
          </w:p>
        </w:tc>
        <w:tc>
          <w:tcPr>
            <w:tcW w:w="60" w:type="dxa"/>
            <w:vAlign w:val="bottom"/>
            <w:shd w:val="clear" w:color="auto" w:fill="CCEEFF"/>
          </w:tcPr>
          <w:p>
            <w:pPr>
              <w:spacing w:after="0"/>
              <w:rPr>
                <w:sz w:val="8"/>
                <w:szCs w:val="8"/>
                <w:color w:val="auto"/>
              </w:rPr>
            </w:pPr>
          </w:p>
        </w:tc>
        <w:tc>
          <w:tcPr>
            <w:tcW w:w="960" w:type="dxa"/>
            <w:vAlign w:val="bottom"/>
            <w:gridSpan w:val="2"/>
            <w:shd w:val="clear" w:color="auto" w:fill="CCEEFF"/>
          </w:tcPr>
          <w:p>
            <w:pPr>
              <w:ind w:left="540"/>
              <w:spacing w:after="0" w:line="99" w:lineRule="exact"/>
              <w:rPr>
                <w:sz w:val="20"/>
                <w:szCs w:val="20"/>
                <w:color w:val="auto"/>
              </w:rPr>
            </w:pPr>
            <w:r>
              <w:rPr>
                <w:rFonts w:ascii="Arial" w:cs="Arial" w:eastAsia="Arial" w:hAnsi="Arial"/>
                <w:sz w:val="9"/>
                <w:szCs w:val="9"/>
                <w:b w:val="1"/>
                <w:bCs w:val="1"/>
                <w:color w:val="auto"/>
              </w:rPr>
              <w:t>—</w:t>
            </w:r>
          </w:p>
        </w:tc>
        <w:tc>
          <w:tcPr>
            <w:tcW w:w="60" w:type="dxa"/>
            <w:vAlign w:val="bottom"/>
            <w:shd w:val="clear" w:color="auto" w:fill="CCEEFF"/>
          </w:tcPr>
          <w:p>
            <w:pPr>
              <w:spacing w:after="0"/>
              <w:rPr>
                <w:sz w:val="8"/>
                <w:szCs w:val="8"/>
                <w:color w:val="auto"/>
              </w:rPr>
            </w:pPr>
          </w:p>
        </w:tc>
        <w:tc>
          <w:tcPr>
            <w:tcW w:w="680" w:type="dxa"/>
            <w:vAlign w:val="bottom"/>
            <w:gridSpan w:val="2"/>
            <w:shd w:val="clear" w:color="auto" w:fill="CCEEFF"/>
          </w:tcPr>
          <w:p>
            <w:pPr>
              <w:jc w:val="right"/>
              <w:ind w:right="40"/>
              <w:spacing w:after="0" w:line="99" w:lineRule="exact"/>
              <w:rPr>
                <w:sz w:val="20"/>
                <w:szCs w:val="20"/>
                <w:color w:val="auto"/>
              </w:rPr>
            </w:pPr>
            <w:r>
              <w:rPr>
                <w:rFonts w:ascii="Arial" w:cs="Arial" w:eastAsia="Arial" w:hAnsi="Arial"/>
                <w:sz w:val="9"/>
                <w:szCs w:val="9"/>
                <w:b w:val="1"/>
                <w:bCs w:val="1"/>
                <w:color w:val="auto"/>
              </w:rPr>
              <w:t>(13,952)</w:t>
            </w:r>
          </w:p>
        </w:tc>
        <w:tc>
          <w:tcPr>
            <w:tcW w:w="0" w:type="dxa"/>
            <w:vAlign w:val="bottom"/>
          </w:tcPr>
          <w:p>
            <w:pPr>
              <w:spacing w:after="0"/>
              <w:rPr>
                <w:sz w:val="1"/>
                <w:szCs w:val="1"/>
                <w:color w:val="auto"/>
              </w:rPr>
            </w:pPr>
          </w:p>
        </w:tc>
      </w:tr>
      <w:tr>
        <w:trPr>
          <w:trHeight w:val="99"/>
        </w:trPr>
        <w:tc>
          <w:tcPr>
            <w:tcW w:w="3900" w:type="dxa"/>
            <w:vAlign w:val="bottom"/>
          </w:tcPr>
          <w:p>
            <w:pPr>
              <w:spacing w:after="0" w:line="99" w:lineRule="exact"/>
              <w:rPr>
                <w:sz w:val="20"/>
                <w:szCs w:val="20"/>
                <w:color w:val="auto"/>
              </w:rPr>
            </w:pPr>
            <w:r>
              <w:rPr>
                <w:rFonts w:ascii="Arial" w:cs="Arial" w:eastAsia="Arial" w:hAnsi="Arial"/>
                <w:sz w:val="9"/>
                <w:szCs w:val="9"/>
                <w:b w:val="1"/>
                <w:bCs w:val="1"/>
                <w:color w:val="auto"/>
              </w:rPr>
              <w:t>Issuance of restricted stock</w:t>
            </w:r>
          </w:p>
        </w:tc>
        <w:tc>
          <w:tcPr>
            <w:tcW w:w="580" w:type="dxa"/>
            <w:vAlign w:val="bottom"/>
            <w:gridSpan w:val="2"/>
          </w:tcPr>
          <w:p>
            <w:pPr>
              <w:jc w:val="right"/>
              <w:ind w:right="20"/>
              <w:spacing w:after="0" w:line="99" w:lineRule="exact"/>
              <w:rPr>
                <w:sz w:val="20"/>
                <w:szCs w:val="20"/>
                <w:color w:val="auto"/>
              </w:rPr>
            </w:pPr>
            <w:r>
              <w:rPr>
                <w:rFonts w:ascii="Arial" w:cs="Arial" w:eastAsia="Arial" w:hAnsi="Arial"/>
                <w:sz w:val="9"/>
                <w:szCs w:val="9"/>
                <w:b w:val="1"/>
                <w:bCs w:val="1"/>
                <w:color w:val="auto"/>
              </w:rPr>
              <w:t>125,100</w:t>
            </w:r>
          </w:p>
        </w:tc>
        <w:tc>
          <w:tcPr>
            <w:tcW w:w="280" w:type="dxa"/>
            <w:vAlign w:val="bottom"/>
          </w:tcPr>
          <w:p>
            <w:pPr>
              <w:spacing w:after="0"/>
              <w:rPr>
                <w:sz w:val="8"/>
                <w:szCs w:val="8"/>
                <w:color w:val="auto"/>
              </w:rPr>
            </w:pPr>
          </w:p>
        </w:tc>
        <w:tc>
          <w:tcPr>
            <w:tcW w:w="40" w:type="dxa"/>
            <w:vAlign w:val="bottom"/>
          </w:tcPr>
          <w:p>
            <w:pPr>
              <w:spacing w:after="0"/>
              <w:rPr>
                <w:sz w:val="8"/>
                <w:szCs w:val="8"/>
                <w:color w:val="auto"/>
              </w:rPr>
            </w:pPr>
          </w:p>
        </w:tc>
        <w:tc>
          <w:tcPr>
            <w:tcW w:w="540" w:type="dxa"/>
            <w:vAlign w:val="bottom"/>
            <w:gridSpan w:val="2"/>
          </w:tcPr>
          <w:p>
            <w:pPr>
              <w:jc w:val="right"/>
              <w:ind w:right="280"/>
              <w:spacing w:after="0" w:line="99" w:lineRule="exact"/>
              <w:rPr>
                <w:sz w:val="20"/>
                <w:szCs w:val="20"/>
                <w:color w:val="auto"/>
              </w:rPr>
            </w:pPr>
            <w:r>
              <w:rPr>
                <w:rFonts w:ascii="Arial" w:cs="Arial" w:eastAsia="Arial" w:hAnsi="Arial"/>
                <w:sz w:val="9"/>
                <w:szCs w:val="9"/>
                <w:b w:val="1"/>
                <w:bCs w:val="1"/>
                <w:color w:val="auto"/>
              </w:rPr>
              <w:t>1</w:t>
            </w:r>
          </w:p>
        </w:tc>
        <w:tc>
          <w:tcPr>
            <w:tcW w:w="80" w:type="dxa"/>
            <w:vAlign w:val="bottom"/>
          </w:tcPr>
          <w:p>
            <w:pPr>
              <w:spacing w:after="0"/>
              <w:rPr>
                <w:sz w:val="8"/>
                <w:szCs w:val="8"/>
                <w:color w:val="auto"/>
              </w:rPr>
            </w:pPr>
          </w:p>
        </w:tc>
        <w:tc>
          <w:tcPr>
            <w:tcW w:w="760" w:type="dxa"/>
            <w:vAlign w:val="bottom"/>
            <w:gridSpan w:val="2"/>
          </w:tcPr>
          <w:p>
            <w:pPr>
              <w:jc w:val="right"/>
              <w:ind w:right="301"/>
              <w:spacing w:after="0" w:line="99" w:lineRule="exact"/>
              <w:rPr>
                <w:sz w:val="20"/>
                <w:szCs w:val="20"/>
                <w:color w:val="auto"/>
              </w:rPr>
            </w:pPr>
            <w:r>
              <w:rPr>
                <w:rFonts w:ascii="Arial" w:cs="Arial" w:eastAsia="Arial" w:hAnsi="Arial"/>
                <w:sz w:val="9"/>
                <w:szCs w:val="9"/>
                <w:b w:val="1"/>
                <w:bCs w:val="1"/>
                <w:color w:val="auto"/>
              </w:rPr>
              <w:t>—</w:t>
            </w:r>
          </w:p>
        </w:tc>
        <w:tc>
          <w:tcPr>
            <w:tcW w:w="40" w:type="dxa"/>
            <w:vAlign w:val="bottom"/>
          </w:tcPr>
          <w:p>
            <w:pPr>
              <w:spacing w:after="0"/>
              <w:rPr>
                <w:sz w:val="8"/>
                <w:szCs w:val="8"/>
                <w:color w:val="auto"/>
              </w:rPr>
            </w:pPr>
          </w:p>
        </w:tc>
        <w:tc>
          <w:tcPr>
            <w:tcW w:w="620" w:type="dxa"/>
            <w:vAlign w:val="bottom"/>
            <w:gridSpan w:val="2"/>
          </w:tcPr>
          <w:p>
            <w:pPr>
              <w:jc w:val="right"/>
              <w:ind w:right="140"/>
              <w:spacing w:after="0" w:line="99" w:lineRule="exact"/>
              <w:rPr>
                <w:sz w:val="20"/>
                <w:szCs w:val="20"/>
                <w:color w:val="auto"/>
              </w:rPr>
            </w:pPr>
            <w:r>
              <w:rPr>
                <w:rFonts w:ascii="Arial" w:cs="Arial" w:eastAsia="Arial" w:hAnsi="Arial"/>
                <w:sz w:val="9"/>
                <w:szCs w:val="9"/>
                <w:b w:val="1"/>
                <w:bCs w:val="1"/>
                <w:color w:val="auto"/>
              </w:rPr>
              <w:t>(1)</w:t>
            </w:r>
          </w:p>
        </w:tc>
        <w:tc>
          <w:tcPr>
            <w:tcW w:w="120" w:type="dxa"/>
            <w:vAlign w:val="bottom"/>
          </w:tcPr>
          <w:p>
            <w:pPr>
              <w:spacing w:after="0"/>
              <w:rPr>
                <w:sz w:val="8"/>
                <w:szCs w:val="8"/>
                <w:color w:val="auto"/>
              </w:rPr>
            </w:pPr>
          </w:p>
        </w:tc>
        <w:tc>
          <w:tcPr>
            <w:tcW w:w="60" w:type="dxa"/>
            <w:vAlign w:val="bottom"/>
          </w:tcPr>
          <w:p>
            <w:pPr>
              <w:spacing w:after="0"/>
              <w:rPr>
                <w:sz w:val="8"/>
                <w:szCs w:val="8"/>
                <w:color w:val="auto"/>
              </w:rPr>
            </w:pPr>
          </w:p>
        </w:tc>
        <w:tc>
          <w:tcPr>
            <w:tcW w:w="940" w:type="dxa"/>
            <w:vAlign w:val="bottom"/>
            <w:gridSpan w:val="2"/>
          </w:tcPr>
          <w:p>
            <w:pPr>
              <w:ind w:left="520"/>
              <w:spacing w:after="0" w:line="99" w:lineRule="exact"/>
              <w:rPr>
                <w:sz w:val="20"/>
                <w:szCs w:val="20"/>
                <w:color w:val="auto"/>
              </w:rPr>
            </w:pPr>
            <w:r>
              <w:rPr>
                <w:rFonts w:ascii="Arial" w:cs="Arial" w:eastAsia="Arial" w:hAnsi="Arial"/>
                <w:sz w:val="9"/>
                <w:szCs w:val="9"/>
                <w:b w:val="1"/>
                <w:bCs w:val="1"/>
                <w:color w:val="auto"/>
              </w:rPr>
              <w:t>—</w:t>
            </w:r>
          </w:p>
        </w:tc>
        <w:tc>
          <w:tcPr>
            <w:tcW w:w="40" w:type="dxa"/>
            <w:vAlign w:val="bottom"/>
          </w:tcPr>
          <w:p>
            <w:pPr>
              <w:spacing w:after="0"/>
              <w:rPr>
                <w:sz w:val="8"/>
                <w:szCs w:val="8"/>
                <w:color w:val="auto"/>
              </w:rPr>
            </w:pPr>
          </w:p>
        </w:tc>
        <w:tc>
          <w:tcPr>
            <w:tcW w:w="700" w:type="dxa"/>
            <w:vAlign w:val="bottom"/>
            <w:gridSpan w:val="2"/>
          </w:tcPr>
          <w:p>
            <w:pPr>
              <w:jc w:val="right"/>
              <w:ind w:right="340"/>
              <w:spacing w:after="0" w:line="99" w:lineRule="exact"/>
              <w:rPr>
                <w:sz w:val="20"/>
                <w:szCs w:val="20"/>
                <w:color w:val="auto"/>
              </w:rPr>
            </w:pPr>
            <w:r>
              <w:rPr>
                <w:rFonts w:ascii="Arial" w:cs="Arial" w:eastAsia="Arial" w:hAnsi="Arial"/>
                <w:sz w:val="9"/>
                <w:szCs w:val="9"/>
                <w:b w:val="1"/>
                <w:bCs w:val="1"/>
                <w:color w:val="auto"/>
              </w:rPr>
              <w:t>—</w:t>
            </w:r>
          </w:p>
        </w:tc>
        <w:tc>
          <w:tcPr>
            <w:tcW w:w="60" w:type="dxa"/>
            <w:vAlign w:val="bottom"/>
          </w:tcPr>
          <w:p>
            <w:pPr>
              <w:spacing w:after="0"/>
              <w:rPr>
                <w:sz w:val="8"/>
                <w:szCs w:val="8"/>
                <w:color w:val="auto"/>
              </w:rPr>
            </w:pPr>
          </w:p>
        </w:tc>
        <w:tc>
          <w:tcPr>
            <w:tcW w:w="960" w:type="dxa"/>
            <w:vAlign w:val="bottom"/>
            <w:gridSpan w:val="2"/>
          </w:tcPr>
          <w:p>
            <w:pPr>
              <w:jc w:val="right"/>
              <w:ind w:right="340"/>
              <w:spacing w:after="0" w:line="99" w:lineRule="exact"/>
              <w:rPr>
                <w:sz w:val="20"/>
                <w:szCs w:val="20"/>
                <w:color w:val="auto"/>
              </w:rPr>
            </w:pPr>
            <w:r>
              <w:rPr>
                <w:rFonts w:ascii="Arial" w:cs="Arial" w:eastAsia="Arial" w:hAnsi="Arial"/>
                <w:sz w:val="9"/>
                <w:szCs w:val="9"/>
                <w:b w:val="1"/>
                <w:bCs w:val="1"/>
                <w:color w:val="auto"/>
              </w:rPr>
              <w:t>—</w:t>
            </w:r>
          </w:p>
        </w:tc>
        <w:tc>
          <w:tcPr>
            <w:tcW w:w="60" w:type="dxa"/>
            <w:vAlign w:val="bottom"/>
          </w:tcPr>
          <w:p>
            <w:pPr>
              <w:spacing w:after="0"/>
              <w:rPr>
                <w:sz w:val="8"/>
                <w:szCs w:val="8"/>
                <w:color w:val="auto"/>
              </w:rPr>
            </w:pPr>
          </w:p>
        </w:tc>
        <w:tc>
          <w:tcPr>
            <w:tcW w:w="960" w:type="dxa"/>
            <w:vAlign w:val="bottom"/>
            <w:gridSpan w:val="2"/>
          </w:tcPr>
          <w:p>
            <w:pPr>
              <w:ind w:left="540"/>
              <w:spacing w:after="0" w:line="99" w:lineRule="exact"/>
              <w:rPr>
                <w:sz w:val="20"/>
                <w:szCs w:val="20"/>
                <w:color w:val="auto"/>
              </w:rPr>
            </w:pPr>
            <w:r>
              <w:rPr>
                <w:rFonts w:ascii="Arial" w:cs="Arial" w:eastAsia="Arial" w:hAnsi="Arial"/>
                <w:sz w:val="9"/>
                <w:szCs w:val="9"/>
                <w:b w:val="1"/>
                <w:bCs w:val="1"/>
                <w:color w:val="auto"/>
              </w:rPr>
              <w:t>—</w:t>
            </w:r>
          </w:p>
        </w:tc>
        <w:tc>
          <w:tcPr>
            <w:tcW w:w="60" w:type="dxa"/>
            <w:vAlign w:val="bottom"/>
          </w:tcPr>
          <w:p>
            <w:pPr>
              <w:spacing w:after="0"/>
              <w:rPr>
                <w:sz w:val="8"/>
                <w:szCs w:val="8"/>
                <w:color w:val="auto"/>
              </w:rPr>
            </w:pPr>
          </w:p>
        </w:tc>
        <w:tc>
          <w:tcPr>
            <w:tcW w:w="680" w:type="dxa"/>
            <w:vAlign w:val="bottom"/>
            <w:gridSpan w:val="2"/>
          </w:tcPr>
          <w:p>
            <w:pPr>
              <w:jc w:val="right"/>
              <w:ind w:right="120"/>
              <w:spacing w:after="0" w:line="99" w:lineRule="exact"/>
              <w:rPr>
                <w:sz w:val="20"/>
                <w:szCs w:val="20"/>
                <w:color w:val="auto"/>
              </w:rPr>
            </w:pPr>
            <w:r>
              <w:rPr>
                <w:rFonts w:ascii="Arial" w:cs="Arial" w:eastAsia="Arial" w:hAnsi="Arial"/>
                <w:sz w:val="9"/>
                <w:szCs w:val="9"/>
                <w:b w:val="1"/>
                <w:bCs w:val="1"/>
                <w:color w:val="auto"/>
              </w:rPr>
              <w:t>—</w:t>
            </w:r>
          </w:p>
        </w:tc>
        <w:tc>
          <w:tcPr>
            <w:tcW w:w="0" w:type="dxa"/>
            <w:vAlign w:val="bottom"/>
          </w:tcPr>
          <w:p>
            <w:pPr>
              <w:spacing w:after="0"/>
              <w:rPr>
                <w:sz w:val="1"/>
                <w:szCs w:val="1"/>
                <w:color w:val="auto"/>
              </w:rPr>
            </w:pPr>
          </w:p>
        </w:tc>
      </w:tr>
      <w:tr>
        <w:trPr>
          <w:trHeight w:val="99"/>
        </w:trPr>
        <w:tc>
          <w:tcPr>
            <w:tcW w:w="3900" w:type="dxa"/>
            <w:vAlign w:val="bottom"/>
            <w:shd w:val="clear" w:color="auto" w:fill="CCEEFF"/>
          </w:tcPr>
          <w:p>
            <w:pPr>
              <w:spacing w:after="0" w:line="99" w:lineRule="exact"/>
              <w:rPr>
                <w:sz w:val="20"/>
                <w:szCs w:val="20"/>
                <w:color w:val="auto"/>
              </w:rPr>
            </w:pPr>
            <w:r>
              <w:rPr>
                <w:rFonts w:ascii="Arial" w:cs="Arial" w:eastAsia="Arial" w:hAnsi="Arial"/>
                <w:sz w:val="9"/>
                <w:szCs w:val="9"/>
                <w:b w:val="1"/>
                <w:bCs w:val="1"/>
                <w:color w:val="auto"/>
              </w:rPr>
              <w:t>Cash dividends declared</w:t>
            </w:r>
          </w:p>
        </w:tc>
        <w:tc>
          <w:tcPr>
            <w:tcW w:w="860" w:type="dxa"/>
            <w:vAlign w:val="bottom"/>
            <w:gridSpan w:val="3"/>
            <w:shd w:val="clear" w:color="auto" w:fill="CCEEFF"/>
          </w:tcPr>
          <w:p>
            <w:pPr>
              <w:jc w:val="right"/>
              <w:ind w:right="340"/>
              <w:spacing w:after="0" w:line="99" w:lineRule="exact"/>
              <w:rPr>
                <w:sz w:val="20"/>
                <w:szCs w:val="20"/>
                <w:color w:val="auto"/>
              </w:rPr>
            </w:pPr>
            <w:r>
              <w:rPr>
                <w:rFonts w:ascii="Arial" w:cs="Arial" w:eastAsia="Arial" w:hAnsi="Arial"/>
                <w:sz w:val="9"/>
                <w:szCs w:val="9"/>
                <w:b w:val="1"/>
                <w:bCs w:val="1"/>
                <w:color w:val="auto"/>
              </w:rPr>
              <w:t>—</w:t>
            </w:r>
          </w:p>
        </w:tc>
        <w:tc>
          <w:tcPr>
            <w:tcW w:w="40" w:type="dxa"/>
            <w:vAlign w:val="bottom"/>
            <w:shd w:val="clear" w:color="auto" w:fill="CCEEFF"/>
          </w:tcPr>
          <w:p>
            <w:pPr>
              <w:spacing w:after="0"/>
              <w:rPr>
                <w:sz w:val="8"/>
                <w:szCs w:val="8"/>
                <w:color w:val="auto"/>
              </w:rPr>
            </w:pPr>
          </w:p>
        </w:tc>
        <w:tc>
          <w:tcPr>
            <w:tcW w:w="540" w:type="dxa"/>
            <w:vAlign w:val="bottom"/>
            <w:gridSpan w:val="2"/>
            <w:shd w:val="clear" w:color="auto" w:fill="CCEEFF"/>
          </w:tcPr>
          <w:p>
            <w:pPr>
              <w:jc w:val="right"/>
              <w:ind w:right="320"/>
              <w:spacing w:after="0" w:line="99" w:lineRule="exact"/>
              <w:rPr>
                <w:sz w:val="20"/>
                <w:szCs w:val="20"/>
                <w:color w:val="auto"/>
              </w:rPr>
            </w:pPr>
            <w:r>
              <w:rPr>
                <w:rFonts w:ascii="Arial" w:cs="Arial" w:eastAsia="Arial" w:hAnsi="Arial"/>
                <w:sz w:val="9"/>
                <w:szCs w:val="9"/>
                <w:b w:val="1"/>
                <w:bCs w:val="1"/>
                <w:color w:val="auto"/>
              </w:rPr>
              <w:t>—</w:t>
            </w:r>
          </w:p>
        </w:tc>
        <w:tc>
          <w:tcPr>
            <w:tcW w:w="80" w:type="dxa"/>
            <w:vAlign w:val="bottom"/>
            <w:shd w:val="clear" w:color="auto" w:fill="CCEEFF"/>
          </w:tcPr>
          <w:p>
            <w:pPr>
              <w:spacing w:after="0"/>
              <w:rPr>
                <w:sz w:val="8"/>
                <w:szCs w:val="8"/>
                <w:color w:val="auto"/>
              </w:rPr>
            </w:pPr>
          </w:p>
        </w:tc>
        <w:tc>
          <w:tcPr>
            <w:tcW w:w="760" w:type="dxa"/>
            <w:vAlign w:val="bottom"/>
            <w:gridSpan w:val="2"/>
            <w:shd w:val="clear" w:color="auto" w:fill="CCEEFF"/>
          </w:tcPr>
          <w:p>
            <w:pPr>
              <w:jc w:val="right"/>
              <w:ind w:right="301"/>
              <w:spacing w:after="0" w:line="99" w:lineRule="exact"/>
              <w:rPr>
                <w:sz w:val="20"/>
                <w:szCs w:val="20"/>
                <w:color w:val="auto"/>
              </w:rPr>
            </w:pPr>
            <w:r>
              <w:rPr>
                <w:rFonts w:ascii="Arial" w:cs="Arial" w:eastAsia="Arial" w:hAnsi="Arial"/>
                <w:sz w:val="9"/>
                <w:szCs w:val="9"/>
                <w:b w:val="1"/>
                <w:bCs w:val="1"/>
                <w:color w:val="auto"/>
              </w:rPr>
              <w:t>—</w:t>
            </w:r>
          </w:p>
        </w:tc>
        <w:tc>
          <w:tcPr>
            <w:tcW w:w="40" w:type="dxa"/>
            <w:vAlign w:val="bottom"/>
            <w:shd w:val="clear" w:color="auto" w:fill="CCEEFF"/>
          </w:tcPr>
          <w:p>
            <w:pPr>
              <w:spacing w:after="0"/>
              <w:rPr>
                <w:sz w:val="8"/>
                <w:szCs w:val="8"/>
                <w:color w:val="auto"/>
              </w:rPr>
            </w:pPr>
          </w:p>
        </w:tc>
        <w:tc>
          <w:tcPr>
            <w:tcW w:w="460" w:type="dxa"/>
            <w:vAlign w:val="bottom"/>
            <w:shd w:val="clear" w:color="auto" w:fill="CCEEFF"/>
          </w:tcPr>
          <w:p>
            <w:pPr>
              <w:jc w:val="right"/>
              <w:spacing w:after="0" w:line="99" w:lineRule="exact"/>
              <w:rPr>
                <w:sz w:val="20"/>
                <w:szCs w:val="20"/>
                <w:color w:val="auto"/>
              </w:rPr>
            </w:pPr>
            <w:r>
              <w:rPr>
                <w:rFonts w:ascii="Arial" w:cs="Arial" w:eastAsia="Arial" w:hAnsi="Arial"/>
                <w:sz w:val="9"/>
                <w:szCs w:val="9"/>
                <w:b w:val="1"/>
                <w:bCs w:val="1"/>
                <w:color w:val="auto"/>
              </w:rPr>
              <w:t>481</w:t>
            </w:r>
          </w:p>
        </w:tc>
        <w:tc>
          <w:tcPr>
            <w:tcW w:w="16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940" w:type="dxa"/>
            <w:vAlign w:val="bottom"/>
            <w:gridSpan w:val="2"/>
            <w:shd w:val="clear" w:color="auto" w:fill="CCEEFF"/>
          </w:tcPr>
          <w:p>
            <w:pPr>
              <w:ind w:left="520"/>
              <w:spacing w:after="0" w:line="99" w:lineRule="exact"/>
              <w:rPr>
                <w:sz w:val="20"/>
                <w:szCs w:val="20"/>
                <w:color w:val="auto"/>
              </w:rPr>
            </w:pPr>
            <w:r>
              <w:rPr>
                <w:rFonts w:ascii="Arial" w:cs="Arial" w:eastAsia="Arial" w:hAnsi="Arial"/>
                <w:sz w:val="9"/>
                <w:szCs w:val="9"/>
                <w:b w:val="1"/>
                <w:bCs w:val="1"/>
                <w:color w:val="auto"/>
              </w:rPr>
              <w:t>—</w:t>
            </w:r>
          </w:p>
        </w:tc>
        <w:tc>
          <w:tcPr>
            <w:tcW w:w="40" w:type="dxa"/>
            <w:vAlign w:val="bottom"/>
            <w:shd w:val="clear" w:color="auto" w:fill="CCEEFF"/>
          </w:tcPr>
          <w:p>
            <w:pPr>
              <w:spacing w:after="0"/>
              <w:rPr>
                <w:sz w:val="8"/>
                <w:szCs w:val="8"/>
                <w:color w:val="auto"/>
              </w:rPr>
            </w:pPr>
          </w:p>
        </w:tc>
        <w:tc>
          <w:tcPr>
            <w:tcW w:w="700" w:type="dxa"/>
            <w:vAlign w:val="bottom"/>
            <w:gridSpan w:val="2"/>
            <w:shd w:val="clear" w:color="auto" w:fill="CCEEFF"/>
          </w:tcPr>
          <w:p>
            <w:pPr>
              <w:jc w:val="right"/>
              <w:ind w:right="260"/>
              <w:spacing w:after="0" w:line="99" w:lineRule="exact"/>
              <w:rPr>
                <w:sz w:val="20"/>
                <w:szCs w:val="20"/>
                <w:color w:val="auto"/>
              </w:rPr>
            </w:pPr>
            <w:r>
              <w:rPr>
                <w:rFonts w:ascii="Arial" w:cs="Arial" w:eastAsia="Arial" w:hAnsi="Arial"/>
                <w:sz w:val="9"/>
                <w:szCs w:val="9"/>
                <w:b w:val="1"/>
                <w:bCs w:val="1"/>
                <w:color w:val="auto"/>
              </w:rPr>
              <w:t>(302,551)</w:t>
            </w:r>
          </w:p>
        </w:tc>
        <w:tc>
          <w:tcPr>
            <w:tcW w:w="60" w:type="dxa"/>
            <w:vAlign w:val="bottom"/>
            <w:shd w:val="clear" w:color="auto" w:fill="CCEEFF"/>
          </w:tcPr>
          <w:p>
            <w:pPr>
              <w:spacing w:after="0"/>
              <w:rPr>
                <w:sz w:val="8"/>
                <w:szCs w:val="8"/>
                <w:color w:val="auto"/>
              </w:rPr>
            </w:pPr>
          </w:p>
        </w:tc>
        <w:tc>
          <w:tcPr>
            <w:tcW w:w="960" w:type="dxa"/>
            <w:vAlign w:val="bottom"/>
            <w:gridSpan w:val="2"/>
            <w:shd w:val="clear" w:color="auto" w:fill="CCEEFF"/>
          </w:tcPr>
          <w:p>
            <w:pPr>
              <w:jc w:val="right"/>
              <w:ind w:right="260"/>
              <w:spacing w:after="0" w:line="99" w:lineRule="exact"/>
              <w:rPr>
                <w:sz w:val="20"/>
                <w:szCs w:val="20"/>
                <w:color w:val="auto"/>
              </w:rPr>
            </w:pPr>
            <w:r>
              <w:rPr>
                <w:rFonts w:ascii="Arial" w:cs="Arial" w:eastAsia="Arial" w:hAnsi="Arial"/>
                <w:sz w:val="9"/>
                <w:szCs w:val="9"/>
                <w:b w:val="1"/>
                <w:bCs w:val="1"/>
                <w:color w:val="auto"/>
              </w:rPr>
              <w:t>(302,070)</w:t>
            </w:r>
          </w:p>
        </w:tc>
        <w:tc>
          <w:tcPr>
            <w:tcW w:w="60" w:type="dxa"/>
            <w:vAlign w:val="bottom"/>
            <w:shd w:val="clear" w:color="auto" w:fill="CCEEFF"/>
          </w:tcPr>
          <w:p>
            <w:pPr>
              <w:spacing w:after="0"/>
              <w:rPr>
                <w:sz w:val="8"/>
                <w:szCs w:val="8"/>
                <w:color w:val="auto"/>
              </w:rPr>
            </w:pPr>
          </w:p>
        </w:tc>
        <w:tc>
          <w:tcPr>
            <w:tcW w:w="960" w:type="dxa"/>
            <w:vAlign w:val="bottom"/>
            <w:gridSpan w:val="2"/>
            <w:shd w:val="clear" w:color="auto" w:fill="CCEEFF"/>
          </w:tcPr>
          <w:p>
            <w:pPr>
              <w:jc w:val="right"/>
              <w:ind w:right="260"/>
              <w:spacing w:after="0" w:line="99" w:lineRule="exact"/>
              <w:rPr>
                <w:sz w:val="20"/>
                <w:szCs w:val="20"/>
                <w:color w:val="auto"/>
              </w:rPr>
            </w:pPr>
            <w:r>
              <w:rPr>
                <w:rFonts w:ascii="Arial" w:cs="Arial" w:eastAsia="Arial" w:hAnsi="Arial"/>
                <w:sz w:val="9"/>
                <w:szCs w:val="9"/>
                <w:b w:val="1"/>
                <w:bCs w:val="1"/>
                <w:color w:val="auto"/>
              </w:rPr>
              <w:t>(322,304)</w:t>
            </w:r>
          </w:p>
        </w:tc>
        <w:tc>
          <w:tcPr>
            <w:tcW w:w="60" w:type="dxa"/>
            <w:vAlign w:val="bottom"/>
            <w:shd w:val="clear" w:color="auto" w:fill="CCEEFF"/>
          </w:tcPr>
          <w:p>
            <w:pPr>
              <w:spacing w:after="0"/>
              <w:rPr>
                <w:sz w:val="8"/>
                <w:szCs w:val="8"/>
                <w:color w:val="auto"/>
              </w:rPr>
            </w:pPr>
          </w:p>
        </w:tc>
        <w:tc>
          <w:tcPr>
            <w:tcW w:w="680" w:type="dxa"/>
            <w:vAlign w:val="bottom"/>
            <w:gridSpan w:val="2"/>
            <w:shd w:val="clear" w:color="auto" w:fill="CCEEFF"/>
          </w:tcPr>
          <w:p>
            <w:pPr>
              <w:jc w:val="right"/>
              <w:ind w:right="40"/>
              <w:spacing w:after="0" w:line="99" w:lineRule="exact"/>
              <w:rPr>
                <w:sz w:val="20"/>
                <w:szCs w:val="20"/>
                <w:color w:val="auto"/>
              </w:rPr>
            </w:pPr>
            <w:r>
              <w:rPr>
                <w:rFonts w:ascii="Arial" w:cs="Arial" w:eastAsia="Arial" w:hAnsi="Arial"/>
                <w:sz w:val="9"/>
                <w:szCs w:val="9"/>
                <w:b w:val="1"/>
                <w:bCs w:val="1"/>
                <w:color w:val="auto"/>
              </w:rPr>
              <w:t>(624,374)</w:t>
            </w:r>
          </w:p>
        </w:tc>
        <w:tc>
          <w:tcPr>
            <w:tcW w:w="0" w:type="dxa"/>
            <w:vAlign w:val="bottom"/>
          </w:tcPr>
          <w:p>
            <w:pPr>
              <w:spacing w:after="0"/>
              <w:rPr>
                <w:sz w:val="1"/>
                <w:szCs w:val="1"/>
                <w:color w:val="auto"/>
              </w:rPr>
            </w:pPr>
          </w:p>
        </w:tc>
      </w:tr>
      <w:tr>
        <w:trPr>
          <w:trHeight w:val="99"/>
        </w:trPr>
        <w:tc>
          <w:tcPr>
            <w:tcW w:w="3900" w:type="dxa"/>
            <w:vAlign w:val="bottom"/>
          </w:tcPr>
          <w:p>
            <w:pPr>
              <w:spacing w:after="0" w:line="99" w:lineRule="exact"/>
              <w:rPr>
                <w:sz w:val="20"/>
                <w:szCs w:val="20"/>
                <w:color w:val="auto"/>
              </w:rPr>
            </w:pPr>
            <w:r>
              <w:rPr>
                <w:rFonts w:ascii="Arial" w:cs="Arial" w:eastAsia="Arial" w:hAnsi="Arial"/>
                <w:sz w:val="9"/>
                <w:szCs w:val="9"/>
                <w:b w:val="1"/>
                <w:bCs w:val="1"/>
                <w:color w:val="auto"/>
              </w:rPr>
              <w:t>Excess tax benefits from stock-based compensation</w:t>
            </w:r>
          </w:p>
        </w:tc>
        <w:tc>
          <w:tcPr>
            <w:tcW w:w="860" w:type="dxa"/>
            <w:vAlign w:val="bottom"/>
            <w:gridSpan w:val="3"/>
          </w:tcPr>
          <w:p>
            <w:pPr>
              <w:jc w:val="right"/>
              <w:ind w:right="340"/>
              <w:spacing w:after="0" w:line="99" w:lineRule="exact"/>
              <w:rPr>
                <w:sz w:val="20"/>
                <w:szCs w:val="20"/>
                <w:color w:val="auto"/>
              </w:rPr>
            </w:pPr>
            <w:r>
              <w:rPr>
                <w:rFonts w:ascii="Arial" w:cs="Arial" w:eastAsia="Arial" w:hAnsi="Arial"/>
                <w:sz w:val="9"/>
                <w:szCs w:val="9"/>
                <w:b w:val="1"/>
                <w:bCs w:val="1"/>
                <w:color w:val="auto"/>
              </w:rPr>
              <w:t>—</w:t>
            </w:r>
          </w:p>
        </w:tc>
        <w:tc>
          <w:tcPr>
            <w:tcW w:w="40" w:type="dxa"/>
            <w:vAlign w:val="bottom"/>
          </w:tcPr>
          <w:p>
            <w:pPr>
              <w:spacing w:after="0"/>
              <w:rPr>
                <w:sz w:val="8"/>
                <w:szCs w:val="8"/>
                <w:color w:val="auto"/>
              </w:rPr>
            </w:pPr>
          </w:p>
        </w:tc>
        <w:tc>
          <w:tcPr>
            <w:tcW w:w="540" w:type="dxa"/>
            <w:vAlign w:val="bottom"/>
            <w:gridSpan w:val="2"/>
          </w:tcPr>
          <w:p>
            <w:pPr>
              <w:jc w:val="right"/>
              <w:ind w:right="320"/>
              <w:spacing w:after="0" w:line="99" w:lineRule="exact"/>
              <w:rPr>
                <w:sz w:val="20"/>
                <w:szCs w:val="20"/>
                <w:color w:val="auto"/>
              </w:rPr>
            </w:pPr>
            <w:r>
              <w:rPr>
                <w:rFonts w:ascii="Arial" w:cs="Arial" w:eastAsia="Arial" w:hAnsi="Arial"/>
                <w:sz w:val="9"/>
                <w:szCs w:val="9"/>
                <w:b w:val="1"/>
                <w:bCs w:val="1"/>
                <w:color w:val="auto"/>
              </w:rPr>
              <w:t>—</w:t>
            </w:r>
          </w:p>
        </w:tc>
        <w:tc>
          <w:tcPr>
            <w:tcW w:w="80" w:type="dxa"/>
            <w:vAlign w:val="bottom"/>
          </w:tcPr>
          <w:p>
            <w:pPr>
              <w:spacing w:after="0"/>
              <w:rPr>
                <w:sz w:val="8"/>
                <w:szCs w:val="8"/>
                <w:color w:val="auto"/>
              </w:rPr>
            </w:pPr>
          </w:p>
        </w:tc>
        <w:tc>
          <w:tcPr>
            <w:tcW w:w="760" w:type="dxa"/>
            <w:vAlign w:val="bottom"/>
            <w:gridSpan w:val="2"/>
          </w:tcPr>
          <w:p>
            <w:pPr>
              <w:jc w:val="right"/>
              <w:ind w:right="301"/>
              <w:spacing w:after="0" w:line="99" w:lineRule="exact"/>
              <w:rPr>
                <w:sz w:val="20"/>
                <w:szCs w:val="20"/>
                <w:color w:val="auto"/>
              </w:rPr>
            </w:pPr>
            <w:r>
              <w:rPr>
                <w:rFonts w:ascii="Arial" w:cs="Arial" w:eastAsia="Arial" w:hAnsi="Arial"/>
                <w:sz w:val="9"/>
                <w:szCs w:val="9"/>
                <w:b w:val="1"/>
                <w:bCs w:val="1"/>
                <w:color w:val="auto"/>
              </w:rPr>
              <w:t>—</w:t>
            </w:r>
          </w:p>
        </w:tc>
        <w:tc>
          <w:tcPr>
            <w:tcW w:w="40" w:type="dxa"/>
            <w:vAlign w:val="bottom"/>
          </w:tcPr>
          <w:p>
            <w:pPr>
              <w:spacing w:after="0"/>
              <w:rPr>
                <w:sz w:val="8"/>
                <w:szCs w:val="8"/>
                <w:color w:val="auto"/>
              </w:rPr>
            </w:pPr>
          </w:p>
        </w:tc>
        <w:tc>
          <w:tcPr>
            <w:tcW w:w="460" w:type="dxa"/>
            <w:vAlign w:val="bottom"/>
          </w:tcPr>
          <w:p>
            <w:pPr>
              <w:jc w:val="right"/>
              <w:spacing w:after="0" w:line="99" w:lineRule="exact"/>
              <w:rPr>
                <w:sz w:val="20"/>
                <w:szCs w:val="20"/>
                <w:color w:val="auto"/>
              </w:rPr>
            </w:pPr>
            <w:r>
              <w:rPr>
                <w:rFonts w:ascii="Arial" w:cs="Arial" w:eastAsia="Arial" w:hAnsi="Arial"/>
                <w:sz w:val="9"/>
                <w:szCs w:val="9"/>
                <w:b w:val="1"/>
                <w:bCs w:val="1"/>
                <w:color w:val="auto"/>
              </w:rPr>
              <w:t>10,827</w:t>
            </w:r>
          </w:p>
        </w:tc>
        <w:tc>
          <w:tcPr>
            <w:tcW w:w="16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 w:type="dxa"/>
            <w:vAlign w:val="bottom"/>
          </w:tcPr>
          <w:p>
            <w:pPr>
              <w:spacing w:after="0"/>
              <w:rPr>
                <w:sz w:val="8"/>
                <w:szCs w:val="8"/>
                <w:color w:val="auto"/>
              </w:rPr>
            </w:pPr>
          </w:p>
        </w:tc>
        <w:tc>
          <w:tcPr>
            <w:tcW w:w="940" w:type="dxa"/>
            <w:vAlign w:val="bottom"/>
            <w:gridSpan w:val="2"/>
          </w:tcPr>
          <w:p>
            <w:pPr>
              <w:ind w:left="520"/>
              <w:spacing w:after="0" w:line="99" w:lineRule="exact"/>
              <w:rPr>
                <w:sz w:val="20"/>
                <w:szCs w:val="20"/>
                <w:color w:val="auto"/>
              </w:rPr>
            </w:pPr>
            <w:r>
              <w:rPr>
                <w:rFonts w:ascii="Arial" w:cs="Arial" w:eastAsia="Arial" w:hAnsi="Arial"/>
                <w:sz w:val="9"/>
                <w:szCs w:val="9"/>
                <w:b w:val="1"/>
                <w:bCs w:val="1"/>
                <w:color w:val="auto"/>
              </w:rPr>
              <w:t>—</w:t>
            </w:r>
          </w:p>
        </w:tc>
        <w:tc>
          <w:tcPr>
            <w:tcW w:w="40" w:type="dxa"/>
            <w:vAlign w:val="bottom"/>
          </w:tcPr>
          <w:p>
            <w:pPr>
              <w:spacing w:after="0"/>
              <w:rPr>
                <w:sz w:val="8"/>
                <w:szCs w:val="8"/>
                <w:color w:val="auto"/>
              </w:rPr>
            </w:pPr>
          </w:p>
        </w:tc>
        <w:tc>
          <w:tcPr>
            <w:tcW w:w="700" w:type="dxa"/>
            <w:vAlign w:val="bottom"/>
            <w:gridSpan w:val="2"/>
          </w:tcPr>
          <w:p>
            <w:pPr>
              <w:jc w:val="right"/>
              <w:ind w:right="340"/>
              <w:spacing w:after="0" w:line="99" w:lineRule="exact"/>
              <w:rPr>
                <w:sz w:val="20"/>
                <w:szCs w:val="20"/>
                <w:color w:val="auto"/>
              </w:rPr>
            </w:pPr>
            <w:r>
              <w:rPr>
                <w:rFonts w:ascii="Arial" w:cs="Arial" w:eastAsia="Arial" w:hAnsi="Arial"/>
                <w:sz w:val="9"/>
                <w:szCs w:val="9"/>
                <w:b w:val="1"/>
                <w:bCs w:val="1"/>
                <w:color w:val="auto"/>
              </w:rPr>
              <w:t>—</w:t>
            </w:r>
          </w:p>
        </w:tc>
        <w:tc>
          <w:tcPr>
            <w:tcW w:w="60" w:type="dxa"/>
            <w:vAlign w:val="bottom"/>
          </w:tcPr>
          <w:p>
            <w:pPr>
              <w:spacing w:after="0"/>
              <w:rPr>
                <w:sz w:val="8"/>
                <w:szCs w:val="8"/>
                <w:color w:val="auto"/>
              </w:rPr>
            </w:pPr>
          </w:p>
        </w:tc>
        <w:tc>
          <w:tcPr>
            <w:tcW w:w="960" w:type="dxa"/>
            <w:vAlign w:val="bottom"/>
            <w:gridSpan w:val="2"/>
          </w:tcPr>
          <w:p>
            <w:pPr>
              <w:jc w:val="right"/>
              <w:ind w:right="280"/>
              <w:spacing w:after="0" w:line="99" w:lineRule="exact"/>
              <w:rPr>
                <w:sz w:val="20"/>
                <w:szCs w:val="20"/>
                <w:color w:val="auto"/>
              </w:rPr>
            </w:pPr>
            <w:r>
              <w:rPr>
                <w:rFonts w:ascii="Arial" w:cs="Arial" w:eastAsia="Arial" w:hAnsi="Arial"/>
                <w:sz w:val="9"/>
                <w:szCs w:val="9"/>
                <w:b w:val="1"/>
                <w:bCs w:val="1"/>
                <w:color w:val="auto"/>
              </w:rPr>
              <w:t>10,827</w:t>
            </w:r>
          </w:p>
        </w:tc>
        <w:tc>
          <w:tcPr>
            <w:tcW w:w="60" w:type="dxa"/>
            <w:vAlign w:val="bottom"/>
          </w:tcPr>
          <w:p>
            <w:pPr>
              <w:spacing w:after="0"/>
              <w:rPr>
                <w:sz w:val="8"/>
                <w:szCs w:val="8"/>
                <w:color w:val="auto"/>
              </w:rPr>
            </w:pPr>
          </w:p>
        </w:tc>
        <w:tc>
          <w:tcPr>
            <w:tcW w:w="960" w:type="dxa"/>
            <w:vAlign w:val="bottom"/>
            <w:gridSpan w:val="2"/>
          </w:tcPr>
          <w:p>
            <w:pPr>
              <w:ind w:left="540"/>
              <w:spacing w:after="0" w:line="99" w:lineRule="exact"/>
              <w:rPr>
                <w:sz w:val="20"/>
                <w:szCs w:val="20"/>
                <w:color w:val="auto"/>
              </w:rPr>
            </w:pPr>
            <w:r>
              <w:rPr>
                <w:rFonts w:ascii="Arial" w:cs="Arial" w:eastAsia="Arial" w:hAnsi="Arial"/>
                <w:sz w:val="9"/>
                <w:szCs w:val="9"/>
                <w:b w:val="1"/>
                <w:bCs w:val="1"/>
                <w:color w:val="auto"/>
              </w:rPr>
              <w:t>—</w:t>
            </w:r>
          </w:p>
        </w:tc>
        <w:tc>
          <w:tcPr>
            <w:tcW w:w="60" w:type="dxa"/>
            <w:vAlign w:val="bottom"/>
          </w:tcPr>
          <w:p>
            <w:pPr>
              <w:spacing w:after="0"/>
              <w:rPr>
                <w:sz w:val="8"/>
                <w:szCs w:val="8"/>
                <w:color w:val="auto"/>
              </w:rPr>
            </w:pPr>
          </w:p>
        </w:tc>
        <w:tc>
          <w:tcPr>
            <w:tcW w:w="600" w:type="dxa"/>
            <w:vAlign w:val="bottom"/>
          </w:tcPr>
          <w:p>
            <w:pPr>
              <w:jc w:val="right"/>
              <w:spacing w:after="0" w:line="99" w:lineRule="exact"/>
              <w:rPr>
                <w:sz w:val="20"/>
                <w:szCs w:val="20"/>
                <w:color w:val="auto"/>
              </w:rPr>
            </w:pPr>
            <w:r>
              <w:rPr>
                <w:rFonts w:ascii="Arial" w:cs="Arial" w:eastAsia="Arial" w:hAnsi="Arial"/>
                <w:sz w:val="9"/>
                <w:szCs w:val="9"/>
                <w:b w:val="1"/>
                <w:bCs w:val="1"/>
                <w:color w:val="auto"/>
              </w:rPr>
              <w:t>10,827</w:t>
            </w: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9"/>
        </w:trPr>
        <w:tc>
          <w:tcPr>
            <w:tcW w:w="3900" w:type="dxa"/>
            <w:vAlign w:val="bottom"/>
            <w:shd w:val="clear" w:color="auto" w:fill="CCEEFF"/>
          </w:tcPr>
          <w:p>
            <w:pPr>
              <w:spacing w:after="0" w:line="99" w:lineRule="exact"/>
              <w:rPr>
                <w:sz w:val="20"/>
                <w:szCs w:val="20"/>
                <w:color w:val="auto"/>
              </w:rPr>
            </w:pPr>
            <w:r>
              <w:rPr>
                <w:rFonts w:ascii="Arial" w:cs="Arial" w:eastAsia="Arial" w:hAnsi="Arial"/>
                <w:sz w:val="9"/>
                <w:szCs w:val="9"/>
                <w:b w:val="1"/>
                <w:bCs w:val="1"/>
                <w:color w:val="auto"/>
              </w:rPr>
              <w:t>Stock-based compensation</w:t>
            </w:r>
          </w:p>
        </w:tc>
        <w:tc>
          <w:tcPr>
            <w:tcW w:w="860" w:type="dxa"/>
            <w:vAlign w:val="bottom"/>
            <w:gridSpan w:val="3"/>
            <w:shd w:val="clear" w:color="auto" w:fill="CCEEFF"/>
          </w:tcPr>
          <w:p>
            <w:pPr>
              <w:jc w:val="right"/>
              <w:ind w:right="340"/>
              <w:spacing w:after="0" w:line="99" w:lineRule="exact"/>
              <w:rPr>
                <w:sz w:val="20"/>
                <w:szCs w:val="20"/>
                <w:color w:val="auto"/>
              </w:rPr>
            </w:pPr>
            <w:r>
              <w:rPr>
                <w:rFonts w:ascii="Arial" w:cs="Arial" w:eastAsia="Arial" w:hAnsi="Arial"/>
                <w:sz w:val="9"/>
                <w:szCs w:val="9"/>
                <w:b w:val="1"/>
                <w:bCs w:val="1"/>
                <w:color w:val="auto"/>
              </w:rPr>
              <w:t>—</w:t>
            </w:r>
          </w:p>
        </w:tc>
        <w:tc>
          <w:tcPr>
            <w:tcW w:w="40" w:type="dxa"/>
            <w:vAlign w:val="bottom"/>
            <w:shd w:val="clear" w:color="auto" w:fill="CCEEFF"/>
          </w:tcPr>
          <w:p>
            <w:pPr>
              <w:spacing w:after="0"/>
              <w:rPr>
                <w:sz w:val="8"/>
                <w:szCs w:val="8"/>
                <w:color w:val="auto"/>
              </w:rPr>
            </w:pPr>
          </w:p>
        </w:tc>
        <w:tc>
          <w:tcPr>
            <w:tcW w:w="540" w:type="dxa"/>
            <w:vAlign w:val="bottom"/>
            <w:gridSpan w:val="2"/>
            <w:shd w:val="clear" w:color="auto" w:fill="CCEEFF"/>
          </w:tcPr>
          <w:p>
            <w:pPr>
              <w:jc w:val="right"/>
              <w:ind w:right="320"/>
              <w:spacing w:after="0" w:line="99" w:lineRule="exact"/>
              <w:rPr>
                <w:sz w:val="20"/>
                <w:szCs w:val="20"/>
                <w:color w:val="auto"/>
              </w:rPr>
            </w:pPr>
            <w:r>
              <w:rPr>
                <w:rFonts w:ascii="Arial" w:cs="Arial" w:eastAsia="Arial" w:hAnsi="Arial"/>
                <w:sz w:val="9"/>
                <w:szCs w:val="9"/>
                <w:b w:val="1"/>
                <w:bCs w:val="1"/>
                <w:color w:val="auto"/>
              </w:rPr>
              <w:t>—</w:t>
            </w:r>
          </w:p>
        </w:tc>
        <w:tc>
          <w:tcPr>
            <w:tcW w:w="80" w:type="dxa"/>
            <w:vAlign w:val="bottom"/>
            <w:shd w:val="clear" w:color="auto" w:fill="CCEEFF"/>
          </w:tcPr>
          <w:p>
            <w:pPr>
              <w:spacing w:after="0"/>
              <w:rPr>
                <w:sz w:val="8"/>
                <w:szCs w:val="8"/>
                <w:color w:val="auto"/>
              </w:rPr>
            </w:pPr>
          </w:p>
        </w:tc>
        <w:tc>
          <w:tcPr>
            <w:tcW w:w="760" w:type="dxa"/>
            <w:vAlign w:val="bottom"/>
            <w:gridSpan w:val="2"/>
            <w:shd w:val="clear" w:color="auto" w:fill="CCEEFF"/>
          </w:tcPr>
          <w:p>
            <w:pPr>
              <w:jc w:val="right"/>
              <w:ind w:right="301"/>
              <w:spacing w:after="0" w:line="99" w:lineRule="exact"/>
              <w:rPr>
                <w:sz w:val="20"/>
                <w:szCs w:val="20"/>
                <w:color w:val="auto"/>
              </w:rPr>
            </w:pPr>
            <w:r>
              <w:rPr>
                <w:rFonts w:ascii="Arial" w:cs="Arial" w:eastAsia="Arial" w:hAnsi="Arial"/>
                <w:sz w:val="9"/>
                <w:szCs w:val="9"/>
                <w:b w:val="1"/>
                <w:bCs w:val="1"/>
                <w:color w:val="auto"/>
              </w:rPr>
              <w:t>—</w:t>
            </w:r>
          </w:p>
        </w:tc>
        <w:tc>
          <w:tcPr>
            <w:tcW w:w="40" w:type="dxa"/>
            <w:vAlign w:val="bottom"/>
            <w:shd w:val="clear" w:color="auto" w:fill="CCEEFF"/>
          </w:tcPr>
          <w:p>
            <w:pPr>
              <w:spacing w:after="0"/>
              <w:rPr>
                <w:sz w:val="8"/>
                <w:szCs w:val="8"/>
                <w:color w:val="auto"/>
              </w:rPr>
            </w:pPr>
          </w:p>
        </w:tc>
        <w:tc>
          <w:tcPr>
            <w:tcW w:w="460" w:type="dxa"/>
            <w:vAlign w:val="bottom"/>
            <w:shd w:val="clear" w:color="auto" w:fill="CCEEFF"/>
          </w:tcPr>
          <w:p>
            <w:pPr>
              <w:jc w:val="right"/>
              <w:spacing w:after="0" w:line="99" w:lineRule="exact"/>
              <w:rPr>
                <w:sz w:val="20"/>
                <w:szCs w:val="20"/>
                <w:color w:val="auto"/>
              </w:rPr>
            </w:pPr>
            <w:r>
              <w:rPr>
                <w:rFonts w:ascii="Arial" w:cs="Arial" w:eastAsia="Arial" w:hAnsi="Arial"/>
                <w:sz w:val="9"/>
                <w:szCs w:val="9"/>
                <w:b w:val="1"/>
                <w:bCs w:val="1"/>
                <w:color w:val="auto"/>
              </w:rPr>
              <w:t>34,315</w:t>
            </w:r>
          </w:p>
        </w:tc>
        <w:tc>
          <w:tcPr>
            <w:tcW w:w="16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940" w:type="dxa"/>
            <w:vAlign w:val="bottom"/>
            <w:gridSpan w:val="2"/>
            <w:shd w:val="clear" w:color="auto" w:fill="CCEEFF"/>
          </w:tcPr>
          <w:p>
            <w:pPr>
              <w:ind w:left="520"/>
              <w:spacing w:after="0" w:line="99" w:lineRule="exact"/>
              <w:rPr>
                <w:sz w:val="20"/>
                <w:szCs w:val="20"/>
                <w:color w:val="auto"/>
              </w:rPr>
            </w:pPr>
            <w:r>
              <w:rPr>
                <w:rFonts w:ascii="Arial" w:cs="Arial" w:eastAsia="Arial" w:hAnsi="Arial"/>
                <w:sz w:val="9"/>
                <w:szCs w:val="9"/>
                <w:b w:val="1"/>
                <w:bCs w:val="1"/>
                <w:color w:val="auto"/>
              </w:rPr>
              <w:t>—</w:t>
            </w:r>
          </w:p>
        </w:tc>
        <w:tc>
          <w:tcPr>
            <w:tcW w:w="40" w:type="dxa"/>
            <w:vAlign w:val="bottom"/>
            <w:shd w:val="clear" w:color="auto" w:fill="CCEEFF"/>
          </w:tcPr>
          <w:p>
            <w:pPr>
              <w:spacing w:after="0"/>
              <w:rPr>
                <w:sz w:val="8"/>
                <w:szCs w:val="8"/>
                <w:color w:val="auto"/>
              </w:rPr>
            </w:pPr>
          </w:p>
        </w:tc>
        <w:tc>
          <w:tcPr>
            <w:tcW w:w="700" w:type="dxa"/>
            <w:vAlign w:val="bottom"/>
            <w:gridSpan w:val="2"/>
            <w:shd w:val="clear" w:color="auto" w:fill="CCEEFF"/>
          </w:tcPr>
          <w:p>
            <w:pPr>
              <w:jc w:val="right"/>
              <w:ind w:right="340"/>
              <w:spacing w:after="0" w:line="99" w:lineRule="exact"/>
              <w:rPr>
                <w:sz w:val="20"/>
                <w:szCs w:val="20"/>
                <w:color w:val="auto"/>
              </w:rPr>
            </w:pPr>
            <w:r>
              <w:rPr>
                <w:rFonts w:ascii="Arial" w:cs="Arial" w:eastAsia="Arial" w:hAnsi="Arial"/>
                <w:sz w:val="9"/>
                <w:szCs w:val="9"/>
                <w:b w:val="1"/>
                <w:bCs w:val="1"/>
                <w:color w:val="auto"/>
              </w:rPr>
              <w:t>—</w:t>
            </w:r>
          </w:p>
        </w:tc>
        <w:tc>
          <w:tcPr>
            <w:tcW w:w="60" w:type="dxa"/>
            <w:vAlign w:val="bottom"/>
            <w:shd w:val="clear" w:color="auto" w:fill="CCEEFF"/>
          </w:tcPr>
          <w:p>
            <w:pPr>
              <w:spacing w:after="0"/>
              <w:rPr>
                <w:sz w:val="8"/>
                <w:szCs w:val="8"/>
                <w:color w:val="auto"/>
              </w:rPr>
            </w:pPr>
          </w:p>
        </w:tc>
        <w:tc>
          <w:tcPr>
            <w:tcW w:w="960" w:type="dxa"/>
            <w:vAlign w:val="bottom"/>
            <w:gridSpan w:val="2"/>
            <w:shd w:val="clear" w:color="auto" w:fill="CCEEFF"/>
          </w:tcPr>
          <w:p>
            <w:pPr>
              <w:jc w:val="right"/>
              <w:ind w:right="280"/>
              <w:spacing w:after="0" w:line="99" w:lineRule="exact"/>
              <w:rPr>
                <w:sz w:val="20"/>
                <w:szCs w:val="20"/>
                <w:color w:val="auto"/>
              </w:rPr>
            </w:pPr>
            <w:r>
              <w:rPr>
                <w:rFonts w:ascii="Arial" w:cs="Arial" w:eastAsia="Arial" w:hAnsi="Arial"/>
                <w:sz w:val="9"/>
                <w:szCs w:val="9"/>
                <w:b w:val="1"/>
                <w:bCs w:val="1"/>
                <w:color w:val="auto"/>
              </w:rPr>
              <w:t>34,315</w:t>
            </w:r>
          </w:p>
        </w:tc>
        <w:tc>
          <w:tcPr>
            <w:tcW w:w="60" w:type="dxa"/>
            <w:vAlign w:val="bottom"/>
            <w:shd w:val="clear" w:color="auto" w:fill="CCEEFF"/>
          </w:tcPr>
          <w:p>
            <w:pPr>
              <w:spacing w:after="0"/>
              <w:rPr>
                <w:sz w:val="8"/>
                <w:szCs w:val="8"/>
                <w:color w:val="auto"/>
              </w:rPr>
            </w:pPr>
          </w:p>
        </w:tc>
        <w:tc>
          <w:tcPr>
            <w:tcW w:w="960" w:type="dxa"/>
            <w:vAlign w:val="bottom"/>
            <w:gridSpan w:val="2"/>
            <w:shd w:val="clear" w:color="auto" w:fill="CCEEFF"/>
          </w:tcPr>
          <w:p>
            <w:pPr>
              <w:ind w:left="540"/>
              <w:spacing w:after="0" w:line="99" w:lineRule="exact"/>
              <w:rPr>
                <w:sz w:val="20"/>
                <w:szCs w:val="20"/>
                <w:color w:val="auto"/>
              </w:rPr>
            </w:pPr>
            <w:r>
              <w:rPr>
                <w:rFonts w:ascii="Arial" w:cs="Arial" w:eastAsia="Arial" w:hAnsi="Arial"/>
                <w:sz w:val="9"/>
                <w:szCs w:val="9"/>
                <w:b w:val="1"/>
                <w:bCs w:val="1"/>
                <w:color w:val="auto"/>
              </w:rPr>
              <w:t>902</w:t>
            </w:r>
          </w:p>
        </w:tc>
        <w:tc>
          <w:tcPr>
            <w:tcW w:w="60" w:type="dxa"/>
            <w:vAlign w:val="bottom"/>
            <w:shd w:val="clear" w:color="auto" w:fill="CCEEFF"/>
          </w:tcPr>
          <w:p>
            <w:pPr>
              <w:spacing w:after="0"/>
              <w:rPr>
                <w:sz w:val="8"/>
                <w:szCs w:val="8"/>
                <w:color w:val="auto"/>
              </w:rPr>
            </w:pPr>
          </w:p>
        </w:tc>
        <w:tc>
          <w:tcPr>
            <w:tcW w:w="600" w:type="dxa"/>
            <w:vAlign w:val="bottom"/>
            <w:shd w:val="clear" w:color="auto" w:fill="CCEEFF"/>
          </w:tcPr>
          <w:p>
            <w:pPr>
              <w:jc w:val="right"/>
              <w:spacing w:after="0" w:line="99" w:lineRule="exact"/>
              <w:rPr>
                <w:sz w:val="20"/>
                <w:szCs w:val="20"/>
                <w:color w:val="auto"/>
              </w:rPr>
            </w:pPr>
            <w:r>
              <w:rPr>
                <w:rFonts w:ascii="Arial" w:cs="Arial" w:eastAsia="Arial" w:hAnsi="Arial"/>
                <w:sz w:val="9"/>
                <w:szCs w:val="9"/>
                <w:b w:val="1"/>
                <w:bCs w:val="1"/>
                <w:color w:val="auto"/>
              </w:rPr>
              <w:t>35,217</w:t>
            </w:r>
          </w:p>
        </w:tc>
        <w:tc>
          <w:tcPr>
            <w:tcW w:w="8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04"/>
        </w:trPr>
        <w:tc>
          <w:tcPr>
            <w:tcW w:w="3900" w:type="dxa"/>
            <w:vAlign w:val="bottom"/>
          </w:tcPr>
          <w:p>
            <w:pPr>
              <w:spacing w:after="0" w:line="98" w:lineRule="exact"/>
              <w:rPr>
                <w:sz w:val="20"/>
                <w:szCs w:val="20"/>
                <w:color w:val="auto"/>
              </w:rPr>
            </w:pPr>
            <w:r>
              <w:rPr>
                <w:rFonts w:ascii="Arial" w:cs="Arial" w:eastAsia="Arial" w:hAnsi="Arial"/>
                <w:sz w:val="9"/>
                <w:szCs w:val="9"/>
                <w:b w:val="1"/>
                <w:bCs w:val="1"/>
                <w:color w:val="auto"/>
              </w:rPr>
              <w:t>Balances, September 30, 2013</w:t>
            </w:r>
          </w:p>
        </w:tc>
        <w:tc>
          <w:tcPr>
            <w:tcW w:w="560" w:type="dxa"/>
            <w:vAlign w:val="bottom"/>
            <w:tcBorders>
              <w:top w:val="single" w:sz="8" w:color="auto"/>
              <w:bottom w:val="single" w:sz="8" w:color="auto"/>
            </w:tcBorders>
          </w:tcPr>
          <w:p>
            <w:pPr>
              <w:jc w:val="right"/>
              <w:spacing w:after="0" w:line="98" w:lineRule="exact"/>
              <w:rPr>
                <w:sz w:val="20"/>
                <w:szCs w:val="20"/>
                <w:color w:val="auto"/>
              </w:rPr>
            </w:pPr>
            <w:r>
              <w:rPr>
                <w:rFonts w:ascii="Arial" w:cs="Arial" w:eastAsia="Arial" w:hAnsi="Arial"/>
                <w:sz w:val="9"/>
                <w:szCs w:val="9"/>
                <w:b w:val="1"/>
                <w:bCs w:val="1"/>
                <w:color w:val="auto"/>
              </w:rPr>
              <w:t>101,137,504</w:t>
            </w:r>
          </w:p>
        </w:tc>
        <w:tc>
          <w:tcPr>
            <w:tcW w:w="20" w:type="dxa"/>
            <w:vAlign w:val="bottom"/>
            <w:tcBorders>
              <w:bottom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5"/>
                <w:szCs w:val="5"/>
                <w:b w:val="1"/>
                <w:bCs w:val="1"/>
                <w:color w:val="auto"/>
                <w:w w:val="70"/>
              </w:rPr>
              <w:t>$</w:t>
            </w:r>
          </w:p>
        </w:tc>
        <w:tc>
          <w:tcPr>
            <w:tcW w:w="260" w:type="dxa"/>
            <w:vAlign w:val="bottom"/>
            <w:tcBorders>
              <w:top w:val="single" w:sz="8" w:color="auto"/>
              <w:bottom w:val="single" w:sz="8" w:color="auto"/>
            </w:tcBorders>
          </w:tcPr>
          <w:p>
            <w:pPr>
              <w:jc w:val="right"/>
              <w:spacing w:after="0" w:line="98" w:lineRule="exact"/>
              <w:rPr>
                <w:sz w:val="20"/>
                <w:szCs w:val="20"/>
                <w:color w:val="auto"/>
              </w:rPr>
            </w:pPr>
            <w:r>
              <w:rPr>
                <w:rFonts w:ascii="Arial" w:cs="Arial" w:eastAsia="Arial" w:hAnsi="Arial"/>
                <w:sz w:val="9"/>
                <w:szCs w:val="9"/>
                <w:b w:val="1"/>
                <w:bCs w:val="1"/>
                <w:color w:val="auto"/>
              </w:rPr>
              <w:t>1,141</w:t>
            </w:r>
          </w:p>
        </w:tc>
        <w:tc>
          <w:tcPr>
            <w:tcW w:w="280" w:type="dxa"/>
            <w:vAlign w:val="bottom"/>
          </w:tcPr>
          <w:p>
            <w:pPr>
              <w:spacing w:after="0"/>
              <w:rPr>
                <w:sz w:val="9"/>
                <w:szCs w:val="9"/>
                <w:color w:val="auto"/>
              </w:rPr>
            </w:pPr>
          </w:p>
        </w:tc>
        <w:tc>
          <w:tcPr>
            <w:tcW w:w="80" w:type="dxa"/>
            <w:vAlign w:val="bottom"/>
            <w:tcBorders>
              <w:top w:val="single" w:sz="8" w:color="auto"/>
              <w:bottom w:val="single" w:sz="8" w:color="auto"/>
            </w:tcBorders>
          </w:tcPr>
          <w:p>
            <w:pPr>
              <w:jc w:val="right"/>
              <w:ind w:right="17"/>
              <w:spacing w:after="0"/>
              <w:rPr>
                <w:sz w:val="20"/>
                <w:szCs w:val="20"/>
                <w:color w:val="auto"/>
              </w:rPr>
            </w:pPr>
            <w:r>
              <w:rPr>
                <w:rFonts w:ascii="Arial" w:cs="Arial" w:eastAsia="Arial" w:hAnsi="Arial"/>
                <w:sz w:val="5"/>
                <w:szCs w:val="5"/>
                <w:b w:val="1"/>
                <w:bCs w:val="1"/>
                <w:color w:val="auto"/>
                <w:w w:val="70"/>
              </w:rPr>
              <w:t>$</w:t>
            </w:r>
          </w:p>
        </w:tc>
        <w:tc>
          <w:tcPr>
            <w:tcW w:w="460" w:type="dxa"/>
            <w:vAlign w:val="bottom"/>
            <w:tcBorders>
              <w:top w:val="single" w:sz="8" w:color="auto"/>
              <w:bottom w:val="single" w:sz="8" w:color="auto"/>
            </w:tcBorders>
          </w:tcPr>
          <w:p>
            <w:pPr>
              <w:jc w:val="right"/>
              <w:spacing w:after="0" w:line="98" w:lineRule="exact"/>
              <w:rPr>
                <w:sz w:val="20"/>
                <w:szCs w:val="20"/>
                <w:color w:val="auto"/>
              </w:rPr>
            </w:pPr>
            <w:r>
              <w:rPr>
                <w:rFonts w:ascii="Arial" w:cs="Arial" w:eastAsia="Arial" w:hAnsi="Arial"/>
                <w:sz w:val="9"/>
                <w:szCs w:val="9"/>
                <w:b w:val="1"/>
                <w:bCs w:val="1"/>
                <w:color w:val="auto"/>
              </w:rPr>
              <w:t>(1,141,899</w:t>
            </w:r>
          </w:p>
        </w:tc>
        <w:tc>
          <w:tcPr>
            <w:tcW w:w="300" w:type="dxa"/>
            <w:vAlign w:val="bottom"/>
          </w:tcPr>
          <w:p>
            <w:pPr>
              <w:jc w:val="right"/>
              <w:ind w:right="221"/>
              <w:spacing w:after="0"/>
              <w:rPr>
                <w:sz w:val="20"/>
                <w:szCs w:val="20"/>
                <w:color w:val="auto"/>
              </w:rPr>
            </w:pPr>
            <w:r>
              <w:rPr>
                <w:rFonts w:ascii="Arial" w:cs="Arial" w:eastAsia="Arial" w:hAnsi="Arial"/>
                <w:sz w:val="8"/>
                <w:szCs w:val="8"/>
                <w:b w:val="1"/>
                <w:bCs w:val="1"/>
                <w:color w:val="auto"/>
                <w:w w:val="73"/>
              </w:rPr>
              <w:t>)</w:t>
            </w:r>
          </w:p>
        </w:tc>
        <w:tc>
          <w:tcPr>
            <w:tcW w:w="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5"/>
                <w:szCs w:val="5"/>
                <w:b w:val="1"/>
                <w:bCs w:val="1"/>
                <w:color w:val="auto"/>
                <w:w w:val="70"/>
              </w:rPr>
              <w:t>$</w:t>
            </w:r>
          </w:p>
        </w:tc>
        <w:tc>
          <w:tcPr>
            <w:tcW w:w="460" w:type="dxa"/>
            <w:vAlign w:val="bottom"/>
            <w:tcBorders>
              <w:top w:val="single" w:sz="8" w:color="auto"/>
              <w:bottom w:val="single" w:sz="8" w:color="auto"/>
            </w:tcBorders>
          </w:tcPr>
          <w:p>
            <w:pPr>
              <w:jc w:val="right"/>
              <w:spacing w:after="0" w:line="98" w:lineRule="exact"/>
              <w:rPr>
                <w:sz w:val="20"/>
                <w:szCs w:val="20"/>
                <w:color w:val="auto"/>
              </w:rPr>
            </w:pPr>
            <w:r>
              <w:rPr>
                <w:rFonts w:ascii="Arial" w:cs="Arial" w:eastAsia="Arial" w:hAnsi="Arial"/>
                <w:sz w:val="9"/>
                <w:szCs w:val="9"/>
                <w:b w:val="1"/>
                <w:bCs w:val="1"/>
                <w:color w:val="auto"/>
              </w:rPr>
              <w:t>881,985</w:t>
            </w:r>
          </w:p>
        </w:tc>
        <w:tc>
          <w:tcPr>
            <w:tcW w:w="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5"/>
                <w:szCs w:val="5"/>
                <w:b w:val="1"/>
                <w:bCs w:val="1"/>
                <w:color w:val="auto"/>
                <w:w w:val="70"/>
              </w:rPr>
              <w:t>$</w:t>
            </w:r>
          </w:p>
        </w:tc>
        <w:tc>
          <w:tcPr>
            <w:tcW w:w="640" w:type="dxa"/>
            <w:vAlign w:val="bottom"/>
            <w:tcBorders>
              <w:top w:val="single" w:sz="8" w:color="auto"/>
              <w:bottom w:val="single" w:sz="8" w:color="auto"/>
            </w:tcBorders>
          </w:tcPr>
          <w:p>
            <w:pPr>
              <w:jc w:val="center"/>
              <w:ind w:left="395"/>
              <w:spacing w:after="0" w:line="98" w:lineRule="exact"/>
              <w:rPr>
                <w:sz w:val="20"/>
                <w:szCs w:val="20"/>
                <w:color w:val="auto"/>
              </w:rPr>
            </w:pPr>
            <w:r>
              <w:rPr>
                <w:rFonts w:ascii="Arial" w:cs="Arial" w:eastAsia="Arial" w:hAnsi="Arial"/>
                <w:sz w:val="9"/>
                <w:szCs w:val="9"/>
                <w:b w:val="1"/>
                <w:bCs w:val="1"/>
                <w:color w:val="auto"/>
                <w:w w:val="88"/>
              </w:rPr>
              <w:t>3,078</w:t>
            </w:r>
          </w:p>
        </w:tc>
        <w:tc>
          <w:tcPr>
            <w:tcW w:w="300" w:type="dxa"/>
            <w:vAlign w:val="bottom"/>
          </w:tcPr>
          <w:p>
            <w:pPr>
              <w:spacing w:after="0"/>
              <w:rPr>
                <w:sz w:val="9"/>
                <w:szCs w:val="9"/>
                <w:color w:val="auto"/>
              </w:rPr>
            </w:pPr>
          </w:p>
        </w:tc>
        <w:tc>
          <w:tcPr>
            <w:tcW w:w="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5"/>
                <w:szCs w:val="5"/>
                <w:b w:val="1"/>
                <w:bCs w:val="1"/>
                <w:color w:val="auto"/>
                <w:w w:val="70"/>
              </w:rPr>
              <w:t>$</w:t>
            </w:r>
          </w:p>
        </w:tc>
        <w:tc>
          <w:tcPr>
            <w:tcW w:w="400" w:type="dxa"/>
            <w:vAlign w:val="bottom"/>
            <w:tcBorders>
              <w:top w:val="single" w:sz="8" w:color="auto"/>
              <w:bottom w:val="single" w:sz="8" w:color="auto"/>
            </w:tcBorders>
          </w:tcPr>
          <w:p>
            <w:pPr>
              <w:jc w:val="right"/>
              <w:spacing w:after="0" w:line="98" w:lineRule="exact"/>
              <w:rPr>
                <w:sz w:val="20"/>
                <w:szCs w:val="20"/>
                <w:color w:val="auto"/>
              </w:rPr>
            </w:pPr>
            <w:r>
              <w:rPr>
                <w:rFonts w:ascii="Arial" w:cs="Arial" w:eastAsia="Arial" w:hAnsi="Arial"/>
                <w:sz w:val="9"/>
                <w:szCs w:val="9"/>
                <w:b w:val="1"/>
                <w:bCs w:val="1"/>
                <w:color w:val="auto"/>
              </w:rPr>
              <w:t>256,992</w:t>
            </w:r>
          </w:p>
        </w:tc>
        <w:tc>
          <w:tcPr>
            <w:tcW w:w="300" w:type="dxa"/>
            <w:vAlign w:val="bottom"/>
          </w:tcPr>
          <w:p>
            <w:pPr>
              <w:spacing w:after="0"/>
              <w:rPr>
                <w:sz w:val="9"/>
                <w:szCs w:val="9"/>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5"/>
                <w:szCs w:val="5"/>
                <w:b w:val="1"/>
                <w:bCs w:val="1"/>
                <w:color w:val="auto"/>
                <w:w w:val="70"/>
              </w:rPr>
              <w:t>$</w:t>
            </w:r>
          </w:p>
        </w:tc>
        <w:tc>
          <w:tcPr>
            <w:tcW w:w="680" w:type="dxa"/>
            <w:vAlign w:val="bottom"/>
            <w:tcBorders>
              <w:top w:val="single" w:sz="8" w:color="auto"/>
              <w:bottom w:val="single" w:sz="8" w:color="auto"/>
            </w:tcBorders>
          </w:tcPr>
          <w:p>
            <w:pPr>
              <w:jc w:val="right"/>
              <w:spacing w:after="0" w:line="98" w:lineRule="exact"/>
              <w:rPr>
                <w:sz w:val="20"/>
                <w:szCs w:val="20"/>
                <w:color w:val="auto"/>
              </w:rPr>
            </w:pPr>
            <w:r>
              <w:rPr>
                <w:rFonts w:ascii="Arial" w:cs="Arial" w:eastAsia="Arial" w:hAnsi="Arial"/>
                <w:sz w:val="9"/>
                <w:szCs w:val="9"/>
                <w:b w:val="1"/>
                <w:bCs w:val="1"/>
                <w:color w:val="auto"/>
              </w:rPr>
              <w:t>1,297</w:t>
            </w:r>
          </w:p>
        </w:tc>
        <w:tc>
          <w:tcPr>
            <w:tcW w:w="280" w:type="dxa"/>
            <w:vAlign w:val="bottom"/>
          </w:tcPr>
          <w:p>
            <w:pPr>
              <w:spacing w:after="0"/>
              <w:rPr>
                <w:sz w:val="9"/>
                <w:szCs w:val="9"/>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5"/>
                <w:szCs w:val="5"/>
                <w:b w:val="1"/>
                <w:bCs w:val="1"/>
                <w:color w:val="auto"/>
                <w:w w:val="70"/>
              </w:rPr>
              <w:t>$</w:t>
            </w:r>
          </w:p>
        </w:tc>
        <w:tc>
          <w:tcPr>
            <w:tcW w:w="660" w:type="dxa"/>
            <w:vAlign w:val="bottom"/>
            <w:tcBorders>
              <w:top w:val="single" w:sz="8" w:color="auto"/>
              <w:bottom w:val="single" w:sz="8" w:color="auto"/>
            </w:tcBorders>
          </w:tcPr>
          <w:p>
            <w:pPr>
              <w:ind w:left="380"/>
              <w:spacing w:after="0" w:line="98" w:lineRule="exact"/>
              <w:rPr>
                <w:sz w:val="20"/>
                <w:szCs w:val="20"/>
                <w:color w:val="auto"/>
              </w:rPr>
            </w:pPr>
            <w:r>
              <w:rPr>
                <w:rFonts w:ascii="Arial" w:cs="Arial" w:eastAsia="Arial" w:hAnsi="Arial"/>
                <w:sz w:val="9"/>
                <w:szCs w:val="9"/>
                <w:b w:val="1"/>
                <w:bCs w:val="1"/>
                <w:color w:val="auto"/>
                <w:w w:val="79"/>
              </w:rPr>
              <w:t>240,042</w:t>
            </w:r>
          </w:p>
        </w:tc>
        <w:tc>
          <w:tcPr>
            <w:tcW w:w="300" w:type="dxa"/>
            <w:vAlign w:val="bottom"/>
          </w:tcPr>
          <w:p>
            <w:pPr>
              <w:spacing w:after="0"/>
              <w:rPr>
                <w:sz w:val="9"/>
                <w:szCs w:val="9"/>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5"/>
                <w:szCs w:val="5"/>
                <w:b w:val="1"/>
                <w:bCs w:val="1"/>
                <w:color w:val="auto"/>
                <w:w w:val="70"/>
              </w:rPr>
              <w:t>$</w:t>
            </w:r>
          </w:p>
        </w:tc>
        <w:tc>
          <w:tcPr>
            <w:tcW w:w="600" w:type="dxa"/>
            <w:vAlign w:val="bottom"/>
            <w:tcBorders>
              <w:top w:val="single" w:sz="8" w:color="auto"/>
              <w:bottom w:val="single" w:sz="8" w:color="auto"/>
            </w:tcBorders>
          </w:tcPr>
          <w:p>
            <w:pPr>
              <w:jc w:val="right"/>
              <w:spacing w:after="0" w:line="98" w:lineRule="exact"/>
              <w:rPr>
                <w:sz w:val="20"/>
                <w:szCs w:val="20"/>
                <w:color w:val="auto"/>
              </w:rPr>
            </w:pPr>
            <w:r>
              <w:rPr>
                <w:rFonts w:ascii="Arial" w:cs="Arial" w:eastAsia="Arial" w:hAnsi="Arial"/>
                <w:sz w:val="9"/>
                <w:szCs w:val="9"/>
                <w:b w:val="1"/>
                <w:bCs w:val="1"/>
                <w:color w:val="auto"/>
              </w:rPr>
              <w:t>241,339</w:t>
            </w: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The accompanying notes are an integral part of these condensed consolidated financial statements.</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7</w:t>
      </w:r>
    </w:p>
    <w:p>
      <w:pPr>
        <w:sectPr>
          <w:pgSz w:w="11900" w:h="16838" w:orient="portrait"/>
          <w:cols w:equalWidth="0" w:num="1">
            <w:col w:w="11480"/>
          </w:cols>
          <w:pgMar w:left="220" w:top="354" w:right="199" w:bottom="1440" w:gutter="0" w:footer="0" w:header="0"/>
        </w:sectPr>
      </w:pPr>
    </w:p>
    <w:bookmarkStart w:id="7" w:name="page8"/>
    <w:bookmarkEnd w:id="7"/>
    <w:p>
      <w:pPr>
        <w:ind w:left="8"/>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121920</wp:posOffset>
            </wp:positionH>
            <wp:positionV relativeFrom="page">
              <wp:posOffset>88900</wp:posOffset>
            </wp:positionV>
            <wp:extent cx="7329170" cy="298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329170" cy="29845"/>
                    </a:xfrm>
                    <a:prstGeom prst="rect">
                      <a:avLst/>
                    </a:prstGeom>
                    <a:noFill/>
                  </pic:spPr>
                </pic:pic>
              </a:graphicData>
            </a:graphic>
          </wp:anchor>
        </w:drawing>
      </w:r>
      <w:hyperlink w:anchor="page2">
        <w:r>
          <w:rPr>
            <w:rFonts w:ascii="Arial" w:cs="Arial" w:eastAsia="Arial" w:hAnsi="Arial"/>
            <w:sz w:val="12"/>
            <w:szCs w:val="12"/>
            <w:b w:val="1"/>
            <w:bCs w:val="1"/>
            <w:u w:val="single" w:color="auto"/>
            <w:color w:val="0000EE"/>
          </w:rPr>
          <w:t>Table of Contents</w:t>
        </w:r>
      </w:hyperlink>
    </w:p>
    <w:p>
      <w:pPr>
        <w:spacing w:after="0" w:line="207" w:lineRule="exact"/>
        <w:rPr>
          <w:sz w:val="20"/>
          <w:szCs w:val="20"/>
          <w:color w:val="auto"/>
        </w:rPr>
      </w:pPr>
    </w:p>
    <w:p>
      <w:pPr>
        <w:jc w:val="center"/>
        <w:ind w:right="-87"/>
        <w:spacing w:after="0"/>
        <w:rPr>
          <w:sz w:val="20"/>
          <w:szCs w:val="20"/>
          <w:color w:val="auto"/>
        </w:rPr>
      </w:pPr>
      <w:r>
        <w:rPr>
          <w:rFonts w:ascii="Arial" w:cs="Arial" w:eastAsia="Arial" w:hAnsi="Arial"/>
          <w:sz w:val="12"/>
          <w:szCs w:val="12"/>
          <w:b w:val="1"/>
          <w:bCs w:val="1"/>
          <w:color w:val="auto"/>
        </w:rPr>
        <w:t>WYNN RESORTS, LIMITED AND SUBSIDIARIES</w:t>
      </w:r>
    </w:p>
    <w:p>
      <w:pPr>
        <w:spacing w:after="0" w:line="12" w:lineRule="exact"/>
        <w:rPr>
          <w:sz w:val="20"/>
          <w:szCs w:val="20"/>
          <w:color w:val="auto"/>
        </w:rPr>
      </w:pPr>
    </w:p>
    <w:p>
      <w:pPr>
        <w:jc w:val="center"/>
        <w:ind w:right="-87"/>
        <w:spacing w:after="0"/>
        <w:rPr>
          <w:sz w:val="20"/>
          <w:szCs w:val="20"/>
          <w:color w:val="auto"/>
        </w:rPr>
      </w:pPr>
      <w:r>
        <w:rPr>
          <w:rFonts w:ascii="Arial" w:cs="Arial" w:eastAsia="Arial" w:hAnsi="Arial"/>
          <w:sz w:val="12"/>
          <w:szCs w:val="12"/>
          <w:b w:val="1"/>
          <w:bCs w:val="1"/>
          <w:color w:val="auto"/>
        </w:rPr>
        <w:t>NOTES TO CONDENSED CONSOLIDATED FINANCIAL STATEMENTS</w:t>
      </w:r>
    </w:p>
    <w:p>
      <w:pPr>
        <w:spacing w:after="0" w:line="6" w:lineRule="exact"/>
        <w:rPr>
          <w:sz w:val="20"/>
          <w:szCs w:val="20"/>
          <w:color w:val="auto"/>
        </w:rPr>
      </w:pPr>
    </w:p>
    <w:p>
      <w:pPr>
        <w:jc w:val="center"/>
        <w:ind w:right="-87"/>
        <w:spacing w:after="0"/>
        <w:rPr>
          <w:sz w:val="20"/>
          <w:szCs w:val="20"/>
          <w:color w:val="auto"/>
        </w:rPr>
      </w:pPr>
      <w:r>
        <w:rPr>
          <w:rFonts w:ascii="Arial" w:cs="Arial" w:eastAsia="Arial" w:hAnsi="Arial"/>
          <w:sz w:val="12"/>
          <w:szCs w:val="12"/>
          <w:b w:val="1"/>
          <w:bCs w:val="1"/>
          <w:color w:val="auto"/>
        </w:rPr>
        <w:t>(Unaudited)</w:t>
      </w:r>
    </w:p>
    <w:p>
      <w:pPr>
        <w:spacing w:after="0" w:line="135" w:lineRule="exact"/>
        <w:rPr>
          <w:sz w:val="20"/>
          <w:szCs w:val="20"/>
          <w:color w:val="auto"/>
        </w:rPr>
      </w:pPr>
    </w:p>
    <w:p>
      <w:pPr>
        <w:ind w:left="228" w:hanging="228"/>
        <w:spacing w:after="0"/>
        <w:tabs>
          <w:tab w:leader="none" w:pos="228" w:val="left"/>
        </w:tabs>
        <w:numPr>
          <w:ilvl w:val="0"/>
          <w:numId w:val="3"/>
        </w:numPr>
        <w:rPr>
          <w:rFonts w:ascii="Arial" w:cs="Arial" w:eastAsia="Arial" w:hAnsi="Arial"/>
          <w:sz w:val="12"/>
          <w:szCs w:val="12"/>
          <w:b w:val="1"/>
          <w:bCs w:val="1"/>
          <w:color w:val="auto"/>
        </w:rPr>
      </w:pPr>
      <w:r>
        <w:rPr>
          <w:rFonts w:ascii="Arial" w:cs="Arial" w:eastAsia="Arial" w:hAnsi="Arial"/>
          <w:sz w:val="12"/>
          <w:szCs w:val="12"/>
          <w:b w:val="1"/>
          <w:bCs w:val="1"/>
          <w:color w:val="auto"/>
        </w:rPr>
        <w:t>Organization and Basis of Presentation</w:t>
      </w:r>
    </w:p>
    <w:p>
      <w:pPr>
        <w:spacing w:after="0" w:line="62" w:lineRule="exact"/>
        <w:rPr>
          <w:sz w:val="20"/>
          <w:szCs w:val="20"/>
          <w:color w:val="auto"/>
        </w:rPr>
      </w:pPr>
    </w:p>
    <w:p>
      <w:pPr>
        <w:ind w:left="228"/>
        <w:spacing w:after="0"/>
        <w:rPr>
          <w:sz w:val="20"/>
          <w:szCs w:val="20"/>
          <w:color w:val="auto"/>
        </w:rPr>
      </w:pPr>
      <w:r>
        <w:rPr>
          <w:rFonts w:ascii="Arial" w:cs="Arial" w:eastAsia="Arial" w:hAnsi="Arial"/>
          <w:sz w:val="12"/>
          <w:szCs w:val="12"/>
          <w:i w:val="1"/>
          <w:iCs w:val="1"/>
          <w:color w:val="auto"/>
        </w:rPr>
        <w:t>Organization</w:t>
      </w:r>
    </w:p>
    <w:p>
      <w:pPr>
        <w:spacing w:after="0" w:line="60" w:lineRule="exact"/>
        <w:rPr>
          <w:sz w:val="20"/>
          <w:szCs w:val="20"/>
          <w:color w:val="auto"/>
        </w:rPr>
      </w:pPr>
    </w:p>
    <w:p>
      <w:pPr>
        <w:ind w:left="8" w:firstLine="459"/>
        <w:spacing w:after="0" w:line="368" w:lineRule="auto"/>
        <w:rPr>
          <w:sz w:val="20"/>
          <w:szCs w:val="20"/>
          <w:color w:val="auto"/>
        </w:rPr>
      </w:pPr>
      <w:r>
        <w:rPr>
          <w:rFonts w:ascii="Arial" w:cs="Arial" w:eastAsia="Arial" w:hAnsi="Arial"/>
          <w:sz w:val="9"/>
          <w:szCs w:val="9"/>
          <w:color w:val="auto"/>
        </w:rPr>
        <w:t>Wynn Resorts, Limited, a Nevada corporation (together with its subsidiaries, “Wynn Resorts” or the “Company”) owns 72.3% of Wynn Macau, Limited which operates a casino hotel resort property in Macau. Our Macau operations consist of a resort destination casino located in the Macau Special Administrative Region of the People’s Republic of China featuring two luxury hotel towers with a total of 1,008 spacious guest rooms and suites, approximately 275,000 square feet of casino space, casual and fine dining in eight restaurants, approximately 57,000 square feet of retail space, recreation and leisure facilities, including two health clubs and spas and a pool. The Company is also currently constructing Wynn Palace, a full-scale integrated resort in the Cotai area of Macau containing a 1,700-room hotel, performance lake, meeting space, casino, spa, retail offerings, and food and beverage outlets.</w:t>
      </w:r>
    </w:p>
    <w:p>
      <w:pPr>
        <w:spacing w:after="0" w:line="50" w:lineRule="exact"/>
        <w:rPr>
          <w:sz w:val="20"/>
          <w:szCs w:val="20"/>
          <w:color w:val="auto"/>
        </w:rPr>
      </w:pPr>
    </w:p>
    <w:p>
      <w:pPr>
        <w:ind w:left="8" w:firstLine="459"/>
        <w:spacing w:after="0" w:line="259" w:lineRule="auto"/>
        <w:rPr>
          <w:sz w:val="20"/>
          <w:szCs w:val="20"/>
          <w:color w:val="auto"/>
        </w:rPr>
      </w:pPr>
      <w:r>
        <w:rPr>
          <w:rFonts w:ascii="Arial" w:cs="Arial" w:eastAsia="Arial" w:hAnsi="Arial"/>
          <w:sz w:val="12"/>
          <w:szCs w:val="12"/>
          <w:color w:val="auto"/>
        </w:rPr>
        <w:t>The Company also owns and operates a casino hotel resort property in Las Vegas, Nevada. Our Las Vegas operations feature two luxury hotel towers with a total of 4,748 spacious guest rooms, suites and villas, approximately 186,000 square feet of casino space, 35 food and beverage outlets featuring signature chefs, an on-site 18-hole golf course, approximately 284,000 square feet of meeting and convention space, a Ferrari and Maserati dealership, approximately 96,000 square feet of retail space as well as two showrooms, three nightclubs and a beach club.</w:t>
      </w:r>
    </w:p>
    <w:p>
      <w:pPr>
        <w:spacing w:after="0" w:line="148" w:lineRule="exact"/>
        <w:rPr>
          <w:sz w:val="20"/>
          <w:szCs w:val="20"/>
          <w:color w:val="auto"/>
        </w:rPr>
      </w:pPr>
    </w:p>
    <w:p>
      <w:pPr>
        <w:ind w:left="228"/>
        <w:spacing w:after="0"/>
        <w:rPr>
          <w:sz w:val="20"/>
          <w:szCs w:val="20"/>
          <w:color w:val="auto"/>
        </w:rPr>
      </w:pPr>
      <w:r>
        <w:rPr>
          <w:rFonts w:ascii="Arial" w:cs="Arial" w:eastAsia="Arial" w:hAnsi="Arial"/>
          <w:sz w:val="12"/>
          <w:szCs w:val="12"/>
          <w:i w:val="1"/>
          <w:iCs w:val="1"/>
          <w:color w:val="auto"/>
        </w:rPr>
        <w:t>Basis of Presentation</w:t>
      </w:r>
    </w:p>
    <w:p>
      <w:pPr>
        <w:spacing w:after="0" w:line="60" w:lineRule="exact"/>
        <w:rPr>
          <w:sz w:val="20"/>
          <w:szCs w:val="20"/>
          <w:color w:val="auto"/>
        </w:rPr>
      </w:pPr>
    </w:p>
    <w:p>
      <w:pPr>
        <w:ind w:left="8" w:right="120" w:firstLine="459"/>
        <w:spacing w:after="0" w:line="314" w:lineRule="auto"/>
        <w:rPr>
          <w:sz w:val="20"/>
          <w:szCs w:val="20"/>
          <w:color w:val="auto"/>
        </w:rPr>
      </w:pPr>
      <w:r>
        <w:rPr>
          <w:rFonts w:ascii="Arial" w:cs="Arial" w:eastAsia="Arial" w:hAnsi="Arial"/>
          <w:sz w:val="11"/>
          <w:szCs w:val="11"/>
          <w:color w:val="auto"/>
        </w:rPr>
        <w:t>The accompanying condensed consolidated financial statements include the accounts of the Company and its majority-owned subsidiaries. Investments in the 50%-owned joint ventures operating the Ferrari and Maserati automobile dealership and the Brioni mens’ retail clothing store inside Wynn Las Vegas are accounted for under the equity method. All significant intercompany accounts and transactions have been eliminated.</w:t>
      </w:r>
    </w:p>
    <w:p>
      <w:pPr>
        <w:spacing w:after="0" w:line="65" w:lineRule="exact"/>
        <w:rPr>
          <w:sz w:val="20"/>
          <w:szCs w:val="20"/>
          <w:color w:val="auto"/>
        </w:rPr>
      </w:pPr>
    </w:p>
    <w:p>
      <w:pPr>
        <w:ind w:left="8" w:right="20" w:firstLine="459"/>
        <w:spacing w:after="0" w:line="360" w:lineRule="auto"/>
        <w:rPr>
          <w:sz w:val="20"/>
          <w:szCs w:val="20"/>
          <w:color w:val="auto"/>
        </w:rPr>
      </w:pPr>
      <w:r>
        <w:rPr>
          <w:rFonts w:ascii="Arial" w:cs="Arial" w:eastAsia="Arial" w:hAnsi="Arial"/>
          <w:sz w:val="9"/>
          <w:szCs w:val="9"/>
          <w:color w:val="auto"/>
        </w:rPr>
        <w:t>The accompanying condensed consolidated financial statements have been prepared by the Company pursuant to the rules and regulations of the Securities and Exchange Commission (“SEC”). Certain information and footnote disclosures normally included in financial statements prepared in accordance with accounting principles generally accepted in the United States of America have been condensed or omitted pursuant to such rules and regulations, although the Company believes that the disclosures herein are adequate to make the information presented not misleading. In the opinion of management, all adjustments (which include only normal recurring adjustments) necessary for a fair presentation of the results for the interim periods have been made. The results for the three and nine months ended September 30, 2013, are not necessarily indicative of results to be expected for the full fiscal year. These condensed consolidated financial statements should be read in conjunction with the consolidated financial statements and notes thereto in the Company’s Annual Report on Form 10-K for the year ended December 31, 2012.</w:t>
      </w:r>
    </w:p>
    <w:p>
      <w:pPr>
        <w:spacing w:after="0" w:line="132" w:lineRule="exact"/>
        <w:rPr>
          <w:sz w:val="20"/>
          <w:szCs w:val="20"/>
          <w:color w:val="auto"/>
        </w:rPr>
      </w:pPr>
    </w:p>
    <w:p>
      <w:pPr>
        <w:ind w:left="228" w:right="8980" w:hanging="228"/>
        <w:spacing w:after="0" w:line="346" w:lineRule="auto"/>
        <w:tabs>
          <w:tab w:leader="none" w:pos="223" w:val="left"/>
        </w:tabs>
        <w:numPr>
          <w:ilvl w:val="0"/>
          <w:numId w:val="4"/>
        </w:numPr>
        <w:rPr>
          <w:rFonts w:ascii="Arial" w:cs="Arial" w:eastAsia="Arial" w:hAnsi="Arial"/>
          <w:sz w:val="12"/>
          <w:szCs w:val="12"/>
          <w:b w:val="1"/>
          <w:bCs w:val="1"/>
          <w:color w:val="auto"/>
        </w:rPr>
      </w:pPr>
      <w:r>
        <w:rPr>
          <w:rFonts w:ascii="Arial" w:cs="Arial" w:eastAsia="Arial" w:hAnsi="Arial"/>
          <w:sz w:val="12"/>
          <w:szCs w:val="12"/>
          <w:b w:val="1"/>
          <w:bCs w:val="1"/>
          <w:color w:val="auto"/>
        </w:rPr>
        <w:t xml:space="preserve">Summary of Significant Accounting Policies </w:t>
      </w:r>
      <w:r>
        <w:rPr>
          <w:rFonts w:ascii="Arial" w:cs="Arial" w:eastAsia="Arial" w:hAnsi="Arial"/>
          <w:sz w:val="12"/>
          <w:szCs w:val="12"/>
          <w:i w:val="1"/>
          <w:iCs w:val="1"/>
          <w:color w:val="auto"/>
        </w:rPr>
        <w:t>Cash and Cash Equivalents</w:t>
      </w:r>
    </w:p>
    <w:p>
      <w:pPr>
        <w:ind w:left="8" w:right="40" w:firstLine="459"/>
        <w:spacing w:after="0" w:line="259" w:lineRule="auto"/>
        <w:rPr>
          <w:sz w:val="20"/>
          <w:szCs w:val="20"/>
          <w:color w:val="auto"/>
        </w:rPr>
      </w:pPr>
      <w:r>
        <w:rPr>
          <w:rFonts w:ascii="Arial" w:cs="Arial" w:eastAsia="Arial" w:hAnsi="Arial"/>
          <w:sz w:val="12"/>
          <w:szCs w:val="12"/>
          <w:color w:val="auto"/>
        </w:rPr>
        <w:t>Cash and cash equivalents are comprised of highly liquid investments with purchase maturities of three months or less. Cash equivalents are carried at cost, which approximates fair value. Cash equivalents of $876 million and $969.2 million at September 30, 2013 and December 31, 2012, respectively, were invested in time deposits, money market accounts and commercial paper. In addition, the Company held bank deposits and cash on hand of approximately $1,165.2 million and $756 million as of September 30, 2013 and December 31, 2012, respectively.</w:t>
      </w:r>
    </w:p>
    <w:p>
      <w:pPr>
        <w:spacing w:after="0" w:line="85" w:lineRule="exact"/>
        <w:rPr>
          <w:sz w:val="20"/>
          <w:szCs w:val="20"/>
          <w:color w:val="auto"/>
        </w:rPr>
      </w:pPr>
    </w:p>
    <w:p>
      <w:pPr>
        <w:jc w:val="center"/>
        <w:ind w:right="-87"/>
        <w:spacing w:after="0"/>
        <w:rPr>
          <w:sz w:val="20"/>
          <w:szCs w:val="20"/>
          <w:color w:val="auto"/>
        </w:rPr>
      </w:pPr>
      <w:r>
        <w:rPr>
          <w:rFonts w:ascii="Arial" w:cs="Arial" w:eastAsia="Arial" w:hAnsi="Arial"/>
          <w:sz w:val="12"/>
          <w:szCs w:val="12"/>
          <w:color w:val="auto"/>
        </w:rPr>
        <w:t>8</w:t>
      </w:r>
    </w:p>
    <w:p>
      <w:pPr>
        <w:sectPr>
          <w:pgSz w:w="11900" w:h="16838" w:orient="portrait"/>
          <w:cols w:equalWidth="0" w:num="1">
            <w:col w:w="11408"/>
          </w:cols>
          <w:pgMar w:left="212" w:top="354" w:right="279" w:bottom="1440" w:gutter="0" w:footer="0" w:header="0"/>
        </w:sectPr>
      </w:pPr>
    </w:p>
    <w:bookmarkStart w:id="8" w:name="page9"/>
    <w:bookmarkEnd w:id="8"/>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121920</wp:posOffset>
            </wp:positionH>
            <wp:positionV relativeFrom="page">
              <wp:posOffset>88900</wp:posOffset>
            </wp:positionV>
            <wp:extent cx="7329170" cy="298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329170" cy="29845"/>
                    </a:xfrm>
                    <a:prstGeom prst="rect">
                      <a:avLst/>
                    </a:prstGeom>
                    <a:noFill/>
                  </pic:spPr>
                </pic:pic>
              </a:graphicData>
            </a:graphic>
          </wp:anchor>
        </w:drawing>
      </w:r>
      <w:hyperlink w:anchor="page2">
        <w:r>
          <w:rPr>
            <w:rFonts w:ascii="Arial" w:cs="Arial" w:eastAsia="Arial" w:hAnsi="Arial"/>
            <w:sz w:val="12"/>
            <w:szCs w:val="12"/>
            <w:b w:val="1"/>
            <w:bCs w:val="1"/>
            <w:u w:val="single" w:color="auto"/>
            <w:color w:val="0000EE"/>
          </w:rPr>
          <w:t>Table of Contents</w:t>
        </w:r>
      </w:hyperlink>
    </w:p>
    <w:p>
      <w:pPr>
        <w:spacing w:after="0" w:line="209" w:lineRule="exact"/>
        <w:rPr>
          <w:sz w:val="20"/>
          <w:szCs w:val="20"/>
          <w:color w:val="auto"/>
        </w:rPr>
      </w:pPr>
    </w:p>
    <w:p>
      <w:pPr>
        <w:ind w:left="220"/>
        <w:spacing w:after="0"/>
        <w:rPr>
          <w:sz w:val="20"/>
          <w:szCs w:val="20"/>
          <w:color w:val="auto"/>
        </w:rPr>
      </w:pPr>
      <w:r>
        <w:rPr>
          <w:rFonts w:ascii="Arial" w:cs="Arial" w:eastAsia="Arial" w:hAnsi="Arial"/>
          <w:sz w:val="12"/>
          <w:szCs w:val="12"/>
          <w:i w:val="1"/>
          <w:iCs w:val="1"/>
          <w:color w:val="auto"/>
        </w:rPr>
        <w:t>Restricted Cash and Investment Securities</w:t>
      </w:r>
    </w:p>
    <w:p>
      <w:pPr>
        <w:spacing w:after="0" w:line="60" w:lineRule="exact"/>
        <w:rPr>
          <w:sz w:val="20"/>
          <w:szCs w:val="20"/>
          <w:color w:val="auto"/>
        </w:rPr>
      </w:pPr>
    </w:p>
    <w:p>
      <w:pPr>
        <w:ind w:firstLine="459"/>
        <w:spacing w:after="0" w:line="255" w:lineRule="auto"/>
        <w:rPr>
          <w:sz w:val="20"/>
          <w:szCs w:val="20"/>
          <w:color w:val="auto"/>
        </w:rPr>
      </w:pPr>
      <w:r>
        <w:rPr>
          <w:rFonts w:ascii="Arial" w:cs="Arial" w:eastAsia="Arial" w:hAnsi="Arial"/>
          <w:sz w:val="12"/>
          <w:szCs w:val="12"/>
          <w:color w:val="auto"/>
        </w:rPr>
        <w:t xml:space="preserve">Restricted cash balances totaled approximately $443 million and $99.2 million at September 30, 2013 and December 31, 2012, respectively. At September 30, 2013, the Company’s current restricted cash consists of $243 million held for the purpose of redeeming, in November 2013, the portion of Wynn Las Vegas, LLC (“Wynn Las Vegas”), an indirect wholly owned subsidiary of Wynn Resorts, Limited, 7 </w:t>
      </w:r>
      <w:r>
        <w:rPr>
          <w:rFonts w:ascii="Arial" w:cs="Arial" w:eastAsia="Arial" w:hAnsi="Arial"/>
          <w:sz w:val="7"/>
          <w:szCs w:val="7"/>
          <w:color w:val="auto"/>
        </w:rPr>
        <w:t>7</w:t>
      </w:r>
      <w:r>
        <w:rPr>
          <w:rFonts w:ascii="Arial" w:cs="Arial" w:eastAsia="Arial" w:hAnsi="Arial"/>
          <w:sz w:val="12"/>
          <w:szCs w:val="12"/>
          <w:color w:val="auto"/>
        </w:rPr>
        <w:t>/</w:t>
      </w:r>
      <w:r>
        <w:rPr>
          <w:rFonts w:ascii="Arial" w:cs="Arial" w:eastAsia="Arial" w:hAnsi="Arial"/>
          <w:sz w:val="7"/>
          <w:szCs w:val="7"/>
          <w:color w:val="auto"/>
        </w:rPr>
        <w:t>8</w:t>
      </w:r>
      <w:r>
        <w:rPr>
          <w:rFonts w:ascii="Arial" w:cs="Arial" w:eastAsia="Arial" w:hAnsi="Arial"/>
          <w:sz w:val="12"/>
          <w:szCs w:val="12"/>
          <w:color w:val="auto"/>
        </w:rPr>
        <w:t>% First Mortgage Notes due 2017 that were not tendered in May 2013 in the cash tender offer (the “tender offer”). For more information on the Wynn Las Vegas tender offer, see Note 9 – “Long-Term Debt”. At September 30, 2013 and December 31, 2012, the Company’s long-term restricted cash consisted of approximately $200 million and $99.2 million, respectively, which represent certain proceeds of the Company’s financing activities that were restricted by the agreements governing the Company’s debt instruments for the payment of certain Wynn Palace related construction and development costs.</w:t>
      </w:r>
    </w:p>
    <w:p>
      <w:pPr>
        <w:spacing w:after="0" w:line="96" w:lineRule="exact"/>
        <w:rPr>
          <w:sz w:val="20"/>
          <w:szCs w:val="20"/>
          <w:color w:val="auto"/>
        </w:rPr>
      </w:pPr>
    </w:p>
    <w:p>
      <w:pPr>
        <w:ind w:right="20" w:firstLine="459"/>
        <w:spacing w:after="0" w:line="287" w:lineRule="auto"/>
        <w:rPr>
          <w:sz w:val="20"/>
          <w:szCs w:val="20"/>
          <w:color w:val="auto"/>
        </w:rPr>
      </w:pPr>
      <w:r>
        <w:rPr>
          <w:rFonts w:ascii="Arial" w:cs="Arial" w:eastAsia="Arial" w:hAnsi="Arial"/>
          <w:sz w:val="11"/>
          <w:szCs w:val="11"/>
          <w:color w:val="auto"/>
        </w:rPr>
        <w:t>Investment securities consist of short-term and long-term investments in domestic and foreign corporate debt securities and commercial paper. The Company’s investment policy limits the amount of exposure to any one issuer with the objective of minimizing the potential risk of principal loss. Management determines the appropriate classification (held-to-maturity/available-for-sale) of its securities at the time of purchase and reevaluates such designation as of each balance sheet date. The Company’s current investments are reported at fair value, with unrealized gains and losses, net of tax, reported in other comprehensive income. Adjustments are made for amortization of premiums and accretion of discounts to maturity computed under the effective interest method. Such amortization is included in interest income together with the stated interest on such securities.</w:t>
      </w:r>
    </w:p>
    <w:p>
      <w:pPr>
        <w:spacing w:after="0" w:line="134" w:lineRule="exact"/>
        <w:rPr>
          <w:sz w:val="20"/>
          <w:szCs w:val="20"/>
          <w:color w:val="auto"/>
        </w:rPr>
      </w:pPr>
    </w:p>
    <w:p>
      <w:pPr>
        <w:ind w:left="220"/>
        <w:spacing w:after="0"/>
        <w:rPr>
          <w:sz w:val="20"/>
          <w:szCs w:val="20"/>
          <w:color w:val="auto"/>
        </w:rPr>
      </w:pPr>
      <w:r>
        <w:rPr>
          <w:rFonts w:ascii="Arial" w:cs="Arial" w:eastAsia="Arial" w:hAnsi="Arial"/>
          <w:sz w:val="12"/>
          <w:szCs w:val="12"/>
          <w:i w:val="1"/>
          <w:iCs w:val="1"/>
          <w:color w:val="auto"/>
        </w:rPr>
        <w:t>Accounts Receivable and Credit Risk</w:t>
      </w:r>
    </w:p>
    <w:p>
      <w:pPr>
        <w:spacing w:after="0" w:line="60" w:lineRule="exact"/>
        <w:rPr>
          <w:sz w:val="20"/>
          <w:szCs w:val="20"/>
          <w:color w:val="auto"/>
        </w:rPr>
      </w:pPr>
    </w:p>
    <w:p>
      <w:pPr>
        <w:jc w:val="both"/>
        <w:ind w:right="40" w:firstLine="459"/>
        <w:spacing w:after="0" w:line="259" w:lineRule="auto"/>
        <w:rPr>
          <w:sz w:val="20"/>
          <w:szCs w:val="20"/>
          <w:color w:val="auto"/>
        </w:rPr>
      </w:pPr>
      <w:r>
        <w:rPr>
          <w:rFonts w:ascii="Arial" w:cs="Arial" w:eastAsia="Arial" w:hAnsi="Arial"/>
          <w:sz w:val="12"/>
          <w:szCs w:val="12"/>
          <w:color w:val="auto"/>
        </w:rPr>
        <w:t>Financial instruments that potentially subject the Company to concentrations of credit risk consist principally of casino accounts receivable. The Company issues credit in the form of “markers” to approved casino customers following investigations of creditworthiness. At September 30, 2013 and December 31, 2012, approximately 84% of the Company’s markers were due from customers residing outside the United States, primarily in Asia. Business or economic conditions or other significant events in these countries could affect the collectibility of such receivables.</w:t>
      </w:r>
    </w:p>
    <w:p>
      <w:pPr>
        <w:spacing w:after="0" w:line="94" w:lineRule="exact"/>
        <w:rPr>
          <w:sz w:val="20"/>
          <w:szCs w:val="20"/>
          <w:color w:val="auto"/>
        </w:rPr>
      </w:pPr>
    </w:p>
    <w:p>
      <w:pPr>
        <w:ind w:right="60" w:firstLine="459"/>
        <w:spacing w:after="0" w:line="283" w:lineRule="auto"/>
        <w:rPr>
          <w:sz w:val="20"/>
          <w:szCs w:val="20"/>
          <w:color w:val="auto"/>
        </w:rPr>
      </w:pPr>
      <w:r>
        <w:rPr>
          <w:rFonts w:ascii="Arial" w:cs="Arial" w:eastAsia="Arial" w:hAnsi="Arial"/>
          <w:sz w:val="11"/>
          <w:szCs w:val="11"/>
          <w:color w:val="auto"/>
        </w:rPr>
        <w:t>Accounts receivable, including casino and hotel receivables, are typically non-interest bearing and are initially recorded at cost. Accounts are written off when management deems them to be uncollectible or after two years, whichever period is shorter. Recoveries of accounts previously written off are recorded when received. An allowance for doubtful accounts is maintained to reduce the Company’s receivables to their estimated carrying amount, which approximates fair value. The allowance is estimated based on specific review of customer accounts as well as management’s experience with collection trends in the casino industry and current economic and business conditions. During the nine months ended September 30, 2013, the Company recorded an adjustment to its reserve estimates for casino accounts receivable based on the results of historical collection patterns and current collection trends. This adjustment benefitted operating income by $14.9 million and net income attributable to Wynn Resorts, Limited by $12 million (or $0.12 per share on a fully diluted basis for the nine months ended September 30, 2013).</w:t>
      </w:r>
    </w:p>
    <w:p>
      <w:pPr>
        <w:spacing w:after="0" w:line="83" w:lineRule="exact"/>
        <w:rPr>
          <w:sz w:val="20"/>
          <w:szCs w:val="20"/>
          <w:color w:val="auto"/>
        </w:rPr>
      </w:pPr>
    </w:p>
    <w:p>
      <w:pPr>
        <w:ind w:right="40" w:firstLine="459"/>
        <w:spacing w:after="0" w:line="268" w:lineRule="auto"/>
        <w:rPr>
          <w:sz w:val="20"/>
          <w:szCs w:val="20"/>
          <w:color w:val="auto"/>
        </w:rPr>
      </w:pPr>
      <w:r>
        <w:rPr>
          <w:rFonts w:ascii="Arial" w:cs="Arial" w:eastAsia="Arial" w:hAnsi="Arial"/>
          <w:sz w:val="12"/>
          <w:szCs w:val="12"/>
          <w:color w:val="auto"/>
        </w:rPr>
        <w:t>During the nine months ended September 30, 2012, the Company recorded a similar adjustment which benefitted operating income by $30.9 million and net income attributable to Wynn Resorts, Limited by $23.3 million (or $0.22 per share on a fully diluted basis for the nine months ended September 30, 2012).</w:t>
      </w:r>
    </w:p>
    <w:p>
      <w:pPr>
        <w:spacing w:after="0" w:line="142" w:lineRule="exact"/>
        <w:rPr>
          <w:sz w:val="20"/>
          <w:szCs w:val="20"/>
          <w:color w:val="auto"/>
        </w:rPr>
      </w:pPr>
    </w:p>
    <w:p>
      <w:pPr>
        <w:ind w:left="220"/>
        <w:spacing w:after="0"/>
        <w:rPr>
          <w:sz w:val="20"/>
          <w:szCs w:val="20"/>
          <w:color w:val="auto"/>
        </w:rPr>
      </w:pPr>
      <w:r>
        <w:rPr>
          <w:rFonts w:ascii="Arial" w:cs="Arial" w:eastAsia="Arial" w:hAnsi="Arial"/>
          <w:sz w:val="12"/>
          <w:szCs w:val="12"/>
          <w:i w:val="1"/>
          <w:iCs w:val="1"/>
          <w:color w:val="auto"/>
        </w:rPr>
        <w:t>Inventories</w:t>
      </w:r>
    </w:p>
    <w:p>
      <w:pPr>
        <w:spacing w:after="0" w:line="60" w:lineRule="exact"/>
        <w:rPr>
          <w:sz w:val="20"/>
          <w:szCs w:val="20"/>
          <w:color w:val="auto"/>
        </w:rPr>
      </w:pPr>
    </w:p>
    <w:p>
      <w:pPr>
        <w:ind w:left="460"/>
        <w:spacing w:after="0"/>
        <w:rPr>
          <w:sz w:val="20"/>
          <w:szCs w:val="20"/>
          <w:color w:val="auto"/>
        </w:rPr>
      </w:pPr>
      <w:r>
        <w:rPr>
          <w:rFonts w:ascii="Arial" w:cs="Arial" w:eastAsia="Arial" w:hAnsi="Arial"/>
          <w:sz w:val="11"/>
          <w:szCs w:val="11"/>
          <w:color w:val="auto"/>
        </w:rPr>
        <w:t>Inventories consist of retail, food and beverage items, which are stated at the lower of cost or market value, and certain operating supplies. Cost is determined by the first-in, first-out, average and specific identification methods.</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9</w:t>
      </w:r>
    </w:p>
    <w:p>
      <w:pPr>
        <w:sectPr>
          <w:pgSz w:w="11900" w:h="16838" w:orient="portrait"/>
          <w:cols w:equalWidth="0" w:num="1">
            <w:col w:w="11440"/>
          </w:cols>
          <w:pgMar w:left="220" w:top="354" w:right="239" w:bottom="1440" w:gutter="0" w:footer="0" w:header="0"/>
        </w:sectPr>
      </w:pPr>
    </w:p>
    <w:bookmarkStart w:id="9" w:name="page10"/>
    <w:bookmarkEnd w:id="9"/>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121920</wp:posOffset>
            </wp:positionH>
            <wp:positionV relativeFrom="page">
              <wp:posOffset>88900</wp:posOffset>
            </wp:positionV>
            <wp:extent cx="7329170" cy="298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329170" cy="29845"/>
                    </a:xfrm>
                    <a:prstGeom prst="rect">
                      <a:avLst/>
                    </a:prstGeom>
                    <a:noFill/>
                  </pic:spPr>
                </pic:pic>
              </a:graphicData>
            </a:graphic>
          </wp:anchor>
        </w:drawing>
      </w:r>
      <w:hyperlink w:anchor="page2">
        <w:r>
          <w:rPr>
            <w:rFonts w:ascii="Arial" w:cs="Arial" w:eastAsia="Arial" w:hAnsi="Arial"/>
            <w:sz w:val="12"/>
            <w:szCs w:val="12"/>
            <w:b w:val="1"/>
            <w:bCs w:val="1"/>
            <w:u w:val="single" w:color="auto"/>
            <w:color w:val="0000EE"/>
          </w:rPr>
          <w:t>Table of Contents</w:t>
        </w:r>
      </w:hyperlink>
    </w:p>
    <w:p>
      <w:pPr>
        <w:spacing w:after="0" w:line="209" w:lineRule="exact"/>
        <w:rPr>
          <w:sz w:val="20"/>
          <w:szCs w:val="20"/>
          <w:color w:val="auto"/>
        </w:rPr>
      </w:pPr>
    </w:p>
    <w:p>
      <w:pPr>
        <w:ind w:left="220"/>
        <w:spacing w:after="0"/>
        <w:rPr>
          <w:sz w:val="20"/>
          <w:szCs w:val="20"/>
          <w:color w:val="auto"/>
        </w:rPr>
      </w:pPr>
      <w:r>
        <w:rPr>
          <w:rFonts w:ascii="Arial" w:cs="Arial" w:eastAsia="Arial" w:hAnsi="Arial"/>
          <w:sz w:val="12"/>
          <w:szCs w:val="12"/>
          <w:i w:val="1"/>
          <w:iCs w:val="1"/>
          <w:color w:val="auto"/>
        </w:rPr>
        <w:t>Redemption Price Promissory Note</w:t>
      </w:r>
    </w:p>
    <w:p>
      <w:pPr>
        <w:spacing w:after="0" w:line="60" w:lineRule="exact"/>
        <w:rPr>
          <w:sz w:val="20"/>
          <w:szCs w:val="20"/>
          <w:color w:val="auto"/>
        </w:rPr>
      </w:pPr>
    </w:p>
    <w:p>
      <w:pPr>
        <w:ind w:right="240" w:firstLine="459"/>
        <w:spacing w:after="0" w:line="438" w:lineRule="auto"/>
        <w:rPr>
          <w:sz w:val="20"/>
          <w:szCs w:val="20"/>
          <w:color w:val="auto"/>
        </w:rPr>
      </w:pPr>
      <w:r>
        <w:rPr>
          <w:rFonts w:ascii="Arial" w:cs="Arial" w:eastAsia="Arial" w:hAnsi="Arial"/>
          <w:sz w:val="9"/>
          <w:szCs w:val="9"/>
          <w:color w:val="auto"/>
        </w:rPr>
        <w:t>Based on the Board of Directors’ finding of “unsuitability,” on February 18, 2012, the Company redeemed and cancelled Aruze USA, Inc.’s 24,549,222 shares of Wynn Resorts’ common stock. On February 18, 2012, the Company issued a subordinated Redemption Price Promissory Note (the “Redemption Note”) with a principal amount of approximately $1.94 billion in redemption of all of the shares of Wynn Resorts’ common stock held by Aruze USA, Inc.</w:t>
      </w:r>
    </w:p>
    <w:p>
      <w:pPr>
        <w:spacing w:after="0" w:line="19" w:lineRule="exact"/>
        <w:rPr>
          <w:sz w:val="20"/>
          <w:szCs w:val="20"/>
          <w:color w:val="auto"/>
        </w:rPr>
      </w:pPr>
    </w:p>
    <w:p>
      <w:pPr>
        <w:ind w:firstLine="459"/>
        <w:spacing w:after="0" w:line="279" w:lineRule="auto"/>
        <w:rPr>
          <w:sz w:val="20"/>
          <w:szCs w:val="20"/>
          <w:color w:val="auto"/>
        </w:rPr>
      </w:pPr>
      <w:r>
        <w:rPr>
          <w:rFonts w:ascii="Arial" w:cs="Arial" w:eastAsia="Arial" w:hAnsi="Arial"/>
          <w:sz w:val="11"/>
          <w:szCs w:val="11"/>
          <w:color w:val="auto"/>
        </w:rPr>
        <w:t>The Company recorded the fair value of the Redemption Note at its estimated present value of approximately $1.94 billion in accordance with applicable accounting guidance. In determining this fair value, the Company considered the stated maturity of the Redemption Note, its stated interest rate, and the uncertainty of the related cash flows of the Redemption Note as well as the potential effects of the following: uncertainties surrounding the potential outcome and timing of pending litigation with Aruze USA, Inc. and its affiliates (see Note 15 – “Commitments and Contingencies”); the outcome of on-going investigations by the Nevada Gaming Control Board and/or other governmental regulatory agencies; and other potential legal and regulatory actions. In addition, in the furtherance of various future business objectives, the Company considered its ability, at its sole option, to prepay the Redemption Note at any time in accordance with its terms without penalty. Accordingly, the Company reasonably determined that the estimated life of the Redemption Note could be less than the contractual life of the Redemption Note. When considering the appropriate rate of interest to be used to determine fair value for accounting purposes and in light of the uncertainty in the timing of the cash flows, the Company used observable inputs from a range of trading values of financial instruments with terms and lives similar to the estimated life and terms of the Redemption Note. As a result of this analysis, the Company concluded the Redemption Note’s stated rate of 2% approximated a market rate. For more information on the redemption and ongoing litigation, please see Note 15 – “Commitments and Contingencies.”</w:t>
      </w:r>
    </w:p>
    <w:p>
      <w:pPr>
        <w:spacing w:after="0" w:line="139" w:lineRule="exact"/>
        <w:rPr>
          <w:sz w:val="20"/>
          <w:szCs w:val="20"/>
          <w:color w:val="auto"/>
        </w:rPr>
      </w:pPr>
    </w:p>
    <w:p>
      <w:pPr>
        <w:ind w:left="220"/>
        <w:spacing w:after="0"/>
        <w:rPr>
          <w:sz w:val="20"/>
          <w:szCs w:val="20"/>
          <w:color w:val="auto"/>
        </w:rPr>
      </w:pPr>
      <w:r>
        <w:rPr>
          <w:rFonts w:ascii="Arial" w:cs="Arial" w:eastAsia="Arial" w:hAnsi="Arial"/>
          <w:sz w:val="12"/>
          <w:szCs w:val="12"/>
          <w:i w:val="1"/>
          <w:iCs w:val="1"/>
          <w:color w:val="auto"/>
        </w:rPr>
        <w:t>Revenue Recognition and Promotional Allowances</w:t>
      </w:r>
    </w:p>
    <w:p>
      <w:pPr>
        <w:spacing w:after="0" w:line="60" w:lineRule="exact"/>
        <w:rPr>
          <w:sz w:val="20"/>
          <w:szCs w:val="20"/>
          <w:color w:val="auto"/>
        </w:rPr>
      </w:pPr>
    </w:p>
    <w:p>
      <w:pPr>
        <w:ind w:firstLine="459"/>
        <w:spacing w:after="0" w:line="368" w:lineRule="auto"/>
        <w:rPr>
          <w:sz w:val="20"/>
          <w:szCs w:val="20"/>
          <w:color w:val="auto"/>
        </w:rPr>
      </w:pPr>
      <w:r>
        <w:rPr>
          <w:rFonts w:ascii="Arial" w:cs="Arial" w:eastAsia="Arial" w:hAnsi="Arial"/>
          <w:sz w:val="9"/>
          <w:szCs w:val="9"/>
          <w:color w:val="auto"/>
        </w:rPr>
        <w:t>Casino revenues are measured by the aggregate net difference between gaming wins and losses, with liabilities recognized for funds deposited by customers before gaming play occurs and for chips in the customers’ possession. Cash discounts, other cash incentives related to casino play and commissions rebated through junkets to customers are recorded as a reduction to casino revenue. Hotel, food and beverage, entertainment and other operating revenues are recognized when services are performed. Entertainment, retail and other revenue includes rental income which is recognized on a time proportion basis over the lease term. Contingent rental income is recognized when the right to receive such rental income is established according to the lease agreements. Advance deposits on rooms and advance ticket sales are recorded as customer deposits until services are provided to the customer.</w:t>
      </w:r>
    </w:p>
    <w:p>
      <w:pPr>
        <w:spacing w:after="0" w:line="50" w:lineRule="exact"/>
        <w:rPr>
          <w:sz w:val="20"/>
          <w:szCs w:val="20"/>
          <w:color w:val="auto"/>
        </w:rPr>
      </w:pPr>
    </w:p>
    <w:p>
      <w:pPr>
        <w:ind w:right="200" w:firstLine="459"/>
        <w:spacing w:after="0" w:line="268" w:lineRule="auto"/>
        <w:rPr>
          <w:sz w:val="20"/>
          <w:szCs w:val="20"/>
          <w:color w:val="auto"/>
        </w:rPr>
      </w:pPr>
      <w:r>
        <w:rPr>
          <w:rFonts w:ascii="Arial" w:cs="Arial" w:eastAsia="Arial" w:hAnsi="Arial"/>
          <w:sz w:val="12"/>
          <w:szCs w:val="12"/>
          <w:color w:val="auto"/>
        </w:rPr>
        <w:t>Revenues are recognized net of certain sales incentives which are required to be recorded as a reduction of revenue; consequently, the Company’s casino revenues are reduced by discounts and commissions, and points earned in the player’s club loyalty program.</w:t>
      </w:r>
    </w:p>
    <w:p>
      <w:pPr>
        <w:spacing w:after="0" w:line="88" w:lineRule="exact"/>
        <w:rPr>
          <w:sz w:val="20"/>
          <w:szCs w:val="20"/>
          <w:color w:val="auto"/>
        </w:rPr>
      </w:pPr>
    </w:p>
    <w:p>
      <w:pPr>
        <w:ind w:right="520" w:firstLine="459"/>
        <w:spacing w:after="0" w:line="268" w:lineRule="auto"/>
        <w:rPr>
          <w:sz w:val="20"/>
          <w:szCs w:val="20"/>
          <w:color w:val="auto"/>
        </w:rPr>
      </w:pPr>
      <w:r>
        <w:rPr>
          <w:rFonts w:ascii="Arial" w:cs="Arial" w:eastAsia="Arial" w:hAnsi="Arial"/>
          <w:sz w:val="12"/>
          <w:szCs w:val="12"/>
          <w:color w:val="auto"/>
        </w:rPr>
        <w:t>The retail value of accommodations, food and beverage, and other services furnished to guests without charge is included in gross revenues and then deducted as promotional allowances. The estimated cost of providing such promotional allowances is primarily included in casino expenses as follows (amounts in thousands):</w:t>
      </w:r>
    </w:p>
    <w:p>
      <w:pPr>
        <w:spacing w:after="0" w:line="108" w:lineRule="exact"/>
        <w:rPr>
          <w:sz w:val="20"/>
          <w:szCs w:val="20"/>
          <w:color w:val="auto"/>
        </w:rPr>
      </w:pPr>
    </w:p>
    <w:tbl>
      <w:tblPr>
        <w:tblLayout w:type="fixed"/>
        <w:tblInd w:w="460" w:type="dxa"/>
        <w:tblCellMar>
          <w:top w:w="0" w:type="dxa"/>
          <w:left w:w="0" w:type="dxa"/>
          <w:bottom w:w="0" w:type="dxa"/>
          <w:right w:w="0" w:type="dxa"/>
        </w:tblCellMar>
      </w:tblPr>
      <w:tr>
        <w:trPr>
          <w:trHeight w:val="103"/>
        </w:trPr>
        <w:tc>
          <w:tcPr>
            <w:tcW w:w="3320" w:type="dxa"/>
            <w:vAlign w:val="bottom"/>
          </w:tcPr>
          <w:p>
            <w:pPr>
              <w:spacing w:after="0"/>
              <w:rPr>
                <w:sz w:val="8"/>
                <w:szCs w:val="8"/>
                <w:color w:val="auto"/>
              </w:rPr>
            </w:pPr>
          </w:p>
        </w:tc>
        <w:tc>
          <w:tcPr>
            <w:tcW w:w="32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100" w:type="dxa"/>
            <w:vAlign w:val="bottom"/>
            <w:gridSpan w:val="4"/>
          </w:tcPr>
          <w:p>
            <w:pPr>
              <w:jc w:val="right"/>
              <w:spacing w:after="0"/>
              <w:rPr>
                <w:sz w:val="20"/>
                <w:szCs w:val="20"/>
                <w:color w:val="auto"/>
              </w:rPr>
            </w:pPr>
            <w:r>
              <w:rPr>
                <w:rFonts w:ascii="Arial" w:cs="Arial" w:eastAsia="Arial" w:hAnsi="Arial"/>
                <w:sz w:val="9"/>
                <w:szCs w:val="9"/>
                <w:b w:val="1"/>
                <w:bCs w:val="1"/>
                <w:color w:val="auto"/>
              </w:rPr>
              <w:t>Three Months Ended</w:t>
            </w:r>
          </w:p>
        </w:tc>
        <w:tc>
          <w:tcPr>
            <w:tcW w:w="400" w:type="dxa"/>
            <w:vAlign w:val="bottom"/>
          </w:tcPr>
          <w:p>
            <w:pPr>
              <w:spacing w:after="0"/>
              <w:rPr>
                <w:sz w:val="8"/>
                <w:szCs w:val="8"/>
                <w:color w:val="auto"/>
              </w:rPr>
            </w:pPr>
          </w:p>
        </w:tc>
        <w:tc>
          <w:tcPr>
            <w:tcW w:w="500" w:type="dxa"/>
            <w:vAlign w:val="bottom"/>
          </w:tcPr>
          <w:p>
            <w:pPr>
              <w:spacing w:after="0"/>
              <w:rPr>
                <w:sz w:val="8"/>
                <w:szCs w:val="8"/>
                <w:color w:val="auto"/>
              </w:rPr>
            </w:pPr>
          </w:p>
        </w:tc>
        <w:tc>
          <w:tcPr>
            <w:tcW w:w="140" w:type="dxa"/>
            <w:vAlign w:val="bottom"/>
          </w:tcPr>
          <w:p>
            <w:pPr>
              <w:spacing w:after="0"/>
              <w:rPr>
                <w:sz w:val="8"/>
                <w:szCs w:val="8"/>
                <w:color w:val="auto"/>
              </w:rPr>
            </w:pPr>
          </w:p>
        </w:tc>
        <w:tc>
          <w:tcPr>
            <w:tcW w:w="1200" w:type="dxa"/>
            <w:vAlign w:val="bottom"/>
            <w:gridSpan w:val="3"/>
          </w:tcPr>
          <w:p>
            <w:pPr>
              <w:jc w:val="right"/>
              <w:ind w:right="13"/>
              <w:spacing w:after="0"/>
              <w:rPr>
                <w:sz w:val="20"/>
                <w:szCs w:val="20"/>
                <w:color w:val="auto"/>
              </w:rPr>
            </w:pPr>
            <w:r>
              <w:rPr>
                <w:rFonts w:ascii="Arial" w:cs="Arial" w:eastAsia="Arial" w:hAnsi="Arial"/>
                <w:sz w:val="9"/>
                <w:szCs w:val="9"/>
                <w:b w:val="1"/>
                <w:bCs w:val="1"/>
                <w:color w:val="auto"/>
              </w:rPr>
              <w:t>Nine Months Ended</w:t>
            </w:r>
          </w:p>
        </w:tc>
        <w:tc>
          <w:tcPr>
            <w:tcW w:w="460" w:type="dxa"/>
            <w:vAlign w:val="bottom"/>
          </w:tcPr>
          <w:p>
            <w:pPr>
              <w:spacing w:after="0"/>
              <w:rPr>
                <w:sz w:val="8"/>
                <w:szCs w:val="8"/>
                <w:color w:val="auto"/>
              </w:rPr>
            </w:pPr>
          </w:p>
        </w:tc>
        <w:tc>
          <w:tcPr>
            <w:tcW w:w="100" w:type="dxa"/>
            <w:vAlign w:val="bottom"/>
          </w:tcPr>
          <w:p>
            <w:pPr>
              <w:spacing w:after="0"/>
              <w:rPr>
                <w:sz w:val="8"/>
                <w:szCs w:val="8"/>
                <w:color w:val="auto"/>
              </w:rPr>
            </w:pPr>
          </w:p>
        </w:tc>
      </w:tr>
      <w:tr>
        <w:trPr>
          <w:trHeight w:val="108"/>
        </w:trPr>
        <w:tc>
          <w:tcPr>
            <w:tcW w:w="3320" w:type="dxa"/>
            <w:vAlign w:val="bottom"/>
          </w:tcPr>
          <w:p>
            <w:pPr>
              <w:spacing w:after="0"/>
              <w:rPr>
                <w:sz w:val="9"/>
                <w:szCs w:val="9"/>
                <w:color w:val="auto"/>
              </w:rPr>
            </w:pPr>
          </w:p>
        </w:tc>
        <w:tc>
          <w:tcPr>
            <w:tcW w:w="322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1100" w:type="dxa"/>
            <w:vAlign w:val="bottom"/>
            <w:tcBorders>
              <w:bottom w:val="single" w:sz="8" w:color="auto"/>
            </w:tcBorders>
            <w:gridSpan w:val="4"/>
          </w:tcPr>
          <w:p>
            <w:pPr>
              <w:jc w:val="right"/>
              <w:ind w:right="93"/>
              <w:spacing w:after="0"/>
              <w:rPr>
                <w:sz w:val="20"/>
                <w:szCs w:val="20"/>
                <w:color w:val="auto"/>
              </w:rPr>
            </w:pPr>
            <w:r>
              <w:rPr>
                <w:rFonts w:ascii="Arial" w:cs="Arial" w:eastAsia="Arial" w:hAnsi="Arial"/>
                <w:sz w:val="9"/>
                <w:szCs w:val="9"/>
                <w:b w:val="1"/>
                <w:bCs w:val="1"/>
                <w:color w:val="auto"/>
              </w:rPr>
              <w:t>September 30,</w:t>
            </w:r>
          </w:p>
        </w:tc>
        <w:tc>
          <w:tcPr>
            <w:tcW w:w="400" w:type="dxa"/>
            <w:vAlign w:val="bottom"/>
            <w:tcBorders>
              <w:bottom w:val="single" w:sz="8" w:color="auto"/>
            </w:tcBorders>
          </w:tcPr>
          <w:p>
            <w:pPr>
              <w:spacing w:after="0"/>
              <w:rPr>
                <w:sz w:val="9"/>
                <w:szCs w:val="9"/>
                <w:color w:val="auto"/>
              </w:rPr>
            </w:pPr>
          </w:p>
        </w:tc>
        <w:tc>
          <w:tcPr>
            <w:tcW w:w="50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1200" w:type="dxa"/>
            <w:vAlign w:val="bottom"/>
            <w:tcBorders>
              <w:bottom w:val="single" w:sz="8" w:color="auto"/>
            </w:tcBorders>
            <w:gridSpan w:val="3"/>
          </w:tcPr>
          <w:p>
            <w:pPr>
              <w:jc w:val="right"/>
              <w:ind w:right="113"/>
              <w:spacing w:after="0"/>
              <w:rPr>
                <w:sz w:val="20"/>
                <w:szCs w:val="20"/>
                <w:color w:val="auto"/>
              </w:rPr>
            </w:pPr>
            <w:r>
              <w:rPr>
                <w:rFonts w:ascii="Arial" w:cs="Arial" w:eastAsia="Arial" w:hAnsi="Arial"/>
                <w:sz w:val="9"/>
                <w:szCs w:val="9"/>
                <w:b w:val="1"/>
                <w:bCs w:val="1"/>
                <w:color w:val="auto"/>
              </w:rPr>
              <w:t>September 30,</w:t>
            </w:r>
          </w:p>
        </w:tc>
        <w:tc>
          <w:tcPr>
            <w:tcW w:w="46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r>
      <w:tr>
        <w:trPr>
          <w:trHeight w:val="88"/>
        </w:trPr>
        <w:tc>
          <w:tcPr>
            <w:tcW w:w="3320" w:type="dxa"/>
            <w:vAlign w:val="bottom"/>
            <w:tcBorders>
              <w:bottom w:val="single" w:sz="8" w:color="CCEEFF"/>
            </w:tcBorders>
          </w:tcPr>
          <w:p>
            <w:pPr>
              <w:spacing w:after="0"/>
              <w:rPr>
                <w:sz w:val="7"/>
                <w:szCs w:val="7"/>
                <w:color w:val="auto"/>
              </w:rPr>
            </w:pPr>
          </w:p>
        </w:tc>
        <w:tc>
          <w:tcPr>
            <w:tcW w:w="3220" w:type="dxa"/>
            <w:vAlign w:val="bottom"/>
            <w:tcBorders>
              <w:bottom w:val="single" w:sz="8" w:color="CCEEFF"/>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420" w:type="dxa"/>
            <w:vAlign w:val="bottom"/>
            <w:tcBorders>
              <w:bottom w:val="single" w:sz="8" w:color="auto"/>
            </w:tcBorders>
          </w:tcPr>
          <w:p>
            <w:pPr>
              <w:jc w:val="right"/>
              <w:ind w:right="127"/>
              <w:spacing w:after="0" w:line="88" w:lineRule="exact"/>
              <w:rPr>
                <w:sz w:val="20"/>
                <w:szCs w:val="20"/>
                <w:color w:val="auto"/>
              </w:rPr>
            </w:pPr>
            <w:r>
              <w:rPr>
                <w:rFonts w:ascii="Arial" w:cs="Arial" w:eastAsia="Arial" w:hAnsi="Arial"/>
                <w:sz w:val="9"/>
                <w:szCs w:val="9"/>
                <w:b w:val="1"/>
                <w:bCs w:val="1"/>
                <w:color w:val="auto"/>
              </w:rPr>
              <w:t>2013</w:t>
            </w:r>
          </w:p>
        </w:tc>
        <w:tc>
          <w:tcPr>
            <w:tcW w:w="260" w:type="dxa"/>
            <w:vAlign w:val="bottom"/>
            <w:tcBorders>
              <w:bottom w:val="single" w:sz="8" w:color="CCEEFF"/>
            </w:tcBorders>
          </w:tcPr>
          <w:p>
            <w:pPr>
              <w:spacing w:after="0"/>
              <w:rPr>
                <w:sz w:val="7"/>
                <w:szCs w:val="7"/>
                <w:color w:val="auto"/>
              </w:rPr>
            </w:pPr>
          </w:p>
        </w:tc>
        <w:tc>
          <w:tcPr>
            <w:tcW w:w="260" w:type="dxa"/>
            <w:vAlign w:val="bottom"/>
            <w:tcBorders>
              <w:bottom w:val="single" w:sz="8" w:color="CCEEFF"/>
            </w:tcBorders>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400" w:type="dxa"/>
            <w:vAlign w:val="bottom"/>
            <w:tcBorders>
              <w:bottom w:val="single" w:sz="8" w:color="auto"/>
            </w:tcBorders>
          </w:tcPr>
          <w:p>
            <w:pPr>
              <w:jc w:val="right"/>
              <w:ind w:right="144"/>
              <w:spacing w:after="0" w:line="88" w:lineRule="exact"/>
              <w:rPr>
                <w:sz w:val="20"/>
                <w:szCs w:val="20"/>
                <w:color w:val="auto"/>
              </w:rPr>
            </w:pPr>
            <w:r>
              <w:rPr>
                <w:rFonts w:ascii="Arial" w:cs="Arial" w:eastAsia="Arial" w:hAnsi="Arial"/>
                <w:sz w:val="9"/>
                <w:szCs w:val="9"/>
                <w:b w:val="1"/>
                <w:bCs w:val="1"/>
                <w:color w:val="auto"/>
                <w:w w:val="89"/>
              </w:rPr>
              <w:t>2012</w:t>
            </w:r>
          </w:p>
        </w:tc>
        <w:tc>
          <w:tcPr>
            <w:tcW w:w="500" w:type="dxa"/>
            <w:vAlign w:val="bottom"/>
            <w:tcBorders>
              <w:bottom w:val="single" w:sz="8" w:color="CCEEFF"/>
            </w:tcBorders>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500" w:type="dxa"/>
            <w:vAlign w:val="bottom"/>
            <w:tcBorders>
              <w:bottom w:val="single" w:sz="8" w:color="auto"/>
            </w:tcBorders>
          </w:tcPr>
          <w:p>
            <w:pPr>
              <w:jc w:val="right"/>
              <w:ind w:right="167"/>
              <w:spacing w:after="0" w:line="88" w:lineRule="exact"/>
              <w:rPr>
                <w:sz w:val="20"/>
                <w:szCs w:val="20"/>
                <w:color w:val="auto"/>
              </w:rPr>
            </w:pPr>
            <w:r>
              <w:rPr>
                <w:rFonts w:ascii="Arial" w:cs="Arial" w:eastAsia="Arial" w:hAnsi="Arial"/>
                <w:sz w:val="9"/>
                <w:szCs w:val="9"/>
                <w:b w:val="1"/>
                <w:bCs w:val="1"/>
                <w:color w:val="auto"/>
              </w:rPr>
              <w:t>2013</w:t>
            </w:r>
          </w:p>
        </w:tc>
        <w:tc>
          <w:tcPr>
            <w:tcW w:w="500" w:type="dxa"/>
            <w:vAlign w:val="bottom"/>
            <w:tcBorders>
              <w:bottom w:val="single" w:sz="8" w:color="CCEEFF"/>
            </w:tcBorders>
          </w:tcPr>
          <w:p>
            <w:pPr>
              <w:spacing w:after="0"/>
              <w:rPr>
                <w:sz w:val="7"/>
                <w:szCs w:val="7"/>
                <w:color w:val="auto"/>
              </w:rPr>
            </w:pPr>
          </w:p>
        </w:tc>
        <w:tc>
          <w:tcPr>
            <w:tcW w:w="200" w:type="dxa"/>
            <w:vAlign w:val="bottom"/>
            <w:tcBorders>
              <w:bottom w:val="single" w:sz="8" w:color="auto"/>
            </w:tcBorders>
          </w:tcPr>
          <w:p>
            <w:pPr>
              <w:spacing w:after="0"/>
              <w:rPr>
                <w:sz w:val="7"/>
                <w:szCs w:val="7"/>
                <w:color w:val="auto"/>
              </w:rPr>
            </w:pPr>
          </w:p>
        </w:tc>
        <w:tc>
          <w:tcPr>
            <w:tcW w:w="460" w:type="dxa"/>
            <w:vAlign w:val="bottom"/>
            <w:tcBorders>
              <w:bottom w:val="single" w:sz="8" w:color="auto"/>
            </w:tcBorders>
          </w:tcPr>
          <w:p>
            <w:pPr>
              <w:jc w:val="right"/>
              <w:ind w:right="184"/>
              <w:spacing w:after="0" w:line="88" w:lineRule="exact"/>
              <w:rPr>
                <w:sz w:val="20"/>
                <w:szCs w:val="20"/>
                <w:color w:val="auto"/>
              </w:rPr>
            </w:pPr>
            <w:r>
              <w:rPr>
                <w:rFonts w:ascii="Arial" w:cs="Arial" w:eastAsia="Arial" w:hAnsi="Arial"/>
                <w:sz w:val="9"/>
                <w:szCs w:val="9"/>
                <w:b w:val="1"/>
                <w:bCs w:val="1"/>
                <w:color w:val="auto"/>
                <w:w w:val="99"/>
              </w:rPr>
              <w:t>2012</w:t>
            </w:r>
          </w:p>
        </w:tc>
        <w:tc>
          <w:tcPr>
            <w:tcW w:w="100" w:type="dxa"/>
            <w:vAlign w:val="bottom"/>
            <w:tcBorders>
              <w:bottom w:val="single" w:sz="8" w:color="CCEEFF"/>
            </w:tcBorders>
          </w:tcPr>
          <w:p>
            <w:pPr>
              <w:spacing w:after="0"/>
              <w:rPr>
                <w:sz w:val="7"/>
                <w:szCs w:val="7"/>
                <w:color w:val="auto"/>
              </w:rPr>
            </w:pPr>
          </w:p>
        </w:tc>
      </w:tr>
      <w:tr>
        <w:trPr>
          <w:trHeight w:val="133"/>
        </w:trPr>
        <w:tc>
          <w:tcPr>
            <w:tcW w:w="3320" w:type="dxa"/>
            <w:vAlign w:val="bottom"/>
            <w:shd w:val="clear" w:color="auto" w:fill="CCEEFF"/>
          </w:tcPr>
          <w:p>
            <w:pPr>
              <w:spacing w:after="0" w:line="129" w:lineRule="exact"/>
              <w:rPr>
                <w:sz w:val="20"/>
                <w:szCs w:val="20"/>
                <w:color w:val="auto"/>
              </w:rPr>
            </w:pPr>
            <w:r>
              <w:rPr>
                <w:rFonts w:ascii="Arial" w:cs="Arial" w:eastAsia="Arial" w:hAnsi="Arial"/>
                <w:sz w:val="12"/>
                <w:szCs w:val="12"/>
                <w:color w:val="auto"/>
              </w:rPr>
              <w:t>Rooms</w:t>
            </w:r>
          </w:p>
        </w:tc>
        <w:tc>
          <w:tcPr>
            <w:tcW w:w="3220" w:type="dxa"/>
            <w:vAlign w:val="bottom"/>
            <w:shd w:val="clear" w:color="auto" w:fill="CCEEFF"/>
          </w:tcPr>
          <w:p>
            <w:pPr>
              <w:spacing w:after="0"/>
              <w:rPr>
                <w:sz w:val="11"/>
                <w:szCs w:val="11"/>
                <w:color w:val="auto"/>
              </w:rPr>
            </w:pPr>
          </w:p>
        </w:tc>
        <w:tc>
          <w:tcPr>
            <w:tcW w:w="120" w:type="dxa"/>
            <w:vAlign w:val="bottom"/>
            <w:shd w:val="clear" w:color="auto" w:fill="CCEEFF"/>
          </w:tcPr>
          <w:p>
            <w:pPr>
              <w:jc w:val="right"/>
              <w:ind w:right="57"/>
              <w:spacing w:after="0"/>
              <w:rPr>
                <w:sz w:val="20"/>
                <w:szCs w:val="20"/>
                <w:color w:val="auto"/>
              </w:rPr>
            </w:pPr>
            <w:r>
              <w:rPr>
                <w:rFonts w:ascii="Arial" w:cs="Arial" w:eastAsia="Arial" w:hAnsi="Arial"/>
                <w:sz w:val="5"/>
                <w:szCs w:val="5"/>
                <w:color w:val="auto"/>
                <w:w w:val="70"/>
              </w:rPr>
              <w:t>$</w:t>
            </w:r>
          </w:p>
        </w:tc>
        <w:tc>
          <w:tcPr>
            <w:tcW w:w="420" w:type="dxa"/>
            <w:vAlign w:val="bottom"/>
            <w:shd w:val="clear" w:color="auto" w:fill="CCEEFF"/>
          </w:tcPr>
          <w:p>
            <w:pPr>
              <w:jc w:val="right"/>
              <w:spacing w:after="0" w:line="133" w:lineRule="exact"/>
              <w:rPr>
                <w:sz w:val="20"/>
                <w:szCs w:val="20"/>
                <w:color w:val="auto"/>
              </w:rPr>
            </w:pPr>
            <w:r>
              <w:rPr>
                <w:rFonts w:ascii="Arial" w:cs="Arial" w:eastAsia="Arial" w:hAnsi="Arial"/>
                <w:sz w:val="12"/>
                <w:szCs w:val="12"/>
                <w:color w:val="auto"/>
              </w:rPr>
              <w:t>13,865</w:t>
            </w:r>
          </w:p>
        </w:tc>
        <w:tc>
          <w:tcPr>
            <w:tcW w:w="26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60" w:type="dxa"/>
            <w:vAlign w:val="bottom"/>
            <w:shd w:val="clear" w:color="auto" w:fill="CCEEFF"/>
          </w:tcPr>
          <w:p>
            <w:pPr>
              <w:jc w:val="right"/>
              <w:ind w:right="53"/>
              <w:spacing w:after="0"/>
              <w:rPr>
                <w:sz w:val="20"/>
                <w:szCs w:val="20"/>
                <w:color w:val="auto"/>
              </w:rPr>
            </w:pPr>
            <w:r>
              <w:rPr>
                <w:rFonts w:ascii="Arial" w:cs="Arial" w:eastAsia="Arial" w:hAnsi="Arial"/>
                <w:sz w:val="9"/>
                <w:szCs w:val="9"/>
                <w:color w:val="auto"/>
                <w:w w:val="78"/>
              </w:rPr>
              <w:t>$</w:t>
            </w:r>
          </w:p>
        </w:tc>
        <w:tc>
          <w:tcPr>
            <w:tcW w:w="400" w:type="dxa"/>
            <w:vAlign w:val="bottom"/>
            <w:shd w:val="clear" w:color="auto" w:fill="CCEEFF"/>
          </w:tcPr>
          <w:p>
            <w:pPr>
              <w:jc w:val="right"/>
              <w:spacing w:after="0" w:line="133" w:lineRule="exact"/>
              <w:rPr>
                <w:sz w:val="20"/>
                <w:szCs w:val="20"/>
                <w:color w:val="auto"/>
              </w:rPr>
            </w:pPr>
            <w:r>
              <w:rPr>
                <w:rFonts w:ascii="Arial" w:cs="Arial" w:eastAsia="Arial" w:hAnsi="Arial"/>
                <w:sz w:val="12"/>
                <w:szCs w:val="12"/>
                <w:color w:val="auto"/>
              </w:rPr>
              <w:t>13,647</w:t>
            </w:r>
          </w:p>
        </w:tc>
        <w:tc>
          <w:tcPr>
            <w:tcW w:w="500" w:type="dxa"/>
            <w:vAlign w:val="bottom"/>
            <w:shd w:val="clear" w:color="auto" w:fill="CCEEFF"/>
          </w:tcPr>
          <w:p>
            <w:pPr>
              <w:spacing w:after="0"/>
              <w:rPr>
                <w:sz w:val="11"/>
                <w:szCs w:val="11"/>
                <w:color w:val="auto"/>
              </w:rPr>
            </w:pPr>
          </w:p>
        </w:tc>
        <w:tc>
          <w:tcPr>
            <w:tcW w:w="140" w:type="dxa"/>
            <w:vAlign w:val="bottom"/>
            <w:shd w:val="clear" w:color="auto" w:fill="CCEEFF"/>
          </w:tcPr>
          <w:p>
            <w:pPr>
              <w:jc w:val="right"/>
              <w:ind w:right="33"/>
              <w:spacing w:after="0"/>
              <w:rPr>
                <w:sz w:val="20"/>
                <w:szCs w:val="20"/>
                <w:color w:val="auto"/>
              </w:rPr>
            </w:pPr>
            <w:r>
              <w:rPr>
                <w:rFonts w:ascii="Arial" w:cs="Arial" w:eastAsia="Arial" w:hAnsi="Arial"/>
                <w:sz w:val="9"/>
                <w:szCs w:val="9"/>
                <w:color w:val="auto"/>
                <w:w w:val="78"/>
              </w:rPr>
              <w:t>$</w:t>
            </w:r>
          </w:p>
        </w:tc>
        <w:tc>
          <w:tcPr>
            <w:tcW w:w="500" w:type="dxa"/>
            <w:vAlign w:val="bottom"/>
            <w:shd w:val="clear" w:color="auto" w:fill="CCEEFF"/>
          </w:tcPr>
          <w:p>
            <w:pPr>
              <w:jc w:val="right"/>
              <w:spacing w:after="0" w:line="133" w:lineRule="exact"/>
              <w:rPr>
                <w:sz w:val="20"/>
                <w:szCs w:val="20"/>
                <w:color w:val="auto"/>
              </w:rPr>
            </w:pPr>
            <w:r>
              <w:rPr>
                <w:rFonts w:ascii="Arial" w:cs="Arial" w:eastAsia="Arial" w:hAnsi="Arial"/>
                <w:sz w:val="12"/>
                <w:szCs w:val="12"/>
                <w:color w:val="auto"/>
              </w:rPr>
              <w:t>39,094</w:t>
            </w:r>
          </w:p>
        </w:tc>
        <w:tc>
          <w:tcPr>
            <w:tcW w:w="500" w:type="dxa"/>
            <w:vAlign w:val="bottom"/>
            <w:shd w:val="clear" w:color="auto" w:fill="CCEEFF"/>
          </w:tcPr>
          <w:p>
            <w:pPr>
              <w:spacing w:after="0"/>
              <w:rPr>
                <w:sz w:val="11"/>
                <w:szCs w:val="11"/>
                <w:color w:val="auto"/>
              </w:rPr>
            </w:pPr>
          </w:p>
        </w:tc>
        <w:tc>
          <w:tcPr>
            <w:tcW w:w="200" w:type="dxa"/>
            <w:vAlign w:val="bottom"/>
            <w:shd w:val="clear" w:color="auto" w:fill="CCEEFF"/>
          </w:tcPr>
          <w:p>
            <w:pPr>
              <w:jc w:val="right"/>
              <w:ind w:right="93"/>
              <w:spacing w:after="0"/>
              <w:rPr>
                <w:sz w:val="20"/>
                <w:szCs w:val="20"/>
                <w:color w:val="auto"/>
              </w:rPr>
            </w:pPr>
            <w:r>
              <w:rPr>
                <w:rFonts w:ascii="Arial" w:cs="Arial" w:eastAsia="Arial" w:hAnsi="Arial"/>
                <w:sz w:val="9"/>
                <w:szCs w:val="9"/>
                <w:color w:val="auto"/>
                <w:w w:val="78"/>
              </w:rPr>
              <w:t>$</w:t>
            </w:r>
          </w:p>
        </w:tc>
        <w:tc>
          <w:tcPr>
            <w:tcW w:w="460" w:type="dxa"/>
            <w:vAlign w:val="bottom"/>
            <w:shd w:val="clear" w:color="auto" w:fill="CCEEFF"/>
          </w:tcPr>
          <w:p>
            <w:pPr>
              <w:jc w:val="right"/>
              <w:spacing w:after="0" w:line="133" w:lineRule="exact"/>
              <w:rPr>
                <w:sz w:val="20"/>
                <w:szCs w:val="20"/>
                <w:color w:val="auto"/>
              </w:rPr>
            </w:pPr>
            <w:r>
              <w:rPr>
                <w:rFonts w:ascii="Arial" w:cs="Arial" w:eastAsia="Arial" w:hAnsi="Arial"/>
                <w:sz w:val="12"/>
                <w:szCs w:val="12"/>
                <w:color w:val="auto"/>
              </w:rPr>
              <w:t>39,845</w:t>
            </w:r>
          </w:p>
        </w:tc>
        <w:tc>
          <w:tcPr>
            <w:tcW w:w="100" w:type="dxa"/>
            <w:vAlign w:val="bottom"/>
            <w:shd w:val="clear" w:color="auto" w:fill="CCEEFF"/>
          </w:tcPr>
          <w:p>
            <w:pPr>
              <w:spacing w:after="0"/>
              <w:rPr>
                <w:sz w:val="11"/>
                <w:szCs w:val="11"/>
                <w:color w:val="auto"/>
              </w:rPr>
            </w:pPr>
          </w:p>
        </w:tc>
      </w:tr>
      <w:tr>
        <w:trPr>
          <w:trHeight w:val="144"/>
        </w:trPr>
        <w:tc>
          <w:tcPr>
            <w:tcW w:w="3320" w:type="dxa"/>
            <w:vAlign w:val="bottom"/>
          </w:tcPr>
          <w:p>
            <w:pPr>
              <w:spacing w:after="0"/>
              <w:rPr>
                <w:sz w:val="20"/>
                <w:szCs w:val="20"/>
                <w:color w:val="auto"/>
              </w:rPr>
            </w:pPr>
            <w:r>
              <w:rPr>
                <w:rFonts w:ascii="Arial" w:cs="Arial" w:eastAsia="Arial" w:hAnsi="Arial"/>
                <w:sz w:val="12"/>
                <w:szCs w:val="12"/>
                <w:color w:val="auto"/>
              </w:rPr>
              <w:t>Food and beverage</w:t>
            </w:r>
          </w:p>
        </w:tc>
        <w:tc>
          <w:tcPr>
            <w:tcW w:w="3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gridSpan w:val="2"/>
          </w:tcPr>
          <w:p>
            <w:pPr>
              <w:jc w:val="right"/>
              <w:ind w:right="260"/>
              <w:spacing w:after="0"/>
              <w:rPr>
                <w:sz w:val="20"/>
                <w:szCs w:val="20"/>
                <w:color w:val="auto"/>
              </w:rPr>
            </w:pPr>
            <w:r>
              <w:rPr>
                <w:rFonts w:ascii="Arial" w:cs="Arial" w:eastAsia="Arial" w:hAnsi="Arial"/>
                <w:sz w:val="12"/>
                <w:szCs w:val="12"/>
                <w:color w:val="auto"/>
              </w:rPr>
              <w:t>29,539</w:t>
            </w:r>
          </w:p>
        </w:tc>
        <w:tc>
          <w:tcPr>
            <w:tcW w:w="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00" w:type="dxa"/>
            <w:vAlign w:val="bottom"/>
            <w:gridSpan w:val="2"/>
          </w:tcPr>
          <w:p>
            <w:pPr>
              <w:jc w:val="right"/>
              <w:ind w:right="500"/>
              <w:spacing w:after="0"/>
              <w:rPr>
                <w:sz w:val="20"/>
                <w:szCs w:val="20"/>
                <w:color w:val="auto"/>
              </w:rPr>
            </w:pPr>
            <w:r>
              <w:rPr>
                <w:rFonts w:ascii="Arial" w:cs="Arial" w:eastAsia="Arial" w:hAnsi="Arial"/>
                <w:sz w:val="12"/>
                <w:szCs w:val="12"/>
                <w:color w:val="auto"/>
              </w:rPr>
              <w:t>26,188</w:t>
            </w:r>
          </w:p>
        </w:tc>
        <w:tc>
          <w:tcPr>
            <w:tcW w:w="140" w:type="dxa"/>
            <w:vAlign w:val="bottom"/>
          </w:tcPr>
          <w:p>
            <w:pPr>
              <w:spacing w:after="0"/>
              <w:rPr>
                <w:sz w:val="12"/>
                <w:szCs w:val="12"/>
                <w:color w:val="auto"/>
              </w:rPr>
            </w:pPr>
          </w:p>
        </w:tc>
        <w:tc>
          <w:tcPr>
            <w:tcW w:w="500" w:type="dxa"/>
            <w:vAlign w:val="bottom"/>
          </w:tcPr>
          <w:p>
            <w:pPr>
              <w:jc w:val="right"/>
              <w:spacing w:after="0"/>
              <w:rPr>
                <w:sz w:val="20"/>
                <w:szCs w:val="20"/>
                <w:color w:val="auto"/>
              </w:rPr>
            </w:pPr>
            <w:r>
              <w:rPr>
                <w:rFonts w:ascii="Arial" w:cs="Arial" w:eastAsia="Arial" w:hAnsi="Arial"/>
                <w:sz w:val="12"/>
                <w:szCs w:val="12"/>
                <w:color w:val="auto"/>
              </w:rPr>
              <w:t>83,132</w:t>
            </w:r>
          </w:p>
        </w:tc>
        <w:tc>
          <w:tcPr>
            <w:tcW w:w="5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2"/>
                <w:szCs w:val="12"/>
                <w:color w:val="auto"/>
              </w:rPr>
              <w:t>80,271</w:t>
            </w:r>
          </w:p>
        </w:tc>
      </w:tr>
      <w:tr>
        <w:trPr>
          <w:trHeight w:val="144"/>
        </w:trPr>
        <w:tc>
          <w:tcPr>
            <w:tcW w:w="3320" w:type="dxa"/>
            <w:vAlign w:val="bottom"/>
            <w:shd w:val="clear" w:color="auto" w:fill="CCEEFF"/>
          </w:tcPr>
          <w:p>
            <w:pPr>
              <w:spacing w:after="0"/>
              <w:rPr>
                <w:sz w:val="20"/>
                <w:szCs w:val="20"/>
                <w:color w:val="auto"/>
              </w:rPr>
            </w:pPr>
            <w:r>
              <w:rPr>
                <w:rFonts w:ascii="Arial" w:cs="Arial" w:eastAsia="Arial" w:hAnsi="Arial"/>
                <w:sz w:val="12"/>
                <w:szCs w:val="12"/>
                <w:color w:val="auto"/>
              </w:rPr>
              <w:t>Entertainment, retail and other</w:t>
            </w:r>
          </w:p>
        </w:tc>
        <w:tc>
          <w:tcPr>
            <w:tcW w:w="3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260"/>
              <w:spacing w:after="0"/>
              <w:rPr>
                <w:sz w:val="20"/>
                <w:szCs w:val="20"/>
                <w:color w:val="auto"/>
              </w:rPr>
            </w:pPr>
            <w:r>
              <w:rPr>
                <w:rFonts w:ascii="Arial" w:cs="Arial" w:eastAsia="Arial" w:hAnsi="Arial"/>
                <w:sz w:val="12"/>
                <w:szCs w:val="12"/>
                <w:color w:val="auto"/>
              </w:rPr>
              <w:t>4,135</w:t>
            </w:r>
          </w:p>
        </w:tc>
        <w:tc>
          <w:tcPr>
            <w:tcW w:w="2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500"/>
              <w:spacing w:after="0"/>
              <w:rPr>
                <w:sz w:val="20"/>
                <w:szCs w:val="20"/>
                <w:color w:val="auto"/>
              </w:rPr>
            </w:pPr>
            <w:r>
              <w:rPr>
                <w:rFonts w:ascii="Arial" w:cs="Arial" w:eastAsia="Arial" w:hAnsi="Arial"/>
                <w:sz w:val="12"/>
                <w:szCs w:val="12"/>
                <w:color w:val="auto"/>
              </w:rPr>
              <w:t>4,803</w:t>
            </w:r>
          </w:p>
        </w:tc>
        <w:tc>
          <w:tcPr>
            <w:tcW w:w="14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10,779</w:t>
            </w:r>
          </w:p>
        </w:tc>
        <w:tc>
          <w:tcPr>
            <w:tcW w:w="5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13,498</w:t>
            </w:r>
          </w:p>
        </w:tc>
      </w:tr>
      <w:tr>
        <w:trPr>
          <w:trHeight w:val="20"/>
        </w:trPr>
        <w:tc>
          <w:tcPr>
            <w:tcW w:w="3320" w:type="dxa"/>
            <w:vAlign w:val="bottom"/>
          </w:tcPr>
          <w:p>
            <w:pPr>
              <w:spacing w:after="0" w:line="20" w:lineRule="exact"/>
              <w:rPr>
                <w:sz w:val="1"/>
                <w:szCs w:val="1"/>
                <w:color w:val="auto"/>
              </w:rPr>
            </w:pPr>
          </w:p>
        </w:tc>
        <w:tc>
          <w:tcPr>
            <w:tcW w:w="3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49"/>
        </w:trPr>
        <w:tc>
          <w:tcPr>
            <w:tcW w:w="3320" w:type="dxa"/>
            <w:vAlign w:val="bottom"/>
          </w:tcPr>
          <w:p>
            <w:pPr>
              <w:spacing w:after="0"/>
              <w:rPr>
                <w:sz w:val="12"/>
                <w:szCs w:val="12"/>
                <w:color w:val="auto"/>
              </w:rPr>
            </w:pPr>
          </w:p>
        </w:tc>
        <w:tc>
          <w:tcPr>
            <w:tcW w:w="3340" w:type="dxa"/>
            <w:vAlign w:val="bottom"/>
            <w:gridSpan w:val="2"/>
          </w:tcPr>
          <w:p>
            <w:pPr>
              <w:jc w:val="right"/>
              <w:ind w:right="57"/>
              <w:spacing w:after="0"/>
              <w:rPr>
                <w:sz w:val="20"/>
                <w:szCs w:val="20"/>
                <w:color w:val="auto"/>
              </w:rPr>
            </w:pPr>
            <w:r>
              <w:rPr>
                <w:rFonts w:ascii="Arial" w:cs="Arial" w:eastAsia="Arial" w:hAnsi="Arial"/>
                <w:sz w:val="12"/>
                <w:szCs w:val="12"/>
                <w:color w:val="auto"/>
              </w:rPr>
              <w:t>$</w:t>
            </w:r>
          </w:p>
        </w:tc>
        <w:tc>
          <w:tcPr>
            <w:tcW w:w="680" w:type="dxa"/>
            <w:vAlign w:val="bottom"/>
            <w:gridSpan w:val="2"/>
          </w:tcPr>
          <w:p>
            <w:pPr>
              <w:jc w:val="right"/>
              <w:ind w:right="260"/>
              <w:spacing w:after="0"/>
              <w:rPr>
                <w:sz w:val="20"/>
                <w:szCs w:val="20"/>
                <w:color w:val="auto"/>
              </w:rPr>
            </w:pPr>
            <w:r>
              <w:rPr>
                <w:rFonts w:ascii="Arial" w:cs="Arial" w:eastAsia="Arial" w:hAnsi="Arial"/>
                <w:sz w:val="12"/>
                <w:szCs w:val="12"/>
                <w:color w:val="auto"/>
              </w:rPr>
              <w:t>47,539</w:t>
            </w:r>
          </w:p>
        </w:tc>
        <w:tc>
          <w:tcPr>
            <w:tcW w:w="420" w:type="dxa"/>
            <w:vAlign w:val="bottom"/>
            <w:gridSpan w:val="2"/>
          </w:tcPr>
          <w:p>
            <w:pPr>
              <w:jc w:val="right"/>
              <w:ind w:right="53"/>
              <w:spacing w:after="0"/>
              <w:rPr>
                <w:sz w:val="20"/>
                <w:szCs w:val="20"/>
                <w:color w:val="auto"/>
              </w:rPr>
            </w:pPr>
            <w:r>
              <w:rPr>
                <w:rFonts w:ascii="Arial" w:cs="Arial" w:eastAsia="Arial" w:hAnsi="Arial"/>
                <w:sz w:val="12"/>
                <w:szCs w:val="12"/>
                <w:color w:val="auto"/>
              </w:rPr>
              <w:t>$</w:t>
            </w:r>
          </w:p>
        </w:tc>
        <w:tc>
          <w:tcPr>
            <w:tcW w:w="900" w:type="dxa"/>
            <w:vAlign w:val="bottom"/>
            <w:gridSpan w:val="2"/>
          </w:tcPr>
          <w:p>
            <w:pPr>
              <w:jc w:val="right"/>
              <w:ind w:right="500"/>
              <w:spacing w:after="0"/>
              <w:rPr>
                <w:sz w:val="20"/>
                <w:szCs w:val="20"/>
                <w:color w:val="auto"/>
              </w:rPr>
            </w:pPr>
            <w:r>
              <w:rPr>
                <w:rFonts w:ascii="Arial" w:cs="Arial" w:eastAsia="Arial" w:hAnsi="Arial"/>
                <w:sz w:val="12"/>
                <w:szCs w:val="12"/>
                <w:color w:val="auto"/>
              </w:rPr>
              <w:t>44,638</w:t>
            </w:r>
          </w:p>
        </w:tc>
        <w:tc>
          <w:tcPr>
            <w:tcW w:w="140" w:type="dxa"/>
            <w:vAlign w:val="bottom"/>
          </w:tcPr>
          <w:p>
            <w:pPr>
              <w:jc w:val="right"/>
              <w:ind w:right="33"/>
              <w:spacing w:after="0"/>
              <w:rPr>
                <w:sz w:val="20"/>
                <w:szCs w:val="20"/>
                <w:color w:val="auto"/>
              </w:rPr>
            </w:pPr>
            <w:r>
              <w:rPr>
                <w:rFonts w:ascii="Arial" w:cs="Arial" w:eastAsia="Arial" w:hAnsi="Arial"/>
                <w:sz w:val="9"/>
                <w:szCs w:val="9"/>
                <w:color w:val="auto"/>
                <w:w w:val="78"/>
              </w:rPr>
              <w:t>$</w:t>
            </w:r>
          </w:p>
        </w:tc>
        <w:tc>
          <w:tcPr>
            <w:tcW w:w="500" w:type="dxa"/>
            <w:vAlign w:val="bottom"/>
          </w:tcPr>
          <w:p>
            <w:pPr>
              <w:jc w:val="right"/>
              <w:spacing w:after="0"/>
              <w:rPr>
                <w:sz w:val="20"/>
                <w:szCs w:val="20"/>
                <w:color w:val="auto"/>
              </w:rPr>
            </w:pPr>
            <w:r>
              <w:rPr>
                <w:rFonts w:ascii="Arial" w:cs="Arial" w:eastAsia="Arial" w:hAnsi="Arial"/>
                <w:sz w:val="12"/>
                <w:szCs w:val="12"/>
                <w:color w:val="auto"/>
              </w:rPr>
              <w:t>133,005</w:t>
            </w:r>
          </w:p>
        </w:tc>
        <w:tc>
          <w:tcPr>
            <w:tcW w:w="700" w:type="dxa"/>
            <w:vAlign w:val="bottom"/>
            <w:gridSpan w:val="2"/>
          </w:tcPr>
          <w:p>
            <w:pPr>
              <w:jc w:val="right"/>
              <w:ind w:right="93"/>
              <w:spacing w:after="0"/>
              <w:rPr>
                <w:sz w:val="20"/>
                <w:szCs w:val="20"/>
                <w:color w:val="auto"/>
              </w:rPr>
            </w:pPr>
            <w:r>
              <w:rPr>
                <w:rFonts w:ascii="Arial" w:cs="Arial" w:eastAsia="Arial" w:hAnsi="Arial"/>
                <w:sz w:val="12"/>
                <w:szCs w:val="12"/>
                <w:color w:val="auto"/>
              </w:rPr>
              <w:t>$</w:t>
            </w:r>
          </w:p>
        </w:tc>
        <w:tc>
          <w:tcPr>
            <w:tcW w:w="560" w:type="dxa"/>
            <w:vAlign w:val="bottom"/>
            <w:gridSpan w:val="2"/>
          </w:tcPr>
          <w:p>
            <w:pPr>
              <w:jc w:val="right"/>
              <w:ind w:right="100"/>
              <w:spacing w:after="0"/>
              <w:rPr>
                <w:sz w:val="20"/>
                <w:szCs w:val="20"/>
                <w:color w:val="auto"/>
              </w:rPr>
            </w:pPr>
            <w:r>
              <w:rPr>
                <w:rFonts w:ascii="Arial" w:cs="Arial" w:eastAsia="Arial" w:hAnsi="Arial"/>
                <w:sz w:val="12"/>
                <w:szCs w:val="12"/>
                <w:color w:val="auto"/>
              </w:rPr>
              <w:t>133,614</w:t>
            </w:r>
          </w:p>
        </w:tc>
      </w:tr>
      <w:tr>
        <w:trPr>
          <w:trHeight w:val="250"/>
        </w:trPr>
        <w:tc>
          <w:tcPr>
            <w:tcW w:w="3320" w:type="dxa"/>
            <w:vAlign w:val="bottom"/>
          </w:tcPr>
          <w:p>
            <w:pPr>
              <w:spacing w:after="0"/>
              <w:rPr>
                <w:sz w:val="21"/>
                <w:szCs w:val="21"/>
                <w:color w:val="auto"/>
              </w:rPr>
            </w:pPr>
          </w:p>
        </w:tc>
        <w:tc>
          <w:tcPr>
            <w:tcW w:w="3220" w:type="dxa"/>
            <w:vAlign w:val="bottom"/>
          </w:tcPr>
          <w:p>
            <w:pPr>
              <w:jc w:val="right"/>
              <w:ind w:right="1141"/>
              <w:spacing w:after="0"/>
              <w:rPr>
                <w:sz w:val="20"/>
                <w:szCs w:val="20"/>
                <w:color w:val="auto"/>
              </w:rPr>
            </w:pPr>
            <w:r>
              <w:rPr>
                <w:rFonts w:ascii="Arial" w:cs="Arial" w:eastAsia="Arial" w:hAnsi="Arial"/>
                <w:sz w:val="12"/>
                <w:szCs w:val="12"/>
                <w:color w:val="auto"/>
              </w:rPr>
              <w:t>10</w:t>
            </w:r>
          </w:p>
        </w:tc>
        <w:tc>
          <w:tcPr>
            <w:tcW w:w="120" w:type="dxa"/>
            <w:vAlign w:val="bottom"/>
            <w:tcBorders>
              <w:top w:val="single" w:sz="8" w:color="auto"/>
            </w:tcBorders>
          </w:tcPr>
          <w:p>
            <w:pPr>
              <w:spacing w:after="0"/>
              <w:rPr>
                <w:sz w:val="21"/>
                <w:szCs w:val="21"/>
                <w:color w:val="auto"/>
              </w:rPr>
            </w:pPr>
          </w:p>
        </w:tc>
        <w:tc>
          <w:tcPr>
            <w:tcW w:w="420" w:type="dxa"/>
            <w:vAlign w:val="bottom"/>
            <w:tcBorders>
              <w:top w:val="single" w:sz="8" w:color="auto"/>
            </w:tcBorders>
          </w:tcPr>
          <w:p>
            <w:pPr>
              <w:spacing w:after="0"/>
              <w:rPr>
                <w:sz w:val="21"/>
                <w:szCs w:val="21"/>
                <w:color w:val="auto"/>
              </w:rPr>
            </w:pPr>
          </w:p>
        </w:tc>
        <w:tc>
          <w:tcPr>
            <w:tcW w:w="2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400" w:type="dxa"/>
            <w:vAlign w:val="bottom"/>
            <w:tcBorders>
              <w:top w:val="single" w:sz="8" w:color="auto"/>
            </w:tcBorders>
          </w:tcPr>
          <w:p>
            <w:pPr>
              <w:spacing w:after="0"/>
              <w:rPr>
                <w:sz w:val="21"/>
                <w:szCs w:val="21"/>
                <w:color w:val="auto"/>
              </w:rPr>
            </w:pPr>
          </w:p>
        </w:tc>
        <w:tc>
          <w:tcPr>
            <w:tcW w:w="500" w:type="dxa"/>
            <w:vAlign w:val="bottom"/>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500" w:type="dxa"/>
            <w:vAlign w:val="bottom"/>
            <w:tcBorders>
              <w:top w:val="single" w:sz="8" w:color="auto"/>
            </w:tcBorders>
          </w:tcPr>
          <w:p>
            <w:pPr>
              <w:spacing w:after="0"/>
              <w:rPr>
                <w:sz w:val="21"/>
                <w:szCs w:val="21"/>
                <w:color w:val="auto"/>
              </w:rPr>
            </w:pPr>
          </w:p>
        </w:tc>
        <w:tc>
          <w:tcPr>
            <w:tcW w:w="500" w:type="dxa"/>
            <w:vAlign w:val="bottom"/>
          </w:tcPr>
          <w:p>
            <w:pPr>
              <w:spacing w:after="0"/>
              <w:rPr>
                <w:sz w:val="21"/>
                <w:szCs w:val="21"/>
                <w:color w:val="auto"/>
              </w:rPr>
            </w:pPr>
          </w:p>
        </w:tc>
        <w:tc>
          <w:tcPr>
            <w:tcW w:w="200" w:type="dxa"/>
            <w:vAlign w:val="bottom"/>
            <w:tcBorders>
              <w:top w:val="single" w:sz="8" w:color="auto"/>
            </w:tcBorders>
          </w:tcPr>
          <w:p>
            <w:pPr>
              <w:spacing w:after="0"/>
              <w:rPr>
                <w:sz w:val="21"/>
                <w:szCs w:val="21"/>
                <w:color w:val="auto"/>
              </w:rPr>
            </w:pPr>
          </w:p>
        </w:tc>
        <w:tc>
          <w:tcPr>
            <w:tcW w:w="46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r>
    </w:tbl>
    <w:p>
      <w:pPr>
        <w:sectPr>
          <w:pgSz w:w="11900" w:h="16838" w:orient="portrait"/>
          <w:cols w:equalWidth="0" w:num="1">
            <w:col w:w="11460"/>
          </w:cols>
          <w:pgMar w:left="220" w:top="354" w:right="219" w:bottom="1440" w:gutter="0" w:footer="0" w:header="0"/>
        </w:sectPr>
      </w:pPr>
    </w:p>
    <w:bookmarkStart w:id="10" w:name="page11"/>
    <w:bookmarkEnd w:id="10"/>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121920</wp:posOffset>
            </wp:positionH>
            <wp:positionV relativeFrom="page">
              <wp:posOffset>88900</wp:posOffset>
            </wp:positionV>
            <wp:extent cx="7329170" cy="298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329170" cy="29845"/>
                    </a:xfrm>
                    <a:prstGeom prst="rect">
                      <a:avLst/>
                    </a:prstGeom>
                    <a:noFill/>
                  </pic:spPr>
                </pic:pic>
              </a:graphicData>
            </a:graphic>
          </wp:anchor>
        </w:drawing>
      </w:r>
      <w:hyperlink w:anchor="page2">
        <w:r>
          <w:rPr>
            <w:rFonts w:ascii="Arial" w:cs="Arial" w:eastAsia="Arial" w:hAnsi="Arial"/>
            <w:sz w:val="12"/>
            <w:szCs w:val="12"/>
            <w:b w:val="1"/>
            <w:bCs w:val="1"/>
            <w:u w:val="single" w:color="auto"/>
            <w:color w:val="0000EE"/>
          </w:rPr>
          <w:t>Table of Contents</w:t>
        </w:r>
      </w:hyperlink>
    </w:p>
    <w:p>
      <w:pPr>
        <w:spacing w:after="0" w:line="209" w:lineRule="exact"/>
        <w:rPr>
          <w:sz w:val="20"/>
          <w:szCs w:val="20"/>
          <w:color w:val="auto"/>
        </w:rPr>
      </w:pPr>
    </w:p>
    <w:p>
      <w:pPr>
        <w:ind w:left="220"/>
        <w:spacing w:after="0"/>
        <w:rPr>
          <w:sz w:val="20"/>
          <w:szCs w:val="20"/>
          <w:color w:val="auto"/>
        </w:rPr>
      </w:pPr>
      <w:r>
        <w:rPr>
          <w:rFonts w:ascii="Arial" w:cs="Arial" w:eastAsia="Arial" w:hAnsi="Arial"/>
          <w:sz w:val="12"/>
          <w:szCs w:val="12"/>
          <w:i w:val="1"/>
          <w:iCs w:val="1"/>
          <w:color w:val="auto"/>
        </w:rPr>
        <w:t>Gaming Taxes</w:t>
      </w:r>
    </w:p>
    <w:p>
      <w:pPr>
        <w:spacing w:after="0" w:line="60" w:lineRule="exact"/>
        <w:rPr>
          <w:sz w:val="20"/>
          <w:szCs w:val="20"/>
          <w:color w:val="auto"/>
        </w:rPr>
      </w:pPr>
    </w:p>
    <w:p>
      <w:pPr>
        <w:ind w:right="20" w:firstLine="459"/>
        <w:spacing w:after="0" w:line="294" w:lineRule="auto"/>
        <w:rPr>
          <w:sz w:val="20"/>
          <w:szCs w:val="20"/>
          <w:color w:val="auto"/>
        </w:rPr>
      </w:pPr>
      <w:r>
        <w:rPr>
          <w:rFonts w:ascii="Arial" w:cs="Arial" w:eastAsia="Arial" w:hAnsi="Arial"/>
          <w:sz w:val="11"/>
          <w:szCs w:val="11"/>
          <w:color w:val="auto"/>
        </w:rPr>
        <w:t>The Company is subject to taxes based on gross gaming revenue in the jurisdictions in which it operates, subject to applicable jurisdictional adjustments. These gaming taxes are an assessment on the Company’s gaming revenue and are recorded as an expense within the “Casino” line item in the accompanying Condensed Consolidated Statements of Income. These taxes totaled approximately $488.5 million and $448.6 million for the three months ended September 30, 2013 and 2012, respectively. These taxes totaled approximately $1,431.7 million and $1,356.2 million for the nine months ended September 30, 2013 and 2012, respectively.</w:t>
      </w:r>
    </w:p>
    <w:p>
      <w:pPr>
        <w:spacing w:after="0" w:line="130" w:lineRule="exact"/>
        <w:rPr>
          <w:sz w:val="20"/>
          <w:szCs w:val="20"/>
          <w:color w:val="auto"/>
        </w:rPr>
      </w:pPr>
    </w:p>
    <w:p>
      <w:pPr>
        <w:ind w:left="220"/>
        <w:spacing w:after="0"/>
        <w:rPr>
          <w:sz w:val="20"/>
          <w:szCs w:val="20"/>
          <w:color w:val="auto"/>
        </w:rPr>
      </w:pPr>
      <w:r>
        <w:rPr>
          <w:rFonts w:ascii="Arial" w:cs="Arial" w:eastAsia="Arial" w:hAnsi="Arial"/>
          <w:sz w:val="12"/>
          <w:szCs w:val="12"/>
          <w:i w:val="1"/>
          <w:iCs w:val="1"/>
          <w:color w:val="auto"/>
        </w:rPr>
        <w:t>Advertising Costs</w:t>
      </w:r>
    </w:p>
    <w:p>
      <w:pPr>
        <w:spacing w:after="0" w:line="60" w:lineRule="exact"/>
        <w:rPr>
          <w:sz w:val="20"/>
          <w:szCs w:val="20"/>
          <w:color w:val="auto"/>
        </w:rPr>
      </w:pPr>
    </w:p>
    <w:p>
      <w:pPr>
        <w:ind w:right="240" w:firstLine="459"/>
        <w:spacing w:after="0" w:line="314" w:lineRule="auto"/>
        <w:rPr>
          <w:sz w:val="20"/>
          <w:szCs w:val="20"/>
          <w:color w:val="auto"/>
        </w:rPr>
      </w:pPr>
      <w:r>
        <w:rPr>
          <w:rFonts w:ascii="Arial" w:cs="Arial" w:eastAsia="Arial" w:hAnsi="Arial"/>
          <w:sz w:val="11"/>
          <w:szCs w:val="11"/>
          <w:color w:val="auto"/>
        </w:rPr>
        <w:t>The Company expenses advertising costs the first time the advertising takes place and such costs are primarily included in general and administrative expenses. For the three months ended September 30, 2013 and 2012, advertising costs totaled approximately $4.1 million and $5.5 million, respectively. These costs totaled approximately $16.5 million and $16.8 million for the nine months ended September 30, 2013 and 2012, respectively.</w:t>
      </w:r>
    </w:p>
    <w:p>
      <w:pPr>
        <w:spacing w:after="0" w:line="119" w:lineRule="exact"/>
        <w:rPr>
          <w:sz w:val="20"/>
          <w:szCs w:val="20"/>
          <w:color w:val="auto"/>
        </w:rPr>
      </w:pPr>
    </w:p>
    <w:p>
      <w:pPr>
        <w:ind w:left="220"/>
        <w:spacing w:after="0"/>
        <w:rPr>
          <w:sz w:val="20"/>
          <w:szCs w:val="20"/>
          <w:color w:val="auto"/>
        </w:rPr>
      </w:pPr>
      <w:r>
        <w:rPr>
          <w:rFonts w:ascii="Arial" w:cs="Arial" w:eastAsia="Arial" w:hAnsi="Arial"/>
          <w:sz w:val="12"/>
          <w:szCs w:val="12"/>
          <w:i w:val="1"/>
          <w:iCs w:val="1"/>
          <w:color w:val="auto"/>
        </w:rPr>
        <w:t>Fair Value Measurements</w:t>
      </w:r>
    </w:p>
    <w:p>
      <w:pPr>
        <w:spacing w:after="0" w:line="60" w:lineRule="exact"/>
        <w:rPr>
          <w:sz w:val="20"/>
          <w:szCs w:val="20"/>
          <w:color w:val="auto"/>
        </w:rPr>
      </w:pPr>
    </w:p>
    <w:p>
      <w:pPr>
        <w:ind w:right="120" w:firstLine="459"/>
        <w:spacing w:after="0" w:line="287" w:lineRule="auto"/>
        <w:rPr>
          <w:sz w:val="20"/>
          <w:szCs w:val="20"/>
          <w:color w:val="auto"/>
        </w:rPr>
      </w:pPr>
      <w:r>
        <w:rPr>
          <w:rFonts w:ascii="Arial" w:cs="Arial" w:eastAsia="Arial" w:hAnsi="Arial"/>
          <w:sz w:val="11"/>
          <w:szCs w:val="11"/>
          <w:color w:val="auto"/>
        </w:rPr>
        <w:t>The Company measures certain of its financial assets and liabilities, such as cash equivalents, available-for-sale securities and interest rate swaps, at fair value on a recurring basis pursuant to accounting standards for fair value measurements. Fair value is the price that would be received to sell an asset or paid to transfer a liability in an orderly transaction between market participants at the measurement date. These accounting standards establish a three-tier fair value hierarchy, which prioritizes the inputs used in measuring fair value. These tiers include: Level 1, defined as observable inputs such as quoted prices in active markets; Level 2, defined as inputs other than quoted prices in active markets that are either directly or indirectly observable; and Level 3, defined as unobservable inputs in which little or no market data exists, therefore requiring an entity to develop its own assumptions.</w:t>
      </w:r>
    </w:p>
    <w:p>
      <w:pPr>
        <w:spacing w:after="0" w:line="134" w:lineRule="exact"/>
        <w:rPr>
          <w:sz w:val="20"/>
          <w:szCs w:val="20"/>
          <w:color w:val="auto"/>
        </w:rPr>
      </w:pPr>
    </w:p>
    <w:p>
      <w:pPr>
        <w:ind w:left="460"/>
        <w:spacing w:after="0"/>
        <w:rPr>
          <w:sz w:val="20"/>
          <w:szCs w:val="20"/>
          <w:color w:val="auto"/>
        </w:rPr>
      </w:pPr>
      <w:r>
        <w:rPr>
          <w:rFonts w:ascii="Arial" w:cs="Arial" w:eastAsia="Arial" w:hAnsi="Arial"/>
          <w:sz w:val="12"/>
          <w:szCs w:val="12"/>
          <w:color w:val="auto"/>
        </w:rPr>
        <w:t>The following table presents assets (liabilities) carried at fair value (amounts in thousands):</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08"/>
        </w:trPr>
        <w:tc>
          <w:tcPr>
            <w:tcW w:w="6880" w:type="dxa"/>
            <w:vAlign w:val="bottom"/>
          </w:tcPr>
          <w:p>
            <w:pPr>
              <w:spacing w:after="0"/>
              <w:rPr>
                <w:sz w:val="9"/>
                <w:szCs w:val="9"/>
                <w:color w:val="auto"/>
              </w:rPr>
            </w:pPr>
          </w:p>
        </w:tc>
        <w:tc>
          <w:tcPr>
            <w:tcW w:w="140" w:type="dxa"/>
            <w:vAlign w:val="bottom"/>
          </w:tcPr>
          <w:p>
            <w:pPr>
              <w:spacing w:after="0"/>
              <w:rPr>
                <w:sz w:val="9"/>
                <w:szCs w:val="9"/>
                <w:color w:val="auto"/>
              </w:rPr>
            </w:pPr>
          </w:p>
        </w:tc>
        <w:tc>
          <w:tcPr>
            <w:tcW w:w="700" w:type="dxa"/>
            <w:vAlign w:val="bottom"/>
          </w:tcPr>
          <w:p>
            <w:pPr>
              <w:spacing w:after="0"/>
              <w:rPr>
                <w:sz w:val="9"/>
                <w:szCs w:val="9"/>
                <w:color w:val="auto"/>
              </w:rPr>
            </w:pPr>
          </w:p>
        </w:tc>
        <w:tc>
          <w:tcPr>
            <w:tcW w:w="44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1660" w:type="dxa"/>
            <w:vAlign w:val="bottom"/>
            <w:tcBorders>
              <w:bottom w:val="single" w:sz="8" w:color="auto"/>
            </w:tcBorders>
            <w:gridSpan w:val="4"/>
          </w:tcPr>
          <w:p>
            <w:pPr>
              <w:jc w:val="right"/>
              <w:ind w:right="80"/>
              <w:spacing w:after="0"/>
              <w:rPr>
                <w:sz w:val="20"/>
                <w:szCs w:val="20"/>
                <w:color w:val="auto"/>
              </w:rPr>
            </w:pPr>
            <w:r>
              <w:rPr>
                <w:rFonts w:ascii="Arial" w:cs="Arial" w:eastAsia="Arial" w:hAnsi="Arial"/>
                <w:sz w:val="9"/>
                <w:szCs w:val="9"/>
                <w:b w:val="1"/>
                <w:bCs w:val="1"/>
                <w:color w:val="auto"/>
              </w:rPr>
              <w:t>Fair Value Measurements Using:</w:t>
            </w:r>
          </w:p>
        </w:tc>
        <w:tc>
          <w:tcPr>
            <w:tcW w:w="10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r>
      <w:tr>
        <w:trPr>
          <w:trHeight w:val="79"/>
        </w:trPr>
        <w:tc>
          <w:tcPr>
            <w:tcW w:w="6880" w:type="dxa"/>
            <w:vAlign w:val="bottom"/>
          </w:tcPr>
          <w:p>
            <w:pPr>
              <w:spacing w:after="0"/>
              <w:rPr>
                <w:sz w:val="6"/>
                <w:szCs w:val="6"/>
                <w:color w:val="auto"/>
              </w:rPr>
            </w:pPr>
          </w:p>
        </w:tc>
        <w:tc>
          <w:tcPr>
            <w:tcW w:w="140" w:type="dxa"/>
            <w:vAlign w:val="bottom"/>
          </w:tcPr>
          <w:p>
            <w:pPr>
              <w:spacing w:after="0"/>
              <w:rPr>
                <w:sz w:val="6"/>
                <w:szCs w:val="6"/>
                <w:color w:val="auto"/>
              </w:rPr>
            </w:pPr>
          </w:p>
        </w:tc>
        <w:tc>
          <w:tcPr>
            <w:tcW w:w="700" w:type="dxa"/>
            <w:vAlign w:val="bottom"/>
          </w:tcPr>
          <w:p>
            <w:pPr>
              <w:spacing w:after="0"/>
              <w:rPr>
                <w:sz w:val="6"/>
                <w:szCs w:val="6"/>
                <w:color w:val="auto"/>
              </w:rPr>
            </w:pPr>
          </w:p>
        </w:tc>
        <w:tc>
          <w:tcPr>
            <w:tcW w:w="440" w:type="dxa"/>
            <w:vAlign w:val="bottom"/>
          </w:tcPr>
          <w:p>
            <w:pPr>
              <w:spacing w:after="0"/>
              <w:rPr>
                <w:sz w:val="6"/>
                <w:szCs w:val="6"/>
                <w:color w:val="auto"/>
              </w:rPr>
            </w:pPr>
          </w:p>
        </w:tc>
        <w:tc>
          <w:tcPr>
            <w:tcW w:w="120" w:type="dxa"/>
            <w:vAlign w:val="bottom"/>
          </w:tcPr>
          <w:p>
            <w:pPr>
              <w:spacing w:after="0"/>
              <w:rPr>
                <w:sz w:val="6"/>
                <w:szCs w:val="6"/>
                <w:color w:val="auto"/>
              </w:rPr>
            </w:pPr>
          </w:p>
        </w:tc>
        <w:tc>
          <w:tcPr>
            <w:tcW w:w="540" w:type="dxa"/>
            <w:vAlign w:val="bottom"/>
          </w:tcPr>
          <w:p>
            <w:pPr>
              <w:jc w:val="center"/>
              <w:ind w:right="47"/>
              <w:spacing w:after="0" w:line="79" w:lineRule="exact"/>
              <w:rPr>
                <w:sz w:val="20"/>
                <w:szCs w:val="20"/>
                <w:color w:val="auto"/>
              </w:rPr>
            </w:pPr>
            <w:r>
              <w:rPr>
                <w:rFonts w:ascii="Arial" w:cs="Arial" w:eastAsia="Arial" w:hAnsi="Arial"/>
                <w:sz w:val="9"/>
                <w:szCs w:val="9"/>
                <w:b w:val="1"/>
                <w:bCs w:val="1"/>
                <w:color w:val="auto"/>
                <w:w w:val="88"/>
              </w:rPr>
              <w:t>Quoted</w:t>
            </w:r>
          </w:p>
        </w:tc>
        <w:tc>
          <w:tcPr>
            <w:tcW w:w="440" w:type="dxa"/>
            <w:vAlign w:val="bottom"/>
          </w:tcPr>
          <w:p>
            <w:pPr>
              <w:spacing w:after="0"/>
              <w:rPr>
                <w:sz w:val="6"/>
                <w:szCs w:val="6"/>
                <w:color w:val="auto"/>
              </w:rPr>
            </w:pPr>
          </w:p>
        </w:tc>
        <w:tc>
          <w:tcPr>
            <w:tcW w:w="140" w:type="dxa"/>
            <w:vAlign w:val="bottom"/>
          </w:tcPr>
          <w:p>
            <w:pPr>
              <w:spacing w:after="0"/>
              <w:rPr>
                <w:sz w:val="6"/>
                <w:szCs w:val="6"/>
                <w:color w:val="auto"/>
              </w:rPr>
            </w:pPr>
          </w:p>
        </w:tc>
        <w:tc>
          <w:tcPr>
            <w:tcW w:w="720" w:type="dxa"/>
            <w:vAlign w:val="bottom"/>
          </w:tcPr>
          <w:p>
            <w:pPr>
              <w:spacing w:after="0"/>
              <w:rPr>
                <w:sz w:val="6"/>
                <w:szCs w:val="6"/>
                <w:color w:val="auto"/>
              </w:rPr>
            </w:pPr>
          </w:p>
        </w:tc>
        <w:tc>
          <w:tcPr>
            <w:tcW w:w="360" w:type="dxa"/>
            <w:vAlign w:val="bottom"/>
          </w:tcPr>
          <w:p>
            <w:pPr>
              <w:spacing w:after="0"/>
              <w:rPr>
                <w:sz w:val="6"/>
                <w:szCs w:val="6"/>
                <w:color w:val="auto"/>
              </w:rPr>
            </w:pPr>
          </w:p>
        </w:tc>
        <w:tc>
          <w:tcPr>
            <w:tcW w:w="100" w:type="dxa"/>
            <w:vAlign w:val="bottom"/>
          </w:tcPr>
          <w:p>
            <w:pPr>
              <w:spacing w:after="0"/>
              <w:rPr>
                <w:sz w:val="6"/>
                <w:szCs w:val="6"/>
                <w:color w:val="auto"/>
              </w:rPr>
            </w:pPr>
          </w:p>
        </w:tc>
        <w:tc>
          <w:tcPr>
            <w:tcW w:w="100" w:type="dxa"/>
            <w:vAlign w:val="bottom"/>
          </w:tcPr>
          <w:p>
            <w:pPr>
              <w:spacing w:after="0"/>
              <w:rPr>
                <w:sz w:val="6"/>
                <w:szCs w:val="6"/>
                <w:color w:val="auto"/>
              </w:rPr>
            </w:pPr>
          </w:p>
        </w:tc>
        <w:tc>
          <w:tcPr>
            <w:tcW w:w="700" w:type="dxa"/>
            <w:vAlign w:val="bottom"/>
          </w:tcPr>
          <w:p>
            <w:pPr>
              <w:spacing w:after="0"/>
              <w:rPr>
                <w:sz w:val="6"/>
                <w:szCs w:val="6"/>
                <w:color w:val="auto"/>
              </w:rPr>
            </w:pPr>
          </w:p>
        </w:tc>
        <w:tc>
          <w:tcPr>
            <w:tcW w:w="100" w:type="dxa"/>
            <w:vAlign w:val="bottom"/>
          </w:tcPr>
          <w:p>
            <w:pPr>
              <w:spacing w:after="0"/>
              <w:rPr>
                <w:sz w:val="6"/>
                <w:szCs w:val="6"/>
                <w:color w:val="auto"/>
              </w:rPr>
            </w:pPr>
          </w:p>
        </w:tc>
      </w:tr>
      <w:tr>
        <w:trPr>
          <w:trHeight w:val="99"/>
        </w:trPr>
        <w:tc>
          <w:tcPr>
            <w:tcW w:w="6880" w:type="dxa"/>
            <w:vAlign w:val="bottom"/>
          </w:tcPr>
          <w:p>
            <w:pPr>
              <w:spacing w:after="0"/>
              <w:rPr>
                <w:sz w:val="8"/>
                <w:szCs w:val="8"/>
                <w:color w:val="auto"/>
              </w:rPr>
            </w:pPr>
          </w:p>
        </w:tc>
        <w:tc>
          <w:tcPr>
            <w:tcW w:w="140" w:type="dxa"/>
            <w:vAlign w:val="bottom"/>
          </w:tcPr>
          <w:p>
            <w:pPr>
              <w:spacing w:after="0"/>
              <w:rPr>
                <w:sz w:val="8"/>
                <w:szCs w:val="8"/>
                <w:color w:val="auto"/>
              </w:rPr>
            </w:pPr>
          </w:p>
        </w:tc>
        <w:tc>
          <w:tcPr>
            <w:tcW w:w="700" w:type="dxa"/>
            <w:vAlign w:val="bottom"/>
          </w:tcPr>
          <w:p>
            <w:pPr>
              <w:spacing w:after="0"/>
              <w:rPr>
                <w:sz w:val="8"/>
                <w:szCs w:val="8"/>
                <w:color w:val="auto"/>
              </w:rPr>
            </w:pPr>
          </w:p>
        </w:tc>
        <w:tc>
          <w:tcPr>
            <w:tcW w:w="440" w:type="dxa"/>
            <w:vAlign w:val="bottom"/>
          </w:tcPr>
          <w:p>
            <w:pPr>
              <w:spacing w:after="0"/>
              <w:rPr>
                <w:sz w:val="8"/>
                <w:szCs w:val="8"/>
                <w:color w:val="auto"/>
              </w:rPr>
            </w:pPr>
          </w:p>
        </w:tc>
        <w:tc>
          <w:tcPr>
            <w:tcW w:w="120" w:type="dxa"/>
            <w:vAlign w:val="bottom"/>
          </w:tcPr>
          <w:p>
            <w:pPr>
              <w:spacing w:after="0"/>
              <w:rPr>
                <w:sz w:val="8"/>
                <w:szCs w:val="8"/>
                <w:color w:val="auto"/>
              </w:rPr>
            </w:pPr>
          </w:p>
        </w:tc>
        <w:tc>
          <w:tcPr>
            <w:tcW w:w="540" w:type="dxa"/>
            <w:vAlign w:val="bottom"/>
          </w:tcPr>
          <w:p>
            <w:pPr>
              <w:jc w:val="center"/>
              <w:ind w:right="67"/>
              <w:spacing w:after="0" w:line="99" w:lineRule="exact"/>
              <w:rPr>
                <w:sz w:val="20"/>
                <w:szCs w:val="20"/>
                <w:color w:val="auto"/>
              </w:rPr>
            </w:pPr>
            <w:r>
              <w:rPr>
                <w:rFonts w:ascii="Arial" w:cs="Arial" w:eastAsia="Arial" w:hAnsi="Arial"/>
                <w:sz w:val="9"/>
                <w:szCs w:val="9"/>
                <w:b w:val="1"/>
                <w:bCs w:val="1"/>
                <w:color w:val="auto"/>
              </w:rPr>
              <w:t>Market</w:t>
            </w:r>
          </w:p>
        </w:tc>
        <w:tc>
          <w:tcPr>
            <w:tcW w:w="440" w:type="dxa"/>
            <w:vAlign w:val="bottom"/>
          </w:tcPr>
          <w:p>
            <w:pPr>
              <w:spacing w:after="0"/>
              <w:rPr>
                <w:sz w:val="8"/>
                <w:szCs w:val="8"/>
                <w:color w:val="auto"/>
              </w:rPr>
            </w:pPr>
          </w:p>
        </w:tc>
        <w:tc>
          <w:tcPr>
            <w:tcW w:w="140" w:type="dxa"/>
            <w:vAlign w:val="bottom"/>
          </w:tcPr>
          <w:p>
            <w:pPr>
              <w:spacing w:after="0"/>
              <w:rPr>
                <w:sz w:val="8"/>
                <w:szCs w:val="8"/>
                <w:color w:val="auto"/>
              </w:rPr>
            </w:pPr>
          </w:p>
        </w:tc>
        <w:tc>
          <w:tcPr>
            <w:tcW w:w="720" w:type="dxa"/>
            <w:vAlign w:val="bottom"/>
          </w:tcPr>
          <w:p>
            <w:pPr>
              <w:spacing w:after="0"/>
              <w:rPr>
                <w:sz w:val="8"/>
                <w:szCs w:val="8"/>
                <w:color w:val="auto"/>
              </w:rPr>
            </w:pPr>
          </w:p>
        </w:tc>
        <w:tc>
          <w:tcPr>
            <w:tcW w:w="3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100" w:type="dxa"/>
            <w:vAlign w:val="bottom"/>
          </w:tcPr>
          <w:p>
            <w:pPr>
              <w:spacing w:after="0"/>
              <w:rPr>
                <w:sz w:val="8"/>
                <w:szCs w:val="8"/>
                <w:color w:val="auto"/>
              </w:rPr>
            </w:pPr>
          </w:p>
        </w:tc>
      </w:tr>
      <w:tr>
        <w:trPr>
          <w:trHeight w:val="99"/>
        </w:trPr>
        <w:tc>
          <w:tcPr>
            <w:tcW w:w="6880" w:type="dxa"/>
            <w:vAlign w:val="bottom"/>
          </w:tcPr>
          <w:p>
            <w:pPr>
              <w:spacing w:after="0"/>
              <w:rPr>
                <w:sz w:val="8"/>
                <w:szCs w:val="8"/>
                <w:color w:val="auto"/>
              </w:rPr>
            </w:pPr>
          </w:p>
        </w:tc>
        <w:tc>
          <w:tcPr>
            <w:tcW w:w="140" w:type="dxa"/>
            <w:vAlign w:val="bottom"/>
          </w:tcPr>
          <w:p>
            <w:pPr>
              <w:spacing w:after="0"/>
              <w:rPr>
                <w:sz w:val="8"/>
                <w:szCs w:val="8"/>
                <w:color w:val="auto"/>
              </w:rPr>
            </w:pPr>
          </w:p>
        </w:tc>
        <w:tc>
          <w:tcPr>
            <w:tcW w:w="700" w:type="dxa"/>
            <w:vAlign w:val="bottom"/>
          </w:tcPr>
          <w:p>
            <w:pPr>
              <w:spacing w:after="0"/>
              <w:rPr>
                <w:sz w:val="8"/>
                <w:szCs w:val="8"/>
                <w:color w:val="auto"/>
              </w:rPr>
            </w:pPr>
          </w:p>
        </w:tc>
        <w:tc>
          <w:tcPr>
            <w:tcW w:w="440" w:type="dxa"/>
            <w:vAlign w:val="bottom"/>
          </w:tcPr>
          <w:p>
            <w:pPr>
              <w:spacing w:after="0"/>
              <w:rPr>
                <w:sz w:val="8"/>
                <w:szCs w:val="8"/>
                <w:color w:val="auto"/>
              </w:rPr>
            </w:pPr>
          </w:p>
        </w:tc>
        <w:tc>
          <w:tcPr>
            <w:tcW w:w="120" w:type="dxa"/>
            <w:vAlign w:val="bottom"/>
          </w:tcPr>
          <w:p>
            <w:pPr>
              <w:spacing w:after="0"/>
              <w:rPr>
                <w:sz w:val="8"/>
                <w:szCs w:val="8"/>
                <w:color w:val="auto"/>
              </w:rPr>
            </w:pPr>
          </w:p>
        </w:tc>
        <w:tc>
          <w:tcPr>
            <w:tcW w:w="540" w:type="dxa"/>
            <w:vAlign w:val="bottom"/>
          </w:tcPr>
          <w:p>
            <w:pPr>
              <w:jc w:val="center"/>
              <w:ind w:right="67"/>
              <w:spacing w:after="0" w:line="99" w:lineRule="exact"/>
              <w:rPr>
                <w:sz w:val="20"/>
                <w:szCs w:val="20"/>
                <w:color w:val="auto"/>
              </w:rPr>
            </w:pPr>
            <w:r>
              <w:rPr>
                <w:rFonts w:ascii="Arial" w:cs="Arial" w:eastAsia="Arial" w:hAnsi="Arial"/>
                <w:sz w:val="9"/>
                <w:szCs w:val="9"/>
                <w:b w:val="1"/>
                <w:bCs w:val="1"/>
                <w:color w:val="auto"/>
                <w:w w:val="90"/>
              </w:rPr>
              <w:t>Prices in</w:t>
            </w:r>
          </w:p>
        </w:tc>
        <w:tc>
          <w:tcPr>
            <w:tcW w:w="4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80" w:type="dxa"/>
            <w:vAlign w:val="bottom"/>
            <w:gridSpan w:val="2"/>
          </w:tcPr>
          <w:p>
            <w:pPr>
              <w:jc w:val="center"/>
              <w:ind w:right="500"/>
              <w:spacing w:after="0" w:line="99" w:lineRule="exact"/>
              <w:rPr>
                <w:sz w:val="20"/>
                <w:szCs w:val="20"/>
                <w:color w:val="auto"/>
              </w:rPr>
            </w:pPr>
            <w:r>
              <w:rPr>
                <w:rFonts w:ascii="Arial" w:cs="Arial" w:eastAsia="Arial" w:hAnsi="Arial"/>
                <w:sz w:val="9"/>
                <w:szCs w:val="9"/>
                <w:b w:val="1"/>
                <w:bCs w:val="1"/>
                <w:color w:val="auto"/>
                <w:w w:val="91"/>
              </w:rPr>
              <w:t>Other</w:t>
            </w: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100" w:type="dxa"/>
            <w:vAlign w:val="bottom"/>
          </w:tcPr>
          <w:p>
            <w:pPr>
              <w:spacing w:after="0"/>
              <w:rPr>
                <w:sz w:val="8"/>
                <w:szCs w:val="8"/>
                <w:color w:val="auto"/>
              </w:rPr>
            </w:pPr>
          </w:p>
        </w:tc>
      </w:tr>
      <w:tr>
        <w:trPr>
          <w:trHeight w:val="99"/>
        </w:trPr>
        <w:tc>
          <w:tcPr>
            <w:tcW w:w="6880" w:type="dxa"/>
            <w:vAlign w:val="bottom"/>
          </w:tcPr>
          <w:p>
            <w:pPr>
              <w:spacing w:after="0"/>
              <w:rPr>
                <w:sz w:val="8"/>
                <w:szCs w:val="8"/>
                <w:color w:val="auto"/>
              </w:rPr>
            </w:pPr>
          </w:p>
        </w:tc>
        <w:tc>
          <w:tcPr>
            <w:tcW w:w="140" w:type="dxa"/>
            <w:vAlign w:val="bottom"/>
          </w:tcPr>
          <w:p>
            <w:pPr>
              <w:spacing w:after="0"/>
              <w:rPr>
                <w:sz w:val="8"/>
                <w:szCs w:val="8"/>
                <w:color w:val="auto"/>
              </w:rPr>
            </w:pPr>
          </w:p>
        </w:tc>
        <w:tc>
          <w:tcPr>
            <w:tcW w:w="1140" w:type="dxa"/>
            <w:vAlign w:val="bottom"/>
            <w:gridSpan w:val="2"/>
          </w:tcPr>
          <w:p>
            <w:pPr>
              <w:jc w:val="center"/>
              <w:ind w:right="580"/>
              <w:spacing w:after="0" w:line="99" w:lineRule="exact"/>
              <w:rPr>
                <w:sz w:val="20"/>
                <w:szCs w:val="20"/>
                <w:color w:val="auto"/>
              </w:rPr>
            </w:pPr>
            <w:r>
              <w:rPr>
                <w:rFonts w:ascii="Arial" w:cs="Arial" w:eastAsia="Arial" w:hAnsi="Arial"/>
                <w:sz w:val="9"/>
                <w:szCs w:val="9"/>
                <w:b w:val="1"/>
                <w:bCs w:val="1"/>
                <w:color w:val="auto"/>
                <w:w w:val="92"/>
              </w:rPr>
              <w:t>Total</w:t>
            </w:r>
          </w:p>
        </w:tc>
        <w:tc>
          <w:tcPr>
            <w:tcW w:w="120" w:type="dxa"/>
            <w:vAlign w:val="bottom"/>
          </w:tcPr>
          <w:p>
            <w:pPr>
              <w:spacing w:after="0"/>
              <w:rPr>
                <w:sz w:val="8"/>
                <w:szCs w:val="8"/>
                <w:color w:val="auto"/>
              </w:rPr>
            </w:pPr>
          </w:p>
        </w:tc>
        <w:tc>
          <w:tcPr>
            <w:tcW w:w="540" w:type="dxa"/>
            <w:vAlign w:val="bottom"/>
          </w:tcPr>
          <w:p>
            <w:pPr>
              <w:jc w:val="center"/>
              <w:ind w:right="47"/>
              <w:spacing w:after="0" w:line="99" w:lineRule="exact"/>
              <w:rPr>
                <w:sz w:val="20"/>
                <w:szCs w:val="20"/>
                <w:color w:val="auto"/>
              </w:rPr>
            </w:pPr>
            <w:r>
              <w:rPr>
                <w:rFonts w:ascii="Arial" w:cs="Arial" w:eastAsia="Arial" w:hAnsi="Arial"/>
                <w:sz w:val="9"/>
                <w:szCs w:val="9"/>
                <w:b w:val="1"/>
                <w:bCs w:val="1"/>
                <w:color w:val="auto"/>
                <w:w w:val="88"/>
              </w:rPr>
              <w:t>Active</w:t>
            </w:r>
          </w:p>
        </w:tc>
        <w:tc>
          <w:tcPr>
            <w:tcW w:w="4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80" w:type="dxa"/>
            <w:vAlign w:val="bottom"/>
            <w:gridSpan w:val="2"/>
          </w:tcPr>
          <w:p>
            <w:pPr>
              <w:jc w:val="center"/>
              <w:ind w:right="480"/>
              <w:spacing w:after="0" w:line="99" w:lineRule="exact"/>
              <w:rPr>
                <w:sz w:val="20"/>
                <w:szCs w:val="20"/>
                <w:color w:val="auto"/>
              </w:rPr>
            </w:pPr>
            <w:r>
              <w:rPr>
                <w:rFonts w:ascii="Arial" w:cs="Arial" w:eastAsia="Arial" w:hAnsi="Arial"/>
                <w:sz w:val="9"/>
                <w:szCs w:val="9"/>
                <w:b w:val="1"/>
                <w:bCs w:val="1"/>
                <w:color w:val="auto"/>
                <w:w w:val="89"/>
              </w:rPr>
              <w:t>Observable</w:t>
            </w: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gridSpan w:val="2"/>
          </w:tcPr>
          <w:p>
            <w:pPr>
              <w:jc w:val="center"/>
              <w:ind w:right="200"/>
              <w:spacing w:after="0" w:line="99" w:lineRule="exact"/>
              <w:rPr>
                <w:sz w:val="20"/>
                <w:szCs w:val="20"/>
                <w:color w:val="auto"/>
              </w:rPr>
            </w:pPr>
            <w:r>
              <w:rPr>
                <w:rFonts w:ascii="Arial" w:cs="Arial" w:eastAsia="Arial" w:hAnsi="Arial"/>
                <w:sz w:val="9"/>
                <w:szCs w:val="9"/>
                <w:b w:val="1"/>
                <w:bCs w:val="1"/>
                <w:color w:val="auto"/>
                <w:w w:val="87"/>
              </w:rPr>
              <w:t>Unobservable</w:t>
            </w:r>
          </w:p>
        </w:tc>
      </w:tr>
      <w:tr>
        <w:trPr>
          <w:trHeight w:val="99"/>
        </w:trPr>
        <w:tc>
          <w:tcPr>
            <w:tcW w:w="6880" w:type="dxa"/>
            <w:vAlign w:val="bottom"/>
          </w:tcPr>
          <w:p>
            <w:pPr>
              <w:spacing w:after="0"/>
              <w:rPr>
                <w:sz w:val="8"/>
                <w:szCs w:val="8"/>
                <w:color w:val="auto"/>
              </w:rPr>
            </w:pPr>
          </w:p>
        </w:tc>
        <w:tc>
          <w:tcPr>
            <w:tcW w:w="140" w:type="dxa"/>
            <w:vAlign w:val="bottom"/>
          </w:tcPr>
          <w:p>
            <w:pPr>
              <w:spacing w:after="0"/>
              <w:rPr>
                <w:sz w:val="8"/>
                <w:szCs w:val="8"/>
                <w:color w:val="auto"/>
              </w:rPr>
            </w:pPr>
          </w:p>
        </w:tc>
        <w:tc>
          <w:tcPr>
            <w:tcW w:w="1140" w:type="dxa"/>
            <w:vAlign w:val="bottom"/>
            <w:gridSpan w:val="2"/>
          </w:tcPr>
          <w:p>
            <w:pPr>
              <w:jc w:val="center"/>
              <w:ind w:right="580"/>
              <w:spacing w:after="0" w:line="99" w:lineRule="exact"/>
              <w:rPr>
                <w:sz w:val="20"/>
                <w:szCs w:val="20"/>
                <w:color w:val="auto"/>
              </w:rPr>
            </w:pPr>
            <w:r>
              <w:rPr>
                <w:rFonts w:ascii="Arial" w:cs="Arial" w:eastAsia="Arial" w:hAnsi="Arial"/>
                <w:sz w:val="9"/>
                <w:szCs w:val="9"/>
                <w:b w:val="1"/>
                <w:bCs w:val="1"/>
                <w:color w:val="auto"/>
                <w:w w:val="97"/>
              </w:rPr>
              <w:t>Carrying</w:t>
            </w:r>
          </w:p>
        </w:tc>
        <w:tc>
          <w:tcPr>
            <w:tcW w:w="120" w:type="dxa"/>
            <w:vAlign w:val="bottom"/>
          </w:tcPr>
          <w:p>
            <w:pPr>
              <w:spacing w:after="0"/>
              <w:rPr>
                <w:sz w:val="8"/>
                <w:szCs w:val="8"/>
                <w:color w:val="auto"/>
              </w:rPr>
            </w:pPr>
          </w:p>
        </w:tc>
        <w:tc>
          <w:tcPr>
            <w:tcW w:w="540" w:type="dxa"/>
            <w:vAlign w:val="bottom"/>
          </w:tcPr>
          <w:p>
            <w:pPr>
              <w:jc w:val="center"/>
              <w:ind w:right="47"/>
              <w:spacing w:after="0" w:line="99" w:lineRule="exact"/>
              <w:rPr>
                <w:sz w:val="20"/>
                <w:szCs w:val="20"/>
                <w:color w:val="auto"/>
              </w:rPr>
            </w:pPr>
            <w:r>
              <w:rPr>
                <w:rFonts w:ascii="Arial" w:cs="Arial" w:eastAsia="Arial" w:hAnsi="Arial"/>
                <w:sz w:val="9"/>
                <w:szCs w:val="9"/>
                <w:b w:val="1"/>
                <w:bCs w:val="1"/>
                <w:color w:val="auto"/>
                <w:w w:val="93"/>
              </w:rPr>
              <w:t>Markets</w:t>
            </w:r>
          </w:p>
        </w:tc>
        <w:tc>
          <w:tcPr>
            <w:tcW w:w="4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80" w:type="dxa"/>
            <w:vAlign w:val="bottom"/>
            <w:gridSpan w:val="2"/>
          </w:tcPr>
          <w:p>
            <w:pPr>
              <w:jc w:val="center"/>
              <w:ind w:right="500"/>
              <w:spacing w:after="0" w:line="99" w:lineRule="exact"/>
              <w:rPr>
                <w:sz w:val="20"/>
                <w:szCs w:val="20"/>
                <w:color w:val="auto"/>
              </w:rPr>
            </w:pPr>
            <w:r>
              <w:rPr>
                <w:rFonts w:ascii="Arial" w:cs="Arial" w:eastAsia="Arial" w:hAnsi="Arial"/>
                <w:sz w:val="9"/>
                <w:szCs w:val="9"/>
                <w:b w:val="1"/>
                <w:bCs w:val="1"/>
                <w:color w:val="auto"/>
                <w:w w:val="96"/>
              </w:rPr>
              <w:t>Inputs</w:t>
            </w: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gridSpan w:val="2"/>
          </w:tcPr>
          <w:p>
            <w:pPr>
              <w:jc w:val="center"/>
              <w:ind w:right="200"/>
              <w:spacing w:after="0" w:line="99" w:lineRule="exact"/>
              <w:rPr>
                <w:sz w:val="20"/>
                <w:szCs w:val="20"/>
                <w:color w:val="auto"/>
              </w:rPr>
            </w:pPr>
            <w:r>
              <w:rPr>
                <w:rFonts w:ascii="Arial" w:cs="Arial" w:eastAsia="Arial" w:hAnsi="Arial"/>
                <w:sz w:val="9"/>
                <w:szCs w:val="9"/>
                <w:b w:val="1"/>
                <w:bCs w:val="1"/>
                <w:color w:val="auto"/>
                <w:w w:val="88"/>
              </w:rPr>
              <w:t>Inputs</w:t>
            </w:r>
          </w:p>
        </w:tc>
      </w:tr>
      <w:tr>
        <w:trPr>
          <w:trHeight w:val="108"/>
        </w:trPr>
        <w:tc>
          <w:tcPr>
            <w:tcW w:w="6880" w:type="dxa"/>
            <w:vAlign w:val="bottom"/>
          </w:tcPr>
          <w:p>
            <w:pPr>
              <w:spacing w:after="0"/>
              <w:rPr>
                <w:sz w:val="9"/>
                <w:szCs w:val="9"/>
                <w:color w:val="auto"/>
              </w:rPr>
            </w:pPr>
          </w:p>
        </w:tc>
        <w:tc>
          <w:tcPr>
            <w:tcW w:w="140" w:type="dxa"/>
            <w:vAlign w:val="bottom"/>
          </w:tcPr>
          <w:p>
            <w:pPr>
              <w:spacing w:after="0"/>
              <w:rPr>
                <w:sz w:val="9"/>
                <w:szCs w:val="9"/>
                <w:color w:val="auto"/>
              </w:rPr>
            </w:pPr>
          </w:p>
        </w:tc>
        <w:tc>
          <w:tcPr>
            <w:tcW w:w="1140" w:type="dxa"/>
            <w:vAlign w:val="bottom"/>
            <w:gridSpan w:val="2"/>
          </w:tcPr>
          <w:p>
            <w:pPr>
              <w:jc w:val="center"/>
              <w:ind w:right="600"/>
              <w:spacing w:after="0"/>
              <w:rPr>
                <w:sz w:val="20"/>
                <w:szCs w:val="20"/>
                <w:color w:val="auto"/>
              </w:rPr>
            </w:pPr>
            <w:r>
              <w:rPr>
                <w:rFonts w:ascii="Arial" w:cs="Arial" w:eastAsia="Arial" w:hAnsi="Arial"/>
                <w:sz w:val="9"/>
                <w:szCs w:val="9"/>
                <w:b w:val="1"/>
                <w:bCs w:val="1"/>
                <w:color w:val="auto"/>
                <w:w w:val="91"/>
              </w:rPr>
              <w:t>Value</w:t>
            </w:r>
          </w:p>
        </w:tc>
        <w:tc>
          <w:tcPr>
            <w:tcW w:w="120" w:type="dxa"/>
            <w:vAlign w:val="bottom"/>
          </w:tcPr>
          <w:p>
            <w:pPr>
              <w:spacing w:after="0"/>
              <w:rPr>
                <w:sz w:val="9"/>
                <w:szCs w:val="9"/>
                <w:color w:val="auto"/>
              </w:rPr>
            </w:pPr>
          </w:p>
        </w:tc>
        <w:tc>
          <w:tcPr>
            <w:tcW w:w="540" w:type="dxa"/>
            <w:vAlign w:val="bottom"/>
          </w:tcPr>
          <w:p>
            <w:pPr>
              <w:jc w:val="center"/>
              <w:ind w:right="67"/>
              <w:spacing w:after="0"/>
              <w:rPr>
                <w:sz w:val="20"/>
                <w:szCs w:val="20"/>
                <w:color w:val="auto"/>
              </w:rPr>
            </w:pPr>
            <w:r>
              <w:rPr>
                <w:rFonts w:ascii="Arial" w:cs="Arial" w:eastAsia="Arial" w:hAnsi="Arial"/>
                <w:sz w:val="9"/>
                <w:szCs w:val="9"/>
                <w:b w:val="1"/>
                <w:bCs w:val="1"/>
                <w:color w:val="auto"/>
                <w:w w:val="92"/>
              </w:rPr>
              <w:t>(Level 1)</w:t>
            </w:r>
          </w:p>
        </w:tc>
        <w:tc>
          <w:tcPr>
            <w:tcW w:w="44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80" w:type="dxa"/>
            <w:vAlign w:val="bottom"/>
            <w:gridSpan w:val="2"/>
          </w:tcPr>
          <w:p>
            <w:pPr>
              <w:jc w:val="center"/>
              <w:ind w:right="500"/>
              <w:spacing w:after="0"/>
              <w:rPr>
                <w:sz w:val="20"/>
                <w:szCs w:val="20"/>
                <w:color w:val="auto"/>
              </w:rPr>
            </w:pPr>
            <w:r>
              <w:rPr>
                <w:rFonts w:ascii="Arial" w:cs="Arial" w:eastAsia="Arial" w:hAnsi="Arial"/>
                <w:sz w:val="9"/>
                <w:szCs w:val="9"/>
                <w:b w:val="1"/>
                <w:bCs w:val="1"/>
                <w:color w:val="auto"/>
                <w:w w:val="92"/>
              </w:rPr>
              <w:t>(Level 2)</w:t>
            </w: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0" w:type="dxa"/>
            <w:vAlign w:val="bottom"/>
            <w:gridSpan w:val="2"/>
          </w:tcPr>
          <w:p>
            <w:pPr>
              <w:jc w:val="center"/>
              <w:ind w:right="220"/>
              <w:spacing w:after="0"/>
              <w:rPr>
                <w:sz w:val="20"/>
                <w:szCs w:val="20"/>
                <w:color w:val="auto"/>
              </w:rPr>
            </w:pPr>
            <w:r>
              <w:rPr>
                <w:rFonts w:ascii="Arial" w:cs="Arial" w:eastAsia="Arial" w:hAnsi="Arial"/>
                <w:sz w:val="9"/>
                <w:szCs w:val="9"/>
                <w:b w:val="1"/>
                <w:bCs w:val="1"/>
                <w:color w:val="auto"/>
                <w:w w:val="92"/>
              </w:rPr>
              <w:t>(Level 3)</w:t>
            </w:r>
          </w:p>
        </w:tc>
      </w:tr>
      <w:tr>
        <w:trPr>
          <w:trHeight w:val="124"/>
        </w:trPr>
        <w:tc>
          <w:tcPr>
            <w:tcW w:w="6880" w:type="dxa"/>
            <w:vAlign w:val="bottom"/>
            <w:tcBorders>
              <w:top w:val="single" w:sz="8" w:color="CCEEFF"/>
            </w:tcBorders>
            <w:shd w:val="clear" w:color="auto" w:fill="CCEEFF"/>
          </w:tcPr>
          <w:p>
            <w:pPr>
              <w:spacing w:after="0" w:line="124" w:lineRule="exact"/>
              <w:rPr>
                <w:sz w:val="20"/>
                <w:szCs w:val="20"/>
                <w:color w:val="auto"/>
              </w:rPr>
            </w:pPr>
            <w:r>
              <w:rPr>
                <w:rFonts w:ascii="Arial" w:cs="Arial" w:eastAsia="Arial" w:hAnsi="Arial"/>
                <w:sz w:val="12"/>
                <w:szCs w:val="12"/>
                <w:b w:val="1"/>
                <w:bCs w:val="1"/>
                <w:color w:val="auto"/>
              </w:rPr>
              <w:t>As of September 30, 2013</w:t>
            </w:r>
          </w:p>
        </w:tc>
        <w:tc>
          <w:tcPr>
            <w:tcW w:w="140" w:type="dxa"/>
            <w:vAlign w:val="bottom"/>
            <w:tcBorders>
              <w:top w:val="single" w:sz="8" w:color="auto"/>
            </w:tcBorders>
            <w:shd w:val="clear" w:color="auto" w:fill="CCEEFF"/>
          </w:tcPr>
          <w:p>
            <w:pPr>
              <w:spacing w:after="0"/>
              <w:rPr>
                <w:sz w:val="10"/>
                <w:szCs w:val="10"/>
                <w:color w:val="auto"/>
              </w:rPr>
            </w:pPr>
          </w:p>
        </w:tc>
        <w:tc>
          <w:tcPr>
            <w:tcW w:w="700" w:type="dxa"/>
            <w:vAlign w:val="bottom"/>
            <w:tcBorders>
              <w:top w:val="single" w:sz="8" w:color="auto"/>
            </w:tcBorders>
            <w:shd w:val="clear" w:color="auto" w:fill="CCEEFF"/>
          </w:tcPr>
          <w:p>
            <w:pPr>
              <w:spacing w:after="0"/>
              <w:rPr>
                <w:sz w:val="10"/>
                <w:szCs w:val="10"/>
                <w:color w:val="auto"/>
              </w:rPr>
            </w:pPr>
          </w:p>
        </w:tc>
        <w:tc>
          <w:tcPr>
            <w:tcW w:w="440" w:type="dxa"/>
            <w:vAlign w:val="bottom"/>
            <w:tcBorders>
              <w:top w:val="single" w:sz="8" w:color="CCEEFF"/>
            </w:tcBorders>
            <w:shd w:val="clear" w:color="auto" w:fill="CCEEFF"/>
          </w:tcPr>
          <w:p>
            <w:pPr>
              <w:spacing w:after="0"/>
              <w:rPr>
                <w:sz w:val="10"/>
                <w:szCs w:val="10"/>
                <w:color w:val="auto"/>
              </w:rPr>
            </w:pPr>
          </w:p>
        </w:tc>
        <w:tc>
          <w:tcPr>
            <w:tcW w:w="120" w:type="dxa"/>
            <w:vAlign w:val="bottom"/>
            <w:tcBorders>
              <w:top w:val="single" w:sz="8" w:color="auto"/>
            </w:tcBorders>
            <w:shd w:val="clear" w:color="auto" w:fill="CCEEFF"/>
          </w:tcPr>
          <w:p>
            <w:pPr>
              <w:spacing w:after="0"/>
              <w:rPr>
                <w:sz w:val="10"/>
                <w:szCs w:val="10"/>
                <w:color w:val="auto"/>
              </w:rPr>
            </w:pPr>
          </w:p>
        </w:tc>
        <w:tc>
          <w:tcPr>
            <w:tcW w:w="540" w:type="dxa"/>
            <w:vAlign w:val="bottom"/>
            <w:tcBorders>
              <w:top w:val="single" w:sz="8" w:color="auto"/>
            </w:tcBorders>
            <w:shd w:val="clear" w:color="auto" w:fill="CCEEFF"/>
          </w:tcPr>
          <w:p>
            <w:pPr>
              <w:spacing w:after="0"/>
              <w:rPr>
                <w:sz w:val="10"/>
                <w:szCs w:val="10"/>
                <w:color w:val="auto"/>
              </w:rPr>
            </w:pPr>
          </w:p>
        </w:tc>
        <w:tc>
          <w:tcPr>
            <w:tcW w:w="440" w:type="dxa"/>
            <w:vAlign w:val="bottom"/>
            <w:tcBorders>
              <w:top w:val="single" w:sz="8" w:color="CCEEFF"/>
            </w:tcBorders>
            <w:shd w:val="clear" w:color="auto" w:fill="CCEEFF"/>
          </w:tcPr>
          <w:p>
            <w:pPr>
              <w:spacing w:after="0"/>
              <w:rPr>
                <w:sz w:val="10"/>
                <w:szCs w:val="10"/>
                <w:color w:val="auto"/>
              </w:rPr>
            </w:pPr>
          </w:p>
        </w:tc>
        <w:tc>
          <w:tcPr>
            <w:tcW w:w="140" w:type="dxa"/>
            <w:vAlign w:val="bottom"/>
            <w:tcBorders>
              <w:top w:val="single" w:sz="8" w:color="auto"/>
            </w:tcBorders>
            <w:shd w:val="clear" w:color="auto" w:fill="CCEEFF"/>
          </w:tcPr>
          <w:p>
            <w:pPr>
              <w:spacing w:after="0"/>
              <w:rPr>
                <w:sz w:val="10"/>
                <w:szCs w:val="10"/>
                <w:color w:val="auto"/>
              </w:rPr>
            </w:pPr>
          </w:p>
        </w:tc>
        <w:tc>
          <w:tcPr>
            <w:tcW w:w="720" w:type="dxa"/>
            <w:vAlign w:val="bottom"/>
            <w:tcBorders>
              <w:top w:val="single" w:sz="8" w:color="auto"/>
            </w:tcBorders>
            <w:shd w:val="clear" w:color="auto" w:fill="CCEEFF"/>
          </w:tcPr>
          <w:p>
            <w:pPr>
              <w:spacing w:after="0"/>
              <w:rPr>
                <w:sz w:val="10"/>
                <w:szCs w:val="10"/>
                <w:color w:val="auto"/>
              </w:rPr>
            </w:pPr>
          </w:p>
        </w:tc>
        <w:tc>
          <w:tcPr>
            <w:tcW w:w="360" w:type="dxa"/>
            <w:vAlign w:val="bottom"/>
            <w:tcBorders>
              <w:top w:val="single" w:sz="8" w:color="CCEEFF"/>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c>
          <w:tcPr>
            <w:tcW w:w="100" w:type="dxa"/>
            <w:vAlign w:val="bottom"/>
            <w:tcBorders>
              <w:top w:val="single" w:sz="8" w:color="auto"/>
            </w:tcBorders>
            <w:shd w:val="clear" w:color="auto" w:fill="CCEEFF"/>
          </w:tcPr>
          <w:p>
            <w:pPr>
              <w:spacing w:after="0"/>
              <w:rPr>
                <w:sz w:val="10"/>
                <w:szCs w:val="10"/>
                <w:color w:val="auto"/>
              </w:rPr>
            </w:pPr>
          </w:p>
        </w:tc>
        <w:tc>
          <w:tcPr>
            <w:tcW w:w="700" w:type="dxa"/>
            <w:vAlign w:val="bottom"/>
            <w:tcBorders>
              <w:top w:val="single" w:sz="8" w:color="auto"/>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r>
      <w:tr>
        <w:trPr>
          <w:trHeight w:val="144"/>
        </w:trPr>
        <w:tc>
          <w:tcPr>
            <w:tcW w:w="6880" w:type="dxa"/>
            <w:vAlign w:val="bottom"/>
          </w:tcPr>
          <w:p>
            <w:pPr>
              <w:spacing w:after="0"/>
              <w:rPr>
                <w:sz w:val="20"/>
                <w:szCs w:val="20"/>
                <w:color w:val="auto"/>
              </w:rPr>
            </w:pPr>
            <w:r>
              <w:rPr>
                <w:rFonts w:ascii="Arial" w:cs="Arial" w:eastAsia="Arial" w:hAnsi="Arial"/>
                <w:sz w:val="12"/>
                <w:szCs w:val="12"/>
                <w:color w:val="auto"/>
              </w:rPr>
              <w:t>Cash equivalents</w:t>
            </w:r>
          </w:p>
        </w:tc>
        <w:tc>
          <w:tcPr>
            <w:tcW w:w="140" w:type="dxa"/>
            <w:vAlign w:val="bottom"/>
          </w:tcPr>
          <w:p>
            <w:pPr>
              <w:jc w:val="right"/>
              <w:ind w:right="33"/>
              <w:spacing w:after="0"/>
              <w:rPr>
                <w:sz w:val="20"/>
                <w:szCs w:val="20"/>
                <w:color w:val="auto"/>
              </w:rPr>
            </w:pPr>
            <w:r>
              <w:rPr>
                <w:rFonts w:ascii="Arial" w:cs="Arial" w:eastAsia="Arial" w:hAnsi="Arial"/>
                <w:sz w:val="9"/>
                <w:szCs w:val="9"/>
                <w:color w:val="auto"/>
                <w:w w:val="78"/>
              </w:rPr>
              <w:t>$</w:t>
            </w:r>
          </w:p>
        </w:tc>
        <w:tc>
          <w:tcPr>
            <w:tcW w:w="700" w:type="dxa"/>
            <w:vAlign w:val="bottom"/>
          </w:tcPr>
          <w:p>
            <w:pPr>
              <w:jc w:val="right"/>
              <w:spacing w:after="0"/>
              <w:rPr>
                <w:sz w:val="20"/>
                <w:szCs w:val="20"/>
                <w:color w:val="auto"/>
              </w:rPr>
            </w:pPr>
            <w:r>
              <w:rPr>
                <w:rFonts w:ascii="Arial" w:cs="Arial" w:eastAsia="Arial" w:hAnsi="Arial"/>
                <w:sz w:val="12"/>
                <w:szCs w:val="12"/>
                <w:color w:val="auto"/>
              </w:rPr>
              <w:t>875,962</w:t>
            </w:r>
          </w:p>
        </w:tc>
        <w:tc>
          <w:tcPr>
            <w:tcW w:w="440" w:type="dxa"/>
            <w:vAlign w:val="bottom"/>
          </w:tcPr>
          <w:p>
            <w:pPr>
              <w:spacing w:after="0"/>
              <w:rPr>
                <w:sz w:val="12"/>
                <w:szCs w:val="12"/>
                <w:color w:val="auto"/>
              </w:rPr>
            </w:pPr>
          </w:p>
        </w:tc>
        <w:tc>
          <w:tcPr>
            <w:tcW w:w="120" w:type="dxa"/>
            <w:vAlign w:val="bottom"/>
          </w:tcPr>
          <w:p>
            <w:pPr>
              <w:jc w:val="right"/>
              <w:ind w:right="13"/>
              <w:spacing w:after="0"/>
              <w:rPr>
                <w:sz w:val="20"/>
                <w:szCs w:val="20"/>
                <w:color w:val="auto"/>
              </w:rPr>
            </w:pPr>
            <w:r>
              <w:rPr>
                <w:rFonts w:ascii="Arial" w:cs="Arial" w:eastAsia="Arial" w:hAnsi="Arial"/>
                <w:sz w:val="9"/>
                <w:szCs w:val="9"/>
                <w:color w:val="auto"/>
                <w:w w:val="78"/>
              </w:rPr>
              <w:t>$</w:t>
            </w:r>
          </w:p>
        </w:tc>
        <w:tc>
          <w:tcPr>
            <w:tcW w:w="540" w:type="dxa"/>
            <w:vAlign w:val="bottom"/>
          </w:tcPr>
          <w:p>
            <w:pPr>
              <w:jc w:val="right"/>
              <w:spacing w:after="0"/>
              <w:rPr>
                <w:sz w:val="20"/>
                <w:szCs w:val="20"/>
                <w:color w:val="auto"/>
              </w:rPr>
            </w:pPr>
            <w:r>
              <w:rPr>
                <w:rFonts w:ascii="Arial" w:cs="Arial" w:eastAsia="Arial" w:hAnsi="Arial"/>
                <w:sz w:val="12"/>
                <w:szCs w:val="12"/>
                <w:color w:val="auto"/>
              </w:rPr>
              <w:t>227,009</w:t>
            </w:r>
          </w:p>
        </w:tc>
        <w:tc>
          <w:tcPr>
            <w:tcW w:w="580" w:type="dxa"/>
            <w:vAlign w:val="bottom"/>
            <w:gridSpan w:val="2"/>
          </w:tcPr>
          <w:p>
            <w:pPr>
              <w:jc w:val="right"/>
              <w:ind w:right="80"/>
              <w:spacing w:after="0"/>
              <w:rPr>
                <w:sz w:val="20"/>
                <w:szCs w:val="20"/>
                <w:color w:val="auto"/>
              </w:rPr>
            </w:pPr>
            <w:r>
              <w:rPr>
                <w:rFonts w:ascii="Arial" w:cs="Arial" w:eastAsia="Arial" w:hAnsi="Arial"/>
                <w:sz w:val="12"/>
                <w:szCs w:val="12"/>
                <w:color w:val="auto"/>
              </w:rPr>
              <w:t>$</w:t>
            </w:r>
          </w:p>
        </w:tc>
        <w:tc>
          <w:tcPr>
            <w:tcW w:w="720" w:type="dxa"/>
            <w:vAlign w:val="bottom"/>
          </w:tcPr>
          <w:p>
            <w:pPr>
              <w:jc w:val="right"/>
              <w:spacing w:after="0"/>
              <w:rPr>
                <w:sz w:val="20"/>
                <w:szCs w:val="20"/>
                <w:color w:val="auto"/>
              </w:rPr>
            </w:pPr>
            <w:r>
              <w:rPr>
                <w:rFonts w:ascii="Arial" w:cs="Arial" w:eastAsia="Arial" w:hAnsi="Arial"/>
                <w:sz w:val="12"/>
                <w:szCs w:val="12"/>
                <w:color w:val="auto"/>
              </w:rPr>
              <w:t>648,953</w:t>
            </w:r>
          </w:p>
        </w:tc>
        <w:tc>
          <w:tcPr>
            <w:tcW w:w="360" w:type="dxa"/>
            <w:vAlign w:val="bottom"/>
          </w:tcPr>
          <w:p>
            <w:pPr>
              <w:spacing w:after="0"/>
              <w:rPr>
                <w:sz w:val="12"/>
                <w:szCs w:val="12"/>
                <w:color w:val="auto"/>
              </w:rPr>
            </w:pPr>
          </w:p>
        </w:tc>
        <w:tc>
          <w:tcPr>
            <w:tcW w:w="200" w:type="dxa"/>
            <w:vAlign w:val="bottom"/>
            <w:gridSpan w:val="2"/>
          </w:tcPr>
          <w:p>
            <w:pPr>
              <w:jc w:val="right"/>
              <w:ind w:right="40"/>
              <w:spacing w:after="0"/>
              <w:rPr>
                <w:sz w:val="20"/>
                <w:szCs w:val="20"/>
                <w:color w:val="auto"/>
              </w:rPr>
            </w:pPr>
            <w:r>
              <w:rPr>
                <w:rFonts w:ascii="Arial" w:cs="Arial" w:eastAsia="Arial" w:hAnsi="Arial"/>
                <w:sz w:val="12"/>
                <w:szCs w:val="12"/>
                <w:color w:val="auto"/>
              </w:rPr>
              <w:t>$</w:t>
            </w:r>
          </w:p>
        </w:tc>
        <w:tc>
          <w:tcPr>
            <w:tcW w:w="800" w:type="dxa"/>
            <w:vAlign w:val="bottom"/>
            <w:gridSpan w:val="2"/>
          </w:tcPr>
          <w:p>
            <w:pPr>
              <w:ind w:left="520"/>
              <w:spacing w:after="0"/>
              <w:rPr>
                <w:sz w:val="20"/>
                <w:szCs w:val="20"/>
                <w:color w:val="auto"/>
              </w:rPr>
            </w:pPr>
            <w:r>
              <w:rPr>
                <w:rFonts w:ascii="Arial" w:cs="Arial" w:eastAsia="Arial" w:hAnsi="Arial"/>
                <w:sz w:val="12"/>
                <w:szCs w:val="12"/>
                <w:color w:val="auto"/>
              </w:rPr>
              <w:t>—</w:t>
            </w:r>
          </w:p>
        </w:tc>
      </w:tr>
      <w:tr>
        <w:trPr>
          <w:trHeight w:val="144"/>
        </w:trPr>
        <w:tc>
          <w:tcPr>
            <w:tcW w:w="6880" w:type="dxa"/>
            <w:vAlign w:val="bottom"/>
            <w:shd w:val="clear" w:color="auto" w:fill="CCEEFF"/>
          </w:tcPr>
          <w:p>
            <w:pPr>
              <w:spacing w:after="0"/>
              <w:rPr>
                <w:sz w:val="20"/>
                <w:szCs w:val="20"/>
                <w:color w:val="auto"/>
              </w:rPr>
            </w:pPr>
            <w:r>
              <w:rPr>
                <w:rFonts w:ascii="Arial" w:cs="Arial" w:eastAsia="Arial" w:hAnsi="Arial"/>
                <w:sz w:val="12"/>
                <w:szCs w:val="12"/>
                <w:color w:val="auto"/>
              </w:rPr>
              <w:t>Restricted cash and available-for-sale securities</w:t>
            </w:r>
          </w:p>
        </w:tc>
        <w:tc>
          <w:tcPr>
            <w:tcW w:w="140" w:type="dxa"/>
            <w:vAlign w:val="bottom"/>
            <w:shd w:val="clear" w:color="auto" w:fill="CCEEFF"/>
          </w:tcPr>
          <w:p>
            <w:pPr>
              <w:jc w:val="right"/>
              <w:ind w:right="33"/>
              <w:spacing w:after="0"/>
              <w:rPr>
                <w:sz w:val="20"/>
                <w:szCs w:val="20"/>
                <w:color w:val="auto"/>
              </w:rPr>
            </w:pPr>
            <w:r>
              <w:rPr>
                <w:rFonts w:ascii="Arial" w:cs="Arial" w:eastAsia="Arial" w:hAnsi="Arial"/>
                <w:sz w:val="9"/>
                <w:szCs w:val="9"/>
                <w:color w:val="auto"/>
                <w:w w:val="78"/>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698,695</w:t>
            </w:r>
          </w:p>
        </w:tc>
        <w:tc>
          <w:tcPr>
            <w:tcW w:w="440" w:type="dxa"/>
            <w:vAlign w:val="bottom"/>
            <w:shd w:val="clear" w:color="auto" w:fill="CCEEFF"/>
          </w:tcPr>
          <w:p>
            <w:pPr>
              <w:spacing w:after="0"/>
              <w:rPr>
                <w:sz w:val="12"/>
                <w:szCs w:val="12"/>
                <w:color w:val="auto"/>
              </w:rPr>
            </w:pPr>
          </w:p>
        </w:tc>
        <w:tc>
          <w:tcPr>
            <w:tcW w:w="120" w:type="dxa"/>
            <w:vAlign w:val="bottom"/>
            <w:shd w:val="clear" w:color="auto" w:fill="CCEEFF"/>
          </w:tcPr>
          <w:p>
            <w:pPr>
              <w:jc w:val="right"/>
              <w:ind w:right="13"/>
              <w:spacing w:after="0"/>
              <w:rPr>
                <w:sz w:val="20"/>
                <w:szCs w:val="20"/>
                <w:color w:val="auto"/>
              </w:rPr>
            </w:pPr>
            <w:r>
              <w:rPr>
                <w:rFonts w:ascii="Arial" w:cs="Arial" w:eastAsia="Arial" w:hAnsi="Arial"/>
                <w:sz w:val="9"/>
                <w:szCs w:val="9"/>
                <w:color w:val="auto"/>
                <w:w w:val="78"/>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243,038</w:t>
            </w:r>
          </w:p>
        </w:tc>
        <w:tc>
          <w:tcPr>
            <w:tcW w:w="58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455,657</w:t>
            </w:r>
          </w:p>
        </w:tc>
        <w:tc>
          <w:tcPr>
            <w:tcW w:w="360" w:type="dxa"/>
            <w:vAlign w:val="bottom"/>
            <w:shd w:val="clear" w:color="auto" w:fill="CCEEFF"/>
          </w:tcPr>
          <w:p>
            <w:pPr>
              <w:spacing w:after="0"/>
              <w:rPr>
                <w:sz w:val="12"/>
                <w:szCs w:val="12"/>
                <w:color w:val="auto"/>
              </w:rPr>
            </w:pPr>
          </w:p>
        </w:tc>
        <w:tc>
          <w:tcPr>
            <w:tcW w:w="20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w:t>
            </w:r>
          </w:p>
        </w:tc>
        <w:tc>
          <w:tcPr>
            <w:tcW w:w="800" w:type="dxa"/>
            <w:vAlign w:val="bottom"/>
            <w:gridSpan w:val="2"/>
            <w:shd w:val="clear" w:color="auto" w:fill="CCEEFF"/>
          </w:tcPr>
          <w:p>
            <w:pPr>
              <w:ind w:left="520"/>
              <w:spacing w:after="0"/>
              <w:rPr>
                <w:sz w:val="20"/>
                <w:szCs w:val="20"/>
                <w:color w:val="auto"/>
              </w:rPr>
            </w:pPr>
            <w:r>
              <w:rPr>
                <w:rFonts w:ascii="Arial" w:cs="Arial" w:eastAsia="Arial" w:hAnsi="Arial"/>
                <w:sz w:val="12"/>
                <w:szCs w:val="12"/>
                <w:color w:val="auto"/>
              </w:rPr>
              <w:t>—</w:t>
            </w:r>
          </w:p>
        </w:tc>
      </w:tr>
      <w:tr>
        <w:trPr>
          <w:trHeight w:val="144"/>
        </w:trPr>
        <w:tc>
          <w:tcPr>
            <w:tcW w:w="6880" w:type="dxa"/>
            <w:vAlign w:val="bottom"/>
          </w:tcPr>
          <w:p>
            <w:pPr>
              <w:spacing w:after="0"/>
              <w:rPr>
                <w:sz w:val="20"/>
                <w:szCs w:val="20"/>
                <w:color w:val="auto"/>
              </w:rPr>
            </w:pPr>
            <w:r>
              <w:rPr>
                <w:rFonts w:ascii="Arial" w:cs="Arial" w:eastAsia="Arial" w:hAnsi="Arial"/>
                <w:sz w:val="12"/>
                <w:szCs w:val="12"/>
                <w:color w:val="auto"/>
              </w:rPr>
              <w:t>Redemption Price Promissory Note</w:t>
            </w:r>
          </w:p>
        </w:tc>
        <w:tc>
          <w:tcPr>
            <w:tcW w:w="140" w:type="dxa"/>
            <w:vAlign w:val="bottom"/>
          </w:tcPr>
          <w:p>
            <w:pPr>
              <w:jc w:val="right"/>
              <w:ind w:right="33"/>
              <w:spacing w:after="0"/>
              <w:rPr>
                <w:sz w:val="20"/>
                <w:szCs w:val="20"/>
                <w:color w:val="auto"/>
              </w:rPr>
            </w:pPr>
            <w:r>
              <w:rPr>
                <w:rFonts w:ascii="Arial" w:cs="Arial" w:eastAsia="Arial" w:hAnsi="Arial"/>
                <w:sz w:val="9"/>
                <w:szCs w:val="9"/>
                <w:color w:val="auto"/>
                <w:w w:val="78"/>
              </w:rPr>
              <w:t>$</w:t>
            </w:r>
          </w:p>
        </w:tc>
        <w:tc>
          <w:tcPr>
            <w:tcW w:w="1140" w:type="dxa"/>
            <w:vAlign w:val="bottom"/>
            <w:gridSpan w:val="2"/>
          </w:tcPr>
          <w:p>
            <w:pPr>
              <w:jc w:val="right"/>
              <w:ind w:right="400"/>
              <w:spacing w:after="0"/>
              <w:rPr>
                <w:sz w:val="20"/>
                <w:szCs w:val="20"/>
                <w:color w:val="auto"/>
              </w:rPr>
            </w:pPr>
            <w:r>
              <w:rPr>
                <w:rFonts w:ascii="Arial" w:cs="Arial" w:eastAsia="Arial" w:hAnsi="Arial"/>
                <w:sz w:val="12"/>
                <w:szCs w:val="12"/>
                <w:color w:val="auto"/>
              </w:rPr>
              <w:t>(1,936,443)</w:t>
            </w:r>
          </w:p>
        </w:tc>
        <w:tc>
          <w:tcPr>
            <w:tcW w:w="120" w:type="dxa"/>
            <w:vAlign w:val="bottom"/>
          </w:tcPr>
          <w:p>
            <w:pPr>
              <w:jc w:val="right"/>
              <w:ind w:right="13"/>
              <w:spacing w:after="0"/>
              <w:rPr>
                <w:sz w:val="20"/>
                <w:szCs w:val="20"/>
                <w:color w:val="auto"/>
              </w:rPr>
            </w:pPr>
            <w:r>
              <w:rPr>
                <w:rFonts w:ascii="Arial" w:cs="Arial" w:eastAsia="Arial" w:hAnsi="Arial"/>
                <w:sz w:val="9"/>
                <w:szCs w:val="9"/>
                <w:color w:val="auto"/>
                <w:w w:val="78"/>
              </w:rPr>
              <w:t>$</w:t>
            </w:r>
          </w:p>
        </w:tc>
        <w:tc>
          <w:tcPr>
            <w:tcW w:w="540" w:type="dxa"/>
            <w:vAlign w:val="bottom"/>
          </w:tcPr>
          <w:p>
            <w:pPr>
              <w:jc w:val="right"/>
              <w:ind w:right="7"/>
              <w:spacing w:after="0"/>
              <w:rPr>
                <w:sz w:val="20"/>
                <w:szCs w:val="20"/>
                <w:color w:val="auto"/>
              </w:rPr>
            </w:pPr>
            <w:r>
              <w:rPr>
                <w:rFonts w:ascii="Arial" w:cs="Arial" w:eastAsia="Arial" w:hAnsi="Arial"/>
                <w:sz w:val="12"/>
                <w:szCs w:val="12"/>
                <w:color w:val="auto"/>
              </w:rPr>
              <w:t>—</w:t>
            </w:r>
          </w:p>
        </w:tc>
        <w:tc>
          <w:tcPr>
            <w:tcW w:w="580" w:type="dxa"/>
            <w:vAlign w:val="bottom"/>
            <w:gridSpan w:val="2"/>
          </w:tcPr>
          <w:p>
            <w:pPr>
              <w:jc w:val="right"/>
              <w:ind w:right="80"/>
              <w:spacing w:after="0"/>
              <w:rPr>
                <w:sz w:val="20"/>
                <w:szCs w:val="20"/>
                <w:color w:val="auto"/>
              </w:rPr>
            </w:pPr>
            <w:r>
              <w:rPr>
                <w:rFonts w:ascii="Arial" w:cs="Arial" w:eastAsia="Arial" w:hAnsi="Arial"/>
                <w:sz w:val="12"/>
                <w:szCs w:val="12"/>
                <w:color w:val="auto"/>
              </w:rPr>
              <w:t>$</w:t>
            </w:r>
          </w:p>
        </w:tc>
        <w:tc>
          <w:tcPr>
            <w:tcW w:w="1080" w:type="dxa"/>
            <w:vAlign w:val="bottom"/>
            <w:gridSpan w:val="2"/>
          </w:tcPr>
          <w:p>
            <w:pPr>
              <w:jc w:val="right"/>
              <w:ind w:right="320"/>
              <w:spacing w:after="0"/>
              <w:rPr>
                <w:sz w:val="20"/>
                <w:szCs w:val="20"/>
                <w:color w:val="auto"/>
              </w:rPr>
            </w:pPr>
            <w:r>
              <w:rPr>
                <w:rFonts w:ascii="Arial" w:cs="Arial" w:eastAsia="Arial" w:hAnsi="Arial"/>
                <w:sz w:val="12"/>
                <w:szCs w:val="12"/>
                <w:color w:val="auto"/>
              </w:rPr>
              <w:t>(1,936,443)</w:t>
            </w:r>
          </w:p>
        </w:tc>
        <w:tc>
          <w:tcPr>
            <w:tcW w:w="200" w:type="dxa"/>
            <w:vAlign w:val="bottom"/>
            <w:gridSpan w:val="2"/>
          </w:tcPr>
          <w:p>
            <w:pPr>
              <w:jc w:val="right"/>
              <w:ind w:right="40"/>
              <w:spacing w:after="0"/>
              <w:rPr>
                <w:sz w:val="20"/>
                <w:szCs w:val="20"/>
                <w:color w:val="auto"/>
              </w:rPr>
            </w:pPr>
            <w:r>
              <w:rPr>
                <w:rFonts w:ascii="Arial" w:cs="Arial" w:eastAsia="Arial" w:hAnsi="Arial"/>
                <w:sz w:val="12"/>
                <w:szCs w:val="12"/>
                <w:color w:val="auto"/>
              </w:rPr>
              <w:t>$</w:t>
            </w:r>
          </w:p>
        </w:tc>
        <w:tc>
          <w:tcPr>
            <w:tcW w:w="800" w:type="dxa"/>
            <w:vAlign w:val="bottom"/>
            <w:gridSpan w:val="2"/>
          </w:tcPr>
          <w:p>
            <w:pPr>
              <w:ind w:left="520"/>
              <w:spacing w:after="0"/>
              <w:rPr>
                <w:sz w:val="20"/>
                <w:szCs w:val="20"/>
                <w:color w:val="auto"/>
              </w:rPr>
            </w:pPr>
            <w:r>
              <w:rPr>
                <w:rFonts w:ascii="Arial" w:cs="Arial" w:eastAsia="Arial" w:hAnsi="Arial"/>
                <w:sz w:val="12"/>
                <w:szCs w:val="12"/>
                <w:color w:val="auto"/>
              </w:rPr>
              <w:t>—</w:t>
            </w:r>
          </w:p>
        </w:tc>
      </w:tr>
      <w:tr>
        <w:trPr>
          <w:trHeight w:val="144"/>
        </w:trPr>
        <w:tc>
          <w:tcPr>
            <w:tcW w:w="6880" w:type="dxa"/>
            <w:vAlign w:val="bottom"/>
            <w:shd w:val="clear" w:color="auto" w:fill="CCEEFF"/>
          </w:tcPr>
          <w:p>
            <w:pPr>
              <w:spacing w:after="0"/>
              <w:rPr>
                <w:sz w:val="20"/>
                <w:szCs w:val="20"/>
                <w:color w:val="auto"/>
              </w:rPr>
            </w:pPr>
            <w:r>
              <w:rPr>
                <w:rFonts w:ascii="Arial" w:cs="Arial" w:eastAsia="Arial" w:hAnsi="Arial"/>
                <w:sz w:val="12"/>
                <w:szCs w:val="12"/>
                <w:color w:val="auto"/>
              </w:rPr>
              <w:t>Interest rate swaps</w:t>
            </w:r>
          </w:p>
        </w:tc>
        <w:tc>
          <w:tcPr>
            <w:tcW w:w="140" w:type="dxa"/>
            <w:vAlign w:val="bottom"/>
            <w:shd w:val="clear" w:color="auto" w:fill="CCEEFF"/>
          </w:tcPr>
          <w:p>
            <w:pPr>
              <w:jc w:val="right"/>
              <w:ind w:right="33"/>
              <w:spacing w:after="0"/>
              <w:rPr>
                <w:sz w:val="20"/>
                <w:szCs w:val="20"/>
                <w:color w:val="auto"/>
              </w:rPr>
            </w:pPr>
            <w:r>
              <w:rPr>
                <w:rFonts w:ascii="Arial" w:cs="Arial" w:eastAsia="Arial" w:hAnsi="Arial"/>
                <w:sz w:val="9"/>
                <w:szCs w:val="9"/>
                <w:color w:val="auto"/>
                <w:w w:val="78"/>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9,203</w:t>
            </w:r>
          </w:p>
        </w:tc>
        <w:tc>
          <w:tcPr>
            <w:tcW w:w="440" w:type="dxa"/>
            <w:vAlign w:val="bottom"/>
            <w:shd w:val="clear" w:color="auto" w:fill="CCEEFF"/>
          </w:tcPr>
          <w:p>
            <w:pPr>
              <w:spacing w:after="0"/>
              <w:rPr>
                <w:sz w:val="12"/>
                <w:szCs w:val="12"/>
                <w:color w:val="auto"/>
              </w:rPr>
            </w:pPr>
          </w:p>
        </w:tc>
        <w:tc>
          <w:tcPr>
            <w:tcW w:w="120" w:type="dxa"/>
            <w:vAlign w:val="bottom"/>
            <w:shd w:val="clear" w:color="auto" w:fill="CCEEFF"/>
          </w:tcPr>
          <w:p>
            <w:pPr>
              <w:jc w:val="right"/>
              <w:ind w:right="13"/>
              <w:spacing w:after="0"/>
              <w:rPr>
                <w:sz w:val="20"/>
                <w:szCs w:val="20"/>
                <w:color w:val="auto"/>
              </w:rPr>
            </w:pPr>
            <w:r>
              <w:rPr>
                <w:rFonts w:ascii="Arial" w:cs="Arial" w:eastAsia="Arial" w:hAnsi="Arial"/>
                <w:sz w:val="9"/>
                <w:szCs w:val="9"/>
                <w:color w:val="auto"/>
                <w:w w:val="78"/>
              </w:rPr>
              <w:t>$</w:t>
            </w:r>
          </w:p>
        </w:tc>
        <w:tc>
          <w:tcPr>
            <w:tcW w:w="540" w:type="dxa"/>
            <w:vAlign w:val="bottom"/>
            <w:shd w:val="clear" w:color="auto" w:fill="CCEEFF"/>
          </w:tcPr>
          <w:p>
            <w:pPr>
              <w:jc w:val="right"/>
              <w:ind w:right="7"/>
              <w:spacing w:after="0"/>
              <w:rPr>
                <w:sz w:val="20"/>
                <w:szCs w:val="20"/>
                <w:color w:val="auto"/>
              </w:rPr>
            </w:pPr>
            <w:r>
              <w:rPr>
                <w:rFonts w:ascii="Arial" w:cs="Arial" w:eastAsia="Arial" w:hAnsi="Arial"/>
                <w:sz w:val="12"/>
                <w:szCs w:val="12"/>
                <w:color w:val="auto"/>
              </w:rPr>
              <w:t>—</w:t>
            </w:r>
          </w:p>
        </w:tc>
        <w:tc>
          <w:tcPr>
            <w:tcW w:w="58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9,203</w:t>
            </w:r>
          </w:p>
        </w:tc>
        <w:tc>
          <w:tcPr>
            <w:tcW w:w="360" w:type="dxa"/>
            <w:vAlign w:val="bottom"/>
            <w:shd w:val="clear" w:color="auto" w:fill="CCEEFF"/>
          </w:tcPr>
          <w:p>
            <w:pPr>
              <w:spacing w:after="0"/>
              <w:rPr>
                <w:sz w:val="12"/>
                <w:szCs w:val="12"/>
                <w:color w:val="auto"/>
              </w:rPr>
            </w:pPr>
          </w:p>
        </w:tc>
        <w:tc>
          <w:tcPr>
            <w:tcW w:w="20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w:t>
            </w:r>
          </w:p>
        </w:tc>
        <w:tc>
          <w:tcPr>
            <w:tcW w:w="800" w:type="dxa"/>
            <w:vAlign w:val="bottom"/>
            <w:gridSpan w:val="2"/>
            <w:shd w:val="clear" w:color="auto" w:fill="CCEEFF"/>
          </w:tcPr>
          <w:p>
            <w:pPr>
              <w:ind w:left="520"/>
              <w:spacing w:after="0"/>
              <w:rPr>
                <w:sz w:val="20"/>
                <w:szCs w:val="20"/>
                <w:color w:val="auto"/>
              </w:rPr>
            </w:pPr>
            <w:r>
              <w:rPr>
                <w:rFonts w:ascii="Arial" w:cs="Arial" w:eastAsia="Arial" w:hAnsi="Arial"/>
                <w:sz w:val="12"/>
                <w:szCs w:val="12"/>
                <w:color w:val="auto"/>
              </w:rPr>
              <w:t>—</w:t>
            </w:r>
          </w:p>
        </w:tc>
      </w:tr>
      <w:tr>
        <w:trPr>
          <w:trHeight w:val="214"/>
        </w:trPr>
        <w:tc>
          <w:tcPr>
            <w:tcW w:w="6880" w:type="dxa"/>
            <w:vAlign w:val="bottom"/>
          </w:tcPr>
          <w:p>
            <w:pPr>
              <w:spacing w:after="0"/>
              <w:rPr>
                <w:sz w:val="20"/>
                <w:szCs w:val="20"/>
                <w:color w:val="auto"/>
              </w:rPr>
            </w:pPr>
            <w:r>
              <w:rPr>
                <w:rFonts w:ascii="Arial" w:cs="Arial" w:eastAsia="Arial" w:hAnsi="Arial"/>
                <w:sz w:val="12"/>
                <w:szCs w:val="12"/>
                <w:b w:val="1"/>
                <w:bCs w:val="1"/>
                <w:color w:val="auto"/>
              </w:rPr>
              <w:t>As of December 31, 2012</w:t>
            </w: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146"/>
        </w:trPr>
        <w:tc>
          <w:tcPr>
            <w:tcW w:w="6880" w:type="dxa"/>
            <w:vAlign w:val="bottom"/>
            <w:shd w:val="clear" w:color="auto" w:fill="CCEEFF"/>
          </w:tcPr>
          <w:p>
            <w:pPr>
              <w:spacing w:after="0"/>
              <w:rPr>
                <w:sz w:val="20"/>
                <w:szCs w:val="20"/>
                <w:color w:val="auto"/>
              </w:rPr>
            </w:pPr>
            <w:r>
              <w:rPr>
                <w:rFonts w:ascii="Arial" w:cs="Arial" w:eastAsia="Arial" w:hAnsi="Arial"/>
                <w:sz w:val="12"/>
                <w:szCs w:val="12"/>
                <w:color w:val="auto"/>
              </w:rPr>
              <w:t>Cash equivalents</w:t>
            </w:r>
          </w:p>
        </w:tc>
        <w:tc>
          <w:tcPr>
            <w:tcW w:w="140" w:type="dxa"/>
            <w:vAlign w:val="bottom"/>
            <w:shd w:val="clear" w:color="auto" w:fill="CCEEFF"/>
          </w:tcPr>
          <w:p>
            <w:pPr>
              <w:jc w:val="right"/>
              <w:ind w:right="33"/>
              <w:spacing w:after="0"/>
              <w:rPr>
                <w:sz w:val="20"/>
                <w:szCs w:val="20"/>
                <w:color w:val="auto"/>
              </w:rPr>
            </w:pPr>
            <w:r>
              <w:rPr>
                <w:rFonts w:ascii="Arial" w:cs="Arial" w:eastAsia="Arial" w:hAnsi="Arial"/>
                <w:sz w:val="9"/>
                <w:szCs w:val="9"/>
                <w:color w:val="auto"/>
                <w:w w:val="78"/>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969,166</w:t>
            </w:r>
          </w:p>
        </w:tc>
        <w:tc>
          <w:tcPr>
            <w:tcW w:w="440" w:type="dxa"/>
            <w:vAlign w:val="bottom"/>
            <w:shd w:val="clear" w:color="auto" w:fill="CCEEFF"/>
          </w:tcPr>
          <w:p>
            <w:pPr>
              <w:spacing w:after="0"/>
              <w:rPr>
                <w:sz w:val="12"/>
                <w:szCs w:val="12"/>
                <w:color w:val="auto"/>
              </w:rPr>
            </w:pPr>
          </w:p>
        </w:tc>
        <w:tc>
          <w:tcPr>
            <w:tcW w:w="120" w:type="dxa"/>
            <w:vAlign w:val="bottom"/>
            <w:shd w:val="clear" w:color="auto" w:fill="CCEEFF"/>
          </w:tcPr>
          <w:p>
            <w:pPr>
              <w:jc w:val="right"/>
              <w:ind w:right="13"/>
              <w:spacing w:after="0"/>
              <w:rPr>
                <w:sz w:val="20"/>
                <w:szCs w:val="20"/>
                <w:color w:val="auto"/>
              </w:rPr>
            </w:pPr>
            <w:r>
              <w:rPr>
                <w:rFonts w:ascii="Arial" w:cs="Arial" w:eastAsia="Arial" w:hAnsi="Arial"/>
                <w:sz w:val="9"/>
                <w:szCs w:val="9"/>
                <w:color w:val="auto"/>
                <w:w w:val="78"/>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80,434</w:t>
            </w:r>
          </w:p>
        </w:tc>
        <w:tc>
          <w:tcPr>
            <w:tcW w:w="58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888,732</w:t>
            </w:r>
          </w:p>
        </w:tc>
        <w:tc>
          <w:tcPr>
            <w:tcW w:w="360" w:type="dxa"/>
            <w:vAlign w:val="bottom"/>
            <w:shd w:val="clear" w:color="auto" w:fill="CCEEFF"/>
          </w:tcPr>
          <w:p>
            <w:pPr>
              <w:spacing w:after="0"/>
              <w:rPr>
                <w:sz w:val="12"/>
                <w:szCs w:val="12"/>
                <w:color w:val="auto"/>
              </w:rPr>
            </w:pPr>
          </w:p>
        </w:tc>
        <w:tc>
          <w:tcPr>
            <w:tcW w:w="20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w:t>
            </w:r>
          </w:p>
        </w:tc>
        <w:tc>
          <w:tcPr>
            <w:tcW w:w="800" w:type="dxa"/>
            <w:vAlign w:val="bottom"/>
            <w:gridSpan w:val="2"/>
            <w:shd w:val="clear" w:color="auto" w:fill="CCEEFF"/>
          </w:tcPr>
          <w:p>
            <w:pPr>
              <w:ind w:left="520"/>
              <w:spacing w:after="0"/>
              <w:rPr>
                <w:sz w:val="20"/>
                <w:szCs w:val="20"/>
                <w:color w:val="auto"/>
              </w:rPr>
            </w:pPr>
            <w:r>
              <w:rPr>
                <w:rFonts w:ascii="Arial" w:cs="Arial" w:eastAsia="Arial" w:hAnsi="Arial"/>
                <w:sz w:val="12"/>
                <w:szCs w:val="12"/>
                <w:color w:val="auto"/>
              </w:rPr>
              <w:t>—</w:t>
            </w:r>
          </w:p>
        </w:tc>
      </w:tr>
      <w:tr>
        <w:trPr>
          <w:trHeight w:val="144"/>
        </w:trPr>
        <w:tc>
          <w:tcPr>
            <w:tcW w:w="6880" w:type="dxa"/>
            <w:vAlign w:val="bottom"/>
          </w:tcPr>
          <w:p>
            <w:pPr>
              <w:spacing w:after="0"/>
              <w:rPr>
                <w:sz w:val="20"/>
                <w:szCs w:val="20"/>
                <w:color w:val="auto"/>
              </w:rPr>
            </w:pPr>
            <w:r>
              <w:rPr>
                <w:rFonts w:ascii="Arial" w:cs="Arial" w:eastAsia="Arial" w:hAnsi="Arial"/>
                <w:sz w:val="12"/>
                <w:szCs w:val="12"/>
                <w:color w:val="auto"/>
              </w:rPr>
              <w:t>Restricted cash and available-for-sale securities</w:t>
            </w:r>
          </w:p>
        </w:tc>
        <w:tc>
          <w:tcPr>
            <w:tcW w:w="140" w:type="dxa"/>
            <w:vAlign w:val="bottom"/>
          </w:tcPr>
          <w:p>
            <w:pPr>
              <w:jc w:val="right"/>
              <w:ind w:right="33"/>
              <w:spacing w:after="0"/>
              <w:rPr>
                <w:sz w:val="20"/>
                <w:szCs w:val="20"/>
                <w:color w:val="auto"/>
              </w:rPr>
            </w:pPr>
            <w:r>
              <w:rPr>
                <w:rFonts w:ascii="Arial" w:cs="Arial" w:eastAsia="Arial" w:hAnsi="Arial"/>
                <w:sz w:val="9"/>
                <w:szCs w:val="9"/>
                <w:color w:val="auto"/>
                <w:w w:val="78"/>
              </w:rPr>
              <w:t>$</w:t>
            </w:r>
          </w:p>
        </w:tc>
        <w:tc>
          <w:tcPr>
            <w:tcW w:w="700" w:type="dxa"/>
            <w:vAlign w:val="bottom"/>
          </w:tcPr>
          <w:p>
            <w:pPr>
              <w:jc w:val="right"/>
              <w:spacing w:after="0"/>
              <w:rPr>
                <w:sz w:val="20"/>
                <w:szCs w:val="20"/>
                <w:color w:val="auto"/>
              </w:rPr>
            </w:pPr>
            <w:r>
              <w:rPr>
                <w:rFonts w:ascii="Arial" w:cs="Arial" w:eastAsia="Arial" w:hAnsi="Arial"/>
                <w:sz w:val="12"/>
                <w:szCs w:val="12"/>
                <w:color w:val="auto"/>
              </w:rPr>
              <w:t>279,221</w:t>
            </w:r>
          </w:p>
        </w:tc>
        <w:tc>
          <w:tcPr>
            <w:tcW w:w="440" w:type="dxa"/>
            <w:vAlign w:val="bottom"/>
          </w:tcPr>
          <w:p>
            <w:pPr>
              <w:spacing w:after="0"/>
              <w:rPr>
                <w:sz w:val="12"/>
                <w:szCs w:val="12"/>
                <w:color w:val="auto"/>
              </w:rPr>
            </w:pPr>
          </w:p>
        </w:tc>
        <w:tc>
          <w:tcPr>
            <w:tcW w:w="120" w:type="dxa"/>
            <w:vAlign w:val="bottom"/>
          </w:tcPr>
          <w:p>
            <w:pPr>
              <w:jc w:val="right"/>
              <w:ind w:right="13"/>
              <w:spacing w:after="0"/>
              <w:rPr>
                <w:sz w:val="20"/>
                <w:szCs w:val="20"/>
                <w:color w:val="auto"/>
              </w:rPr>
            </w:pPr>
            <w:r>
              <w:rPr>
                <w:rFonts w:ascii="Arial" w:cs="Arial" w:eastAsia="Arial" w:hAnsi="Arial"/>
                <w:sz w:val="9"/>
                <w:szCs w:val="9"/>
                <w:color w:val="auto"/>
                <w:w w:val="78"/>
              </w:rPr>
              <w:t>$</w:t>
            </w:r>
          </w:p>
        </w:tc>
        <w:tc>
          <w:tcPr>
            <w:tcW w:w="540" w:type="dxa"/>
            <w:vAlign w:val="bottom"/>
          </w:tcPr>
          <w:p>
            <w:pPr>
              <w:jc w:val="right"/>
              <w:ind w:right="7"/>
              <w:spacing w:after="0"/>
              <w:rPr>
                <w:sz w:val="20"/>
                <w:szCs w:val="20"/>
                <w:color w:val="auto"/>
              </w:rPr>
            </w:pPr>
            <w:r>
              <w:rPr>
                <w:rFonts w:ascii="Arial" w:cs="Arial" w:eastAsia="Arial" w:hAnsi="Arial"/>
                <w:sz w:val="12"/>
                <w:szCs w:val="12"/>
                <w:color w:val="auto"/>
              </w:rPr>
              <w:t>—</w:t>
            </w:r>
          </w:p>
        </w:tc>
        <w:tc>
          <w:tcPr>
            <w:tcW w:w="580" w:type="dxa"/>
            <w:vAlign w:val="bottom"/>
            <w:gridSpan w:val="2"/>
          </w:tcPr>
          <w:p>
            <w:pPr>
              <w:jc w:val="right"/>
              <w:ind w:right="80"/>
              <w:spacing w:after="0"/>
              <w:rPr>
                <w:sz w:val="20"/>
                <w:szCs w:val="20"/>
                <w:color w:val="auto"/>
              </w:rPr>
            </w:pPr>
            <w:r>
              <w:rPr>
                <w:rFonts w:ascii="Arial" w:cs="Arial" w:eastAsia="Arial" w:hAnsi="Arial"/>
                <w:sz w:val="12"/>
                <w:szCs w:val="12"/>
                <w:color w:val="auto"/>
              </w:rPr>
              <w:t>$</w:t>
            </w:r>
          </w:p>
        </w:tc>
        <w:tc>
          <w:tcPr>
            <w:tcW w:w="720" w:type="dxa"/>
            <w:vAlign w:val="bottom"/>
          </w:tcPr>
          <w:p>
            <w:pPr>
              <w:jc w:val="right"/>
              <w:spacing w:after="0"/>
              <w:rPr>
                <w:sz w:val="20"/>
                <w:szCs w:val="20"/>
                <w:color w:val="auto"/>
              </w:rPr>
            </w:pPr>
            <w:r>
              <w:rPr>
                <w:rFonts w:ascii="Arial" w:cs="Arial" w:eastAsia="Arial" w:hAnsi="Arial"/>
                <w:sz w:val="12"/>
                <w:szCs w:val="12"/>
                <w:color w:val="auto"/>
              </w:rPr>
              <w:t>279,221</w:t>
            </w:r>
          </w:p>
        </w:tc>
        <w:tc>
          <w:tcPr>
            <w:tcW w:w="360" w:type="dxa"/>
            <w:vAlign w:val="bottom"/>
          </w:tcPr>
          <w:p>
            <w:pPr>
              <w:spacing w:after="0"/>
              <w:rPr>
                <w:sz w:val="12"/>
                <w:szCs w:val="12"/>
                <w:color w:val="auto"/>
              </w:rPr>
            </w:pPr>
          </w:p>
        </w:tc>
        <w:tc>
          <w:tcPr>
            <w:tcW w:w="200" w:type="dxa"/>
            <w:vAlign w:val="bottom"/>
            <w:gridSpan w:val="2"/>
          </w:tcPr>
          <w:p>
            <w:pPr>
              <w:jc w:val="right"/>
              <w:ind w:right="40"/>
              <w:spacing w:after="0"/>
              <w:rPr>
                <w:sz w:val="20"/>
                <w:szCs w:val="20"/>
                <w:color w:val="auto"/>
              </w:rPr>
            </w:pPr>
            <w:r>
              <w:rPr>
                <w:rFonts w:ascii="Arial" w:cs="Arial" w:eastAsia="Arial" w:hAnsi="Arial"/>
                <w:sz w:val="12"/>
                <w:szCs w:val="12"/>
                <w:color w:val="auto"/>
              </w:rPr>
              <w:t>$</w:t>
            </w:r>
          </w:p>
        </w:tc>
        <w:tc>
          <w:tcPr>
            <w:tcW w:w="800" w:type="dxa"/>
            <w:vAlign w:val="bottom"/>
            <w:gridSpan w:val="2"/>
          </w:tcPr>
          <w:p>
            <w:pPr>
              <w:ind w:left="520"/>
              <w:spacing w:after="0"/>
              <w:rPr>
                <w:sz w:val="20"/>
                <w:szCs w:val="20"/>
                <w:color w:val="auto"/>
              </w:rPr>
            </w:pPr>
            <w:r>
              <w:rPr>
                <w:rFonts w:ascii="Arial" w:cs="Arial" w:eastAsia="Arial" w:hAnsi="Arial"/>
                <w:sz w:val="12"/>
                <w:szCs w:val="12"/>
                <w:color w:val="auto"/>
              </w:rPr>
              <w:t>—</w:t>
            </w:r>
          </w:p>
        </w:tc>
      </w:tr>
      <w:tr>
        <w:trPr>
          <w:trHeight w:val="144"/>
        </w:trPr>
        <w:tc>
          <w:tcPr>
            <w:tcW w:w="6880" w:type="dxa"/>
            <w:vAlign w:val="bottom"/>
            <w:shd w:val="clear" w:color="auto" w:fill="CCEEFF"/>
          </w:tcPr>
          <w:p>
            <w:pPr>
              <w:spacing w:after="0"/>
              <w:rPr>
                <w:sz w:val="20"/>
                <w:szCs w:val="20"/>
                <w:color w:val="auto"/>
              </w:rPr>
            </w:pPr>
            <w:r>
              <w:rPr>
                <w:rFonts w:ascii="Arial" w:cs="Arial" w:eastAsia="Arial" w:hAnsi="Arial"/>
                <w:sz w:val="12"/>
                <w:szCs w:val="12"/>
                <w:color w:val="auto"/>
              </w:rPr>
              <w:t>Redemption Price Promissory Note</w:t>
            </w:r>
          </w:p>
        </w:tc>
        <w:tc>
          <w:tcPr>
            <w:tcW w:w="140" w:type="dxa"/>
            <w:vAlign w:val="bottom"/>
            <w:shd w:val="clear" w:color="auto" w:fill="CCEEFF"/>
          </w:tcPr>
          <w:p>
            <w:pPr>
              <w:jc w:val="right"/>
              <w:ind w:right="33"/>
              <w:spacing w:after="0"/>
              <w:rPr>
                <w:sz w:val="20"/>
                <w:szCs w:val="20"/>
                <w:color w:val="auto"/>
              </w:rPr>
            </w:pPr>
            <w:r>
              <w:rPr>
                <w:rFonts w:ascii="Arial" w:cs="Arial" w:eastAsia="Arial" w:hAnsi="Arial"/>
                <w:sz w:val="9"/>
                <w:szCs w:val="9"/>
                <w:color w:val="auto"/>
                <w:w w:val="78"/>
              </w:rPr>
              <w:t>$</w:t>
            </w:r>
          </w:p>
        </w:tc>
        <w:tc>
          <w:tcPr>
            <w:tcW w:w="1140" w:type="dxa"/>
            <w:vAlign w:val="bottom"/>
            <w:gridSpan w:val="2"/>
            <w:shd w:val="clear" w:color="auto" w:fill="CCEEFF"/>
          </w:tcPr>
          <w:p>
            <w:pPr>
              <w:jc w:val="right"/>
              <w:ind w:right="400"/>
              <w:spacing w:after="0"/>
              <w:rPr>
                <w:sz w:val="20"/>
                <w:szCs w:val="20"/>
                <w:color w:val="auto"/>
              </w:rPr>
            </w:pPr>
            <w:r>
              <w:rPr>
                <w:rFonts w:ascii="Arial" w:cs="Arial" w:eastAsia="Arial" w:hAnsi="Arial"/>
                <w:sz w:val="12"/>
                <w:szCs w:val="12"/>
                <w:color w:val="auto"/>
              </w:rPr>
              <w:t>(1,936,443)</w:t>
            </w:r>
          </w:p>
        </w:tc>
        <w:tc>
          <w:tcPr>
            <w:tcW w:w="120" w:type="dxa"/>
            <w:vAlign w:val="bottom"/>
            <w:shd w:val="clear" w:color="auto" w:fill="CCEEFF"/>
          </w:tcPr>
          <w:p>
            <w:pPr>
              <w:jc w:val="right"/>
              <w:ind w:right="13"/>
              <w:spacing w:after="0"/>
              <w:rPr>
                <w:sz w:val="20"/>
                <w:szCs w:val="20"/>
                <w:color w:val="auto"/>
              </w:rPr>
            </w:pPr>
            <w:r>
              <w:rPr>
                <w:rFonts w:ascii="Arial" w:cs="Arial" w:eastAsia="Arial" w:hAnsi="Arial"/>
                <w:sz w:val="9"/>
                <w:szCs w:val="9"/>
                <w:color w:val="auto"/>
                <w:w w:val="78"/>
              </w:rPr>
              <w:t>$</w:t>
            </w:r>
          </w:p>
        </w:tc>
        <w:tc>
          <w:tcPr>
            <w:tcW w:w="540" w:type="dxa"/>
            <w:vAlign w:val="bottom"/>
            <w:shd w:val="clear" w:color="auto" w:fill="CCEEFF"/>
          </w:tcPr>
          <w:p>
            <w:pPr>
              <w:jc w:val="right"/>
              <w:ind w:right="7"/>
              <w:spacing w:after="0"/>
              <w:rPr>
                <w:sz w:val="20"/>
                <w:szCs w:val="20"/>
                <w:color w:val="auto"/>
              </w:rPr>
            </w:pPr>
            <w:r>
              <w:rPr>
                <w:rFonts w:ascii="Arial" w:cs="Arial" w:eastAsia="Arial" w:hAnsi="Arial"/>
                <w:sz w:val="12"/>
                <w:szCs w:val="12"/>
                <w:color w:val="auto"/>
              </w:rPr>
              <w:t>—</w:t>
            </w:r>
          </w:p>
        </w:tc>
        <w:tc>
          <w:tcPr>
            <w:tcW w:w="58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w:t>
            </w:r>
          </w:p>
        </w:tc>
        <w:tc>
          <w:tcPr>
            <w:tcW w:w="1080" w:type="dxa"/>
            <w:vAlign w:val="bottom"/>
            <w:gridSpan w:val="2"/>
            <w:shd w:val="clear" w:color="auto" w:fill="CCEEFF"/>
          </w:tcPr>
          <w:p>
            <w:pPr>
              <w:jc w:val="right"/>
              <w:ind w:right="320"/>
              <w:spacing w:after="0"/>
              <w:rPr>
                <w:sz w:val="20"/>
                <w:szCs w:val="20"/>
                <w:color w:val="auto"/>
              </w:rPr>
            </w:pPr>
            <w:r>
              <w:rPr>
                <w:rFonts w:ascii="Arial" w:cs="Arial" w:eastAsia="Arial" w:hAnsi="Arial"/>
                <w:sz w:val="12"/>
                <w:szCs w:val="12"/>
                <w:color w:val="auto"/>
              </w:rPr>
              <w:t>(1,936,443)</w:t>
            </w:r>
          </w:p>
        </w:tc>
        <w:tc>
          <w:tcPr>
            <w:tcW w:w="20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w:t>
            </w:r>
          </w:p>
        </w:tc>
        <w:tc>
          <w:tcPr>
            <w:tcW w:w="800" w:type="dxa"/>
            <w:vAlign w:val="bottom"/>
            <w:gridSpan w:val="2"/>
            <w:shd w:val="clear" w:color="auto" w:fill="CCEEFF"/>
          </w:tcPr>
          <w:p>
            <w:pPr>
              <w:ind w:left="520"/>
              <w:spacing w:after="0"/>
              <w:rPr>
                <w:sz w:val="20"/>
                <w:szCs w:val="20"/>
                <w:color w:val="auto"/>
              </w:rPr>
            </w:pPr>
            <w:r>
              <w:rPr>
                <w:rFonts w:ascii="Arial" w:cs="Arial" w:eastAsia="Arial" w:hAnsi="Arial"/>
                <w:sz w:val="12"/>
                <w:szCs w:val="12"/>
                <w:color w:val="auto"/>
              </w:rPr>
              <w:t>—</w:t>
            </w:r>
          </w:p>
        </w:tc>
      </w:tr>
      <w:tr>
        <w:trPr>
          <w:trHeight w:val="148"/>
        </w:trPr>
        <w:tc>
          <w:tcPr>
            <w:tcW w:w="6880" w:type="dxa"/>
            <w:vAlign w:val="bottom"/>
          </w:tcPr>
          <w:p>
            <w:pPr>
              <w:spacing w:after="0"/>
              <w:rPr>
                <w:sz w:val="20"/>
                <w:szCs w:val="20"/>
                <w:color w:val="auto"/>
              </w:rPr>
            </w:pPr>
            <w:r>
              <w:rPr>
                <w:rFonts w:ascii="Arial" w:cs="Arial" w:eastAsia="Arial" w:hAnsi="Arial"/>
                <w:sz w:val="12"/>
                <w:szCs w:val="12"/>
                <w:color w:val="auto"/>
              </w:rPr>
              <w:t>Interest rate swaps</w:t>
            </w:r>
          </w:p>
        </w:tc>
        <w:tc>
          <w:tcPr>
            <w:tcW w:w="140" w:type="dxa"/>
            <w:vAlign w:val="bottom"/>
          </w:tcPr>
          <w:p>
            <w:pPr>
              <w:jc w:val="right"/>
              <w:ind w:right="33"/>
              <w:spacing w:after="0"/>
              <w:rPr>
                <w:sz w:val="20"/>
                <w:szCs w:val="20"/>
                <w:color w:val="auto"/>
              </w:rPr>
            </w:pPr>
            <w:r>
              <w:rPr>
                <w:rFonts w:ascii="Arial" w:cs="Arial" w:eastAsia="Arial" w:hAnsi="Arial"/>
                <w:sz w:val="9"/>
                <w:szCs w:val="9"/>
                <w:color w:val="auto"/>
                <w:w w:val="78"/>
              </w:rPr>
              <w:t>$</w:t>
            </w:r>
          </w:p>
        </w:tc>
        <w:tc>
          <w:tcPr>
            <w:tcW w:w="1140" w:type="dxa"/>
            <w:vAlign w:val="bottom"/>
            <w:gridSpan w:val="2"/>
          </w:tcPr>
          <w:p>
            <w:pPr>
              <w:jc w:val="right"/>
              <w:ind w:right="400"/>
              <w:spacing w:after="0"/>
              <w:rPr>
                <w:sz w:val="20"/>
                <w:szCs w:val="20"/>
                <w:color w:val="auto"/>
              </w:rPr>
            </w:pPr>
            <w:r>
              <w:rPr>
                <w:rFonts w:ascii="Arial" w:cs="Arial" w:eastAsia="Arial" w:hAnsi="Arial"/>
                <w:sz w:val="12"/>
                <w:szCs w:val="12"/>
                <w:color w:val="auto"/>
              </w:rPr>
              <w:t>(3,938)</w:t>
            </w:r>
          </w:p>
        </w:tc>
        <w:tc>
          <w:tcPr>
            <w:tcW w:w="120" w:type="dxa"/>
            <w:vAlign w:val="bottom"/>
          </w:tcPr>
          <w:p>
            <w:pPr>
              <w:jc w:val="right"/>
              <w:ind w:right="13"/>
              <w:spacing w:after="0"/>
              <w:rPr>
                <w:sz w:val="20"/>
                <w:szCs w:val="20"/>
                <w:color w:val="auto"/>
              </w:rPr>
            </w:pPr>
            <w:r>
              <w:rPr>
                <w:rFonts w:ascii="Arial" w:cs="Arial" w:eastAsia="Arial" w:hAnsi="Arial"/>
                <w:sz w:val="9"/>
                <w:szCs w:val="9"/>
                <w:color w:val="auto"/>
                <w:w w:val="78"/>
              </w:rPr>
              <w:t>$</w:t>
            </w:r>
          </w:p>
        </w:tc>
        <w:tc>
          <w:tcPr>
            <w:tcW w:w="540" w:type="dxa"/>
            <w:vAlign w:val="bottom"/>
          </w:tcPr>
          <w:p>
            <w:pPr>
              <w:jc w:val="right"/>
              <w:ind w:right="7"/>
              <w:spacing w:after="0"/>
              <w:rPr>
                <w:sz w:val="20"/>
                <w:szCs w:val="20"/>
                <w:color w:val="auto"/>
              </w:rPr>
            </w:pPr>
            <w:r>
              <w:rPr>
                <w:rFonts w:ascii="Arial" w:cs="Arial" w:eastAsia="Arial" w:hAnsi="Arial"/>
                <w:sz w:val="12"/>
                <w:szCs w:val="12"/>
                <w:color w:val="auto"/>
              </w:rPr>
              <w:t>—</w:t>
            </w:r>
          </w:p>
        </w:tc>
        <w:tc>
          <w:tcPr>
            <w:tcW w:w="580" w:type="dxa"/>
            <w:vAlign w:val="bottom"/>
            <w:gridSpan w:val="2"/>
          </w:tcPr>
          <w:p>
            <w:pPr>
              <w:jc w:val="right"/>
              <w:ind w:right="80"/>
              <w:spacing w:after="0"/>
              <w:rPr>
                <w:sz w:val="20"/>
                <w:szCs w:val="20"/>
                <w:color w:val="auto"/>
              </w:rPr>
            </w:pPr>
            <w:r>
              <w:rPr>
                <w:rFonts w:ascii="Arial" w:cs="Arial" w:eastAsia="Arial" w:hAnsi="Arial"/>
                <w:sz w:val="12"/>
                <w:szCs w:val="12"/>
                <w:color w:val="auto"/>
              </w:rPr>
              <w:t>$</w:t>
            </w:r>
          </w:p>
        </w:tc>
        <w:tc>
          <w:tcPr>
            <w:tcW w:w="1080" w:type="dxa"/>
            <w:vAlign w:val="bottom"/>
            <w:gridSpan w:val="2"/>
          </w:tcPr>
          <w:p>
            <w:pPr>
              <w:jc w:val="right"/>
              <w:ind w:right="320"/>
              <w:spacing w:after="0"/>
              <w:rPr>
                <w:sz w:val="20"/>
                <w:szCs w:val="20"/>
                <w:color w:val="auto"/>
              </w:rPr>
            </w:pPr>
            <w:r>
              <w:rPr>
                <w:rFonts w:ascii="Arial" w:cs="Arial" w:eastAsia="Arial" w:hAnsi="Arial"/>
                <w:sz w:val="12"/>
                <w:szCs w:val="12"/>
                <w:color w:val="auto"/>
              </w:rPr>
              <w:t>(3,938)</w:t>
            </w:r>
          </w:p>
        </w:tc>
        <w:tc>
          <w:tcPr>
            <w:tcW w:w="200" w:type="dxa"/>
            <w:vAlign w:val="bottom"/>
            <w:gridSpan w:val="2"/>
          </w:tcPr>
          <w:p>
            <w:pPr>
              <w:jc w:val="right"/>
              <w:ind w:right="40"/>
              <w:spacing w:after="0"/>
              <w:rPr>
                <w:sz w:val="20"/>
                <w:szCs w:val="20"/>
                <w:color w:val="auto"/>
              </w:rPr>
            </w:pPr>
            <w:r>
              <w:rPr>
                <w:rFonts w:ascii="Arial" w:cs="Arial" w:eastAsia="Arial" w:hAnsi="Arial"/>
                <w:sz w:val="12"/>
                <w:szCs w:val="12"/>
                <w:color w:val="auto"/>
              </w:rPr>
              <w:t>$</w:t>
            </w:r>
          </w:p>
        </w:tc>
        <w:tc>
          <w:tcPr>
            <w:tcW w:w="800" w:type="dxa"/>
            <w:vAlign w:val="bottom"/>
            <w:gridSpan w:val="2"/>
          </w:tcPr>
          <w:p>
            <w:pPr>
              <w:ind w:left="520"/>
              <w:spacing w:after="0"/>
              <w:rPr>
                <w:sz w:val="20"/>
                <w:szCs w:val="20"/>
                <w:color w:val="auto"/>
              </w:rPr>
            </w:pPr>
            <w:r>
              <w:rPr>
                <w:rFonts w:ascii="Arial" w:cs="Arial" w:eastAsia="Arial" w:hAnsi="Arial"/>
                <w:sz w:val="12"/>
                <w:szCs w:val="12"/>
                <w:color w:val="auto"/>
              </w:rPr>
              <w:t>—</w:t>
            </w:r>
          </w:p>
        </w:tc>
      </w:tr>
    </w:tbl>
    <w:p>
      <w:pPr>
        <w:spacing w:after="0" w:line="98" w:lineRule="exact"/>
        <w:rPr>
          <w:sz w:val="20"/>
          <w:szCs w:val="20"/>
          <w:color w:val="auto"/>
        </w:rPr>
      </w:pPr>
    </w:p>
    <w:p>
      <w:pPr>
        <w:ind w:left="460"/>
        <w:spacing w:after="0"/>
        <w:rPr>
          <w:sz w:val="20"/>
          <w:szCs w:val="20"/>
          <w:color w:val="auto"/>
        </w:rPr>
      </w:pPr>
      <w:r>
        <w:rPr>
          <w:rFonts w:ascii="Arial" w:cs="Arial" w:eastAsia="Arial" w:hAnsi="Arial"/>
          <w:sz w:val="12"/>
          <w:szCs w:val="12"/>
          <w:color w:val="auto"/>
        </w:rPr>
        <w:t>As of September 30, 2013 and December 31, 2012, approximately 65% and 77% of the Company’s cash equivalents categorized as Level 2 were deposits held in foreign currencies, respectively.</w:t>
      </w:r>
    </w:p>
    <w:p>
      <w:pPr>
        <w:spacing w:after="0" w:line="168" w:lineRule="exact"/>
        <w:rPr>
          <w:sz w:val="20"/>
          <w:szCs w:val="20"/>
          <w:color w:val="auto"/>
        </w:rPr>
      </w:pPr>
    </w:p>
    <w:p>
      <w:pPr>
        <w:ind w:left="220"/>
        <w:spacing w:after="0"/>
        <w:rPr>
          <w:sz w:val="20"/>
          <w:szCs w:val="20"/>
          <w:color w:val="auto"/>
        </w:rPr>
      </w:pPr>
      <w:r>
        <w:rPr>
          <w:rFonts w:ascii="Arial" w:cs="Arial" w:eastAsia="Arial" w:hAnsi="Arial"/>
          <w:sz w:val="12"/>
          <w:szCs w:val="12"/>
          <w:i w:val="1"/>
          <w:iCs w:val="1"/>
          <w:color w:val="auto"/>
        </w:rPr>
        <w:t>Recently Issued Accounting Standards</w:t>
      </w:r>
    </w:p>
    <w:p>
      <w:pPr>
        <w:spacing w:after="0" w:line="60" w:lineRule="exact"/>
        <w:rPr>
          <w:sz w:val="20"/>
          <w:szCs w:val="20"/>
          <w:color w:val="auto"/>
        </w:rPr>
      </w:pPr>
    </w:p>
    <w:p>
      <w:pPr>
        <w:ind w:left="460"/>
        <w:spacing w:after="0"/>
        <w:rPr>
          <w:sz w:val="20"/>
          <w:szCs w:val="20"/>
          <w:color w:val="auto"/>
        </w:rPr>
      </w:pPr>
      <w:r>
        <w:rPr>
          <w:rFonts w:ascii="Arial" w:cs="Arial" w:eastAsia="Arial" w:hAnsi="Arial"/>
          <w:sz w:val="11"/>
          <w:szCs w:val="11"/>
          <w:color w:val="auto"/>
        </w:rPr>
        <w:t>In July 2013, the Financial Accounting Standards Board (“FASB”) issued an accounting standards update that amends the presentation requirements of an unrecognized tax benefit when a loss or other carryforward</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11</w:t>
      </w:r>
    </w:p>
    <w:p>
      <w:pPr>
        <w:sectPr>
          <w:pgSz w:w="11900" w:h="16838" w:orient="portrait"/>
          <w:cols w:equalWidth="0" w:num="1">
            <w:col w:w="11480"/>
          </w:cols>
          <w:pgMar w:left="220" w:top="354" w:right="199" w:bottom="1440" w:gutter="0" w:footer="0" w:header="0"/>
        </w:sectPr>
      </w:pPr>
    </w:p>
    <w:bookmarkStart w:id="11" w:name="page12"/>
    <w:bookmarkEnd w:id="11"/>
    <w:p>
      <w:pPr>
        <w:ind w:left="8"/>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121920</wp:posOffset>
            </wp:positionH>
            <wp:positionV relativeFrom="page">
              <wp:posOffset>88900</wp:posOffset>
            </wp:positionV>
            <wp:extent cx="7329170" cy="298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329170" cy="29845"/>
                    </a:xfrm>
                    <a:prstGeom prst="rect">
                      <a:avLst/>
                    </a:prstGeom>
                    <a:noFill/>
                  </pic:spPr>
                </pic:pic>
              </a:graphicData>
            </a:graphic>
          </wp:anchor>
        </w:drawing>
      </w:r>
      <w:hyperlink w:anchor="page2">
        <w:r>
          <w:rPr>
            <w:rFonts w:ascii="Arial" w:cs="Arial" w:eastAsia="Arial" w:hAnsi="Arial"/>
            <w:sz w:val="12"/>
            <w:szCs w:val="12"/>
            <w:b w:val="1"/>
            <w:bCs w:val="1"/>
            <w:u w:val="single" w:color="auto"/>
            <w:color w:val="0000EE"/>
          </w:rPr>
          <w:t>Table of Contents</w:t>
        </w:r>
      </w:hyperlink>
    </w:p>
    <w:p>
      <w:pPr>
        <w:spacing w:after="0" w:line="209" w:lineRule="exact"/>
        <w:rPr>
          <w:sz w:val="20"/>
          <w:szCs w:val="20"/>
          <w:color w:val="auto"/>
        </w:rPr>
      </w:pPr>
    </w:p>
    <w:p>
      <w:pPr>
        <w:ind w:left="8" w:right="60"/>
        <w:spacing w:after="0" w:line="314" w:lineRule="auto"/>
        <w:rPr>
          <w:sz w:val="20"/>
          <w:szCs w:val="20"/>
          <w:color w:val="auto"/>
        </w:rPr>
      </w:pPr>
      <w:r>
        <w:rPr>
          <w:rFonts w:ascii="Arial" w:cs="Arial" w:eastAsia="Arial" w:hAnsi="Arial"/>
          <w:sz w:val="11"/>
          <w:szCs w:val="11"/>
          <w:color w:val="auto"/>
        </w:rPr>
        <w:t>exists. The update would require the netting of unrecognized tax benefits against a deferred tax asset for a loss or other carryforward that would apply in settlement of the uncertain tax positions. The effective date for this update is for the annual and interim periods beginning after December 15, 2013. The Company is currently evaluating the impact, if any, of adopting this statement on its condensed consolidated financial statements.</w:t>
      </w:r>
    </w:p>
    <w:p>
      <w:pPr>
        <w:spacing w:after="0" w:line="65" w:lineRule="exact"/>
        <w:rPr>
          <w:sz w:val="20"/>
          <w:szCs w:val="20"/>
          <w:color w:val="auto"/>
        </w:rPr>
      </w:pPr>
    </w:p>
    <w:p>
      <w:pPr>
        <w:jc w:val="both"/>
        <w:ind w:left="8" w:right="200" w:firstLine="459"/>
        <w:spacing w:after="0" w:line="259" w:lineRule="auto"/>
        <w:rPr>
          <w:sz w:val="20"/>
          <w:szCs w:val="20"/>
          <w:color w:val="auto"/>
        </w:rPr>
      </w:pPr>
      <w:r>
        <w:rPr>
          <w:rFonts w:ascii="Arial" w:cs="Arial" w:eastAsia="Arial" w:hAnsi="Arial"/>
          <w:sz w:val="12"/>
          <w:szCs w:val="12"/>
          <w:color w:val="auto"/>
        </w:rPr>
        <w:t>In February 2013, the FASB issued an accounting standards update that amends the presentation requirements for reclassifications out of accumulated other comprehensive income. The amendment would require an entity to present amounts reclassified out of accumulated other comprehensive income by component either on the face of the statement where net income is presented or in the notes. This update is effective prospectively for reporting periods beginning after December 15, 2012. The Company has adopted this update; see Note 4 – “Accumulated Other Comprehensive Income.”</w:t>
      </w:r>
    </w:p>
    <w:p>
      <w:pPr>
        <w:spacing w:after="0" w:line="94" w:lineRule="exact"/>
        <w:rPr>
          <w:sz w:val="20"/>
          <w:szCs w:val="20"/>
          <w:color w:val="auto"/>
        </w:rPr>
      </w:pPr>
    </w:p>
    <w:p>
      <w:pPr>
        <w:ind w:left="8" w:right="60" w:firstLine="459"/>
        <w:spacing w:after="0" w:line="259" w:lineRule="auto"/>
        <w:rPr>
          <w:sz w:val="20"/>
          <w:szCs w:val="20"/>
          <w:color w:val="auto"/>
        </w:rPr>
      </w:pPr>
      <w:r>
        <w:rPr>
          <w:rFonts w:ascii="Arial" w:cs="Arial" w:eastAsia="Arial" w:hAnsi="Arial"/>
          <w:sz w:val="12"/>
          <w:szCs w:val="12"/>
          <w:color w:val="auto"/>
        </w:rPr>
        <w:t>In July 2012, the FASB issued an accounting standards update that is intended to simplify the guidance for testing the decline in the realizable value (impairment) of indefinite-lived intangible assets other than goodwill. The update allows for the consideration of qualitative factors in determining whether it is necessary to perform quantitative impairment tests. The effective date for this update is for the years and interim impairment tests performed for years beginning after September 15, 2012. The adoption of this update did not have a material impact on the Company’s financial statements.</w:t>
      </w:r>
    </w:p>
    <w:p>
      <w:pPr>
        <w:spacing w:after="0" w:line="173" w:lineRule="exact"/>
        <w:rPr>
          <w:sz w:val="20"/>
          <w:szCs w:val="20"/>
          <w:color w:val="auto"/>
        </w:rPr>
      </w:pPr>
    </w:p>
    <w:p>
      <w:pPr>
        <w:ind w:left="228" w:hanging="228"/>
        <w:spacing w:after="0"/>
        <w:tabs>
          <w:tab w:leader="none" w:pos="228" w:val="left"/>
        </w:tabs>
        <w:numPr>
          <w:ilvl w:val="0"/>
          <w:numId w:val="5"/>
        </w:numPr>
        <w:rPr>
          <w:rFonts w:ascii="Arial" w:cs="Arial" w:eastAsia="Arial" w:hAnsi="Arial"/>
          <w:sz w:val="12"/>
          <w:szCs w:val="12"/>
          <w:b w:val="1"/>
          <w:bCs w:val="1"/>
          <w:color w:val="auto"/>
        </w:rPr>
      </w:pPr>
      <w:r>
        <w:rPr>
          <w:rFonts w:ascii="Arial" w:cs="Arial" w:eastAsia="Arial" w:hAnsi="Arial"/>
          <w:sz w:val="12"/>
          <w:szCs w:val="12"/>
          <w:b w:val="1"/>
          <w:bCs w:val="1"/>
          <w:color w:val="auto"/>
        </w:rPr>
        <w:t>Earnings Per Share</w:t>
      </w:r>
    </w:p>
    <w:p>
      <w:pPr>
        <w:spacing w:after="0" w:line="62" w:lineRule="exact"/>
        <w:rPr>
          <w:sz w:val="20"/>
          <w:szCs w:val="20"/>
          <w:color w:val="auto"/>
        </w:rPr>
      </w:pPr>
    </w:p>
    <w:p>
      <w:pPr>
        <w:ind w:left="8" w:right="260" w:firstLine="459"/>
        <w:spacing w:after="0" w:line="256" w:lineRule="auto"/>
        <w:rPr>
          <w:sz w:val="20"/>
          <w:szCs w:val="20"/>
          <w:color w:val="auto"/>
        </w:rPr>
      </w:pPr>
      <w:r>
        <w:rPr>
          <w:rFonts w:ascii="Arial" w:cs="Arial" w:eastAsia="Arial" w:hAnsi="Arial"/>
          <w:sz w:val="12"/>
          <w:szCs w:val="12"/>
          <w:color w:val="auto"/>
        </w:rPr>
        <w:t>Basic earnings per share (“EPS”) is computed by dividing net income attributable to Wynn Resorts by the weighted average number of shares outstanding during the period. Diluted EPS reflects the addition of potentially dilutive securities, which for the Company includes stock options and nonvested stock. For the nine months ended September 30, 2013, basic and diluted EPS was based on 100.5 million shares and 101.5 million shares, respectively, compared to 104.1 million shares and 105.3 million shares for basic and diluted EPS, respectively, for the nine months ended September 30, 2012. The decrease was largely due to the redemption of Aruze USA, Inc.’s 24.5 million shares on February 18, 2012, as described in Note 15 – “Commitments and Contingencies.”</w:t>
      </w:r>
    </w:p>
    <w:p>
      <w:pPr>
        <w:spacing w:after="0" w:line="96" w:lineRule="exact"/>
        <w:rPr>
          <w:sz w:val="20"/>
          <w:szCs w:val="20"/>
          <w:color w:val="auto"/>
        </w:rPr>
      </w:pPr>
    </w:p>
    <w:p>
      <w:pPr>
        <w:ind w:left="468"/>
        <w:spacing w:after="0"/>
        <w:rPr>
          <w:sz w:val="20"/>
          <w:szCs w:val="20"/>
          <w:color w:val="auto"/>
        </w:rPr>
      </w:pPr>
      <w:r>
        <w:rPr>
          <w:rFonts w:ascii="Arial" w:cs="Arial" w:eastAsia="Arial" w:hAnsi="Arial"/>
          <w:sz w:val="12"/>
          <w:szCs w:val="12"/>
          <w:color w:val="auto"/>
        </w:rPr>
        <w:t>The weighted average number of common and common equivalent shares used in the calculation of basic and diluted EPS consisted of the following (amounts in thousands):</w:t>
      </w:r>
    </w:p>
    <w:p>
      <w:pPr>
        <w:spacing w:after="0" w:line="134" w:lineRule="exact"/>
        <w:rPr>
          <w:sz w:val="20"/>
          <w:szCs w:val="20"/>
          <w:color w:val="auto"/>
        </w:rPr>
      </w:pPr>
    </w:p>
    <w:tbl>
      <w:tblPr>
        <w:tblLayout w:type="fixed"/>
        <w:tblInd w:w="8" w:type="dxa"/>
        <w:tblCellMar>
          <w:top w:w="0" w:type="dxa"/>
          <w:left w:w="0" w:type="dxa"/>
          <w:bottom w:w="0" w:type="dxa"/>
          <w:right w:w="0" w:type="dxa"/>
        </w:tblCellMar>
      </w:tblPr>
      <w:tr>
        <w:trPr>
          <w:trHeight w:val="103"/>
        </w:trPr>
        <w:tc>
          <w:tcPr>
            <w:tcW w:w="5680" w:type="dxa"/>
            <w:vAlign w:val="bottom"/>
          </w:tcPr>
          <w:p>
            <w:pPr>
              <w:spacing w:after="0"/>
              <w:rPr>
                <w:sz w:val="8"/>
                <w:szCs w:val="8"/>
                <w:color w:val="auto"/>
              </w:rPr>
            </w:pPr>
          </w:p>
        </w:tc>
        <w:tc>
          <w:tcPr>
            <w:tcW w:w="1880" w:type="dxa"/>
            <w:vAlign w:val="bottom"/>
          </w:tcPr>
          <w:p>
            <w:pPr>
              <w:spacing w:after="0"/>
              <w:rPr>
                <w:sz w:val="8"/>
                <w:szCs w:val="8"/>
                <w:color w:val="auto"/>
              </w:rPr>
            </w:pPr>
          </w:p>
        </w:tc>
        <w:tc>
          <w:tcPr>
            <w:tcW w:w="160" w:type="dxa"/>
            <w:vAlign w:val="bottom"/>
          </w:tcPr>
          <w:p>
            <w:pPr>
              <w:spacing w:after="0"/>
              <w:rPr>
                <w:sz w:val="8"/>
                <w:szCs w:val="8"/>
                <w:color w:val="auto"/>
              </w:rPr>
            </w:pPr>
          </w:p>
        </w:tc>
        <w:tc>
          <w:tcPr>
            <w:tcW w:w="1120" w:type="dxa"/>
            <w:vAlign w:val="bottom"/>
            <w:gridSpan w:val="3"/>
          </w:tcPr>
          <w:p>
            <w:pPr>
              <w:jc w:val="right"/>
              <w:spacing w:after="0"/>
              <w:rPr>
                <w:sz w:val="20"/>
                <w:szCs w:val="20"/>
                <w:color w:val="auto"/>
              </w:rPr>
            </w:pPr>
            <w:r>
              <w:rPr>
                <w:rFonts w:ascii="Arial" w:cs="Arial" w:eastAsia="Arial" w:hAnsi="Arial"/>
                <w:sz w:val="9"/>
                <w:szCs w:val="9"/>
                <w:b w:val="1"/>
                <w:bCs w:val="1"/>
                <w:color w:val="auto"/>
              </w:rPr>
              <w:t>Three Months Ended</w:t>
            </w:r>
          </w:p>
        </w:tc>
        <w:tc>
          <w:tcPr>
            <w:tcW w:w="460" w:type="dxa"/>
            <w:vAlign w:val="bottom"/>
          </w:tcPr>
          <w:p>
            <w:pPr>
              <w:spacing w:after="0"/>
              <w:rPr>
                <w:sz w:val="8"/>
                <w:szCs w:val="8"/>
                <w:color w:val="auto"/>
              </w:rPr>
            </w:pPr>
          </w:p>
        </w:tc>
        <w:tc>
          <w:tcPr>
            <w:tcW w:w="3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120" w:type="dxa"/>
            <w:vAlign w:val="bottom"/>
            <w:gridSpan w:val="3"/>
          </w:tcPr>
          <w:p>
            <w:pPr>
              <w:jc w:val="right"/>
              <w:ind w:right="20"/>
              <w:spacing w:after="0"/>
              <w:rPr>
                <w:sz w:val="20"/>
                <w:szCs w:val="20"/>
                <w:color w:val="auto"/>
              </w:rPr>
            </w:pPr>
            <w:r>
              <w:rPr>
                <w:rFonts w:ascii="Arial" w:cs="Arial" w:eastAsia="Arial" w:hAnsi="Arial"/>
                <w:sz w:val="9"/>
                <w:szCs w:val="9"/>
                <w:b w:val="1"/>
                <w:bCs w:val="1"/>
                <w:color w:val="auto"/>
              </w:rPr>
              <w:t>Nine Months Ended</w:t>
            </w:r>
          </w:p>
        </w:tc>
        <w:tc>
          <w:tcPr>
            <w:tcW w:w="460" w:type="dxa"/>
            <w:vAlign w:val="bottom"/>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8"/>
        </w:trPr>
        <w:tc>
          <w:tcPr>
            <w:tcW w:w="5680" w:type="dxa"/>
            <w:vAlign w:val="bottom"/>
          </w:tcPr>
          <w:p>
            <w:pPr>
              <w:spacing w:after="0"/>
              <w:rPr>
                <w:sz w:val="9"/>
                <w:szCs w:val="9"/>
                <w:color w:val="auto"/>
              </w:rPr>
            </w:pPr>
          </w:p>
        </w:tc>
        <w:tc>
          <w:tcPr>
            <w:tcW w:w="188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1120" w:type="dxa"/>
            <w:vAlign w:val="bottom"/>
            <w:tcBorders>
              <w:bottom w:val="single" w:sz="8" w:color="auto"/>
            </w:tcBorders>
            <w:gridSpan w:val="3"/>
          </w:tcPr>
          <w:p>
            <w:pPr>
              <w:jc w:val="right"/>
              <w:ind w:right="140"/>
              <w:spacing w:after="0"/>
              <w:rPr>
                <w:sz w:val="20"/>
                <w:szCs w:val="20"/>
                <w:color w:val="auto"/>
              </w:rPr>
            </w:pPr>
            <w:r>
              <w:rPr>
                <w:rFonts w:ascii="Arial" w:cs="Arial" w:eastAsia="Arial" w:hAnsi="Arial"/>
                <w:sz w:val="9"/>
                <w:szCs w:val="9"/>
                <w:b w:val="1"/>
                <w:bCs w:val="1"/>
                <w:color w:val="auto"/>
              </w:rPr>
              <w:t>September 30,</w:t>
            </w:r>
          </w:p>
        </w:tc>
        <w:tc>
          <w:tcPr>
            <w:tcW w:w="460" w:type="dxa"/>
            <w:vAlign w:val="bottom"/>
            <w:tcBorders>
              <w:bottom w:val="single" w:sz="8" w:color="auto"/>
            </w:tcBorders>
          </w:tcPr>
          <w:p>
            <w:pPr>
              <w:spacing w:after="0"/>
              <w:rPr>
                <w:sz w:val="9"/>
                <w:szCs w:val="9"/>
                <w:color w:val="auto"/>
              </w:rPr>
            </w:pPr>
          </w:p>
        </w:tc>
        <w:tc>
          <w:tcPr>
            <w:tcW w:w="32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1120" w:type="dxa"/>
            <w:vAlign w:val="bottom"/>
            <w:tcBorders>
              <w:bottom w:val="single" w:sz="8" w:color="auto"/>
            </w:tcBorders>
            <w:gridSpan w:val="3"/>
          </w:tcPr>
          <w:p>
            <w:pPr>
              <w:jc w:val="right"/>
              <w:ind w:right="140"/>
              <w:spacing w:after="0"/>
              <w:rPr>
                <w:sz w:val="20"/>
                <w:szCs w:val="20"/>
                <w:color w:val="auto"/>
              </w:rPr>
            </w:pPr>
            <w:r>
              <w:rPr>
                <w:rFonts w:ascii="Arial" w:cs="Arial" w:eastAsia="Arial" w:hAnsi="Arial"/>
                <w:sz w:val="9"/>
                <w:szCs w:val="9"/>
                <w:b w:val="1"/>
                <w:bCs w:val="1"/>
                <w:color w:val="auto"/>
              </w:rPr>
              <w:t>September 30,</w:t>
            </w:r>
          </w:p>
        </w:tc>
        <w:tc>
          <w:tcPr>
            <w:tcW w:w="460" w:type="dxa"/>
            <w:vAlign w:val="bottom"/>
            <w:tcBorders>
              <w:bottom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88"/>
        </w:trPr>
        <w:tc>
          <w:tcPr>
            <w:tcW w:w="5680" w:type="dxa"/>
            <w:vAlign w:val="bottom"/>
            <w:tcBorders>
              <w:bottom w:val="single" w:sz="8" w:color="CCEEFF"/>
            </w:tcBorders>
          </w:tcPr>
          <w:p>
            <w:pPr>
              <w:spacing w:after="0"/>
              <w:rPr>
                <w:sz w:val="7"/>
                <w:szCs w:val="7"/>
                <w:color w:val="auto"/>
              </w:rPr>
            </w:pPr>
          </w:p>
        </w:tc>
        <w:tc>
          <w:tcPr>
            <w:tcW w:w="1880" w:type="dxa"/>
            <w:vAlign w:val="bottom"/>
            <w:tcBorders>
              <w:bottom w:val="single" w:sz="8" w:color="CCEEFF"/>
            </w:tcBorders>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540" w:type="dxa"/>
            <w:vAlign w:val="bottom"/>
            <w:tcBorders>
              <w:bottom w:val="single" w:sz="8" w:color="auto"/>
            </w:tcBorders>
          </w:tcPr>
          <w:p>
            <w:pPr>
              <w:jc w:val="right"/>
              <w:ind w:right="206"/>
              <w:spacing w:after="0" w:line="88" w:lineRule="exact"/>
              <w:rPr>
                <w:sz w:val="20"/>
                <w:szCs w:val="20"/>
                <w:color w:val="auto"/>
              </w:rPr>
            </w:pPr>
            <w:r>
              <w:rPr>
                <w:rFonts w:ascii="Arial" w:cs="Arial" w:eastAsia="Arial" w:hAnsi="Arial"/>
                <w:sz w:val="9"/>
                <w:szCs w:val="9"/>
                <w:b w:val="1"/>
                <w:bCs w:val="1"/>
                <w:color w:val="auto"/>
              </w:rPr>
              <w:t>2013</w:t>
            </w:r>
          </w:p>
        </w:tc>
        <w:tc>
          <w:tcPr>
            <w:tcW w:w="340" w:type="dxa"/>
            <w:vAlign w:val="bottom"/>
            <w:tcBorders>
              <w:bottom w:val="single" w:sz="8" w:color="CCEEFF"/>
            </w:tcBorders>
          </w:tcPr>
          <w:p>
            <w:pPr>
              <w:spacing w:after="0"/>
              <w:rPr>
                <w:sz w:val="7"/>
                <w:szCs w:val="7"/>
                <w:color w:val="auto"/>
              </w:rPr>
            </w:pPr>
          </w:p>
        </w:tc>
        <w:tc>
          <w:tcPr>
            <w:tcW w:w="240" w:type="dxa"/>
            <w:vAlign w:val="bottom"/>
            <w:tcBorders>
              <w:bottom w:val="single" w:sz="8" w:color="auto"/>
            </w:tcBorders>
          </w:tcPr>
          <w:p>
            <w:pPr>
              <w:spacing w:after="0"/>
              <w:rPr>
                <w:sz w:val="7"/>
                <w:szCs w:val="7"/>
                <w:color w:val="auto"/>
              </w:rPr>
            </w:pPr>
          </w:p>
        </w:tc>
        <w:tc>
          <w:tcPr>
            <w:tcW w:w="460" w:type="dxa"/>
            <w:vAlign w:val="bottom"/>
            <w:tcBorders>
              <w:bottom w:val="single" w:sz="8" w:color="auto"/>
            </w:tcBorders>
          </w:tcPr>
          <w:p>
            <w:pPr>
              <w:jc w:val="right"/>
              <w:ind w:right="203"/>
              <w:spacing w:after="0" w:line="88" w:lineRule="exact"/>
              <w:rPr>
                <w:sz w:val="20"/>
                <w:szCs w:val="20"/>
                <w:color w:val="auto"/>
              </w:rPr>
            </w:pPr>
            <w:r>
              <w:rPr>
                <w:rFonts w:ascii="Arial" w:cs="Arial" w:eastAsia="Arial" w:hAnsi="Arial"/>
                <w:sz w:val="9"/>
                <w:szCs w:val="9"/>
                <w:b w:val="1"/>
                <w:bCs w:val="1"/>
                <w:color w:val="auto"/>
                <w:w w:val="89"/>
              </w:rPr>
              <w:t>2012</w:t>
            </w:r>
          </w:p>
        </w:tc>
        <w:tc>
          <w:tcPr>
            <w:tcW w:w="320" w:type="dxa"/>
            <w:vAlign w:val="bottom"/>
            <w:tcBorders>
              <w:bottom w:val="single" w:sz="8" w:color="CCEEFF"/>
            </w:tcBorders>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560" w:type="dxa"/>
            <w:vAlign w:val="bottom"/>
            <w:tcBorders>
              <w:bottom w:val="single" w:sz="8" w:color="auto"/>
            </w:tcBorders>
          </w:tcPr>
          <w:p>
            <w:pPr>
              <w:jc w:val="right"/>
              <w:ind w:right="226"/>
              <w:spacing w:after="0" w:line="88" w:lineRule="exact"/>
              <w:rPr>
                <w:sz w:val="20"/>
                <w:szCs w:val="20"/>
                <w:color w:val="auto"/>
              </w:rPr>
            </w:pPr>
            <w:r>
              <w:rPr>
                <w:rFonts w:ascii="Arial" w:cs="Arial" w:eastAsia="Arial" w:hAnsi="Arial"/>
                <w:sz w:val="9"/>
                <w:szCs w:val="9"/>
                <w:b w:val="1"/>
                <w:bCs w:val="1"/>
                <w:color w:val="auto"/>
              </w:rPr>
              <w:t>2013</w:t>
            </w:r>
          </w:p>
        </w:tc>
        <w:tc>
          <w:tcPr>
            <w:tcW w:w="320" w:type="dxa"/>
            <w:vAlign w:val="bottom"/>
            <w:tcBorders>
              <w:bottom w:val="single" w:sz="8" w:color="CCEEFF"/>
            </w:tcBorders>
          </w:tcPr>
          <w:p>
            <w:pPr>
              <w:spacing w:after="0"/>
              <w:rPr>
                <w:sz w:val="7"/>
                <w:szCs w:val="7"/>
                <w:color w:val="auto"/>
              </w:rPr>
            </w:pPr>
          </w:p>
        </w:tc>
        <w:tc>
          <w:tcPr>
            <w:tcW w:w="240" w:type="dxa"/>
            <w:vAlign w:val="bottom"/>
            <w:tcBorders>
              <w:bottom w:val="single" w:sz="8" w:color="auto"/>
            </w:tcBorders>
          </w:tcPr>
          <w:p>
            <w:pPr>
              <w:spacing w:after="0"/>
              <w:rPr>
                <w:sz w:val="7"/>
                <w:szCs w:val="7"/>
                <w:color w:val="auto"/>
              </w:rPr>
            </w:pPr>
          </w:p>
        </w:tc>
        <w:tc>
          <w:tcPr>
            <w:tcW w:w="460" w:type="dxa"/>
            <w:vAlign w:val="bottom"/>
            <w:tcBorders>
              <w:bottom w:val="single" w:sz="8" w:color="auto"/>
            </w:tcBorders>
          </w:tcPr>
          <w:p>
            <w:pPr>
              <w:jc w:val="right"/>
              <w:ind w:right="203"/>
              <w:spacing w:after="0" w:line="88" w:lineRule="exact"/>
              <w:rPr>
                <w:sz w:val="20"/>
                <w:szCs w:val="20"/>
                <w:color w:val="auto"/>
              </w:rPr>
            </w:pPr>
            <w:r>
              <w:rPr>
                <w:rFonts w:ascii="Arial" w:cs="Arial" w:eastAsia="Arial" w:hAnsi="Arial"/>
                <w:sz w:val="9"/>
                <w:szCs w:val="9"/>
                <w:b w:val="1"/>
                <w:bCs w:val="1"/>
                <w:color w:val="auto"/>
                <w:w w:val="89"/>
              </w:rPr>
              <w:t>2012</w:t>
            </w:r>
          </w:p>
        </w:tc>
        <w:tc>
          <w:tcPr>
            <w:tcW w:w="120" w:type="dxa"/>
            <w:vAlign w:val="bottom"/>
            <w:tcBorders>
              <w:bottom w:val="single" w:sz="8" w:color="CCEEFF"/>
            </w:tcBorders>
          </w:tcPr>
          <w:p>
            <w:pPr>
              <w:spacing w:after="0"/>
              <w:rPr>
                <w:sz w:val="7"/>
                <w:szCs w:val="7"/>
                <w:color w:val="auto"/>
              </w:rPr>
            </w:pPr>
          </w:p>
        </w:tc>
        <w:tc>
          <w:tcPr>
            <w:tcW w:w="0" w:type="dxa"/>
            <w:vAlign w:val="bottom"/>
          </w:tcPr>
          <w:p>
            <w:pPr>
              <w:spacing w:after="0"/>
              <w:rPr>
                <w:sz w:val="1"/>
                <w:szCs w:val="1"/>
                <w:color w:val="auto"/>
              </w:rPr>
            </w:pPr>
          </w:p>
        </w:tc>
      </w:tr>
      <w:tr>
        <w:trPr>
          <w:trHeight w:val="133"/>
        </w:trPr>
        <w:tc>
          <w:tcPr>
            <w:tcW w:w="5680" w:type="dxa"/>
            <w:vAlign w:val="bottom"/>
            <w:shd w:val="clear" w:color="auto" w:fill="CCEEFF"/>
          </w:tcPr>
          <w:p>
            <w:pPr>
              <w:spacing w:after="0" w:line="129" w:lineRule="exact"/>
              <w:rPr>
                <w:sz w:val="20"/>
                <w:szCs w:val="20"/>
                <w:color w:val="auto"/>
              </w:rPr>
            </w:pPr>
            <w:r>
              <w:rPr>
                <w:rFonts w:ascii="Arial" w:cs="Arial" w:eastAsia="Arial" w:hAnsi="Arial"/>
                <w:sz w:val="12"/>
                <w:szCs w:val="12"/>
                <w:color w:val="auto"/>
              </w:rPr>
              <w:t>Weighted average common shares outstanding (used in calculation of basic earnings per share)</w:t>
            </w:r>
          </w:p>
        </w:tc>
        <w:tc>
          <w:tcPr>
            <w:tcW w:w="18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40" w:type="dxa"/>
            <w:vAlign w:val="bottom"/>
            <w:shd w:val="clear" w:color="auto" w:fill="CCEEFF"/>
          </w:tcPr>
          <w:p>
            <w:pPr>
              <w:jc w:val="right"/>
              <w:spacing w:after="0" w:line="133" w:lineRule="exact"/>
              <w:rPr>
                <w:sz w:val="20"/>
                <w:szCs w:val="20"/>
                <w:color w:val="auto"/>
              </w:rPr>
            </w:pPr>
            <w:r>
              <w:rPr>
                <w:rFonts w:ascii="Arial" w:cs="Arial" w:eastAsia="Arial" w:hAnsi="Arial"/>
                <w:sz w:val="12"/>
                <w:szCs w:val="12"/>
                <w:color w:val="auto"/>
              </w:rPr>
              <w:t>100,685</w:t>
            </w:r>
          </w:p>
        </w:tc>
        <w:tc>
          <w:tcPr>
            <w:tcW w:w="34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460" w:type="dxa"/>
            <w:vAlign w:val="bottom"/>
            <w:shd w:val="clear" w:color="auto" w:fill="CCEEFF"/>
          </w:tcPr>
          <w:p>
            <w:pPr>
              <w:jc w:val="right"/>
              <w:spacing w:after="0" w:line="133" w:lineRule="exact"/>
              <w:rPr>
                <w:sz w:val="20"/>
                <w:szCs w:val="20"/>
                <w:color w:val="auto"/>
              </w:rPr>
            </w:pPr>
            <w:r>
              <w:rPr>
                <w:rFonts w:ascii="Arial" w:cs="Arial" w:eastAsia="Arial" w:hAnsi="Arial"/>
                <w:sz w:val="12"/>
                <w:szCs w:val="12"/>
                <w:color w:val="auto"/>
              </w:rPr>
              <w:t>99,871</w:t>
            </w:r>
          </w:p>
        </w:tc>
        <w:tc>
          <w:tcPr>
            <w:tcW w:w="3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60" w:type="dxa"/>
            <w:vAlign w:val="bottom"/>
            <w:shd w:val="clear" w:color="auto" w:fill="CCEEFF"/>
          </w:tcPr>
          <w:p>
            <w:pPr>
              <w:jc w:val="right"/>
              <w:spacing w:after="0" w:line="133" w:lineRule="exact"/>
              <w:rPr>
                <w:sz w:val="20"/>
                <w:szCs w:val="20"/>
                <w:color w:val="auto"/>
              </w:rPr>
            </w:pPr>
            <w:r>
              <w:rPr>
                <w:rFonts w:ascii="Arial" w:cs="Arial" w:eastAsia="Arial" w:hAnsi="Arial"/>
                <w:sz w:val="12"/>
                <w:szCs w:val="12"/>
                <w:color w:val="auto"/>
              </w:rPr>
              <w:t>100,470</w:t>
            </w:r>
          </w:p>
        </w:tc>
        <w:tc>
          <w:tcPr>
            <w:tcW w:w="3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460" w:type="dxa"/>
            <w:vAlign w:val="bottom"/>
            <w:shd w:val="clear" w:color="auto" w:fill="CCEEFF"/>
          </w:tcPr>
          <w:p>
            <w:pPr>
              <w:jc w:val="right"/>
              <w:spacing w:after="0" w:line="133" w:lineRule="exact"/>
              <w:rPr>
                <w:sz w:val="20"/>
                <w:szCs w:val="20"/>
                <w:color w:val="auto"/>
              </w:rPr>
            </w:pPr>
            <w:r>
              <w:rPr>
                <w:rFonts w:ascii="Arial" w:cs="Arial" w:eastAsia="Arial" w:hAnsi="Arial"/>
                <w:sz w:val="12"/>
                <w:szCs w:val="12"/>
                <w:color w:val="auto"/>
              </w:rPr>
              <w:t>104,104</w:t>
            </w: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5680" w:type="dxa"/>
            <w:vAlign w:val="bottom"/>
          </w:tcPr>
          <w:p>
            <w:pPr>
              <w:spacing w:after="0"/>
              <w:rPr>
                <w:sz w:val="20"/>
                <w:szCs w:val="20"/>
                <w:color w:val="auto"/>
              </w:rPr>
            </w:pPr>
            <w:r>
              <w:rPr>
                <w:rFonts w:ascii="Arial" w:cs="Arial" w:eastAsia="Arial" w:hAnsi="Arial"/>
                <w:sz w:val="12"/>
                <w:szCs w:val="12"/>
                <w:color w:val="auto"/>
              </w:rPr>
              <w:t>Potential dilution from the assumed exercise of stock options and nonvested stock</w:t>
            </w:r>
          </w:p>
        </w:tc>
        <w:tc>
          <w:tcPr>
            <w:tcW w:w="188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862</w:t>
            </w:r>
          </w:p>
        </w:tc>
        <w:tc>
          <w:tcPr>
            <w:tcW w:w="340" w:type="dxa"/>
            <w:vAlign w:val="bottom"/>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1,021</w:t>
            </w:r>
          </w:p>
        </w:tc>
        <w:tc>
          <w:tcPr>
            <w:tcW w:w="32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1,056</w:t>
            </w:r>
          </w:p>
        </w:tc>
        <w:tc>
          <w:tcPr>
            <w:tcW w:w="320" w:type="dxa"/>
            <w:vAlign w:val="bottom"/>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1,187</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680" w:type="dxa"/>
            <w:vAlign w:val="bottom"/>
            <w:shd w:val="clear" w:color="auto" w:fill="CCEEFF"/>
          </w:tcPr>
          <w:p>
            <w:pPr>
              <w:spacing w:after="0"/>
              <w:rPr>
                <w:sz w:val="20"/>
                <w:szCs w:val="20"/>
                <w:color w:val="auto"/>
              </w:rPr>
            </w:pPr>
            <w:r>
              <w:rPr>
                <w:rFonts w:ascii="Arial" w:cs="Arial" w:eastAsia="Arial" w:hAnsi="Arial"/>
                <w:sz w:val="12"/>
                <w:szCs w:val="12"/>
                <w:color w:val="auto"/>
                <w:w w:val="87"/>
              </w:rPr>
              <w:t>Weighted average common and common equivalent shares outstanding (used in calculation of diluted earnings per share)</w:t>
            </w:r>
          </w:p>
        </w:tc>
        <w:tc>
          <w:tcPr>
            <w:tcW w:w="1880" w:type="dxa"/>
            <w:vAlign w:val="bottom"/>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spacing w:after="0"/>
              <w:rPr>
                <w:sz w:val="12"/>
                <w:szCs w:val="12"/>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101,547</w:t>
            </w:r>
          </w:p>
        </w:tc>
        <w:tc>
          <w:tcPr>
            <w:tcW w:w="340" w:type="dxa"/>
            <w:vAlign w:val="bottom"/>
            <w:shd w:val="clear" w:color="auto" w:fill="CCEEFF"/>
          </w:tcPr>
          <w:p>
            <w:pPr>
              <w:spacing w:after="0"/>
              <w:rPr>
                <w:sz w:val="12"/>
                <w:szCs w:val="12"/>
                <w:color w:val="auto"/>
              </w:rPr>
            </w:pPr>
          </w:p>
        </w:tc>
        <w:tc>
          <w:tcPr>
            <w:tcW w:w="240" w:type="dxa"/>
            <w:vAlign w:val="bottom"/>
            <w:tcBorders>
              <w:bottom w:val="single" w:sz="8" w:color="auto"/>
            </w:tcBorders>
            <w:shd w:val="clear" w:color="auto" w:fill="CCEEFF"/>
          </w:tcPr>
          <w:p>
            <w:pPr>
              <w:spacing w:after="0"/>
              <w:rPr>
                <w:sz w:val="12"/>
                <w:szCs w:val="12"/>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100,892</w:t>
            </w:r>
          </w:p>
        </w:tc>
        <w:tc>
          <w:tcPr>
            <w:tcW w:w="320" w:type="dxa"/>
            <w:vAlign w:val="bottom"/>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spacing w:after="0"/>
              <w:rPr>
                <w:sz w:val="12"/>
                <w:szCs w:val="12"/>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101,526</w:t>
            </w:r>
          </w:p>
        </w:tc>
        <w:tc>
          <w:tcPr>
            <w:tcW w:w="320" w:type="dxa"/>
            <w:vAlign w:val="bottom"/>
            <w:shd w:val="clear" w:color="auto" w:fill="CCEEFF"/>
          </w:tcPr>
          <w:p>
            <w:pPr>
              <w:spacing w:after="0"/>
              <w:rPr>
                <w:sz w:val="12"/>
                <w:szCs w:val="12"/>
                <w:color w:val="auto"/>
              </w:rPr>
            </w:pPr>
          </w:p>
        </w:tc>
        <w:tc>
          <w:tcPr>
            <w:tcW w:w="240" w:type="dxa"/>
            <w:vAlign w:val="bottom"/>
            <w:tcBorders>
              <w:bottom w:val="single" w:sz="8" w:color="auto"/>
            </w:tcBorders>
            <w:shd w:val="clear" w:color="auto" w:fill="CCEEFF"/>
          </w:tcPr>
          <w:p>
            <w:pPr>
              <w:spacing w:after="0"/>
              <w:rPr>
                <w:sz w:val="12"/>
                <w:szCs w:val="12"/>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105,291</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0"/>
        </w:trPr>
        <w:tc>
          <w:tcPr>
            <w:tcW w:w="5680" w:type="dxa"/>
            <w:vAlign w:val="bottom"/>
          </w:tcPr>
          <w:p>
            <w:pPr>
              <w:spacing w:after="0"/>
              <w:rPr>
                <w:sz w:val="20"/>
                <w:szCs w:val="20"/>
                <w:color w:val="auto"/>
              </w:rPr>
            </w:pPr>
            <w:r>
              <w:rPr>
                <w:rFonts w:ascii="Arial" w:cs="Arial" w:eastAsia="Arial" w:hAnsi="Arial"/>
                <w:sz w:val="12"/>
                <w:szCs w:val="12"/>
                <w:color w:val="auto"/>
              </w:rPr>
              <w:t>Anti-dilutive stock options excluded from the calculation of diluted earnings per share</w:t>
            </w:r>
          </w:p>
        </w:tc>
        <w:tc>
          <w:tcPr>
            <w:tcW w:w="188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92</w:t>
            </w:r>
          </w:p>
        </w:tc>
        <w:tc>
          <w:tcPr>
            <w:tcW w:w="340" w:type="dxa"/>
            <w:vAlign w:val="bottom"/>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724</w:t>
            </w:r>
          </w:p>
        </w:tc>
        <w:tc>
          <w:tcPr>
            <w:tcW w:w="32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602</w:t>
            </w:r>
          </w:p>
        </w:tc>
        <w:tc>
          <w:tcPr>
            <w:tcW w:w="320" w:type="dxa"/>
            <w:vAlign w:val="bottom"/>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724</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5680" w:type="dxa"/>
            <w:vAlign w:val="bottom"/>
            <w:shd w:val="clear" w:color="auto" w:fill="CCEEFF"/>
          </w:tcPr>
          <w:p>
            <w:pPr>
              <w:spacing w:after="0"/>
              <w:rPr>
                <w:sz w:val="20"/>
                <w:szCs w:val="20"/>
                <w:color w:val="auto"/>
              </w:rPr>
            </w:pPr>
            <w:r>
              <w:rPr>
                <w:rFonts w:ascii="Arial" w:cs="Arial" w:eastAsia="Arial" w:hAnsi="Arial"/>
                <w:sz w:val="12"/>
                <w:szCs w:val="12"/>
                <w:color w:val="auto"/>
              </w:rPr>
              <w:t>Net income attributable to Wynn Resorts, Ltd.</w:t>
            </w:r>
          </w:p>
        </w:tc>
        <w:tc>
          <w:tcPr>
            <w:tcW w:w="1880" w:type="dxa"/>
            <w:vAlign w:val="bottom"/>
            <w:shd w:val="clear" w:color="auto" w:fill="CCEEFF"/>
          </w:tcPr>
          <w:p>
            <w:pPr>
              <w:spacing w:after="0"/>
              <w:rPr>
                <w:sz w:val="13"/>
                <w:szCs w:val="13"/>
                <w:color w:val="auto"/>
              </w:rPr>
            </w:pPr>
          </w:p>
        </w:tc>
        <w:tc>
          <w:tcPr>
            <w:tcW w:w="160" w:type="dxa"/>
            <w:vAlign w:val="bottom"/>
            <w:shd w:val="clear" w:color="auto" w:fill="CCEEFF"/>
          </w:tcPr>
          <w:p>
            <w:pPr>
              <w:jc w:val="right"/>
              <w:ind w:right="53"/>
              <w:spacing w:after="0"/>
              <w:rPr>
                <w:sz w:val="20"/>
                <w:szCs w:val="20"/>
                <w:color w:val="auto"/>
              </w:rPr>
            </w:pPr>
            <w:r>
              <w:rPr>
                <w:rFonts w:ascii="Arial" w:cs="Arial" w:eastAsia="Arial" w:hAnsi="Arial"/>
                <w:sz w:val="9"/>
                <w:szCs w:val="9"/>
                <w:color w:val="auto"/>
                <w:w w:val="78"/>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182,020</w:t>
            </w:r>
          </w:p>
        </w:tc>
        <w:tc>
          <w:tcPr>
            <w:tcW w:w="58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112,035</w:t>
            </w:r>
          </w:p>
        </w:tc>
        <w:tc>
          <w:tcPr>
            <w:tcW w:w="48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514,768</w:t>
            </w:r>
          </w:p>
        </w:tc>
        <w:tc>
          <w:tcPr>
            <w:tcW w:w="56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390,663</w:t>
            </w:r>
          </w:p>
        </w:tc>
        <w:tc>
          <w:tcPr>
            <w:tcW w:w="1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7"/>
        </w:trPr>
        <w:tc>
          <w:tcPr>
            <w:tcW w:w="5680" w:type="dxa"/>
            <w:vAlign w:val="bottom"/>
            <w:vMerge w:val="restart"/>
          </w:tcPr>
          <w:p>
            <w:pPr>
              <w:spacing w:after="0"/>
              <w:rPr>
                <w:sz w:val="20"/>
                <w:szCs w:val="20"/>
                <w:color w:val="auto"/>
              </w:rPr>
            </w:pPr>
            <w:r>
              <w:rPr>
                <w:rFonts w:ascii="Arial" w:cs="Arial" w:eastAsia="Arial" w:hAnsi="Arial"/>
                <w:sz w:val="12"/>
                <w:szCs w:val="12"/>
                <w:color w:val="auto"/>
              </w:rPr>
              <w:t>Net income attributable to Wynn Resorts, Ltd. per common share, basic</w:t>
            </w:r>
          </w:p>
        </w:tc>
        <w:tc>
          <w:tcPr>
            <w:tcW w:w="18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2"/>
        </w:trPr>
        <w:tc>
          <w:tcPr>
            <w:tcW w:w="5680" w:type="dxa"/>
            <w:vAlign w:val="bottom"/>
            <w:vMerge w:val="continue"/>
          </w:tcPr>
          <w:p>
            <w:pPr>
              <w:spacing w:after="0"/>
              <w:rPr>
                <w:sz w:val="13"/>
                <w:szCs w:val="13"/>
                <w:color w:val="auto"/>
              </w:rPr>
            </w:pPr>
          </w:p>
        </w:tc>
        <w:tc>
          <w:tcPr>
            <w:tcW w:w="1880" w:type="dxa"/>
            <w:vAlign w:val="bottom"/>
          </w:tcPr>
          <w:p>
            <w:pPr>
              <w:spacing w:after="0"/>
              <w:rPr>
                <w:sz w:val="13"/>
                <w:szCs w:val="13"/>
                <w:color w:val="auto"/>
              </w:rPr>
            </w:pPr>
          </w:p>
        </w:tc>
        <w:tc>
          <w:tcPr>
            <w:tcW w:w="160" w:type="dxa"/>
            <w:vAlign w:val="bottom"/>
          </w:tcPr>
          <w:p>
            <w:pPr>
              <w:jc w:val="right"/>
              <w:ind w:right="53"/>
              <w:spacing w:after="0"/>
              <w:rPr>
                <w:sz w:val="20"/>
                <w:szCs w:val="20"/>
                <w:color w:val="auto"/>
              </w:rPr>
            </w:pPr>
            <w:r>
              <w:rPr>
                <w:rFonts w:ascii="Arial" w:cs="Arial" w:eastAsia="Arial" w:hAnsi="Arial"/>
                <w:sz w:val="9"/>
                <w:szCs w:val="9"/>
                <w:color w:val="auto"/>
                <w:w w:val="78"/>
              </w:rPr>
              <w:t>$</w:t>
            </w:r>
          </w:p>
        </w:tc>
        <w:tc>
          <w:tcPr>
            <w:tcW w:w="540" w:type="dxa"/>
            <w:vAlign w:val="bottom"/>
          </w:tcPr>
          <w:p>
            <w:pPr>
              <w:jc w:val="right"/>
              <w:spacing w:after="0"/>
              <w:rPr>
                <w:sz w:val="20"/>
                <w:szCs w:val="20"/>
                <w:color w:val="auto"/>
              </w:rPr>
            </w:pPr>
            <w:r>
              <w:rPr>
                <w:rFonts w:ascii="Arial" w:cs="Arial" w:eastAsia="Arial" w:hAnsi="Arial"/>
                <w:sz w:val="12"/>
                <w:szCs w:val="12"/>
                <w:color w:val="auto"/>
              </w:rPr>
              <w:t>1.81</w:t>
            </w:r>
          </w:p>
        </w:tc>
        <w:tc>
          <w:tcPr>
            <w:tcW w:w="580" w:type="dxa"/>
            <w:vAlign w:val="bottom"/>
            <w:gridSpan w:val="2"/>
          </w:tcPr>
          <w:p>
            <w:pPr>
              <w:jc w:val="right"/>
              <w:ind w:right="180"/>
              <w:spacing w:after="0"/>
              <w:rPr>
                <w:sz w:val="20"/>
                <w:szCs w:val="20"/>
                <w:color w:val="auto"/>
              </w:rPr>
            </w:pPr>
            <w:r>
              <w:rPr>
                <w:rFonts w:ascii="Arial" w:cs="Arial" w:eastAsia="Arial" w:hAnsi="Arial"/>
                <w:sz w:val="12"/>
                <w:szCs w:val="12"/>
                <w:color w:val="auto"/>
              </w:rPr>
              <w:t>$</w:t>
            </w:r>
          </w:p>
        </w:tc>
        <w:tc>
          <w:tcPr>
            <w:tcW w:w="460" w:type="dxa"/>
            <w:vAlign w:val="bottom"/>
          </w:tcPr>
          <w:p>
            <w:pPr>
              <w:jc w:val="right"/>
              <w:spacing w:after="0"/>
              <w:rPr>
                <w:sz w:val="20"/>
                <w:szCs w:val="20"/>
                <w:color w:val="auto"/>
              </w:rPr>
            </w:pPr>
            <w:r>
              <w:rPr>
                <w:rFonts w:ascii="Arial" w:cs="Arial" w:eastAsia="Arial" w:hAnsi="Arial"/>
                <w:sz w:val="12"/>
                <w:szCs w:val="12"/>
                <w:color w:val="auto"/>
              </w:rPr>
              <w:t>1.12</w:t>
            </w:r>
          </w:p>
        </w:tc>
        <w:tc>
          <w:tcPr>
            <w:tcW w:w="480" w:type="dxa"/>
            <w:vAlign w:val="bottom"/>
            <w:gridSpan w:val="2"/>
          </w:tcPr>
          <w:p>
            <w:pPr>
              <w:jc w:val="right"/>
              <w:ind w:right="100"/>
              <w:spacing w:after="0"/>
              <w:rPr>
                <w:sz w:val="20"/>
                <w:szCs w:val="20"/>
                <w:color w:val="auto"/>
              </w:rPr>
            </w:pPr>
            <w:r>
              <w:rPr>
                <w:rFonts w:ascii="Arial" w:cs="Arial" w:eastAsia="Arial" w:hAnsi="Arial"/>
                <w:sz w:val="12"/>
                <w:szCs w:val="12"/>
                <w:color w:val="auto"/>
              </w:rPr>
              <w:t>$</w:t>
            </w:r>
          </w:p>
        </w:tc>
        <w:tc>
          <w:tcPr>
            <w:tcW w:w="560" w:type="dxa"/>
            <w:vAlign w:val="bottom"/>
          </w:tcPr>
          <w:p>
            <w:pPr>
              <w:jc w:val="right"/>
              <w:spacing w:after="0"/>
              <w:rPr>
                <w:sz w:val="20"/>
                <w:szCs w:val="20"/>
                <w:color w:val="auto"/>
              </w:rPr>
            </w:pPr>
            <w:r>
              <w:rPr>
                <w:rFonts w:ascii="Arial" w:cs="Arial" w:eastAsia="Arial" w:hAnsi="Arial"/>
                <w:sz w:val="12"/>
                <w:szCs w:val="12"/>
                <w:color w:val="auto"/>
              </w:rPr>
              <w:t>5.12</w:t>
            </w:r>
          </w:p>
        </w:tc>
        <w:tc>
          <w:tcPr>
            <w:tcW w:w="560" w:type="dxa"/>
            <w:vAlign w:val="bottom"/>
            <w:gridSpan w:val="2"/>
          </w:tcPr>
          <w:p>
            <w:pPr>
              <w:jc w:val="right"/>
              <w:ind w:right="180"/>
              <w:spacing w:after="0"/>
              <w:rPr>
                <w:sz w:val="20"/>
                <w:szCs w:val="20"/>
                <w:color w:val="auto"/>
              </w:rPr>
            </w:pPr>
            <w:r>
              <w:rPr>
                <w:rFonts w:ascii="Arial" w:cs="Arial" w:eastAsia="Arial" w:hAnsi="Arial"/>
                <w:sz w:val="12"/>
                <w:szCs w:val="12"/>
                <w:color w:val="auto"/>
              </w:rPr>
              <w:t>$</w:t>
            </w:r>
          </w:p>
        </w:tc>
        <w:tc>
          <w:tcPr>
            <w:tcW w:w="460" w:type="dxa"/>
            <w:vAlign w:val="bottom"/>
          </w:tcPr>
          <w:p>
            <w:pPr>
              <w:jc w:val="right"/>
              <w:spacing w:after="0"/>
              <w:rPr>
                <w:sz w:val="20"/>
                <w:szCs w:val="20"/>
                <w:color w:val="auto"/>
              </w:rPr>
            </w:pPr>
            <w:r>
              <w:rPr>
                <w:rFonts w:ascii="Arial" w:cs="Arial" w:eastAsia="Arial" w:hAnsi="Arial"/>
                <w:sz w:val="12"/>
                <w:szCs w:val="12"/>
                <w:color w:val="auto"/>
              </w:rPr>
              <w:t>3.75</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8"/>
        </w:trPr>
        <w:tc>
          <w:tcPr>
            <w:tcW w:w="5680" w:type="dxa"/>
            <w:vAlign w:val="bottom"/>
          </w:tcPr>
          <w:p>
            <w:pPr>
              <w:spacing w:after="0"/>
              <w:rPr>
                <w:sz w:val="2"/>
                <w:szCs w:val="2"/>
                <w:color w:val="auto"/>
              </w:rPr>
            </w:pPr>
          </w:p>
        </w:tc>
        <w:tc>
          <w:tcPr>
            <w:tcW w:w="18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0"/>
        </w:trPr>
        <w:tc>
          <w:tcPr>
            <w:tcW w:w="5680" w:type="dxa"/>
            <w:vAlign w:val="bottom"/>
            <w:shd w:val="clear" w:color="auto" w:fill="CCEEFF"/>
          </w:tcPr>
          <w:p>
            <w:pPr>
              <w:spacing w:after="0"/>
              <w:rPr>
                <w:sz w:val="20"/>
                <w:szCs w:val="20"/>
                <w:color w:val="auto"/>
              </w:rPr>
            </w:pPr>
            <w:r>
              <w:rPr>
                <w:rFonts w:ascii="Arial" w:cs="Arial" w:eastAsia="Arial" w:hAnsi="Arial"/>
                <w:sz w:val="12"/>
                <w:szCs w:val="12"/>
                <w:color w:val="auto"/>
              </w:rPr>
              <w:t>Net income attributable to Wynn Resorts, Ltd. per common share, diluted</w:t>
            </w:r>
          </w:p>
        </w:tc>
        <w:tc>
          <w:tcPr>
            <w:tcW w:w="1880" w:type="dxa"/>
            <w:vAlign w:val="bottom"/>
            <w:shd w:val="clear" w:color="auto" w:fill="CCEEFF"/>
          </w:tcPr>
          <w:p>
            <w:pPr>
              <w:spacing w:after="0"/>
              <w:rPr>
                <w:sz w:val="13"/>
                <w:szCs w:val="13"/>
                <w:color w:val="auto"/>
              </w:rPr>
            </w:pPr>
          </w:p>
        </w:tc>
        <w:tc>
          <w:tcPr>
            <w:tcW w:w="160" w:type="dxa"/>
            <w:vAlign w:val="bottom"/>
            <w:shd w:val="clear" w:color="auto" w:fill="CCEEFF"/>
          </w:tcPr>
          <w:p>
            <w:pPr>
              <w:jc w:val="right"/>
              <w:ind w:right="53"/>
              <w:spacing w:after="0"/>
              <w:rPr>
                <w:sz w:val="20"/>
                <w:szCs w:val="20"/>
                <w:color w:val="auto"/>
              </w:rPr>
            </w:pPr>
            <w:r>
              <w:rPr>
                <w:rFonts w:ascii="Arial" w:cs="Arial" w:eastAsia="Arial" w:hAnsi="Arial"/>
                <w:sz w:val="9"/>
                <w:szCs w:val="9"/>
                <w:color w:val="auto"/>
                <w:w w:val="78"/>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1.79</w:t>
            </w:r>
          </w:p>
        </w:tc>
        <w:tc>
          <w:tcPr>
            <w:tcW w:w="58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1.11</w:t>
            </w:r>
          </w:p>
        </w:tc>
        <w:tc>
          <w:tcPr>
            <w:tcW w:w="48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5.07</w:t>
            </w:r>
          </w:p>
        </w:tc>
        <w:tc>
          <w:tcPr>
            <w:tcW w:w="56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3.71</w:t>
            </w:r>
          </w:p>
        </w:tc>
        <w:tc>
          <w:tcPr>
            <w:tcW w:w="1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50"/>
        </w:trPr>
        <w:tc>
          <w:tcPr>
            <w:tcW w:w="5680" w:type="dxa"/>
            <w:vAlign w:val="bottom"/>
          </w:tcPr>
          <w:p>
            <w:pPr>
              <w:spacing w:after="0"/>
              <w:rPr>
                <w:sz w:val="21"/>
                <w:szCs w:val="21"/>
                <w:color w:val="auto"/>
              </w:rPr>
            </w:pPr>
          </w:p>
        </w:tc>
        <w:tc>
          <w:tcPr>
            <w:tcW w:w="1880" w:type="dxa"/>
            <w:vAlign w:val="bottom"/>
          </w:tcPr>
          <w:p>
            <w:pPr>
              <w:jc w:val="right"/>
              <w:ind w:right="1701"/>
              <w:spacing w:after="0"/>
              <w:rPr>
                <w:sz w:val="20"/>
                <w:szCs w:val="20"/>
                <w:color w:val="auto"/>
              </w:rPr>
            </w:pPr>
            <w:r>
              <w:rPr>
                <w:rFonts w:ascii="Arial" w:cs="Arial" w:eastAsia="Arial" w:hAnsi="Arial"/>
                <w:sz w:val="12"/>
                <w:szCs w:val="12"/>
                <w:color w:val="auto"/>
                <w:w w:val="74"/>
              </w:rPr>
              <w:t>12</w:t>
            </w:r>
          </w:p>
        </w:tc>
        <w:tc>
          <w:tcPr>
            <w:tcW w:w="160" w:type="dxa"/>
            <w:vAlign w:val="bottom"/>
            <w:tcBorders>
              <w:top w:val="single" w:sz="8" w:color="auto"/>
            </w:tcBorders>
          </w:tcPr>
          <w:p>
            <w:pPr>
              <w:spacing w:after="0"/>
              <w:rPr>
                <w:sz w:val="21"/>
                <w:szCs w:val="21"/>
                <w:color w:val="auto"/>
              </w:rPr>
            </w:pPr>
          </w:p>
        </w:tc>
        <w:tc>
          <w:tcPr>
            <w:tcW w:w="540" w:type="dxa"/>
            <w:vAlign w:val="bottom"/>
            <w:tcBorders>
              <w:top w:val="single" w:sz="8" w:color="auto"/>
            </w:tcBorders>
          </w:tcPr>
          <w:p>
            <w:pPr>
              <w:spacing w:after="0"/>
              <w:rPr>
                <w:sz w:val="21"/>
                <w:szCs w:val="21"/>
                <w:color w:val="auto"/>
              </w:rPr>
            </w:pPr>
          </w:p>
        </w:tc>
        <w:tc>
          <w:tcPr>
            <w:tcW w:w="340" w:type="dxa"/>
            <w:vAlign w:val="bottom"/>
          </w:tcPr>
          <w:p>
            <w:pPr>
              <w:spacing w:after="0"/>
              <w:rPr>
                <w:sz w:val="21"/>
                <w:szCs w:val="21"/>
                <w:color w:val="auto"/>
              </w:rPr>
            </w:pPr>
          </w:p>
        </w:tc>
        <w:tc>
          <w:tcPr>
            <w:tcW w:w="240" w:type="dxa"/>
            <w:vAlign w:val="bottom"/>
            <w:tcBorders>
              <w:top w:val="single" w:sz="8" w:color="auto"/>
            </w:tcBorders>
          </w:tcPr>
          <w:p>
            <w:pPr>
              <w:spacing w:after="0"/>
              <w:rPr>
                <w:sz w:val="21"/>
                <w:szCs w:val="21"/>
                <w:color w:val="auto"/>
              </w:rPr>
            </w:pPr>
          </w:p>
        </w:tc>
        <w:tc>
          <w:tcPr>
            <w:tcW w:w="460" w:type="dxa"/>
            <w:vAlign w:val="bottom"/>
            <w:tcBorders>
              <w:top w:val="single" w:sz="8" w:color="auto"/>
            </w:tcBorders>
          </w:tcPr>
          <w:p>
            <w:pPr>
              <w:spacing w:after="0"/>
              <w:rPr>
                <w:sz w:val="21"/>
                <w:szCs w:val="21"/>
                <w:color w:val="auto"/>
              </w:rPr>
            </w:pPr>
          </w:p>
        </w:tc>
        <w:tc>
          <w:tcPr>
            <w:tcW w:w="320" w:type="dxa"/>
            <w:vAlign w:val="bottom"/>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560" w:type="dxa"/>
            <w:vAlign w:val="bottom"/>
            <w:tcBorders>
              <w:top w:val="single" w:sz="8" w:color="auto"/>
            </w:tcBorders>
          </w:tcPr>
          <w:p>
            <w:pPr>
              <w:spacing w:after="0"/>
              <w:rPr>
                <w:sz w:val="21"/>
                <w:szCs w:val="21"/>
                <w:color w:val="auto"/>
              </w:rPr>
            </w:pPr>
          </w:p>
        </w:tc>
        <w:tc>
          <w:tcPr>
            <w:tcW w:w="320" w:type="dxa"/>
            <w:vAlign w:val="bottom"/>
          </w:tcPr>
          <w:p>
            <w:pPr>
              <w:spacing w:after="0"/>
              <w:rPr>
                <w:sz w:val="21"/>
                <w:szCs w:val="21"/>
                <w:color w:val="auto"/>
              </w:rPr>
            </w:pPr>
          </w:p>
        </w:tc>
        <w:tc>
          <w:tcPr>
            <w:tcW w:w="240" w:type="dxa"/>
            <w:vAlign w:val="bottom"/>
            <w:tcBorders>
              <w:top w:val="single" w:sz="8" w:color="auto"/>
            </w:tcBorders>
          </w:tcPr>
          <w:p>
            <w:pPr>
              <w:spacing w:after="0"/>
              <w:rPr>
                <w:sz w:val="21"/>
                <w:szCs w:val="21"/>
                <w:color w:val="auto"/>
              </w:rPr>
            </w:pPr>
          </w:p>
        </w:tc>
        <w:tc>
          <w:tcPr>
            <w:tcW w:w="46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ectPr>
          <w:pgSz w:w="11900" w:h="16838" w:orient="portrait"/>
          <w:cols w:equalWidth="0" w:num="1">
            <w:col w:w="11488"/>
          </w:cols>
          <w:pgMar w:left="212" w:top="354" w:right="199" w:bottom="1440" w:gutter="0" w:footer="0" w:header="0"/>
        </w:sectPr>
      </w:pPr>
    </w:p>
    <w:bookmarkStart w:id="12" w:name="page13"/>
    <w:bookmarkEnd w:id="12"/>
    <w:p>
      <w:pPr>
        <w:ind w:left="8"/>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121920</wp:posOffset>
            </wp:positionH>
            <wp:positionV relativeFrom="page">
              <wp:posOffset>88900</wp:posOffset>
            </wp:positionV>
            <wp:extent cx="7329170" cy="298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329170" cy="29845"/>
                    </a:xfrm>
                    <a:prstGeom prst="rect">
                      <a:avLst/>
                    </a:prstGeom>
                    <a:noFill/>
                  </pic:spPr>
                </pic:pic>
              </a:graphicData>
            </a:graphic>
          </wp:anchor>
        </w:drawing>
      </w:r>
      <w:hyperlink w:anchor="page2">
        <w:r>
          <w:rPr>
            <w:rFonts w:ascii="Arial" w:cs="Arial" w:eastAsia="Arial" w:hAnsi="Arial"/>
            <w:sz w:val="12"/>
            <w:szCs w:val="12"/>
            <w:b w:val="1"/>
            <w:bCs w:val="1"/>
            <w:u w:val="single" w:color="auto"/>
            <w:color w:val="0000EE"/>
          </w:rPr>
          <w:t>Table of Contents</w:t>
        </w:r>
      </w:hyperlink>
    </w:p>
    <w:p>
      <w:pPr>
        <w:spacing w:after="0" w:line="207" w:lineRule="exact"/>
        <w:rPr>
          <w:sz w:val="20"/>
          <w:szCs w:val="20"/>
          <w:color w:val="auto"/>
        </w:rPr>
      </w:pPr>
    </w:p>
    <w:p>
      <w:pPr>
        <w:ind w:left="228" w:hanging="228"/>
        <w:spacing w:after="0"/>
        <w:tabs>
          <w:tab w:leader="none" w:pos="228" w:val="left"/>
        </w:tabs>
        <w:numPr>
          <w:ilvl w:val="0"/>
          <w:numId w:val="6"/>
        </w:numPr>
        <w:rPr>
          <w:rFonts w:ascii="Arial" w:cs="Arial" w:eastAsia="Arial" w:hAnsi="Arial"/>
          <w:sz w:val="12"/>
          <w:szCs w:val="12"/>
          <w:b w:val="1"/>
          <w:bCs w:val="1"/>
          <w:color w:val="auto"/>
        </w:rPr>
      </w:pPr>
      <w:r>
        <w:rPr>
          <w:rFonts w:ascii="Arial" w:cs="Arial" w:eastAsia="Arial" w:hAnsi="Arial"/>
          <w:sz w:val="12"/>
          <w:szCs w:val="12"/>
          <w:b w:val="1"/>
          <w:bCs w:val="1"/>
          <w:color w:val="auto"/>
        </w:rPr>
        <w:t>Accumulated Other Comprehensive Income</w:t>
      </w:r>
    </w:p>
    <w:p>
      <w:pPr>
        <w:spacing w:after="0" w:line="62" w:lineRule="exact"/>
        <w:rPr>
          <w:sz w:val="20"/>
          <w:szCs w:val="20"/>
          <w:color w:val="auto"/>
        </w:rPr>
      </w:pPr>
    </w:p>
    <w:p>
      <w:pPr>
        <w:ind w:left="468"/>
        <w:spacing w:after="0"/>
        <w:rPr>
          <w:sz w:val="20"/>
          <w:szCs w:val="20"/>
          <w:color w:val="auto"/>
        </w:rPr>
      </w:pPr>
      <w:r>
        <w:rPr>
          <w:rFonts w:ascii="Arial" w:cs="Arial" w:eastAsia="Arial" w:hAnsi="Arial"/>
          <w:sz w:val="12"/>
          <w:szCs w:val="12"/>
          <w:color w:val="auto"/>
        </w:rPr>
        <w:t>The following table presents the changes by component, net of tax and noncontrolling interest, in Accumulated other comprehensive income of the Company (amounts in thousands):</w:t>
      </w:r>
    </w:p>
    <w:p>
      <w:pPr>
        <w:spacing w:after="0" w:line="134" w:lineRule="exact"/>
        <w:rPr>
          <w:sz w:val="20"/>
          <w:szCs w:val="20"/>
          <w:color w:val="auto"/>
        </w:rPr>
      </w:pPr>
    </w:p>
    <w:tbl>
      <w:tblPr>
        <w:tblLayout w:type="fixed"/>
        <w:tblInd w:w="8" w:type="dxa"/>
        <w:tblCellMar>
          <w:top w:w="0" w:type="dxa"/>
          <w:left w:w="0" w:type="dxa"/>
          <w:bottom w:w="0" w:type="dxa"/>
          <w:right w:w="0" w:type="dxa"/>
        </w:tblCellMar>
      </w:tblPr>
      <w:tr>
        <w:trPr>
          <w:trHeight w:val="103"/>
        </w:trPr>
        <w:tc>
          <w:tcPr>
            <w:tcW w:w="5760" w:type="dxa"/>
            <w:vAlign w:val="bottom"/>
          </w:tcPr>
          <w:p>
            <w:pPr>
              <w:spacing w:after="0"/>
              <w:rPr>
                <w:sz w:val="8"/>
                <w:szCs w:val="8"/>
                <w:color w:val="auto"/>
              </w:rPr>
            </w:pPr>
          </w:p>
        </w:tc>
        <w:tc>
          <w:tcPr>
            <w:tcW w:w="2520" w:type="dxa"/>
            <w:vAlign w:val="bottom"/>
          </w:tcPr>
          <w:p>
            <w:pPr>
              <w:spacing w:after="0"/>
              <w:rPr>
                <w:sz w:val="8"/>
                <w:szCs w:val="8"/>
                <w:color w:val="auto"/>
              </w:rPr>
            </w:pPr>
          </w:p>
        </w:tc>
        <w:tc>
          <w:tcPr>
            <w:tcW w:w="60" w:type="dxa"/>
            <w:vAlign w:val="bottom"/>
          </w:tcPr>
          <w:p>
            <w:pPr>
              <w:spacing w:after="0"/>
              <w:rPr>
                <w:sz w:val="8"/>
                <w:szCs w:val="8"/>
                <w:color w:val="auto"/>
              </w:rPr>
            </w:pPr>
          </w:p>
        </w:tc>
        <w:tc>
          <w:tcPr>
            <w:tcW w:w="380" w:type="dxa"/>
            <w:vAlign w:val="bottom"/>
          </w:tcPr>
          <w:p>
            <w:pPr>
              <w:spacing w:after="0"/>
              <w:rPr>
                <w:sz w:val="8"/>
                <w:szCs w:val="8"/>
                <w:color w:val="auto"/>
              </w:rPr>
            </w:pPr>
          </w:p>
        </w:tc>
        <w:tc>
          <w:tcPr>
            <w:tcW w:w="440" w:type="dxa"/>
            <w:vAlign w:val="bottom"/>
          </w:tcPr>
          <w:p>
            <w:pPr>
              <w:spacing w:after="0"/>
              <w:rPr>
                <w:sz w:val="8"/>
                <w:szCs w:val="8"/>
                <w:color w:val="auto"/>
              </w:rPr>
            </w:pPr>
          </w:p>
        </w:tc>
        <w:tc>
          <w:tcPr>
            <w:tcW w:w="400" w:type="dxa"/>
            <w:vAlign w:val="bottom"/>
          </w:tcPr>
          <w:p>
            <w:pPr>
              <w:spacing w:after="0"/>
              <w:rPr>
                <w:sz w:val="8"/>
                <w:szCs w:val="8"/>
                <w:color w:val="auto"/>
              </w:rPr>
            </w:pPr>
          </w:p>
        </w:tc>
        <w:tc>
          <w:tcPr>
            <w:tcW w:w="60" w:type="dxa"/>
            <w:vAlign w:val="bottom"/>
          </w:tcPr>
          <w:p>
            <w:pPr>
              <w:spacing w:after="0"/>
              <w:rPr>
                <w:sz w:val="8"/>
                <w:szCs w:val="8"/>
                <w:color w:val="auto"/>
              </w:rPr>
            </w:pPr>
          </w:p>
        </w:tc>
        <w:tc>
          <w:tcPr>
            <w:tcW w:w="360" w:type="dxa"/>
            <w:vAlign w:val="bottom"/>
          </w:tcPr>
          <w:p>
            <w:pPr>
              <w:spacing w:after="0"/>
              <w:rPr>
                <w:sz w:val="8"/>
                <w:szCs w:val="8"/>
                <w:color w:val="auto"/>
              </w:rPr>
            </w:pPr>
          </w:p>
        </w:tc>
        <w:tc>
          <w:tcPr>
            <w:tcW w:w="440" w:type="dxa"/>
            <w:vAlign w:val="bottom"/>
          </w:tcPr>
          <w:p>
            <w:pPr>
              <w:spacing w:after="0"/>
              <w:rPr>
                <w:sz w:val="8"/>
                <w:szCs w:val="8"/>
                <w:color w:val="auto"/>
              </w:rPr>
            </w:pPr>
          </w:p>
        </w:tc>
        <w:tc>
          <w:tcPr>
            <w:tcW w:w="400" w:type="dxa"/>
            <w:vAlign w:val="bottom"/>
          </w:tcPr>
          <w:p>
            <w:pPr>
              <w:spacing w:after="0"/>
              <w:rPr>
                <w:sz w:val="8"/>
                <w:szCs w:val="8"/>
                <w:color w:val="auto"/>
              </w:rPr>
            </w:pPr>
          </w:p>
        </w:tc>
        <w:tc>
          <w:tcPr>
            <w:tcW w:w="660" w:type="dxa"/>
            <w:vAlign w:val="bottom"/>
            <w:gridSpan w:val="3"/>
          </w:tcPr>
          <w:p>
            <w:pPr>
              <w:jc w:val="center"/>
              <w:ind w:right="60"/>
              <w:spacing w:after="0"/>
              <w:rPr>
                <w:sz w:val="20"/>
                <w:szCs w:val="20"/>
                <w:color w:val="auto"/>
              </w:rPr>
            </w:pPr>
            <w:r>
              <w:rPr>
                <w:rFonts w:ascii="Arial" w:cs="Arial" w:eastAsia="Arial" w:hAnsi="Arial"/>
                <w:sz w:val="9"/>
                <w:szCs w:val="9"/>
                <w:b w:val="1"/>
                <w:bCs w:val="1"/>
                <w:color w:val="auto"/>
                <w:w w:val="91"/>
              </w:rPr>
              <w:t>Accumulated</w:t>
            </w:r>
          </w:p>
        </w:tc>
        <w:tc>
          <w:tcPr>
            <w:tcW w:w="0" w:type="dxa"/>
            <w:vAlign w:val="bottom"/>
          </w:tcPr>
          <w:p>
            <w:pPr>
              <w:spacing w:after="0"/>
              <w:rPr>
                <w:sz w:val="1"/>
                <w:szCs w:val="1"/>
                <w:color w:val="auto"/>
              </w:rPr>
            </w:pPr>
          </w:p>
        </w:tc>
      </w:tr>
      <w:tr>
        <w:trPr>
          <w:trHeight w:val="99"/>
        </w:trPr>
        <w:tc>
          <w:tcPr>
            <w:tcW w:w="5760" w:type="dxa"/>
            <w:vAlign w:val="bottom"/>
          </w:tcPr>
          <w:p>
            <w:pPr>
              <w:spacing w:after="0"/>
              <w:rPr>
                <w:sz w:val="8"/>
                <w:szCs w:val="8"/>
                <w:color w:val="auto"/>
              </w:rPr>
            </w:pPr>
          </w:p>
        </w:tc>
        <w:tc>
          <w:tcPr>
            <w:tcW w:w="2520" w:type="dxa"/>
            <w:vAlign w:val="bottom"/>
          </w:tcPr>
          <w:p>
            <w:pPr>
              <w:spacing w:after="0"/>
              <w:rPr>
                <w:sz w:val="8"/>
                <w:szCs w:val="8"/>
                <w:color w:val="auto"/>
              </w:rPr>
            </w:pPr>
          </w:p>
        </w:tc>
        <w:tc>
          <w:tcPr>
            <w:tcW w:w="60" w:type="dxa"/>
            <w:vAlign w:val="bottom"/>
          </w:tcPr>
          <w:p>
            <w:pPr>
              <w:spacing w:after="0"/>
              <w:rPr>
                <w:sz w:val="8"/>
                <w:szCs w:val="8"/>
                <w:color w:val="auto"/>
              </w:rPr>
            </w:pPr>
          </w:p>
        </w:tc>
        <w:tc>
          <w:tcPr>
            <w:tcW w:w="820" w:type="dxa"/>
            <w:vAlign w:val="bottom"/>
            <w:gridSpan w:val="2"/>
          </w:tcPr>
          <w:p>
            <w:pPr>
              <w:jc w:val="right"/>
              <w:ind w:right="520"/>
              <w:spacing w:after="0" w:line="99" w:lineRule="exact"/>
              <w:rPr>
                <w:sz w:val="20"/>
                <w:szCs w:val="20"/>
                <w:color w:val="auto"/>
              </w:rPr>
            </w:pPr>
            <w:r>
              <w:rPr>
                <w:rFonts w:ascii="Arial" w:cs="Arial" w:eastAsia="Arial" w:hAnsi="Arial"/>
                <w:sz w:val="9"/>
                <w:szCs w:val="9"/>
                <w:b w:val="1"/>
                <w:bCs w:val="1"/>
                <w:color w:val="auto"/>
                <w:w w:val="84"/>
              </w:rPr>
              <w:t>Foreign</w:t>
            </w:r>
          </w:p>
        </w:tc>
        <w:tc>
          <w:tcPr>
            <w:tcW w:w="400" w:type="dxa"/>
            <w:vAlign w:val="bottom"/>
          </w:tcPr>
          <w:p>
            <w:pPr>
              <w:spacing w:after="0"/>
              <w:rPr>
                <w:sz w:val="8"/>
                <w:szCs w:val="8"/>
                <w:color w:val="auto"/>
              </w:rPr>
            </w:pPr>
          </w:p>
        </w:tc>
        <w:tc>
          <w:tcPr>
            <w:tcW w:w="860" w:type="dxa"/>
            <w:vAlign w:val="bottom"/>
            <w:gridSpan w:val="3"/>
          </w:tcPr>
          <w:p>
            <w:pPr>
              <w:spacing w:after="0" w:line="99" w:lineRule="exact"/>
              <w:rPr>
                <w:sz w:val="20"/>
                <w:szCs w:val="20"/>
                <w:color w:val="auto"/>
              </w:rPr>
            </w:pPr>
            <w:r>
              <w:rPr>
                <w:rFonts w:ascii="Arial" w:cs="Arial" w:eastAsia="Arial" w:hAnsi="Arial"/>
                <w:sz w:val="9"/>
                <w:szCs w:val="9"/>
                <w:b w:val="1"/>
                <w:bCs w:val="1"/>
                <w:color w:val="auto"/>
              </w:rPr>
              <w:t>Unrealized</w:t>
            </w:r>
          </w:p>
        </w:tc>
        <w:tc>
          <w:tcPr>
            <w:tcW w:w="400" w:type="dxa"/>
            <w:vAlign w:val="bottom"/>
          </w:tcPr>
          <w:p>
            <w:pPr>
              <w:spacing w:after="0"/>
              <w:rPr>
                <w:sz w:val="8"/>
                <w:szCs w:val="8"/>
                <w:color w:val="auto"/>
              </w:rPr>
            </w:pPr>
          </w:p>
        </w:tc>
        <w:tc>
          <w:tcPr>
            <w:tcW w:w="120" w:type="dxa"/>
            <w:vAlign w:val="bottom"/>
          </w:tcPr>
          <w:p>
            <w:pPr>
              <w:spacing w:after="0"/>
              <w:rPr>
                <w:sz w:val="8"/>
                <w:szCs w:val="8"/>
                <w:color w:val="auto"/>
              </w:rPr>
            </w:pPr>
          </w:p>
        </w:tc>
        <w:tc>
          <w:tcPr>
            <w:tcW w:w="540" w:type="dxa"/>
            <w:vAlign w:val="bottom"/>
            <w:gridSpan w:val="2"/>
          </w:tcPr>
          <w:p>
            <w:pPr>
              <w:jc w:val="center"/>
              <w:ind w:right="180"/>
              <w:spacing w:after="0" w:line="99" w:lineRule="exact"/>
              <w:rPr>
                <w:sz w:val="20"/>
                <w:szCs w:val="20"/>
                <w:color w:val="auto"/>
              </w:rPr>
            </w:pPr>
            <w:r>
              <w:rPr>
                <w:rFonts w:ascii="Arial" w:cs="Arial" w:eastAsia="Arial" w:hAnsi="Arial"/>
                <w:sz w:val="9"/>
                <w:szCs w:val="9"/>
                <w:b w:val="1"/>
                <w:bCs w:val="1"/>
                <w:color w:val="auto"/>
                <w:w w:val="88"/>
              </w:rPr>
              <w:t>other</w:t>
            </w:r>
          </w:p>
        </w:tc>
        <w:tc>
          <w:tcPr>
            <w:tcW w:w="0" w:type="dxa"/>
            <w:vAlign w:val="bottom"/>
          </w:tcPr>
          <w:p>
            <w:pPr>
              <w:spacing w:after="0"/>
              <w:rPr>
                <w:sz w:val="1"/>
                <w:szCs w:val="1"/>
                <w:color w:val="auto"/>
              </w:rPr>
            </w:pPr>
          </w:p>
        </w:tc>
      </w:tr>
      <w:tr>
        <w:trPr>
          <w:trHeight w:val="99"/>
        </w:trPr>
        <w:tc>
          <w:tcPr>
            <w:tcW w:w="5760" w:type="dxa"/>
            <w:vAlign w:val="bottom"/>
          </w:tcPr>
          <w:p>
            <w:pPr>
              <w:spacing w:after="0"/>
              <w:rPr>
                <w:sz w:val="8"/>
                <w:szCs w:val="8"/>
                <w:color w:val="auto"/>
              </w:rPr>
            </w:pPr>
          </w:p>
        </w:tc>
        <w:tc>
          <w:tcPr>
            <w:tcW w:w="2520" w:type="dxa"/>
            <w:vAlign w:val="bottom"/>
          </w:tcPr>
          <w:p>
            <w:pPr>
              <w:spacing w:after="0"/>
              <w:rPr>
                <w:sz w:val="8"/>
                <w:szCs w:val="8"/>
                <w:color w:val="auto"/>
              </w:rPr>
            </w:pPr>
          </w:p>
        </w:tc>
        <w:tc>
          <w:tcPr>
            <w:tcW w:w="880" w:type="dxa"/>
            <w:vAlign w:val="bottom"/>
            <w:gridSpan w:val="3"/>
          </w:tcPr>
          <w:p>
            <w:pPr>
              <w:ind w:left="40"/>
              <w:spacing w:after="0" w:line="99" w:lineRule="exact"/>
              <w:rPr>
                <w:sz w:val="20"/>
                <w:szCs w:val="20"/>
                <w:color w:val="auto"/>
              </w:rPr>
            </w:pPr>
            <w:r>
              <w:rPr>
                <w:rFonts w:ascii="Arial" w:cs="Arial" w:eastAsia="Arial" w:hAnsi="Arial"/>
                <w:sz w:val="9"/>
                <w:szCs w:val="9"/>
                <w:b w:val="1"/>
                <w:bCs w:val="1"/>
                <w:color w:val="auto"/>
              </w:rPr>
              <w:t>currency</w:t>
            </w:r>
          </w:p>
        </w:tc>
        <w:tc>
          <w:tcPr>
            <w:tcW w:w="4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0" w:type="dxa"/>
            <w:vAlign w:val="bottom"/>
            <w:gridSpan w:val="2"/>
          </w:tcPr>
          <w:p>
            <w:pPr>
              <w:jc w:val="right"/>
              <w:ind w:right="479"/>
              <w:spacing w:after="0" w:line="99" w:lineRule="exact"/>
              <w:rPr>
                <w:sz w:val="20"/>
                <w:szCs w:val="20"/>
                <w:color w:val="auto"/>
              </w:rPr>
            </w:pPr>
            <w:r>
              <w:rPr>
                <w:rFonts w:ascii="Arial" w:cs="Arial" w:eastAsia="Arial" w:hAnsi="Arial"/>
                <w:sz w:val="9"/>
                <w:szCs w:val="9"/>
                <w:b w:val="1"/>
                <w:bCs w:val="1"/>
                <w:color w:val="auto"/>
                <w:w w:val="82"/>
              </w:rPr>
              <w:t>loss on</w:t>
            </w:r>
          </w:p>
        </w:tc>
        <w:tc>
          <w:tcPr>
            <w:tcW w:w="400" w:type="dxa"/>
            <w:vAlign w:val="bottom"/>
          </w:tcPr>
          <w:p>
            <w:pPr>
              <w:spacing w:after="0"/>
              <w:rPr>
                <w:sz w:val="8"/>
                <w:szCs w:val="8"/>
                <w:color w:val="auto"/>
              </w:rPr>
            </w:pPr>
          </w:p>
        </w:tc>
        <w:tc>
          <w:tcPr>
            <w:tcW w:w="660" w:type="dxa"/>
            <w:vAlign w:val="bottom"/>
            <w:gridSpan w:val="3"/>
          </w:tcPr>
          <w:p>
            <w:pPr>
              <w:jc w:val="center"/>
              <w:ind w:right="80"/>
              <w:spacing w:after="0" w:line="99" w:lineRule="exact"/>
              <w:rPr>
                <w:sz w:val="20"/>
                <w:szCs w:val="20"/>
                <w:color w:val="auto"/>
              </w:rPr>
            </w:pPr>
            <w:r>
              <w:rPr>
                <w:rFonts w:ascii="Arial" w:cs="Arial" w:eastAsia="Arial" w:hAnsi="Arial"/>
                <w:sz w:val="9"/>
                <w:szCs w:val="9"/>
                <w:b w:val="1"/>
                <w:bCs w:val="1"/>
                <w:color w:val="auto"/>
                <w:w w:val="87"/>
              </w:rPr>
              <w:t>comprehensive</w:t>
            </w:r>
          </w:p>
        </w:tc>
        <w:tc>
          <w:tcPr>
            <w:tcW w:w="0" w:type="dxa"/>
            <w:vAlign w:val="bottom"/>
          </w:tcPr>
          <w:p>
            <w:pPr>
              <w:spacing w:after="0"/>
              <w:rPr>
                <w:sz w:val="1"/>
                <w:szCs w:val="1"/>
                <w:color w:val="auto"/>
              </w:rPr>
            </w:pPr>
          </w:p>
        </w:tc>
      </w:tr>
      <w:tr>
        <w:trPr>
          <w:trHeight w:val="108"/>
        </w:trPr>
        <w:tc>
          <w:tcPr>
            <w:tcW w:w="5760" w:type="dxa"/>
            <w:vAlign w:val="bottom"/>
          </w:tcPr>
          <w:p>
            <w:pPr>
              <w:spacing w:after="0"/>
              <w:rPr>
                <w:sz w:val="9"/>
                <w:szCs w:val="9"/>
                <w:color w:val="auto"/>
              </w:rPr>
            </w:pPr>
          </w:p>
        </w:tc>
        <w:tc>
          <w:tcPr>
            <w:tcW w:w="2520" w:type="dxa"/>
            <w:vAlign w:val="bottom"/>
          </w:tcPr>
          <w:p>
            <w:pPr>
              <w:spacing w:after="0"/>
              <w:rPr>
                <w:sz w:val="9"/>
                <w:szCs w:val="9"/>
                <w:color w:val="auto"/>
              </w:rPr>
            </w:pPr>
          </w:p>
        </w:tc>
        <w:tc>
          <w:tcPr>
            <w:tcW w:w="880" w:type="dxa"/>
            <w:vAlign w:val="bottom"/>
            <w:gridSpan w:val="3"/>
          </w:tcPr>
          <w:p>
            <w:pPr>
              <w:spacing w:after="0"/>
              <w:rPr>
                <w:sz w:val="20"/>
                <w:szCs w:val="20"/>
                <w:color w:val="auto"/>
              </w:rPr>
            </w:pPr>
            <w:r>
              <w:rPr>
                <w:rFonts w:ascii="Arial" w:cs="Arial" w:eastAsia="Arial" w:hAnsi="Arial"/>
                <w:sz w:val="9"/>
                <w:szCs w:val="9"/>
                <w:b w:val="1"/>
                <w:bCs w:val="1"/>
                <w:color w:val="auto"/>
              </w:rPr>
              <w:t>translation</w:t>
            </w:r>
          </w:p>
        </w:tc>
        <w:tc>
          <w:tcPr>
            <w:tcW w:w="400" w:type="dxa"/>
            <w:vAlign w:val="bottom"/>
          </w:tcPr>
          <w:p>
            <w:pPr>
              <w:spacing w:after="0"/>
              <w:rPr>
                <w:sz w:val="9"/>
                <w:szCs w:val="9"/>
                <w:color w:val="auto"/>
              </w:rPr>
            </w:pPr>
          </w:p>
        </w:tc>
        <w:tc>
          <w:tcPr>
            <w:tcW w:w="860" w:type="dxa"/>
            <w:vAlign w:val="bottom"/>
            <w:gridSpan w:val="3"/>
          </w:tcPr>
          <w:p>
            <w:pPr>
              <w:jc w:val="right"/>
              <w:ind w:right="439"/>
              <w:spacing w:after="0"/>
              <w:rPr>
                <w:sz w:val="20"/>
                <w:szCs w:val="20"/>
                <w:color w:val="auto"/>
              </w:rPr>
            </w:pPr>
            <w:r>
              <w:rPr>
                <w:rFonts w:ascii="Arial" w:cs="Arial" w:eastAsia="Arial" w:hAnsi="Arial"/>
                <w:sz w:val="9"/>
                <w:szCs w:val="9"/>
                <w:b w:val="1"/>
                <w:bCs w:val="1"/>
                <w:color w:val="auto"/>
                <w:w w:val="85"/>
              </w:rPr>
              <w:t>securities</w:t>
            </w:r>
          </w:p>
        </w:tc>
        <w:tc>
          <w:tcPr>
            <w:tcW w:w="400" w:type="dxa"/>
            <w:vAlign w:val="bottom"/>
          </w:tcPr>
          <w:p>
            <w:pPr>
              <w:spacing w:after="0"/>
              <w:rPr>
                <w:sz w:val="9"/>
                <w:szCs w:val="9"/>
                <w:color w:val="auto"/>
              </w:rPr>
            </w:pPr>
          </w:p>
        </w:tc>
        <w:tc>
          <w:tcPr>
            <w:tcW w:w="120" w:type="dxa"/>
            <w:vAlign w:val="bottom"/>
          </w:tcPr>
          <w:p>
            <w:pPr>
              <w:spacing w:after="0"/>
              <w:rPr>
                <w:sz w:val="9"/>
                <w:szCs w:val="9"/>
                <w:color w:val="auto"/>
              </w:rPr>
            </w:pPr>
          </w:p>
        </w:tc>
        <w:tc>
          <w:tcPr>
            <w:tcW w:w="540" w:type="dxa"/>
            <w:vAlign w:val="bottom"/>
            <w:gridSpan w:val="2"/>
          </w:tcPr>
          <w:p>
            <w:pPr>
              <w:jc w:val="center"/>
              <w:ind w:right="180"/>
              <w:spacing w:after="0"/>
              <w:rPr>
                <w:sz w:val="20"/>
                <w:szCs w:val="20"/>
                <w:color w:val="auto"/>
              </w:rPr>
            </w:pPr>
            <w:r>
              <w:rPr>
                <w:rFonts w:ascii="Arial" w:cs="Arial" w:eastAsia="Arial" w:hAnsi="Arial"/>
                <w:sz w:val="9"/>
                <w:szCs w:val="9"/>
                <w:b w:val="1"/>
                <w:bCs w:val="1"/>
                <w:color w:val="auto"/>
                <w:w w:val="88"/>
              </w:rPr>
              <w:t>income</w:t>
            </w:r>
          </w:p>
        </w:tc>
        <w:tc>
          <w:tcPr>
            <w:tcW w:w="0" w:type="dxa"/>
            <w:vAlign w:val="bottom"/>
          </w:tcPr>
          <w:p>
            <w:pPr>
              <w:spacing w:after="0"/>
              <w:rPr>
                <w:sz w:val="1"/>
                <w:szCs w:val="1"/>
                <w:color w:val="auto"/>
              </w:rPr>
            </w:pPr>
          </w:p>
        </w:tc>
      </w:tr>
      <w:tr>
        <w:trPr>
          <w:trHeight w:val="133"/>
        </w:trPr>
        <w:tc>
          <w:tcPr>
            <w:tcW w:w="5760" w:type="dxa"/>
            <w:vAlign w:val="bottom"/>
            <w:tcBorders>
              <w:top w:val="single" w:sz="8" w:color="CCEEFF"/>
            </w:tcBorders>
            <w:shd w:val="clear" w:color="auto" w:fill="CCEEFF"/>
          </w:tcPr>
          <w:p>
            <w:pPr>
              <w:spacing w:after="0" w:line="129" w:lineRule="exact"/>
              <w:rPr>
                <w:sz w:val="20"/>
                <w:szCs w:val="20"/>
                <w:color w:val="auto"/>
              </w:rPr>
            </w:pPr>
            <w:r>
              <w:rPr>
                <w:rFonts w:ascii="Arial" w:cs="Arial" w:eastAsia="Arial" w:hAnsi="Arial"/>
                <w:sz w:val="12"/>
                <w:szCs w:val="12"/>
                <w:color w:val="auto"/>
              </w:rPr>
              <w:t>December 31, 2012</w:t>
            </w:r>
          </w:p>
        </w:tc>
        <w:tc>
          <w:tcPr>
            <w:tcW w:w="252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9"/>
                <w:szCs w:val="9"/>
                <w:color w:val="auto"/>
                <w:w w:val="78"/>
              </w:rPr>
              <w:t>$</w:t>
            </w:r>
          </w:p>
        </w:tc>
        <w:tc>
          <w:tcPr>
            <w:tcW w:w="380" w:type="dxa"/>
            <w:vAlign w:val="bottom"/>
            <w:tcBorders>
              <w:top w:val="single" w:sz="8" w:color="auto"/>
              <w:bottom w:val="single" w:sz="8" w:color="auto"/>
            </w:tcBorders>
            <w:shd w:val="clear" w:color="auto" w:fill="CCEEFF"/>
          </w:tcPr>
          <w:p>
            <w:pPr>
              <w:jc w:val="right"/>
              <w:spacing w:after="0" w:line="133" w:lineRule="exact"/>
              <w:rPr>
                <w:sz w:val="20"/>
                <w:szCs w:val="20"/>
                <w:color w:val="auto"/>
              </w:rPr>
            </w:pPr>
            <w:r>
              <w:rPr>
                <w:rFonts w:ascii="Arial" w:cs="Arial" w:eastAsia="Arial" w:hAnsi="Arial"/>
                <w:sz w:val="12"/>
                <w:szCs w:val="12"/>
                <w:color w:val="auto"/>
              </w:rPr>
              <w:t>4,396</w:t>
            </w:r>
          </w:p>
        </w:tc>
        <w:tc>
          <w:tcPr>
            <w:tcW w:w="440" w:type="dxa"/>
            <w:vAlign w:val="bottom"/>
            <w:tcBorders>
              <w:top w:val="single" w:sz="8" w:color="CCEEFF"/>
            </w:tcBorders>
            <w:shd w:val="clear" w:color="auto" w:fill="CCEEFF"/>
          </w:tcPr>
          <w:p>
            <w:pPr>
              <w:spacing w:after="0"/>
              <w:rPr>
                <w:sz w:val="11"/>
                <w:szCs w:val="11"/>
                <w:color w:val="auto"/>
              </w:rPr>
            </w:pPr>
          </w:p>
        </w:tc>
        <w:tc>
          <w:tcPr>
            <w:tcW w:w="40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9"/>
                <w:szCs w:val="9"/>
                <w:color w:val="auto"/>
                <w:w w:val="78"/>
              </w:rPr>
              <w:t>$</w:t>
            </w:r>
          </w:p>
        </w:tc>
        <w:tc>
          <w:tcPr>
            <w:tcW w:w="360" w:type="dxa"/>
            <w:vAlign w:val="bottom"/>
            <w:tcBorders>
              <w:top w:val="single" w:sz="8" w:color="auto"/>
              <w:bottom w:val="single" w:sz="8" w:color="auto"/>
            </w:tcBorders>
            <w:shd w:val="clear" w:color="auto" w:fill="CCEEFF"/>
          </w:tcPr>
          <w:p>
            <w:pPr>
              <w:jc w:val="right"/>
              <w:spacing w:after="0" w:line="133" w:lineRule="exact"/>
              <w:rPr>
                <w:sz w:val="20"/>
                <w:szCs w:val="20"/>
                <w:color w:val="auto"/>
              </w:rPr>
            </w:pPr>
            <w:r>
              <w:rPr>
                <w:rFonts w:ascii="Arial" w:cs="Arial" w:eastAsia="Arial" w:hAnsi="Arial"/>
                <w:sz w:val="12"/>
                <w:szCs w:val="12"/>
                <w:color w:val="auto"/>
              </w:rPr>
              <w:t>(219</w:t>
            </w:r>
          </w:p>
        </w:tc>
        <w:tc>
          <w:tcPr>
            <w:tcW w:w="440" w:type="dxa"/>
            <w:vAlign w:val="bottom"/>
            <w:tcBorders>
              <w:top w:val="single" w:sz="8" w:color="CCEEFF"/>
            </w:tcBorders>
            <w:shd w:val="clear" w:color="auto" w:fill="CCEEFF"/>
          </w:tcPr>
          <w:p>
            <w:pPr>
              <w:jc w:val="right"/>
              <w:ind w:right="359"/>
              <w:spacing w:after="0"/>
              <w:rPr>
                <w:sz w:val="20"/>
                <w:szCs w:val="20"/>
                <w:color w:val="auto"/>
              </w:rPr>
            </w:pPr>
            <w:r>
              <w:rPr>
                <w:rFonts w:ascii="Arial" w:cs="Arial" w:eastAsia="Arial" w:hAnsi="Arial"/>
                <w:sz w:val="8"/>
                <w:szCs w:val="8"/>
                <w:color w:val="auto"/>
                <w:w w:val="73"/>
              </w:rPr>
              <w:t>)</w:t>
            </w:r>
          </w:p>
        </w:tc>
        <w:tc>
          <w:tcPr>
            <w:tcW w:w="40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bottom w:val="single" w:sz="8" w:color="auto"/>
            </w:tcBorders>
            <w:shd w:val="clear" w:color="auto" w:fill="CCEEFF"/>
          </w:tcPr>
          <w:p>
            <w:pPr>
              <w:jc w:val="right"/>
              <w:ind w:right="14"/>
              <w:spacing w:after="0"/>
              <w:rPr>
                <w:sz w:val="20"/>
                <w:szCs w:val="20"/>
                <w:color w:val="auto"/>
              </w:rPr>
            </w:pPr>
            <w:r>
              <w:rPr>
                <w:rFonts w:ascii="Arial" w:cs="Arial" w:eastAsia="Arial" w:hAnsi="Arial"/>
                <w:sz w:val="9"/>
                <w:szCs w:val="9"/>
                <w:color w:val="auto"/>
                <w:w w:val="78"/>
              </w:rPr>
              <w:t>$</w:t>
            </w:r>
          </w:p>
        </w:tc>
        <w:tc>
          <w:tcPr>
            <w:tcW w:w="460" w:type="dxa"/>
            <w:vAlign w:val="bottom"/>
            <w:tcBorders>
              <w:top w:val="single" w:sz="8" w:color="auto"/>
              <w:bottom w:val="single" w:sz="8" w:color="auto"/>
            </w:tcBorders>
            <w:shd w:val="clear" w:color="auto" w:fill="CCEEFF"/>
          </w:tcPr>
          <w:p>
            <w:pPr>
              <w:jc w:val="right"/>
              <w:spacing w:after="0" w:line="133" w:lineRule="exact"/>
              <w:rPr>
                <w:sz w:val="20"/>
                <w:szCs w:val="20"/>
                <w:color w:val="auto"/>
              </w:rPr>
            </w:pPr>
            <w:r>
              <w:rPr>
                <w:rFonts w:ascii="Arial" w:cs="Arial" w:eastAsia="Arial" w:hAnsi="Arial"/>
                <w:sz w:val="12"/>
                <w:szCs w:val="12"/>
                <w:color w:val="auto"/>
              </w:rPr>
              <w:t>4,177</w:t>
            </w:r>
          </w:p>
        </w:tc>
        <w:tc>
          <w:tcPr>
            <w:tcW w:w="8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0"/>
        </w:trPr>
        <w:tc>
          <w:tcPr>
            <w:tcW w:w="5760" w:type="dxa"/>
            <w:vAlign w:val="bottom"/>
          </w:tcPr>
          <w:p>
            <w:pPr>
              <w:spacing w:after="0"/>
              <w:rPr>
                <w:sz w:val="20"/>
                <w:szCs w:val="20"/>
                <w:color w:val="auto"/>
              </w:rPr>
            </w:pPr>
            <w:r>
              <w:rPr>
                <w:rFonts w:ascii="Arial" w:cs="Arial" w:eastAsia="Arial" w:hAnsi="Arial"/>
                <w:sz w:val="12"/>
                <w:szCs w:val="12"/>
                <w:color w:val="auto"/>
              </w:rPr>
              <w:t>Current period other comprehensive (loss) gain</w:t>
            </w:r>
          </w:p>
        </w:tc>
        <w:tc>
          <w:tcPr>
            <w:tcW w:w="25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20" w:type="dxa"/>
            <w:vAlign w:val="bottom"/>
            <w:gridSpan w:val="2"/>
          </w:tcPr>
          <w:p>
            <w:pPr>
              <w:jc w:val="right"/>
              <w:ind w:right="420"/>
              <w:spacing w:after="0"/>
              <w:rPr>
                <w:sz w:val="20"/>
                <w:szCs w:val="20"/>
                <w:color w:val="auto"/>
              </w:rPr>
            </w:pPr>
            <w:r>
              <w:rPr>
                <w:rFonts w:ascii="Arial" w:cs="Arial" w:eastAsia="Arial" w:hAnsi="Arial"/>
                <w:sz w:val="12"/>
                <w:szCs w:val="12"/>
                <w:color w:val="auto"/>
              </w:rPr>
              <w:t>(408)</w:t>
            </w:r>
          </w:p>
        </w:tc>
        <w:tc>
          <w:tcPr>
            <w:tcW w:w="4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0" w:type="dxa"/>
            <w:vAlign w:val="bottom"/>
            <w:gridSpan w:val="2"/>
          </w:tcPr>
          <w:p>
            <w:pPr>
              <w:jc w:val="right"/>
              <w:ind w:right="399"/>
              <w:spacing w:after="0"/>
              <w:rPr>
                <w:sz w:val="20"/>
                <w:szCs w:val="20"/>
                <w:color w:val="auto"/>
              </w:rPr>
            </w:pPr>
            <w:r>
              <w:rPr>
                <w:rFonts w:ascii="Arial" w:cs="Arial" w:eastAsia="Arial" w:hAnsi="Arial"/>
                <w:sz w:val="12"/>
                <w:szCs w:val="12"/>
                <w:color w:val="auto"/>
              </w:rPr>
              <w:t>164</w:t>
            </w: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gridSpan w:val="2"/>
          </w:tcPr>
          <w:p>
            <w:pPr>
              <w:jc w:val="right"/>
              <w:ind w:right="40"/>
              <w:spacing w:after="0"/>
              <w:rPr>
                <w:sz w:val="20"/>
                <w:szCs w:val="20"/>
                <w:color w:val="auto"/>
              </w:rPr>
            </w:pPr>
            <w:r>
              <w:rPr>
                <w:rFonts w:ascii="Arial" w:cs="Arial" w:eastAsia="Arial" w:hAnsi="Arial"/>
                <w:sz w:val="12"/>
                <w:szCs w:val="12"/>
                <w:color w:val="auto"/>
              </w:rPr>
              <w:t>(244)</w:t>
            </w:r>
          </w:p>
        </w:tc>
        <w:tc>
          <w:tcPr>
            <w:tcW w:w="0" w:type="dxa"/>
            <w:vAlign w:val="bottom"/>
          </w:tcPr>
          <w:p>
            <w:pPr>
              <w:spacing w:after="0"/>
              <w:rPr>
                <w:sz w:val="1"/>
                <w:szCs w:val="1"/>
                <w:color w:val="auto"/>
              </w:rPr>
            </w:pPr>
          </w:p>
        </w:tc>
      </w:tr>
      <w:tr>
        <w:trPr>
          <w:trHeight w:val="146"/>
        </w:trPr>
        <w:tc>
          <w:tcPr>
            <w:tcW w:w="5760" w:type="dxa"/>
            <w:vAlign w:val="bottom"/>
            <w:shd w:val="clear" w:color="auto" w:fill="CCEEFF"/>
          </w:tcPr>
          <w:p>
            <w:pPr>
              <w:spacing w:after="0"/>
              <w:rPr>
                <w:sz w:val="20"/>
                <w:szCs w:val="20"/>
                <w:color w:val="auto"/>
              </w:rPr>
            </w:pPr>
            <w:r>
              <w:rPr>
                <w:rFonts w:ascii="Arial" w:cs="Arial" w:eastAsia="Arial" w:hAnsi="Arial"/>
                <w:sz w:val="12"/>
                <w:szCs w:val="12"/>
                <w:color w:val="auto"/>
              </w:rPr>
              <w:t>Amounts reclassified from accumulated other comprehensive income</w:t>
            </w:r>
          </w:p>
        </w:tc>
        <w:tc>
          <w:tcPr>
            <w:tcW w:w="25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420"/>
              <w:spacing w:after="0"/>
              <w:rPr>
                <w:sz w:val="20"/>
                <w:szCs w:val="20"/>
                <w:color w:val="auto"/>
              </w:rPr>
            </w:pPr>
            <w:r>
              <w:rPr>
                <w:rFonts w:ascii="Arial" w:cs="Arial" w:eastAsia="Arial" w:hAnsi="Arial"/>
                <w:sz w:val="12"/>
                <w:szCs w:val="12"/>
                <w:color w:val="auto"/>
              </w:rPr>
              <w:t>(863)</w:t>
            </w:r>
          </w:p>
        </w:tc>
        <w:tc>
          <w:tcPr>
            <w:tcW w:w="4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399"/>
              <w:spacing w:after="0"/>
              <w:rPr>
                <w:sz w:val="20"/>
                <w:szCs w:val="20"/>
                <w:color w:val="auto"/>
              </w:rPr>
            </w:pPr>
            <w:r>
              <w:rPr>
                <w:rFonts w:ascii="Arial" w:cs="Arial" w:eastAsia="Arial" w:hAnsi="Arial"/>
                <w:sz w:val="12"/>
                <w:szCs w:val="12"/>
                <w:color w:val="auto"/>
              </w:rPr>
              <w:t>8</w:t>
            </w:r>
          </w:p>
        </w:tc>
        <w:tc>
          <w:tcPr>
            <w:tcW w:w="4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(855)</w:t>
            </w:r>
          </w:p>
        </w:tc>
        <w:tc>
          <w:tcPr>
            <w:tcW w:w="0" w:type="dxa"/>
            <w:vAlign w:val="bottom"/>
          </w:tcPr>
          <w:p>
            <w:pPr>
              <w:spacing w:after="0"/>
              <w:rPr>
                <w:sz w:val="1"/>
                <w:szCs w:val="1"/>
                <w:color w:val="auto"/>
              </w:rPr>
            </w:pPr>
          </w:p>
        </w:tc>
      </w:tr>
      <w:tr>
        <w:trPr>
          <w:trHeight w:val="20"/>
        </w:trPr>
        <w:tc>
          <w:tcPr>
            <w:tcW w:w="5760" w:type="dxa"/>
            <w:vAlign w:val="bottom"/>
            <w:vMerge w:val="restart"/>
          </w:tcPr>
          <w:p>
            <w:pPr>
              <w:spacing w:after="0"/>
              <w:rPr>
                <w:sz w:val="20"/>
                <w:szCs w:val="20"/>
                <w:color w:val="auto"/>
              </w:rPr>
            </w:pPr>
            <w:r>
              <w:rPr>
                <w:rFonts w:ascii="Arial" w:cs="Arial" w:eastAsia="Arial" w:hAnsi="Arial"/>
                <w:sz w:val="12"/>
                <w:szCs w:val="12"/>
                <w:color w:val="auto"/>
              </w:rPr>
              <w:t>Net current-period other comprehensive (loss) gain</w:t>
            </w:r>
          </w:p>
        </w:tc>
        <w:tc>
          <w:tcPr>
            <w:tcW w:w="252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1"/>
        </w:trPr>
        <w:tc>
          <w:tcPr>
            <w:tcW w:w="5760" w:type="dxa"/>
            <w:vAlign w:val="bottom"/>
            <w:vMerge w:val="continue"/>
          </w:tcPr>
          <w:p>
            <w:pPr>
              <w:spacing w:after="0"/>
              <w:rPr>
                <w:sz w:val="12"/>
                <w:szCs w:val="12"/>
                <w:color w:val="auto"/>
              </w:rPr>
            </w:pPr>
          </w:p>
        </w:tc>
        <w:tc>
          <w:tcPr>
            <w:tcW w:w="25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20" w:type="dxa"/>
            <w:vAlign w:val="bottom"/>
            <w:gridSpan w:val="2"/>
          </w:tcPr>
          <w:p>
            <w:pPr>
              <w:jc w:val="right"/>
              <w:ind w:right="420"/>
              <w:spacing w:after="0"/>
              <w:rPr>
                <w:sz w:val="20"/>
                <w:szCs w:val="20"/>
                <w:color w:val="auto"/>
              </w:rPr>
            </w:pPr>
            <w:r>
              <w:rPr>
                <w:rFonts w:ascii="Arial" w:cs="Arial" w:eastAsia="Arial" w:hAnsi="Arial"/>
                <w:sz w:val="12"/>
                <w:szCs w:val="12"/>
                <w:color w:val="auto"/>
                <w:w w:val="99"/>
              </w:rPr>
              <w:t>(1,271)</w:t>
            </w:r>
          </w:p>
        </w:tc>
        <w:tc>
          <w:tcPr>
            <w:tcW w:w="4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0" w:type="dxa"/>
            <w:vAlign w:val="bottom"/>
            <w:gridSpan w:val="2"/>
          </w:tcPr>
          <w:p>
            <w:pPr>
              <w:jc w:val="right"/>
              <w:ind w:right="399"/>
              <w:spacing w:after="0"/>
              <w:rPr>
                <w:sz w:val="20"/>
                <w:szCs w:val="20"/>
                <w:color w:val="auto"/>
              </w:rPr>
            </w:pPr>
            <w:r>
              <w:rPr>
                <w:rFonts w:ascii="Arial" w:cs="Arial" w:eastAsia="Arial" w:hAnsi="Arial"/>
                <w:sz w:val="12"/>
                <w:szCs w:val="12"/>
                <w:color w:val="auto"/>
              </w:rPr>
              <w:t>172</w:t>
            </w: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gridSpan w:val="2"/>
          </w:tcPr>
          <w:p>
            <w:pPr>
              <w:jc w:val="right"/>
              <w:ind w:right="40"/>
              <w:spacing w:after="0"/>
              <w:rPr>
                <w:sz w:val="20"/>
                <w:szCs w:val="20"/>
                <w:color w:val="auto"/>
              </w:rPr>
            </w:pPr>
            <w:r>
              <w:rPr>
                <w:rFonts w:ascii="Arial" w:cs="Arial" w:eastAsia="Arial" w:hAnsi="Arial"/>
                <w:sz w:val="12"/>
                <w:szCs w:val="12"/>
                <w:color w:val="auto"/>
              </w:rPr>
              <w:t>(1,099)</w:t>
            </w:r>
          </w:p>
        </w:tc>
        <w:tc>
          <w:tcPr>
            <w:tcW w:w="0" w:type="dxa"/>
            <w:vAlign w:val="bottom"/>
          </w:tcPr>
          <w:p>
            <w:pPr>
              <w:spacing w:after="0"/>
              <w:rPr>
                <w:sz w:val="1"/>
                <w:szCs w:val="1"/>
                <w:color w:val="auto"/>
              </w:rPr>
            </w:pPr>
          </w:p>
        </w:tc>
      </w:tr>
      <w:tr>
        <w:trPr>
          <w:trHeight w:val="20"/>
        </w:trPr>
        <w:tc>
          <w:tcPr>
            <w:tcW w:w="576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5760" w:type="dxa"/>
            <w:vAlign w:val="bottom"/>
            <w:shd w:val="clear" w:color="auto" w:fill="CCEEFF"/>
          </w:tcPr>
          <w:p>
            <w:pPr>
              <w:spacing w:after="0"/>
              <w:rPr>
                <w:sz w:val="20"/>
                <w:szCs w:val="20"/>
                <w:color w:val="auto"/>
              </w:rPr>
            </w:pPr>
            <w:r>
              <w:rPr>
                <w:rFonts w:ascii="Arial" w:cs="Arial" w:eastAsia="Arial" w:hAnsi="Arial"/>
                <w:sz w:val="12"/>
                <w:szCs w:val="12"/>
                <w:color w:val="auto"/>
              </w:rPr>
              <w:t>September 30, 2013</w:t>
            </w:r>
          </w:p>
        </w:tc>
        <w:tc>
          <w:tcPr>
            <w:tcW w:w="25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20"/>
                <w:szCs w:val="20"/>
                <w:color w:val="auto"/>
              </w:rPr>
            </w:pPr>
            <w:r>
              <w:rPr>
                <w:rFonts w:ascii="Arial" w:cs="Arial" w:eastAsia="Arial" w:hAnsi="Arial"/>
                <w:sz w:val="9"/>
                <w:szCs w:val="9"/>
                <w:color w:val="auto"/>
                <w:w w:val="78"/>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3,125</w:t>
            </w:r>
          </w:p>
        </w:tc>
        <w:tc>
          <w:tcPr>
            <w:tcW w:w="440" w:type="dxa"/>
            <w:vAlign w:val="bottom"/>
            <w:shd w:val="clear" w:color="auto" w:fill="CCEEFF"/>
          </w:tcPr>
          <w:p>
            <w:pPr>
              <w:spacing w:after="0"/>
              <w:rPr>
                <w:sz w:val="12"/>
                <w:szCs w:val="12"/>
                <w:color w:val="auto"/>
              </w:rPr>
            </w:pPr>
          </w:p>
        </w:tc>
        <w:tc>
          <w:tcPr>
            <w:tcW w:w="460" w:type="dxa"/>
            <w:vAlign w:val="bottom"/>
            <w:gridSpan w:val="2"/>
            <w:shd w:val="clear" w:color="auto" w:fill="CCEEFF"/>
          </w:tcPr>
          <w:p>
            <w:pPr>
              <w:ind w:left="400"/>
              <w:spacing w:after="0"/>
              <w:rPr>
                <w:sz w:val="20"/>
                <w:szCs w:val="20"/>
                <w:color w:val="auto"/>
              </w:rPr>
            </w:pPr>
            <w:r>
              <w:rPr>
                <w:rFonts w:ascii="Arial" w:cs="Arial" w:eastAsia="Arial" w:hAnsi="Arial"/>
                <w:sz w:val="9"/>
                <w:szCs w:val="9"/>
                <w:color w:val="auto"/>
                <w:w w:val="78"/>
              </w:rPr>
              <w:t>$</w:t>
            </w:r>
          </w:p>
        </w:tc>
        <w:tc>
          <w:tcPr>
            <w:tcW w:w="800" w:type="dxa"/>
            <w:vAlign w:val="bottom"/>
            <w:gridSpan w:val="2"/>
            <w:shd w:val="clear" w:color="auto" w:fill="CCEEFF"/>
          </w:tcPr>
          <w:p>
            <w:pPr>
              <w:jc w:val="right"/>
              <w:ind w:right="359"/>
              <w:spacing w:after="0"/>
              <w:rPr>
                <w:sz w:val="20"/>
                <w:szCs w:val="20"/>
                <w:color w:val="auto"/>
              </w:rPr>
            </w:pPr>
            <w:r>
              <w:rPr>
                <w:rFonts w:ascii="Arial" w:cs="Arial" w:eastAsia="Arial" w:hAnsi="Arial"/>
                <w:sz w:val="12"/>
                <w:szCs w:val="12"/>
                <w:color w:val="auto"/>
              </w:rPr>
              <w:t>(47)</w:t>
            </w:r>
          </w:p>
        </w:tc>
        <w:tc>
          <w:tcPr>
            <w:tcW w:w="520" w:type="dxa"/>
            <w:vAlign w:val="bottom"/>
            <w:gridSpan w:val="2"/>
            <w:shd w:val="clear" w:color="auto" w:fill="CCEEFF"/>
          </w:tcPr>
          <w:p>
            <w:pPr>
              <w:jc w:val="right"/>
              <w:ind w:right="14"/>
              <w:spacing w:after="0"/>
              <w:rPr>
                <w:sz w:val="20"/>
                <w:szCs w:val="20"/>
                <w:color w:val="auto"/>
              </w:rPr>
            </w:pPr>
            <w:r>
              <w:rPr>
                <w:rFonts w:ascii="Arial" w:cs="Arial" w:eastAsia="Arial" w:hAnsi="Arial"/>
                <w:sz w:val="12"/>
                <w:szCs w:val="12"/>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3,078</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7"/>
        </w:trPr>
        <w:tc>
          <w:tcPr>
            <w:tcW w:w="5760" w:type="dxa"/>
            <w:vAlign w:val="bottom"/>
          </w:tcPr>
          <w:p>
            <w:pPr>
              <w:spacing w:after="0"/>
              <w:rPr>
                <w:sz w:val="2"/>
                <w:szCs w:val="2"/>
                <w:color w:val="auto"/>
              </w:rPr>
            </w:pPr>
          </w:p>
        </w:tc>
        <w:tc>
          <w:tcPr>
            <w:tcW w:w="252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40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90" w:lineRule="exact"/>
        <w:rPr>
          <w:sz w:val="20"/>
          <w:szCs w:val="20"/>
          <w:color w:val="auto"/>
        </w:rPr>
      </w:pPr>
    </w:p>
    <w:p>
      <w:pPr>
        <w:ind w:left="228" w:hanging="228"/>
        <w:spacing w:after="0"/>
        <w:tabs>
          <w:tab w:leader="none" w:pos="228" w:val="left"/>
        </w:tabs>
        <w:numPr>
          <w:ilvl w:val="0"/>
          <w:numId w:val="7"/>
        </w:numPr>
        <w:rPr>
          <w:rFonts w:ascii="Arial" w:cs="Arial" w:eastAsia="Arial" w:hAnsi="Arial"/>
          <w:sz w:val="12"/>
          <w:szCs w:val="12"/>
          <w:b w:val="1"/>
          <w:bCs w:val="1"/>
          <w:color w:val="auto"/>
        </w:rPr>
      </w:pPr>
      <w:r>
        <w:rPr>
          <w:rFonts w:ascii="Arial" w:cs="Arial" w:eastAsia="Arial" w:hAnsi="Arial"/>
          <w:sz w:val="12"/>
          <w:szCs w:val="12"/>
          <w:b w:val="1"/>
          <w:bCs w:val="1"/>
          <w:color w:val="auto"/>
        </w:rPr>
        <w:t>Supplemental Disclosure of Cash Flow Information</w:t>
      </w:r>
    </w:p>
    <w:p>
      <w:pPr>
        <w:spacing w:after="0" w:line="62" w:lineRule="exact"/>
        <w:rPr>
          <w:sz w:val="20"/>
          <w:szCs w:val="20"/>
          <w:color w:val="auto"/>
        </w:rPr>
      </w:pPr>
    </w:p>
    <w:p>
      <w:pPr>
        <w:ind w:left="8" w:right="100" w:firstLine="459"/>
        <w:spacing w:after="0" w:line="314" w:lineRule="auto"/>
        <w:rPr>
          <w:sz w:val="20"/>
          <w:szCs w:val="20"/>
          <w:color w:val="auto"/>
        </w:rPr>
      </w:pPr>
      <w:r>
        <w:rPr>
          <w:rFonts w:ascii="Arial" w:cs="Arial" w:eastAsia="Arial" w:hAnsi="Arial"/>
          <w:sz w:val="11"/>
          <w:szCs w:val="11"/>
          <w:color w:val="auto"/>
        </w:rPr>
        <w:t>Interest paid for the nine months ended September 30, 2013 and 2012 totaled approximately $244.5 million and $179.9 million, respectively. The increase in interest paid during the nine months ended September 30, 2013 is due to the issuance of the Redemption Note and other indebtedness incurred during 2012. Capitalized interest was $6.4 million and $1 million for the nine months ended September 30, 2013 and 2012, respectively.</w:t>
      </w:r>
    </w:p>
    <w:p>
      <w:pPr>
        <w:spacing w:after="0" w:line="65" w:lineRule="exact"/>
        <w:rPr>
          <w:sz w:val="20"/>
          <w:szCs w:val="20"/>
          <w:color w:val="auto"/>
        </w:rPr>
      </w:pPr>
    </w:p>
    <w:p>
      <w:pPr>
        <w:ind w:left="468"/>
        <w:spacing w:after="0"/>
        <w:rPr>
          <w:sz w:val="20"/>
          <w:szCs w:val="20"/>
          <w:color w:val="auto"/>
        </w:rPr>
      </w:pPr>
      <w:r>
        <w:rPr>
          <w:rFonts w:ascii="Arial" w:cs="Arial" w:eastAsia="Arial" w:hAnsi="Arial"/>
          <w:sz w:val="12"/>
          <w:szCs w:val="12"/>
          <w:color w:val="auto"/>
        </w:rPr>
        <w:t>For the nine months ended September 30, 2013 and 2012, capital expenditures included an increase of $37.3 million and $6.9 million, respectively in construction payables and retention.</w:t>
      </w:r>
    </w:p>
    <w:p>
      <w:pPr>
        <w:spacing w:after="0" w:line="114" w:lineRule="exact"/>
        <w:rPr>
          <w:sz w:val="20"/>
          <w:szCs w:val="20"/>
          <w:color w:val="auto"/>
        </w:rPr>
      </w:pPr>
    </w:p>
    <w:p>
      <w:pPr>
        <w:ind w:left="8" w:right="500" w:firstLine="459"/>
        <w:spacing w:after="0" w:line="268" w:lineRule="auto"/>
        <w:rPr>
          <w:sz w:val="20"/>
          <w:szCs w:val="20"/>
          <w:color w:val="auto"/>
        </w:rPr>
      </w:pPr>
      <w:r>
        <w:rPr>
          <w:rFonts w:ascii="Arial" w:cs="Arial" w:eastAsia="Arial" w:hAnsi="Arial"/>
          <w:sz w:val="12"/>
          <w:szCs w:val="12"/>
          <w:color w:val="auto"/>
        </w:rPr>
        <w:t>In February 2012, the Company redeemed and cancelled 24,549,222 shares of common stock from a former stockholder and related party with the issuance of the $1.94 billion Redemption Note due in 2022. For details of this transaction see Note 9 – “Long-Term Debt” and Note 15 – “Commitments and Contingencies.”</w:t>
      </w:r>
    </w:p>
    <w:p>
      <w:pPr>
        <w:spacing w:after="0" w:line="167" w:lineRule="exact"/>
        <w:rPr>
          <w:sz w:val="20"/>
          <w:szCs w:val="20"/>
          <w:color w:val="auto"/>
        </w:rPr>
      </w:pPr>
    </w:p>
    <w:p>
      <w:pPr>
        <w:ind w:left="228" w:hanging="228"/>
        <w:spacing w:after="0"/>
        <w:tabs>
          <w:tab w:leader="none" w:pos="228" w:val="left"/>
        </w:tabs>
        <w:numPr>
          <w:ilvl w:val="0"/>
          <w:numId w:val="8"/>
        </w:numPr>
        <w:rPr>
          <w:rFonts w:ascii="Arial" w:cs="Arial" w:eastAsia="Arial" w:hAnsi="Arial"/>
          <w:sz w:val="12"/>
          <w:szCs w:val="12"/>
          <w:b w:val="1"/>
          <w:bCs w:val="1"/>
          <w:color w:val="auto"/>
        </w:rPr>
      </w:pPr>
      <w:r>
        <w:rPr>
          <w:rFonts w:ascii="Arial" w:cs="Arial" w:eastAsia="Arial" w:hAnsi="Arial"/>
          <w:sz w:val="12"/>
          <w:szCs w:val="12"/>
          <w:b w:val="1"/>
          <w:bCs w:val="1"/>
          <w:color w:val="auto"/>
        </w:rPr>
        <w:t>Investment Securities</w:t>
      </w:r>
    </w:p>
    <w:p>
      <w:pPr>
        <w:spacing w:after="0" w:line="62" w:lineRule="exact"/>
        <w:rPr>
          <w:sz w:val="20"/>
          <w:szCs w:val="20"/>
          <w:color w:val="auto"/>
        </w:rPr>
      </w:pPr>
    </w:p>
    <w:p>
      <w:pPr>
        <w:ind w:left="468"/>
        <w:spacing w:after="0"/>
        <w:rPr>
          <w:sz w:val="20"/>
          <w:szCs w:val="20"/>
          <w:color w:val="auto"/>
        </w:rPr>
      </w:pPr>
      <w:r>
        <w:rPr>
          <w:rFonts w:ascii="Arial" w:cs="Arial" w:eastAsia="Arial" w:hAnsi="Arial"/>
          <w:sz w:val="12"/>
          <w:szCs w:val="12"/>
          <w:color w:val="auto"/>
        </w:rPr>
        <w:t>Investment securities consisted of the following (amounts in thousands):</w:t>
      </w:r>
    </w:p>
    <w:p>
      <w:pPr>
        <w:spacing w:after="0" w:line="138" w:lineRule="exact"/>
        <w:rPr>
          <w:sz w:val="20"/>
          <w:szCs w:val="20"/>
          <w:color w:val="auto"/>
        </w:rPr>
      </w:pPr>
    </w:p>
    <w:tbl>
      <w:tblPr>
        <w:tblLayout w:type="fixed"/>
        <w:tblInd w:w="468" w:type="dxa"/>
        <w:tblCellMar>
          <w:top w:w="0" w:type="dxa"/>
          <w:left w:w="0" w:type="dxa"/>
          <w:bottom w:w="0" w:type="dxa"/>
          <w:right w:w="0" w:type="dxa"/>
        </w:tblCellMar>
      </w:tblPr>
      <w:tr>
        <w:trPr>
          <w:trHeight w:val="116"/>
        </w:trPr>
        <w:tc>
          <w:tcPr>
            <w:tcW w:w="66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80" w:type="dxa"/>
            <w:vAlign w:val="bottom"/>
            <w:gridSpan w:val="5"/>
          </w:tcPr>
          <w:p>
            <w:pPr>
              <w:jc w:val="right"/>
              <w:ind w:right="880"/>
              <w:spacing w:after="0"/>
              <w:rPr>
                <w:sz w:val="20"/>
                <w:szCs w:val="20"/>
                <w:color w:val="auto"/>
              </w:rPr>
            </w:pPr>
            <w:r>
              <w:rPr>
                <w:rFonts w:ascii="Arial" w:cs="Arial" w:eastAsia="Arial" w:hAnsi="Arial"/>
                <w:sz w:val="9"/>
                <w:szCs w:val="9"/>
                <w:b w:val="1"/>
                <w:bCs w:val="1"/>
                <w:color w:val="auto"/>
                <w:w w:val="98"/>
              </w:rPr>
              <w:t>Available-for-sale securities</w:t>
            </w:r>
          </w:p>
        </w:tc>
        <w:tc>
          <w:tcPr>
            <w:tcW w:w="580" w:type="dxa"/>
            <w:vAlign w:val="bottom"/>
            <w:gridSpan w:val="3"/>
            <w:vMerge w:val="restart"/>
          </w:tcPr>
          <w:p>
            <w:pPr>
              <w:jc w:val="center"/>
              <w:ind w:right="80"/>
              <w:spacing w:after="0"/>
              <w:rPr>
                <w:sz w:val="20"/>
                <w:szCs w:val="20"/>
                <w:color w:val="auto"/>
              </w:rPr>
            </w:pPr>
            <w:r>
              <w:rPr>
                <w:rFonts w:ascii="Arial" w:cs="Arial" w:eastAsia="Arial" w:hAnsi="Arial"/>
                <w:sz w:val="9"/>
                <w:szCs w:val="9"/>
                <w:b w:val="1"/>
                <w:bCs w:val="1"/>
                <w:color w:val="auto"/>
                <w:w w:val="90"/>
              </w:rPr>
              <w:t>Fair value</w:t>
            </w:r>
          </w:p>
        </w:tc>
        <w:tc>
          <w:tcPr>
            <w:tcW w:w="0" w:type="dxa"/>
            <w:vAlign w:val="bottom"/>
          </w:tcPr>
          <w:p>
            <w:pPr>
              <w:spacing w:after="0"/>
              <w:rPr>
                <w:sz w:val="1"/>
                <w:szCs w:val="1"/>
                <w:color w:val="auto"/>
              </w:rPr>
            </w:pPr>
          </w:p>
        </w:tc>
      </w:tr>
      <w:tr>
        <w:trPr>
          <w:trHeight w:val="82"/>
        </w:trPr>
        <w:tc>
          <w:tcPr>
            <w:tcW w:w="6640" w:type="dxa"/>
            <w:vAlign w:val="bottom"/>
          </w:tcPr>
          <w:p>
            <w:pPr>
              <w:spacing w:after="0"/>
              <w:rPr>
                <w:sz w:val="7"/>
                <w:szCs w:val="7"/>
                <w:color w:val="auto"/>
              </w:rPr>
            </w:pPr>
          </w:p>
        </w:tc>
        <w:tc>
          <w:tcPr>
            <w:tcW w:w="480" w:type="dxa"/>
            <w:vAlign w:val="bottom"/>
          </w:tcPr>
          <w:p>
            <w:pPr>
              <w:spacing w:after="0"/>
              <w:rPr>
                <w:sz w:val="7"/>
                <w:szCs w:val="7"/>
                <w:color w:val="auto"/>
              </w:rPr>
            </w:pPr>
          </w:p>
        </w:tc>
        <w:tc>
          <w:tcPr>
            <w:tcW w:w="680" w:type="dxa"/>
            <w:vAlign w:val="bottom"/>
          </w:tcPr>
          <w:p>
            <w:pPr>
              <w:spacing w:after="0"/>
              <w:rPr>
                <w:sz w:val="7"/>
                <w:szCs w:val="7"/>
                <w:color w:val="auto"/>
              </w:rPr>
            </w:pPr>
          </w:p>
        </w:tc>
        <w:tc>
          <w:tcPr>
            <w:tcW w:w="100" w:type="dxa"/>
            <w:vAlign w:val="bottom"/>
          </w:tcPr>
          <w:p>
            <w:pPr>
              <w:spacing w:after="0"/>
              <w:rPr>
                <w:sz w:val="7"/>
                <w:szCs w:val="7"/>
                <w:color w:val="auto"/>
              </w:rPr>
            </w:pPr>
          </w:p>
        </w:tc>
        <w:tc>
          <w:tcPr>
            <w:tcW w:w="360" w:type="dxa"/>
            <w:vAlign w:val="bottom"/>
          </w:tcPr>
          <w:p>
            <w:pPr>
              <w:spacing w:after="0"/>
              <w:rPr>
                <w:sz w:val="7"/>
                <w:szCs w:val="7"/>
                <w:color w:val="auto"/>
              </w:rPr>
            </w:pPr>
          </w:p>
        </w:tc>
        <w:tc>
          <w:tcPr>
            <w:tcW w:w="680" w:type="dxa"/>
            <w:vAlign w:val="bottom"/>
          </w:tcPr>
          <w:p>
            <w:pPr>
              <w:spacing w:after="0"/>
              <w:rPr>
                <w:sz w:val="7"/>
                <w:szCs w:val="7"/>
                <w:color w:val="auto"/>
              </w:rPr>
            </w:pPr>
          </w:p>
        </w:tc>
        <w:tc>
          <w:tcPr>
            <w:tcW w:w="80" w:type="dxa"/>
            <w:vAlign w:val="bottom"/>
          </w:tcPr>
          <w:p>
            <w:pPr>
              <w:spacing w:after="0"/>
              <w:rPr>
                <w:sz w:val="7"/>
                <w:szCs w:val="7"/>
                <w:color w:val="auto"/>
              </w:rPr>
            </w:pPr>
          </w:p>
        </w:tc>
        <w:tc>
          <w:tcPr>
            <w:tcW w:w="360" w:type="dxa"/>
            <w:vAlign w:val="bottom"/>
          </w:tcPr>
          <w:p>
            <w:pPr>
              <w:spacing w:after="0"/>
              <w:rPr>
                <w:sz w:val="7"/>
                <w:szCs w:val="7"/>
                <w:color w:val="auto"/>
              </w:rPr>
            </w:pPr>
          </w:p>
        </w:tc>
        <w:tc>
          <w:tcPr>
            <w:tcW w:w="600" w:type="dxa"/>
            <w:vAlign w:val="bottom"/>
          </w:tcPr>
          <w:p>
            <w:pPr>
              <w:spacing w:after="0"/>
              <w:rPr>
                <w:sz w:val="7"/>
                <w:szCs w:val="7"/>
                <w:color w:val="auto"/>
              </w:rPr>
            </w:pPr>
          </w:p>
        </w:tc>
        <w:tc>
          <w:tcPr>
            <w:tcW w:w="580" w:type="dxa"/>
            <w:vAlign w:val="bottom"/>
            <w:gridSpan w:val="3"/>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9"/>
        </w:trPr>
        <w:tc>
          <w:tcPr>
            <w:tcW w:w="6640" w:type="dxa"/>
            <w:vAlign w:val="bottom"/>
          </w:tcPr>
          <w:p>
            <w:pPr>
              <w:spacing w:after="0"/>
              <w:rPr>
                <w:sz w:val="8"/>
                <w:szCs w:val="8"/>
                <w:color w:val="auto"/>
              </w:rPr>
            </w:pPr>
          </w:p>
        </w:tc>
        <w:tc>
          <w:tcPr>
            <w:tcW w:w="480" w:type="dxa"/>
            <w:vAlign w:val="bottom"/>
          </w:tcPr>
          <w:p>
            <w:pPr>
              <w:spacing w:after="0"/>
              <w:rPr>
                <w:sz w:val="8"/>
                <w:szCs w:val="8"/>
                <w:color w:val="auto"/>
              </w:rPr>
            </w:pPr>
          </w:p>
        </w:tc>
        <w:tc>
          <w:tcPr>
            <w:tcW w:w="680" w:type="dxa"/>
            <w:vAlign w:val="bottom"/>
          </w:tcPr>
          <w:p>
            <w:pPr>
              <w:spacing w:after="0"/>
              <w:rPr>
                <w:sz w:val="8"/>
                <w:szCs w:val="8"/>
                <w:color w:val="auto"/>
              </w:rPr>
            </w:pPr>
          </w:p>
        </w:tc>
        <w:tc>
          <w:tcPr>
            <w:tcW w:w="100" w:type="dxa"/>
            <w:vAlign w:val="bottom"/>
          </w:tcPr>
          <w:p>
            <w:pPr>
              <w:spacing w:after="0"/>
              <w:rPr>
                <w:sz w:val="8"/>
                <w:szCs w:val="8"/>
                <w:color w:val="auto"/>
              </w:rPr>
            </w:pPr>
          </w:p>
        </w:tc>
        <w:tc>
          <w:tcPr>
            <w:tcW w:w="360" w:type="dxa"/>
            <w:vAlign w:val="bottom"/>
          </w:tcPr>
          <w:p>
            <w:pPr>
              <w:jc w:val="center"/>
              <w:ind w:right="46"/>
              <w:spacing w:after="0" w:line="99" w:lineRule="exact"/>
              <w:rPr>
                <w:sz w:val="20"/>
                <w:szCs w:val="20"/>
                <w:color w:val="auto"/>
              </w:rPr>
            </w:pPr>
            <w:r>
              <w:rPr>
                <w:rFonts w:ascii="Arial" w:cs="Arial" w:eastAsia="Arial" w:hAnsi="Arial"/>
                <w:sz w:val="9"/>
                <w:szCs w:val="9"/>
                <w:b w:val="1"/>
                <w:bCs w:val="1"/>
                <w:color w:val="auto"/>
                <w:w w:val="84"/>
              </w:rPr>
              <w:t>Gross</w:t>
            </w:r>
          </w:p>
        </w:tc>
        <w:tc>
          <w:tcPr>
            <w:tcW w:w="680" w:type="dxa"/>
            <w:vAlign w:val="bottom"/>
          </w:tcPr>
          <w:p>
            <w:pPr>
              <w:spacing w:after="0"/>
              <w:rPr>
                <w:sz w:val="8"/>
                <w:szCs w:val="8"/>
                <w:color w:val="auto"/>
              </w:rPr>
            </w:pPr>
          </w:p>
        </w:tc>
        <w:tc>
          <w:tcPr>
            <w:tcW w:w="80" w:type="dxa"/>
            <w:vAlign w:val="bottom"/>
          </w:tcPr>
          <w:p>
            <w:pPr>
              <w:spacing w:after="0"/>
              <w:rPr>
                <w:sz w:val="8"/>
                <w:szCs w:val="8"/>
                <w:color w:val="auto"/>
              </w:rPr>
            </w:pPr>
          </w:p>
        </w:tc>
        <w:tc>
          <w:tcPr>
            <w:tcW w:w="960" w:type="dxa"/>
            <w:vAlign w:val="bottom"/>
            <w:gridSpan w:val="2"/>
          </w:tcPr>
          <w:p>
            <w:pPr>
              <w:jc w:val="right"/>
              <w:ind w:right="700"/>
              <w:spacing w:after="0" w:line="99" w:lineRule="exact"/>
              <w:rPr>
                <w:sz w:val="20"/>
                <w:szCs w:val="20"/>
                <w:color w:val="auto"/>
              </w:rPr>
            </w:pPr>
            <w:r>
              <w:rPr>
                <w:rFonts w:ascii="Arial" w:cs="Arial" w:eastAsia="Arial" w:hAnsi="Arial"/>
                <w:sz w:val="9"/>
                <w:szCs w:val="9"/>
                <w:b w:val="1"/>
                <w:bCs w:val="1"/>
                <w:color w:val="auto"/>
                <w:w w:val="92"/>
              </w:rPr>
              <w:t>Gross</w:t>
            </w:r>
          </w:p>
        </w:tc>
        <w:tc>
          <w:tcPr>
            <w:tcW w:w="80" w:type="dxa"/>
            <w:vAlign w:val="bottom"/>
          </w:tcPr>
          <w:p>
            <w:pPr>
              <w:spacing w:after="0"/>
              <w:rPr>
                <w:sz w:val="8"/>
                <w:szCs w:val="8"/>
                <w:color w:val="auto"/>
              </w:rPr>
            </w:pPr>
          </w:p>
        </w:tc>
        <w:tc>
          <w:tcPr>
            <w:tcW w:w="500" w:type="dxa"/>
            <w:vAlign w:val="bottom"/>
            <w:gridSpan w:val="2"/>
          </w:tcPr>
          <w:p>
            <w:pPr>
              <w:jc w:val="center"/>
              <w:ind w:right="160"/>
              <w:spacing w:after="0" w:line="99" w:lineRule="exact"/>
              <w:rPr>
                <w:sz w:val="20"/>
                <w:szCs w:val="20"/>
                <w:color w:val="auto"/>
              </w:rPr>
            </w:pPr>
            <w:r>
              <w:rPr>
                <w:rFonts w:ascii="Arial" w:cs="Arial" w:eastAsia="Arial" w:hAnsi="Arial"/>
                <w:sz w:val="9"/>
                <w:szCs w:val="9"/>
                <w:b w:val="1"/>
                <w:bCs w:val="1"/>
                <w:color w:val="auto"/>
                <w:w w:val="84"/>
              </w:rPr>
              <w:t>(net</w:t>
            </w:r>
          </w:p>
        </w:tc>
        <w:tc>
          <w:tcPr>
            <w:tcW w:w="0" w:type="dxa"/>
            <w:vAlign w:val="bottom"/>
          </w:tcPr>
          <w:p>
            <w:pPr>
              <w:spacing w:after="0"/>
              <w:rPr>
                <w:sz w:val="1"/>
                <w:szCs w:val="1"/>
                <w:color w:val="auto"/>
              </w:rPr>
            </w:pPr>
          </w:p>
        </w:tc>
      </w:tr>
      <w:tr>
        <w:trPr>
          <w:trHeight w:val="99"/>
        </w:trPr>
        <w:tc>
          <w:tcPr>
            <w:tcW w:w="6640" w:type="dxa"/>
            <w:vAlign w:val="bottom"/>
          </w:tcPr>
          <w:p>
            <w:pPr>
              <w:spacing w:after="0"/>
              <w:rPr>
                <w:sz w:val="8"/>
                <w:szCs w:val="8"/>
                <w:color w:val="auto"/>
              </w:rPr>
            </w:pPr>
          </w:p>
        </w:tc>
        <w:tc>
          <w:tcPr>
            <w:tcW w:w="480" w:type="dxa"/>
            <w:vAlign w:val="bottom"/>
          </w:tcPr>
          <w:p>
            <w:pPr>
              <w:jc w:val="right"/>
              <w:spacing w:after="0" w:line="99" w:lineRule="exact"/>
              <w:rPr>
                <w:sz w:val="20"/>
                <w:szCs w:val="20"/>
                <w:color w:val="auto"/>
              </w:rPr>
            </w:pPr>
            <w:r>
              <w:rPr>
                <w:rFonts w:ascii="Arial" w:cs="Arial" w:eastAsia="Arial" w:hAnsi="Arial"/>
                <w:sz w:val="9"/>
                <w:szCs w:val="9"/>
                <w:b w:val="1"/>
                <w:bCs w:val="1"/>
                <w:color w:val="auto"/>
                <w:w w:val="95"/>
              </w:rPr>
              <w:t>Amortized</w:t>
            </w:r>
          </w:p>
        </w:tc>
        <w:tc>
          <w:tcPr>
            <w:tcW w:w="680" w:type="dxa"/>
            <w:vAlign w:val="bottom"/>
          </w:tcPr>
          <w:p>
            <w:pPr>
              <w:spacing w:after="0"/>
              <w:rPr>
                <w:sz w:val="8"/>
                <w:szCs w:val="8"/>
                <w:color w:val="auto"/>
              </w:rPr>
            </w:pPr>
          </w:p>
        </w:tc>
        <w:tc>
          <w:tcPr>
            <w:tcW w:w="460" w:type="dxa"/>
            <w:vAlign w:val="bottom"/>
            <w:gridSpan w:val="2"/>
          </w:tcPr>
          <w:p>
            <w:pPr>
              <w:jc w:val="center"/>
              <w:spacing w:after="0" w:line="99" w:lineRule="exact"/>
              <w:rPr>
                <w:sz w:val="20"/>
                <w:szCs w:val="20"/>
                <w:color w:val="auto"/>
              </w:rPr>
            </w:pPr>
            <w:r>
              <w:rPr>
                <w:rFonts w:ascii="Arial" w:cs="Arial" w:eastAsia="Arial" w:hAnsi="Arial"/>
                <w:sz w:val="9"/>
                <w:szCs w:val="9"/>
                <w:b w:val="1"/>
                <w:bCs w:val="1"/>
                <w:color w:val="auto"/>
                <w:w w:val="94"/>
              </w:rPr>
              <w:t>unrealized</w:t>
            </w:r>
          </w:p>
        </w:tc>
        <w:tc>
          <w:tcPr>
            <w:tcW w:w="680" w:type="dxa"/>
            <w:vAlign w:val="bottom"/>
          </w:tcPr>
          <w:p>
            <w:pPr>
              <w:spacing w:after="0"/>
              <w:rPr>
                <w:sz w:val="8"/>
                <w:szCs w:val="8"/>
                <w:color w:val="auto"/>
              </w:rPr>
            </w:pPr>
          </w:p>
        </w:tc>
        <w:tc>
          <w:tcPr>
            <w:tcW w:w="1040" w:type="dxa"/>
            <w:vAlign w:val="bottom"/>
            <w:gridSpan w:val="3"/>
          </w:tcPr>
          <w:p>
            <w:pPr>
              <w:jc w:val="right"/>
              <w:ind w:right="620"/>
              <w:spacing w:after="0" w:line="99" w:lineRule="exact"/>
              <w:rPr>
                <w:sz w:val="20"/>
                <w:szCs w:val="20"/>
                <w:color w:val="auto"/>
              </w:rPr>
            </w:pPr>
            <w:r>
              <w:rPr>
                <w:rFonts w:ascii="Arial" w:cs="Arial" w:eastAsia="Arial" w:hAnsi="Arial"/>
                <w:sz w:val="9"/>
                <w:szCs w:val="9"/>
                <w:b w:val="1"/>
                <w:bCs w:val="1"/>
                <w:color w:val="auto"/>
                <w:w w:val="89"/>
              </w:rPr>
              <w:t>unrealized</w:t>
            </w:r>
          </w:p>
        </w:tc>
        <w:tc>
          <w:tcPr>
            <w:tcW w:w="80" w:type="dxa"/>
            <w:vAlign w:val="bottom"/>
          </w:tcPr>
          <w:p>
            <w:pPr>
              <w:spacing w:after="0"/>
              <w:rPr>
                <w:sz w:val="8"/>
                <w:szCs w:val="8"/>
                <w:color w:val="auto"/>
              </w:rPr>
            </w:pPr>
          </w:p>
        </w:tc>
        <w:tc>
          <w:tcPr>
            <w:tcW w:w="500" w:type="dxa"/>
            <w:vAlign w:val="bottom"/>
            <w:gridSpan w:val="2"/>
          </w:tcPr>
          <w:p>
            <w:pPr>
              <w:jc w:val="center"/>
              <w:ind w:right="160"/>
              <w:spacing w:after="0" w:line="99" w:lineRule="exact"/>
              <w:rPr>
                <w:sz w:val="20"/>
                <w:szCs w:val="20"/>
                <w:color w:val="auto"/>
              </w:rPr>
            </w:pPr>
            <w:r>
              <w:rPr>
                <w:rFonts w:ascii="Arial" w:cs="Arial" w:eastAsia="Arial" w:hAnsi="Arial"/>
                <w:sz w:val="9"/>
                <w:szCs w:val="9"/>
                <w:b w:val="1"/>
                <w:bCs w:val="1"/>
                <w:color w:val="auto"/>
                <w:w w:val="95"/>
              </w:rPr>
              <w:t>carrying</w:t>
            </w:r>
          </w:p>
        </w:tc>
        <w:tc>
          <w:tcPr>
            <w:tcW w:w="0" w:type="dxa"/>
            <w:vAlign w:val="bottom"/>
          </w:tcPr>
          <w:p>
            <w:pPr>
              <w:spacing w:after="0"/>
              <w:rPr>
                <w:sz w:val="1"/>
                <w:szCs w:val="1"/>
                <w:color w:val="auto"/>
              </w:rPr>
            </w:pPr>
          </w:p>
        </w:tc>
      </w:tr>
      <w:tr>
        <w:trPr>
          <w:trHeight w:val="108"/>
        </w:trPr>
        <w:tc>
          <w:tcPr>
            <w:tcW w:w="6640" w:type="dxa"/>
            <w:vAlign w:val="bottom"/>
          </w:tcPr>
          <w:p>
            <w:pPr>
              <w:spacing w:after="0"/>
              <w:rPr>
                <w:sz w:val="9"/>
                <w:szCs w:val="9"/>
                <w:color w:val="auto"/>
              </w:rPr>
            </w:pPr>
          </w:p>
        </w:tc>
        <w:tc>
          <w:tcPr>
            <w:tcW w:w="480" w:type="dxa"/>
            <w:vAlign w:val="bottom"/>
          </w:tcPr>
          <w:p>
            <w:pPr>
              <w:jc w:val="right"/>
              <w:ind w:right="105"/>
              <w:spacing w:after="0"/>
              <w:rPr>
                <w:sz w:val="20"/>
                <w:szCs w:val="20"/>
                <w:color w:val="auto"/>
              </w:rPr>
            </w:pPr>
            <w:r>
              <w:rPr>
                <w:rFonts w:ascii="Arial" w:cs="Arial" w:eastAsia="Arial" w:hAnsi="Arial"/>
                <w:sz w:val="9"/>
                <w:szCs w:val="9"/>
                <w:b w:val="1"/>
                <w:bCs w:val="1"/>
                <w:color w:val="auto"/>
              </w:rPr>
              <w:t>cost</w:t>
            </w:r>
          </w:p>
        </w:tc>
        <w:tc>
          <w:tcPr>
            <w:tcW w:w="680" w:type="dxa"/>
            <w:vAlign w:val="bottom"/>
          </w:tcPr>
          <w:p>
            <w:pPr>
              <w:spacing w:after="0"/>
              <w:rPr>
                <w:sz w:val="9"/>
                <w:szCs w:val="9"/>
                <w:color w:val="auto"/>
              </w:rPr>
            </w:pPr>
          </w:p>
        </w:tc>
        <w:tc>
          <w:tcPr>
            <w:tcW w:w="100" w:type="dxa"/>
            <w:vAlign w:val="bottom"/>
          </w:tcPr>
          <w:p>
            <w:pPr>
              <w:spacing w:after="0"/>
              <w:rPr>
                <w:sz w:val="9"/>
                <w:szCs w:val="9"/>
                <w:color w:val="auto"/>
              </w:rPr>
            </w:pPr>
          </w:p>
        </w:tc>
        <w:tc>
          <w:tcPr>
            <w:tcW w:w="360" w:type="dxa"/>
            <w:vAlign w:val="bottom"/>
          </w:tcPr>
          <w:p>
            <w:pPr>
              <w:jc w:val="center"/>
              <w:ind w:right="26"/>
              <w:spacing w:after="0"/>
              <w:rPr>
                <w:sz w:val="20"/>
                <w:szCs w:val="20"/>
                <w:color w:val="auto"/>
              </w:rPr>
            </w:pPr>
            <w:r>
              <w:rPr>
                <w:rFonts w:ascii="Arial" w:cs="Arial" w:eastAsia="Arial" w:hAnsi="Arial"/>
                <w:sz w:val="9"/>
                <w:szCs w:val="9"/>
                <w:b w:val="1"/>
                <w:bCs w:val="1"/>
                <w:color w:val="auto"/>
                <w:w w:val="84"/>
              </w:rPr>
              <w:t>gains</w:t>
            </w:r>
          </w:p>
        </w:tc>
        <w:tc>
          <w:tcPr>
            <w:tcW w:w="680" w:type="dxa"/>
            <w:vAlign w:val="bottom"/>
          </w:tcPr>
          <w:p>
            <w:pPr>
              <w:spacing w:after="0"/>
              <w:rPr>
                <w:sz w:val="9"/>
                <w:szCs w:val="9"/>
                <w:color w:val="auto"/>
              </w:rPr>
            </w:pPr>
          </w:p>
        </w:tc>
        <w:tc>
          <w:tcPr>
            <w:tcW w:w="80" w:type="dxa"/>
            <w:vAlign w:val="bottom"/>
          </w:tcPr>
          <w:p>
            <w:pPr>
              <w:spacing w:after="0"/>
              <w:rPr>
                <w:sz w:val="9"/>
                <w:szCs w:val="9"/>
                <w:color w:val="auto"/>
              </w:rPr>
            </w:pPr>
          </w:p>
        </w:tc>
        <w:tc>
          <w:tcPr>
            <w:tcW w:w="960" w:type="dxa"/>
            <w:vAlign w:val="bottom"/>
            <w:gridSpan w:val="2"/>
          </w:tcPr>
          <w:p>
            <w:pPr>
              <w:jc w:val="right"/>
              <w:ind w:right="700"/>
              <w:spacing w:after="0"/>
              <w:rPr>
                <w:sz w:val="20"/>
                <w:szCs w:val="20"/>
                <w:color w:val="auto"/>
              </w:rPr>
            </w:pPr>
            <w:r>
              <w:rPr>
                <w:rFonts w:ascii="Arial" w:cs="Arial" w:eastAsia="Arial" w:hAnsi="Arial"/>
                <w:sz w:val="9"/>
                <w:szCs w:val="9"/>
                <w:b w:val="1"/>
                <w:bCs w:val="1"/>
                <w:color w:val="auto"/>
                <w:w w:val="85"/>
              </w:rPr>
              <w:t>losses</w:t>
            </w:r>
          </w:p>
        </w:tc>
        <w:tc>
          <w:tcPr>
            <w:tcW w:w="80" w:type="dxa"/>
            <w:vAlign w:val="bottom"/>
          </w:tcPr>
          <w:p>
            <w:pPr>
              <w:spacing w:after="0"/>
              <w:rPr>
                <w:sz w:val="9"/>
                <w:szCs w:val="9"/>
                <w:color w:val="auto"/>
              </w:rPr>
            </w:pPr>
          </w:p>
        </w:tc>
        <w:tc>
          <w:tcPr>
            <w:tcW w:w="500" w:type="dxa"/>
            <w:vAlign w:val="bottom"/>
            <w:gridSpan w:val="2"/>
          </w:tcPr>
          <w:p>
            <w:pPr>
              <w:jc w:val="center"/>
              <w:ind w:right="160"/>
              <w:spacing w:after="0"/>
              <w:rPr>
                <w:sz w:val="20"/>
                <w:szCs w:val="20"/>
                <w:color w:val="auto"/>
              </w:rPr>
            </w:pPr>
            <w:r>
              <w:rPr>
                <w:rFonts w:ascii="Arial" w:cs="Arial" w:eastAsia="Arial" w:hAnsi="Arial"/>
                <w:sz w:val="9"/>
                <w:szCs w:val="9"/>
                <w:b w:val="1"/>
                <w:bCs w:val="1"/>
                <w:color w:val="auto"/>
                <w:w w:val="95"/>
              </w:rPr>
              <w:t>amount)</w:t>
            </w:r>
          </w:p>
        </w:tc>
        <w:tc>
          <w:tcPr>
            <w:tcW w:w="0" w:type="dxa"/>
            <w:vAlign w:val="bottom"/>
          </w:tcPr>
          <w:p>
            <w:pPr>
              <w:spacing w:after="0"/>
              <w:rPr>
                <w:sz w:val="1"/>
                <w:szCs w:val="1"/>
                <w:color w:val="auto"/>
              </w:rPr>
            </w:pPr>
          </w:p>
        </w:tc>
      </w:tr>
      <w:tr>
        <w:trPr>
          <w:trHeight w:val="124"/>
        </w:trPr>
        <w:tc>
          <w:tcPr>
            <w:tcW w:w="6640" w:type="dxa"/>
            <w:vAlign w:val="bottom"/>
            <w:tcBorders>
              <w:top w:val="single" w:sz="8" w:color="CCEEFF"/>
            </w:tcBorders>
            <w:shd w:val="clear" w:color="auto" w:fill="CCEEFF"/>
          </w:tcPr>
          <w:p>
            <w:pPr>
              <w:spacing w:after="0" w:line="124" w:lineRule="exact"/>
              <w:rPr>
                <w:sz w:val="20"/>
                <w:szCs w:val="20"/>
                <w:color w:val="auto"/>
              </w:rPr>
            </w:pPr>
            <w:r>
              <w:rPr>
                <w:rFonts w:ascii="Arial" w:cs="Arial" w:eastAsia="Arial" w:hAnsi="Arial"/>
                <w:sz w:val="12"/>
                <w:szCs w:val="12"/>
                <w:b w:val="1"/>
                <w:bCs w:val="1"/>
                <w:color w:val="auto"/>
              </w:rPr>
              <w:t>September 30, 2013</w:t>
            </w:r>
          </w:p>
        </w:tc>
        <w:tc>
          <w:tcPr>
            <w:tcW w:w="480" w:type="dxa"/>
            <w:vAlign w:val="bottom"/>
            <w:tcBorders>
              <w:top w:val="single" w:sz="8" w:color="auto"/>
            </w:tcBorders>
            <w:shd w:val="clear" w:color="auto" w:fill="CCEEFF"/>
          </w:tcPr>
          <w:p>
            <w:pPr>
              <w:spacing w:after="0"/>
              <w:rPr>
                <w:sz w:val="10"/>
                <w:szCs w:val="10"/>
                <w:color w:val="auto"/>
              </w:rPr>
            </w:pPr>
          </w:p>
        </w:tc>
        <w:tc>
          <w:tcPr>
            <w:tcW w:w="680" w:type="dxa"/>
            <w:vAlign w:val="bottom"/>
            <w:tcBorders>
              <w:top w:val="single" w:sz="8" w:color="CCEEFF"/>
            </w:tcBorders>
            <w:shd w:val="clear" w:color="auto" w:fill="CCEEFF"/>
          </w:tcPr>
          <w:p>
            <w:pPr>
              <w:spacing w:after="0"/>
              <w:rPr>
                <w:sz w:val="10"/>
                <w:szCs w:val="10"/>
                <w:color w:val="auto"/>
              </w:rPr>
            </w:pPr>
          </w:p>
        </w:tc>
        <w:tc>
          <w:tcPr>
            <w:tcW w:w="100" w:type="dxa"/>
            <w:vAlign w:val="bottom"/>
            <w:tcBorders>
              <w:top w:val="single" w:sz="8" w:color="auto"/>
            </w:tcBorders>
            <w:shd w:val="clear" w:color="auto" w:fill="CCEEFF"/>
          </w:tcPr>
          <w:p>
            <w:pPr>
              <w:spacing w:after="0"/>
              <w:rPr>
                <w:sz w:val="10"/>
                <w:szCs w:val="10"/>
                <w:color w:val="auto"/>
              </w:rPr>
            </w:pPr>
          </w:p>
        </w:tc>
        <w:tc>
          <w:tcPr>
            <w:tcW w:w="360" w:type="dxa"/>
            <w:vAlign w:val="bottom"/>
            <w:tcBorders>
              <w:top w:val="single" w:sz="8" w:color="auto"/>
            </w:tcBorders>
            <w:shd w:val="clear" w:color="auto" w:fill="CCEEFF"/>
          </w:tcPr>
          <w:p>
            <w:pPr>
              <w:spacing w:after="0"/>
              <w:rPr>
                <w:sz w:val="10"/>
                <w:szCs w:val="10"/>
                <w:color w:val="auto"/>
              </w:rPr>
            </w:pPr>
          </w:p>
        </w:tc>
        <w:tc>
          <w:tcPr>
            <w:tcW w:w="68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spacing w:after="0"/>
              <w:rPr>
                <w:sz w:val="10"/>
                <w:szCs w:val="10"/>
                <w:color w:val="auto"/>
              </w:rPr>
            </w:pPr>
          </w:p>
        </w:tc>
        <w:tc>
          <w:tcPr>
            <w:tcW w:w="360" w:type="dxa"/>
            <w:vAlign w:val="bottom"/>
            <w:tcBorders>
              <w:top w:val="single" w:sz="8" w:color="auto"/>
            </w:tcBorders>
            <w:shd w:val="clear" w:color="auto" w:fill="CCEEFF"/>
          </w:tcPr>
          <w:p>
            <w:pPr>
              <w:spacing w:after="0"/>
              <w:rPr>
                <w:sz w:val="10"/>
                <w:szCs w:val="10"/>
                <w:color w:val="auto"/>
              </w:rPr>
            </w:pPr>
          </w:p>
        </w:tc>
        <w:tc>
          <w:tcPr>
            <w:tcW w:w="60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spacing w:after="0"/>
              <w:rPr>
                <w:sz w:val="10"/>
                <w:szCs w:val="10"/>
                <w:color w:val="auto"/>
              </w:rPr>
            </w:pPr>
          </w:p>
        </w:tc>
        <w:tc>
          <w:tcPr>
            <w:tcW w:w="420" w:type="dxa"/>
            <w:vAlign w:val="bottom"/>
            <w:tcBorders>
              <w:top w:val="single" w:sz="8" w:color="auto"/>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4"/>
        </w:trPr>
        <w:tc>
          <w:tcPr>
            <w:tcW w:w="6640" w:type="dxa"/>
            <w:vAlign w:val="bottom"/>
          </w:tcPr>
          <w:p>
            <w:pPr>
              <w:spacing w:after="0"/>
              <w:rPr>
                <w:sz w:val="20"/>
                <w:szCs w:val="20"/>
                <w:color w:val="auto"/>
              </w:rPr>
            </w:pPr>
            <w:r>
              <w:rPr>
                <w:rFonts w:ascii="Arial" w:cs="Arial" w:eastAsia="Arial" w:hAnsi="Arial"/>
                <w:sz w:val="12"/>
                <w:szCs w:val="12"/>
                <w:color w:val="auto"/>
              </w:rPr>
              <w:t>Domestic and foreign corporate bonds</w:t>
            </w:r>
          </w:p>
        </w:tc>
        <w:tc>
          <w:tcPr>
            <w:tcW w:w="480" w:type="dxa"/>
            <w:vAlign w:val="bottom"/>
          </w:tcPr>
          <w:p>
            <w:pPr>
              <w:jc w:val="right"/>
              <w:spacing w:after="0"/>
              <w:rPr>
                <w:sz w:val="20"/>
                <w:szCs w:val="20"/>
                <w:color w:val="auto"/>
              </w:rPr>
            </w:pPr>
            <w:r>
              <w:rPr>
                <w:rFonts w:ascii="Arial" w:cs="Arial" w:eastAsia="Arial" w:hAnsi="Arial"/>
                <w:sz w:val="12"/>
                <w:szCs w:val="12"/>
                <w:color w:val="auto"/>
                <w:w w:val="86"/>
              </w:rPr>
              <w:t>$ 233,819</w:t>
            </w:r>
          </w:p>
        </w:tc>
        <w:tc>
          <w:tcPr>
            <w:tcW w:w="780" w:type="dxa"/>
            <w:vAlign w:val="bottom"/>
            <w:gridSpan w:val="2"/>
          </w:tcPr>
          <w:p>
            <w:pPr>
              <w:jc w:val="right"/>
              <w:spacing w:after="0"/>
              <w:rPr>
                <w:sz w:val="20"/>
                <w:szCs w:val="20"/>
                <w:color w:val="auto"/>
              </w:rPr>
            </w:pPr>
            <w:r>
              <w:rPr>
                <w:rFonts w:ascii="Arial" w:cs="Arial" w:eastAsia="Arial" w:hAnsi="Arial"/>
                <w:sz w:val="12"/>
                <w:szCs w:val="12"/>
                <w:color w:val="auto"/>
              </w:rPr>
              <w:t>$</w:t>
            </w:r>
          </w:p>
        </w:tc>
        <w:tc>
          <w:tcPr>
            <w:tcW w:w="360" w:type="dxa"/>
            <w:vAlign w:val="bottom"/>
          </w:tcPr>
          <w:p>
            <w:pPr>
              <w:jc w:val="right"/>
              <w:spacing w:after="0"/>
              <w:rPr>
                <w:sz w:val="20"/>
                <w:szCs w:val="20"/>
                <w:color w:val="auto"/>
              </w:rPr>
            </w:pPr>
            <w:r>
              <w:rPr>
                <w:rFonts w:ascii="Arial" w:cs="Arial" w:eastAsia="Arial" w:hAnsi="Arial"/>
                <w:sz w:val="12"/>
                <w:szCs w:val="12"/>
                <w:color w:val="auto"/>
              </w:rPr>
              <w:t>111</w:t>
            </w:r>
          </w:p>
        </w:tc>
        <w:tc>
          <w:tcPr>
            <w:tcW w:w="760" w:type="dxa"/>
            <w:vAlign w:val="bottom"/>
            <w:gridSpan w:val="2"/>
          </w:tcPr>
          <w:p>
            <w:pPr>
              <w:jc w:val="right"/>
              <w:spacing w:after="0"/>
              <w:rPr>
                <w:sz w:val="20"/>
                <w:szCs w:val="20"/>
                <w:color w:val="auto"/>
              </w:rPr>
            </w:pPr>
            <w:r>
              <w:rPr>
                <w:rFonts w:ascii="Arial" w:cs="Arial" w:eastAsia="Arial" w:hAnsi="Arial"/>
                <w:sz w:val="12"/>
                <w:szCs w:val="12"/>
                <w:color w:val="auto"/>
              </w:rPr>
              <w:t>$</w:t>
            </w:r>
          </w:p>
        </w:tc>
        <w:tc>
          <w:tcPr>
            <w:tcW w:w="960" w:type="dxa"/>
            <w:vAlign w:val="bottom"/>
            <w:gridSpan w:val="2"/>
          </w:tcPr>
          <w:p>
            <w:pPr>
              <w:jc w:val="right"/>
              <w:ind w:right="560"/>
              <w:spacing w:after="0"/>
              <w:rPr>
                <w:sz w:val="20"/>
                <w:szCs w:val="20"/>
                <w:color w:val="auto"/>
              </w:rPr>
            </w:pPr>
            <w:r>
              <w:rPr>
                <w:rFonts w:ascii="Arial" w:cs="Arial" w:eastAsia="Arial" w:hAnsi="Arial"/>
                <w:sz w:val="12"/>
                <w:szCs w:val="12"/>
                <w:color w:val="auto"/>
              </w:rPr>
              <w:t>(170)</w:t>
            </w:r>
          </w:p>
        </w:tc>
        <w:tc>
          <w:tcPr>
            <w:tcW w:w="80" w:type="dxa"/>
            <w:vAlign w:val="bottom"/>
          </w:tcPr>
          <w:p>
            <w:pPr>
              <w:jc w:val="right"/>
              <w:spacing w:after="0"/>
              <w:rPr>
                <w:sz w:val="20"/>
                <w:szCs w:val="20"/>
                <w:color w:val="auto"/>
              </w:rPr>
            </w:pPr>
            <w:r>
              <w:rPr>
                <w:rFonts w:ascii="Arial" w:cs="Arial" w:eastAsia="Arial" w:hAnsi="Arial"/>
                <w:sz w:val="9"/>
                <w:szCs w:val="9"/>
                <w:color w:val="auto"/>
                <w:w w:val="78"/>
              </w:rPr>
              <w:t>$</w:t>
            </w:r>
          </w:p>
        </w:tc>
        <w:tc>
          <w:tcPr>
            <w:tcW w:w="500" w:type="dxa"/>
            <w:vAlign w:val="bottom"/>
            <w:gridSpan w:val="2"/>
          </w:tcPr>
          <w:p>
            <w:pPr>
              <w:jc w:val="right"/>
              <w:ind w:right="80"/>
              <w:spacing w:after="0"/>
              <w:rPr>
                <w:sz w:val="20"/>
                <w:szCs w:val="20"/>
                <w:color w:val="auto"/>
              </w:rPr>
            </w:pPr>
            <w:r>
              <w:rPr>
                <w:rFonts w:ascii="Arial" w:cs="Arial" w:eastAsia="Arial" w:hAnsi="Arial"/>
                <w:sz w:val="12"/>
                <w:szCs w:val="12"/>
                <w:color w:val="auto"/>
                <w:w w:val="92"/>
              </w:rPr>
              <w:t>233,760</w:t>
            </w:r>
          </w:p>
        </w:tc>
        <w:tc>
          <w:tcPr>
            <w:tcW w:w="0" w:type="dxa"/>
            <w:vAlign w:val="bottom"/>
          </w:tcPr>
          <w:p>
            <w:pPr>
              <w:spacing w:after="0"/>
              <w:rPr>
                <w:sz w:val="1"/>
                <w:szCs w:val="1"/>
                <w:color w:val="auto"/>
              </w:rPr>
            </w:pPr>
          </w:p>
        </w:tc>
      </w:tr>
      <w:tr>
        <w:trPr>
          <w:trHeight w:val="144"/>
        </w:trPr>
        <w:tc>
          <w:tcPr>
            <w:tcW w:w="6640" w:type="dxa"/>
            <w:vAlign w:val="bottom"/>
            <w:shd w:val="clear" w:color="auto" w:fill="CCEEFF"/>
          </w:tcPr>
          <w:p>
            <w:pPr>
              <w:spacing w:after="0"/>
              <w:rPr>
                <w:sz w:val="20"/>
                <w:szCs w:val="20"/>
                <w:color w:val="auto"/>
              </w:rPr>
            </w:pPr>
            <w:r>
              <w:rPr>
                <w:rFonts w:ascii="Arial" w:cs="Arial" w:eastAsia="Arial" w:hAnsi="Arial"/>
                <w:sz w:val="12"/>
                <w:szCs w:val="12"/>
                <w:color w:val="auto"/>
              </w:rPr>
              <w:t>Commercial paper</w:t>
            </w:r>
          </w:p>
        </w:tc>
        <w:tc>
          <w:tcPr>
            <w:tcW w:w="4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21,962</w:t>
            </w: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11</w:t>
            </w:r>
          </w:p>
        </w:tc>
        <w:tc>
          <w:tcPr>
            <w:tcW w:w="6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560"/>
              <w:spacing w:after="0"/>
              <w:rPr>
                <w:sz w:val="20"/>
                <w:szCs w:val="20"/>
                <w:color w:val="auto"/>
              </w:rPr>
            </w:pPr>
            <w:r>
              <w:rPr>
                <w:rFonts w:ascii="Arial" w:cs="Arial" w:eastAsia="Arial" w:hAnsi="Arial"/>
                <w:sz w:val="12"/>
                <w:szCs w:val="12"/>
                <w:color w:val="auto"/>
              </w:rPr>
              <w:t>(12)</w:t>
            </w:r>
          </w:p>
        </w:tc>
        <w:tc>
          <w:tcPr>
            <w:tcW w:w="8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21,961</w:t>
            </w:r>
          </w:p>
        </w:tc>
        <w:tc>
          <w:tcPr>
            <w:tcW w:w="0" w:type="dxa"/>
            <w:vAlign w:val="bottom"/>
          </w:tcPr>
          <w:p>
            <w:pPr>
              <w:spacing w:after="0"/>
              <w:rPr>
                <w:sz w:val="1"/>
                <w:szCs w:val="1"/>
                <w:color w:val="auto"/>
              </w:rPr>
            </w:pPr>
          </w:p>
        </w:tc>
      </w:tr>
      <w:tr>
        <w:trPr>
          <w:trHeight w:val="20"/>
        </w:trPr>
        <w:tc>
          <w:tcPr>
            <w:tcW w:w="664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9"/>
        </w:trPr>
        <w:tc>
          <w:tcPr>
            <w:tcW w:w="6640" w:type="dxa"/>
            <w:vAlign w:val="bottom"/>
          </w:tcPr>
          <w:p>
            <w:pPr>
              <w:spacing w:after="0"/>
              <w:rPr>
                <w:sz w:val="12"/>
                <w:szCs w:val="12"/>
                <w:color w:val="auto"/>
              </w:rPr>
            </w:pPr>
          </w:p>
        </w:tc>
        <w:tc>
          <w:tcPr>
            <w:tcW w:w="480" w:type="dxa"/>
            <w:vAlign w:val="bottom"/>
          </w:tcPr>
          <w:p>
            <w:pPr>
              <w:jc w:val="right"/>
              <w:spacing w:after="0"/>
              <w:rPr>
                <w:sz w:val="20"/>
                <w:szCs w:val="20"/>
                <w:color w:val="auto"/>
              </w:rPr>
            </w:pPr>
            <w:r>
              <w:rPr>
                <w:rFonts w:ascii="Arial" w:cs="Arial" w:eastAsia="Arial" w:hAnsi="Arial"/>
                <w:sz w:val="12"/>
                <w:szCs w:val="12"/>
                <w:color w:val="auto"/>
                <w:w w:val="86"/>
              </w:rPr>
              <w:t>$ 255,781</w:t>
            </w:r>
          </w:p>
        </w:tc>
        <w:tc>
          <w:tcPr>
            <w:tcW w:w="680" w:type="dxa"/>
            <w:vAlign w:val="bottom"/>
          </w:tcPr>
          <w:p>
            <w:pPr>
              <w:spacing w:after="0"/>
              <w:rPr>
                <w:sz w:val="12"/>
                <w:szCs w:val="12"/>
                <w:color w:val="auto"/>
              </w:rPr>
            </w:pPr>
          </w:p>
        </w:tc>
        <w:tc>
          <w:tcPr>
            <w:tcW w:w="100" w:type="dxa"/>
            <w:vAlign w:val="bottom"/>
          </w:tcPr>
          <w:p>
            <w:pPr>
              <w:jc w:val="right"/>
              <w:spacing w:after="0"/>
              <w:rPr>
                <w:sz w:val="20"/>
                <w:szCs w:val="20"/>
                <w:color w:val="auto"/>
              </w:rPr>
            </w:pPr>
            <w:r>
              <w:rPr>
                <w:rFonts w:ascii="Arial" w:cs="Arial" w:eastAsia="Arial" w:hAnsi="Arial"/>
                <w:sz w:val="9"/>
                <w:szCs w:val="9"/>
                <w:color w:val="auto"/>
                <w:w w:val="78"/>
              </w:rPr>
              <w:t>$</w:t>
            </w:r>
          </w:p>
        </w:tc>
        <w:tc>
          <w:tcPr>
            <w:tcW w:w="360" w:type="dxa"/>
            <w:vAlign w:val="bottom"/>
          </w:tcPr>
          <w:p>
            <w:pPr>
              <w:jc w:val="right"/>
              <w:spacing w:after="0"/>
              <w:rPr>
                <w:sz w:val="20"/>
                <w:szCs w:val="20"/>
                <w:color w:val="auto"/>
              </w:rPr>
            </w:pPr>
            <w:r>
              <w:rPr>
                <w:rFonts w:ascii="Arial" w:cs="Arial" w:eastAsia="Arial" w:hAnsi="Arial"/>
                <w:sz w:val="12"/>
                <w:szCs w:val="12"/>
                <w:color w:val="auto"/>
              </w:rPr>
              <w:t>122</w:t>
            </w:r>
          </w:p>
        </w:tc>
        <w:tc>
          <w:tcPr>
            <w:tcW w:w="680" w:type="dxa"/>
            <w:vAlign w:val="bottom"/>
          </w:tcPr>
          <w:p>
            <w:pPr>
              <w:spacing w:after="0"/>
              <w:rPr>
                <w:sz w:val="12"/>
                <w:szCs w:val="12"/>
                <w:color w:val="auto"/>
              </w:rPr>
            </w:pPr>
          </w:p>
        </w:tc>
        <w:tc>
          <w:tcPr>
            <w:tcW w:w="80" w:type="dxa"/>
            <w:vAlign w:val="bottom"/>
          </w:tcPr>
          <w:p>
            <w:pPr>
              <w:jc w:val="right"/>
              <w:spacing w:after="0"/>
              <w:rPr>
                <w:sz w:val="20"/>
                <w:szCs w:val="20"/>
                <w:color w:val="auto"/>
              </w:rPr>
            </w:pPr>
            <w:r>
              <w:rPr>
                <w:rFonts w:ascii="Arial" w:cs="Arial" w:eastAsia="Arial" w:hAnsi="Arial"/>
                <w:sz w:val="9"/>
                <w:szCs w:val="9"/>
                <w:color w:val="auto"/>
                <w:w w:val="78"/>
              </w:rPr>
              <w:t>$</w:t>
            </w:r>
          </w:p>
        </w:tc>
        <w:tc>
          <w:tcPr>
            <w:tcW w:w="960" w:type="dxa"/>
            <w:vAlign w:val="bottom"/>
            <w:gridSpan w:val="2"/>
          </w:tcPr>
          <w:p>
            <w:pPr>
              <w:jc w:val="right"/>
              <w:ind w:right="560"/>
              <w:spacing w:after="0"/>
              <w:rPr>
                <w:sz w:val="20"/>
                <w:szCs w:val="20"/>
                <w:color w:val="auto"/>
              </w:rPr>
            </w:pPr>
            <w:r>
              <w:rPr>
                <w:rFonts w:ascii="Arial" w:cs="Arial" w:eastAsia="Arial" w:hAnsi="Arial"/>
                <w:sz w:val="12"/>
                <w:szCs w:val="12"/>
                <w:color w:val="auto"/>
              </w:rPr>
              <w:t>(182)</w:t>
            </w:r>
          </w:p>
        </w:tc>
        <w:tc>
          <w:tcPr>
            <w:tcW w:w="80" w:type="dxa"/>
            <w:vAlign w:val="bottom"/>
          </w:tcPr>
          <w:p>
            <w:pPr>
              <w:jc w:val="right"/>
              <w:spacing w:after="0"/>
              <w:rPr>
                <w:sz w:val="20"/>
                <w:szCs w:val="20"/>
                <w:color w:val="auto"/>
              </w:rPr>
            </w:pPr>
            <w:r>
              <w:rPr>
                <w:rFonts w:ascii="Arial" w:cs="Arial" w:eastAsia="Arial" w:hAnsi="Arial"/>
                <w:sz w:val="9"/>
                <w:szCs w:val="9"/>
                <w:color w:val="auto"/>
                <w:w w:val="78"/>
              </w:rPr>
              <w:t>$</w:t>
            </w:r>
          </w:p>
        </w:tc>
        <w:tc>
          <w:tcPr>
            <w:tcW w:w="500" w:type="dxa"/>
            <w:vAlign w:val="bottom"/>
            <w:gridSpan w:val="2"/>
          </w:tcPr>
          <w:p>
            <w:pPr>
              <w:jc w:val="right"/>
              <w:ind w:right="80"/>
              <w:spacing w:after="0"/>
              <w:rPr>
                <w:sz w:val="20"/>
                <w:szCs w:val="20"/>
                <w:color w:val="auto"/>
              </w:rPr>
            </w:pPr>
            <w:r>
              <w:rPr>
                <w:rFonts w:ascii="Arial" w:cs="Arial" w:eastAsia="Arial" w:hAnsi="Arial"/>
                <w:sz w:val="12"/>
                <w:szCs w:val="12"/>
                <w:color w:val="auto"/>
                <w:w w:val="92"/>
              </w:rPr>
              <w:t>255,721</w:t>
            </w:r>
          </w:p>
        </w:tc>
        <w:tc>
          <w:tcPr>
            <w:tcW w:w="0" w:type="dxa"/>
            <w:vAlign w:val="bottom"/>
          </w:tcPr>
          <w:p>
            <w:pPr>
              <w:spacing w:after="0"/>
              <w:rPr>
                <w:sz w:val="1"/>
                <w:szCs w:val="1"/>
                <w:color w:val="auto"/>
              </w:rPr>
            </w:pPr>
          </w:p>
        </w:tc>
      </w:tr>
      <w:tr>
        <w:trPr>
          <w:trHeight w:val="153"/>
        </w:trPr>
        <w:tc>
          <w:tcPr>
            <w:tcW w:w="6640" w:type="dxa"/>
            <w:vAlign w:val="bottom"/>
            <w:shd w:val="clear" w:color="auto" w:fill="CCEEFF"/>
          </w:tcPr>
          <w:p>
            <w:pPr>
              <w:spacing w:after="0"/>
              <w:rPr>
                <w:sz w:val="20"/>
                <w:szCs w:val="20"/>
                <w:color w:val="auto"/>
              </w:rPr>
            </w:pPr>
            <w:r>
              <w:rPr>
                <w:rFonts w:ascii="Arial" w:cs="Arial" w:eastAsia="Arial" w:hAnsi="Arial"/>
                <w:sz w:val="12"/>
                <w:szCs w:val="12"/>
                <w:b w:val="1"/>
                <w:bCs w:val="1"/>
                <w:color w:val="auto"/>
              </w:rPr>
              <w:t>December 31, 2012</w:t>
            </w:r>
          </w:p>
        </w:tc>
        <w:tc>
          <w:tcPr>
            <w:tcW w:w="480" w:type="dxa"/>
            <w:vAlign w:val="bottom"/>
            <w:tcBorders>
              <w:top w:val="single" w:sz="8" w:color="auto"/>
            </w:tcBorders>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360" w:type="dxa"/>
            <w:vAlign w:val="bottom"/>
            <w:tcBorders>
              <w:top w:val="single" w:sz="8" w:color="auto"/>
            </w:tcBorders>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spacing w:after="0"/>
              <w:rPr>
                <w:sz w:val="13"/>
                <w:szCs w:val="13"/>
                <w:color w:val="auto"/>
              </w:rPr>
            </w:pPr>
          </w:p>
        </w:tc>
        <w:tc>
          <w:tcPr>
            <w:tcW w:w="360" w:type="dxa"/>
            <w:vAlign w:val="bottom"/>
            <w:tcBorders>
              <w:top w:val="single" w:sz="8" w:color="auto"/>
            </w:tcBorders>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spacing w:after="0"/>
              <w:rPr>
                <w:sz w:val="13"/>
                <w:szCs w:val="13"/>
                <w:color w:val="auto"/>
              </w:rPr>
            </w:pPr>
          </w:p>
        </w:tc>
        <w:tc>
          <w:tcPr>
            <w:tcW w:w="420" w:type="dxa"/>
            <w:vAlign w:val="bottom"/>
            <w:tcBorders>
              <w:top w:val="single" w:sz="8" w:color="auto"/>
            </w:tcBorders>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6640" w:type="dxa"/>
            <w:vAlign w:val="bottom"/>
          </w:tcPr>
          <w:p>
            <w:pPr>
              <w:spacing w:after="0"/>
              <w:rPr>
                <w:sz w:val="20"/>
                <w:szCs w:val="20"/>
                <w:color w:val="auto"/>
              </w:rPr>
            </w:pPr>
            <w:r>
              <w:rPr>
                <w:rFonts w:ascii="Arial" w:cs="Arial" w:eastAsia="Arial" w:hAnsi="Arial"/>
                <w:sz w:val="12"/>
                <w:szCs w:val="12"/>
                <w:color w:val="auto"/>
              </w:rPr>
              <w:t>Domestic and foreign corporate bonds</w:t>
            </w:r>
          </w:p>
        </w:tc>
        <w:tc>
          <w:tcPr>
            <w:tcW w:w="480" w:type="dxa"/>
            <w:vAlign w:val="bottom"/>
          </w:tcPr>
          <w:p>
            <w:pPr>
              <w:jc w:val="right"/>
              <w:spacing w:after="0"/>
              <w:rPr>
                <w:sz w:val="20"/>
                <w:szCs w:val="20"/>
                <w:color w:val="auto"/>
              </w:rPr>
            </w:pPr>
            <w:r>
              <w:rPr>
                <w:rFonts w:ascii="Arial" w:cs="Arial" w:eastAsia="Arial" w:hAnsi="Arial"/>
                <w:sz w:val="12"/>
                <w:szCs w:val="12"/>
                <w:color w:val="auto"/>
                <w:w w:val="86"/>
              </w:rPr>
              <w:t>$ 161,631</w:t>
            </w:r>
          </w:p>
        </w:tc>
        <w:tc>
          <w:tcPr>
            <w:tcW w:w="780" w:type="dxa"/>
            <w:vAlign w:val="bottom"/>
            <w:gridSpan w:val="2"/>
          </w:tcPr>
          <w:p>
            <w:pPr>
              <w:jc w:val="right"/>
              <w:spacing w:after="0"/>
              <w:rPr>
                <w:sz w:val="20"/>
                <w:szCs w:val="20"/>
                <w:color w:val="auto"/>
              </w:rPr>
            </w:pPr>
            <w:r>
              <w:rPr>
                <w:rFonts w:ascii="Arial" w:cs="Arial" w:eastAsia="Arial" w:hAnsi="Arial"/>
                <w:sz w:val="12"/>
                <w:szCs w:val="12"/>
                <w:color w:val="auto"/>
              </w:rPr>
              <w:t>$</w:t>
            </w:r>
          </w:p>
        </w:tc>
        <w:tc>
          <w:tcPr>
            <w:tcW w:w="360" w:type="dxa"/>
            <w:vAlign w:val="bottom"/>
          </w:tcPr>
          <w:p>
            <w:pPr>
              <w:jc w:val="right"/>
              <w:spacing w:after="0"/>
              <w:rPr>
                <w:sz w:val="20"/>
                <w:szCs w:val="20"/>
                <w:color w:val="auto"/>
              </w:rPr>
            </w:pPr>
            <w:r>
              <w:rPr>
                <w:rFonts w:ascii="Arial" w:cs="Arial" w:eastAsia="Arial" w:hAnsi="Arial"/>
                <w:sz w:val="12"/>
                <w:szCs w:val="12"/>
                <w:color w:val="auto"/>
              </w:rPr>
              <w:t>94</w:t>
            </w:r>
          </w:p>
        </w:tc>
        <w:tc>
          <w:tcPr>
            <w:tcW w:w="760" w:type="dxa"/>
            <w:vAlign w:val="bottom"/>
            <w:gridSpan w:val="2"/>
          </w:tcPr>
          <w:p>
            <w:pPr>
              <w:jc w:val="right"/>
              <w:spacing w:after="0"/>
              <w:rPr>
                <w:sz w:val="20"/>
                <w:szCs w:val="20"/>
                <w:color w:val="auto"/>
              </w:rPr>
            </w:pPr>
            <w:r>
              <w:rPr>
                <w:rFonts w:ascii="Arial" w:cs="Arial" w:eastAsia="Arial" w:hAnsi="Arial"/>
                <w:sz w:val="12"/>
                <w:szCs w:val="12"/>
                <w:color w:val="auto"/>
              </w:rPr>
              <w:t>$</w:t>
            </w:r>
          </w:p>
        </w:tc>
        <w:tc>
          <w:tcPr>
            <w:tcW w:w="960" w:type="dxa"/>
            <w:vAlign w:val="bottom"/>
            <w:gridSpan w:val="2"/>
          </w:tcPr>
          <w:p>
            <w:pPr>
              <w:jc w:val="right"/>
              <w:ind w:right="560"/>
              <w:spacing w:after="0"/>
              <w:rPr>
                <w:sz w:val="20"/>
                <w:szCs w:val="20"/>
                <w:color w:val="auto"/>
              </w:rPr>
            </w:pPr>
            <w:r>
              <w:rPr>
                <w:rFonts w:ascii="Arial" w:cs="Arial" w:eastAsia="Arial" w:hAnsi="Arial"/>
                <w:sz w:val="12"/>
                <w:szCs w:val="12"/>
                <w:color w:val="auto"/>
              </w:rPr>
              <w:t>(369)</w:t>
            </w:r>
          </w:p>
        </w:tc>
        <w:tc>
          <w:tcPr>
            <w:tcW w:w="80" w:type="dxa"/>
            <w:vAlign w:val="bottom"/>
          </w:tcPr>
          <w:p>
            <w:pPr>
              <w:jc w:val="right"/>
              <w:spacing w:after="0"/>
              <w:rPr>
                <w:sz w:val="20"/>
                <w:szCs w:val="20"/>
                <w:color w:val="auto"/>
              </w:rPr>
            </w:pPr>
            <w:r>
              <w:rPr>
                <w:rFonts w:ascii="Arial" w:cs="Arial" w:eastAsia="Arial" w:hAnsi="Arial"/>
                <w:sz w:val="9"/>
                <w:szCs w:val="9"/>
                <w:color w:val="auto"/>
                <w:w w:val="78"/>
              </w:rPr>
              <w:t>$</w:t>
            </w:r>
          </w:p>
        </w:tc>
        <w:tc>
          <w:tcPr>
            <w:tcW w:w="500" w:type="dxa"/>
            <w:vAlign w:val="bottom"/>
            <w:gridSpan w:val="2"/>
          </w:tcPr>
          <w:p>
            <w:pPr>
              <w:jc w:val="right"/>
              <w:ind w:right="80"/>
              <w:spacing w:after="0"/>
              <w:rPr>
                <w:sz w:val="20"/>
                <w:szCs w:val="20"/>
                <w:color w:val="auto"/>
              </w:rPr>
            </w:pPr>
            <w:r>
              <w:rPr>
                <w:rFonts w:ascii="Arial" w:cs="Arial" w:eastAsia="Arial" w:hAnsi="Arial"/>
                <w:sz w:val="12"/>
                <w:szCs w:val="12"/>
                <w:color w:val="auto"/>
                <w:w w:val="92"/>
              </w:rPr>
              <w:t>161,356</w:t>
            </w:r>
          </w:p>
        </w:tc>
        <w:tc>
          <w:tcPr>
            <w:tcW w:w="0" w:type="dxa"/>
            <w:vAlign w:val="bottom"/>
          </w:tcPr>
          <w:p>
            <w:pPr>
              <w:spacing w:after="0"/>
              <w:rPr>
                <w:sz w:val="1"/>
                <w:szCs w:val="1"/>
                <w:color w:val="auto"/>
              </w:rPr>
            </w:pPr>
          </w:p>
        </w:tc>
      </w:tr>
      <w:tr>
        <w:trPr>
          <w:trHeight w:val="144"/>
        </w:trPr>
        <w:tc>
          <w:tcPr>
            <w:tcW w:w="6640" w:type="dxa"/>
            <w:vAlign w:val="bottom"/>
            <w:shd w:val="clear" w:color="auto" w:fill="CCEEFF"/>
          </w:tcPr>
          <w:p>
            <w:pPr>
              <w:spacing w:after="0"/>
              <w:rPr>
                <w:sz w:val="20"/>
                <w:szCs w:val="20"/>
                <w:color w:val="auto"/>
              </w:rPr>
            </w:pPr>
            <w:r>
              <w:rPr>
                <w:rFonts w:ascii="Arial" w:cs="Arial" w:eastAsia="Arial" w:hAnsi="Arial"/>
                <w:sz w:val="12"/>
                <w:szCs w:val="12"/>
                <w:color w:val="auto"/>
              </w:rPr>
              <w:t>Commercial paper</w:t>
            </w:r>
          </w:p>
        </w:tc>
        <w:tc>
          <w:tcPr>
            <w:tcW w:w="4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18,704</w:t>
            </w: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w:t>
            </w:r>
          </w:p>
        </w:tc>
        <w:tc>
          <w:tcPr>
            <w:tcW w:w="6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560"/>
              <w:spacing w:after="0"/>
              <w:rPr>
                <w:sz w:val="20"/>
                <w:szCs w:val="20"/>
                <w:color w:val="auto"/>
              </w:rPr>
            </w:pPr>
            <w:r>
              <w:rPr>
                <w:rFonts w:ascii="Arial" w:cs="Arial" w:eastAsia="Arial" w:hAnsi="Arial"/>
                <w:sz w:val="12"/>
                <w:szCs w:val="12"/>
                <w:color w:val="auto"/>
              </w:rPr>
              <w:t>(5)</w:t>
            </w:r>
          </w:p>
        </w:tc>
        <w:tc>
          <w:tcPr>
            <w:tcW w:w="8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18,703</w:t>
            </w:r>
          </w:p>
        </w:tc>
        <w:tc>
          <w:tcPr>
            <w:tcW w:w="0" w:type="dxa"/>
            <w:vAlign w:val="bottom"/>
          </w:tcPr>
          <w:p>
            <w:pPr>
              <w:spacing w:after="0"/>
              <w:rPr>
                <w:sz w:val="1"/>
                <w:szCs w:val="1"/>
                <w:color w:val="auto"/>
              </w:rPr>
            </w:pPr>
          </w:p>
        </w:tc>
      </w:tr>
      <w:tr>
        <w:trPr>
          <w:trHeight w:val="20"/>
        </w:trPr>
        <w:tc>
          <w:tcPr>
            <w:tcW w:w="664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1"/>
        </w:trPr>
        <w:tc>
          <w:tcPr>
            <w:tcW w:w="6640" w:type="dxa"/>
            <w:vAlign w:val="bottom"/>
          </w:tcPr>
          <w:p>
            <w:pPr>
              <w:spacing w:after="0"/>
              <w:rPr>
                <w:sz w:val="12"/>
                <w:szCs w:val="12"/>
                <w:color w:val="auto"/>
              </w:rPr>
            </w:pPr>
          </w:p>
        </w:tc>
        <w:tc>
          <w:tcPr>
            <w:tcW w:w="480" w:type="dxa"/>
            <w:vAlign w:val="bottom"/>
          </w:tcPr>
          <w:p>
            <w:pPr>
              <w:jc w:val="right"/>
              <w:spacing w:after="0"/>
              <w:rPr>
                <w:sz w:val="20"/>
                <w:szCs w:val="20"/>
                <w:color w:val="auto"/>
              </w:rPr>
            </w:pPr>
            <w:r>
              <w:rPr>
                <w:rFonts w:ascii="Arial" w:cs="Arial" w:eastAsia="Arial" w:hAnsi="Arial"/>
                <w:sz w:val="12"/>
                <w:szCs w:val="12"/>
                <w:color w:val="auto"/>
                <w:w w:val="86"/>
              </w:rPr>
              <w:t>$ 180,335</w:t>
            </w:r>
          </w:p>
        </w:tc>
        <w:tc>
          <w:tcPr>
            <w:tcW w:w="680" w:type="dxa"/>
            <w:vAlign w:val="bottom"/>
          </w:tcPr>
          <w:p>
            <w:pPr>
              <w:spacing w:after="0"/>
              <w:rPr>
                <w:sz w:val="12"/>
                <w:szCs w:val="12"/>
                <w:color w:val="auto"/>
              </w:rPr>
            </w:pPr>
          </w:p>
        </w:tc>
        <w:tc>
          <w:tcPr>
            <w:tcW w:w="100" w:type="dxa"/>
            <w:vAlign w:val="bottom"/>
          </w:tcPr>
          <w:p>
            <w:pPr>
              <w:jc w:val="right"/>
              <w:spacing w:after="0"/>
              <w:rPr>
                <w:sz w:val="20"/>
                <w:szCs w:val="20"/>
                <w:color w:val="auto"/>
              </w:rPr>
            </w:pPr>
            <w:r>
              <w:rPr>
                <w:rFonts w:ascii="Arial" w:cs="Arial" w:eastAsia="Arial" w:hAnsi="Arial"/>
                <w:sz w:val="9"/>
                <w:szCs w:val="9"/>
                <w:color w:val="auto"/>
                <w:w w:val="78"/>
              </w:rPr>
              <w:t>$</w:t>
            </w:r>
          </w:p>
        </w:tc>
        <w:tc>
          <w:tcPr>
            <w:tcW w:w="360" w:type="dxa"/>
            <w:vAlign w:val="bottom"/>
          </w:tcPr>
          <w:p>
            <w:pPr>
              <w:jc w:val="right"/>
              <w:spacing w:after="0"/>
              <w:rPr>
                <w:sz w:val="20"/>
                <w:szCs w:val="20"/>
                <w:color w:val="auto"/>
              </w:rPr>
            </w:pPr>
            <w:r>
              <w:rPr>
                <w:rFonts w:ascii="Arial" w:cs="Arial" w:eastAsia="Arial" w:hAnsi="Arial"/>
                <w:sz w:val="12"/>
                <w:szCs w:val="12"/>
                <w:color w:val="auto"/>
              </w:rPr>
              <w:t>98</w:t>
            </w:r>
          </w:p>
        </w:tc>
        <w:tc>
          <w:tcPr>
            <w:tcW w:w="680" w:type="dxa"/>
            <w:vAlign w:val="bottom"/>
          </w:tcPr>
          <w:p>
            <w:pPr>
              <w:spacing w:after="0"/>
              <w:rPr>
                <w:sz w:val="12"/>
                <w:szCs w:val="12"/>
                <w:color w:val="auto"/>
              </w:rPr>
            </w:pPr>
          </w:p>
        </w:tc>
        <w:tc>
          <w:tcPr>
            <w:tcW w:w="80" w:type="dxa"/>
            <w:vAlign w:val="bottom"/>
          </w:tcPr>
          <w:p>
            <w:pPr>
              <w:jc w:val="right"/>
              <w:spacing w:after="0"/>
              <w:rPr>
                <w:sz w:val="20"/>
                <w:szCs w:val="20"/>
                <w:color w:val="auto"/>
              </w:rPr>
            </w:pPr>
            <w:r>
              <w:rPr>
                <w:rFonts w:ascii="Arial" w:cs="Arial" w:eastAsia="Arial" w:hAnsi="Arial"/>
                <w:sz w:val="9"/>
                <w:szCs w:val="9"/>
                <w:color w:val="auto"/>
                <w:w w:val="78"/>
              </w:rPr>
              <w:t>$</w:t>
            </w:r>
          </w:p>
        </w:tc>
        <w:tc>
          <w:tcPr>
            <w:tcW w:w="960" w:type="dxa"/>
            <w:vAlign w:val="bottom"/>
            <w:gridSpan w:val="2"/>
          </w:tcPr>
          <w:p>
            <w:pPr>
              <w:jc w:val="right"/>
              <w:ind w:right="560"/>
              <w:spacing w:after="0"/>
              <w:rPr>
                <w:sz w:val="20"/>
                <w:szCs w:val="20"/>
                <w:color w:val="auto"/>
              </w:rPr>
            </w:pPr>
            <w:r>
              <w:rPr>
                <w:rFonts w:ascii="Arial" w:cs="Arial" w:eastAsia="Arial" w:hAnsi="Arial"/>
                <w:sz w:val="12"/>
                <w:szCs w:val="12"/>
                <w:color w:val="auto"/>
              </w:rPr>
              <w:t>(374)</w:t>
            </w:r>
          </w:p>
        </w:tc>
        <w:tc>
          <w:tcPr>
            <w:tcW w:w="80" w:type="dxa"/>
            <w:vAlign w:val="bottom"/>
          </w:tcPr>
          <w:p>
            <w:pPr>
              <w:jc w:val="right"/>
              <w:spacing w:after="0"/>
              <w:rPr>
                <w:sz w:val="20"/>
                <w:szCs w:val="20"/>
                <w:color w:val="auto"/>
              </w:rPr>
            </w:pPr>
            <w:r>
              <w:rPr>
                <w:rFonts w:ascii="Arial" w:cs="Arial" w:eastAsia="Arial" w:hAnsi="Arial"/>
                <w:sz w:val="9"/>
                <w:szCs w:val="9"/>
                <w:color w:val="auto"/>
                <w:w w:val="78"/>
              </w:rPr>
              <w:t>$</w:t>
            </w:r>
          </w:p>
        </w:tc>
        <w:tc>
          <w:tcPr>
            <w:tcW w:w="500" w:type="dxa"/>
            <w:vAlign w:val="bottom"/>
            <w:gridSpan w:val="2"/>
          </w:tcPr>
          <w:p>
            <w:pPr>
              <w:jc w:val="right"/>
              <w:ind w:right="80"/>
              <w:spacing w:after="0"/>
              <w:rPr>
                <w:sz w:val="20"/>
                <w:szCs w:val="20"/>
                <w:color w:val="auto"/>
              </w:rPr>
            </w:pPr>
            <w:r>
              <w:rPr>
                <w:rFonts w:ascii="Arial" w:cs="Arial" w:eastAsia="Arial" w:hAnsi="Arial"/>
                <w:sz w:val="12"/>
                <w:szCs w:val="12"/>
                <w:color w:val="auto"/>
                <w:w w:val="92"/>
              </w:rPr>
              <w:t>180,059</w:t>
            </w:r>
          </w:p>
        </w:tc>
        <w:tc>
          <w:tcPr>
            <w:tcW w:w="0" w:type="dxa"/>
            <w:vAlign w:val="bottom"/>
          </w:tcPr>
          <w:p>
            <w:pPr>
              <w:spacing w:after="0"/>
              <w:rPr>
                <w:sz w:val="1"/>
                <w:szCs w:val="1"/>
                <w:color w:val="auto"/>
              </w:rPr>
            </w:pPr>
          </w:p>
        </w:tc>
      </w:tr>
      <w:tr>
        <w:trPr>
          <w:trHeight w:val="28"/>
        </w:trPr>
        <w:tc>
          <w:tcPr>
            <w:tcW w:w="664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6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11" w:lineRule="exact"/>
        <w:rPr>
          <w:sz w:val="20"/>
          <w:szCs w:val="20"/>
          <w:color w:val="auto"/>
        </w:rPr>
      </w:pPr>
    </w:p>
    <w:p>
      <w:pPr>
        <w:ind w:left="8" w:right="40" w:firstLine="459"/>
        <w:spacing w:after="0" w:line="314" w:lineRule="auto"/>
        <w:rPr>
          <w:sz w:val="20"/>
          <w:szCs w:val="20"/>
          <w:color w:val="auto"/>
        </w:rPr>
      </w:pPr>
      <w:r>
        <w:rPr>
          <w:rFonts w:ascii="Arial" w:cs="Arial" w:eastAsia="Arial" w:hAnsi="Arial"/>
          <w:sz w:val="11"/>
          <w:szCs w:val="11"/>
          <w:color w:val="auto"/>
        </w:rPr>
        <w:t>For investments with unrealized losses as of September 30, 2013 and December 31, 2012, the Company has determined that (i) it does not have the intent to sell any of these investments, and (ii) it is not likely that the Company will be required to sell these investments prior to the recovery of the amortized cost. Accordingly, the Company has determined that no other-than-temporary impairments exist at the reporting date.</w:t>
      </w:r>
    </w:p>
    <w:p>
      <w:pPr>
        <w:spacing w:after="0" w:line="56" w:lineRule="exact"/>
        <w:rPr>
          <w:sz w:val="20"/>
          <w:szCs w:val="20"/>
          <w:color w:val="auto"/>
        </w:rPr>
      </w:pPr>
    </w:p>
    <w:p>
      <w:pPr>
        <w:jc w:val="center"/>
        <w:ind w:right="-7"/>
        <w:spacing w:after="0"/>
        <w:rPr>
          <w:sz w:val="20"/>
          <w:szCs w:val="20"/>
          <w:color w:val="auto"/>
        </w:rPr>
      </w:pPr>
      <w:r>
        <w:rPr>
          <w:rFonts w:ascii="Arial" w:cs="Arial" w:eastAsia="Arial" w:hAnsi="Arial"/>
          <w:sz w:val="12"/>
          <w:szCs w:val="12"/>
          <w:color w:val="auto"/>
        </w:rPr>
        <w:t>13</w:t>
      </w:r>
    </w:p>
    <w:p>
      <w:pPr>
        <w:sectPr>
          <w:pgSz w:w="11900" w:h="16838" w:orient="portrait"/>
          <w:cols w:equalWidth="0" w:num="1">
            <w:col w:w="11488"/>
          </w:cols>
          <w:pgMar w:left="212" w:top="354" w:right="199" w:bottom="1440" w:gutter="0" w:footer="0" w:header="0"/>
        </w:sectPr>
      </w:pPr>
    </w:p>
    <w:bookmarkStart w:id="13" w:name="page14"/>
    <w:bookmarkEnd w:id="13"/>
    <w:p>
      <w:pPr>
        <w:ind w:left="8"/>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121920</wp:posOffset>
            </wp:positionH>
            <wp:positionV relativeFrom="page">
              <wp:posOffset>88900</wp:posOffset>
            </wp:positionV>
            <wp:extent cx="7329170" cy="298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329170" cy="29845"/>
                    </a:xfrm>
                    <a:prstGeom prst="rect">
                      <a:avLst/>
                    </a:prstGeom>
                    <a:noFill/>
                  </pic:spPr>
                </pic:pic>
              </a:graphicData>
            </a:graphic>
          </wp:anchor>
        </w:drawing>
      </w:r>
      <w:hyperlink w:anchor="page2">
        <w:r>
          <w:rPr>
            <w:rFonts w:ascii="Arial" w:cs="Arial" w:eastAsia="Arial" w:hAnsi="Arial"/>
            <w:sz w:val="12"/>
            <w:szCs w:val="12"/>
            <w:b w:val="1"/>
            <w:bCs w:val="1"/>
            <w:u w:val="single" w:color="auto"/>
            <w:color w:val="0000EE"/>
          </w:rPr>
          <w:t>Table of Contents</w:t>
        </w:r>
      </w:hyperlink>
    </w:p>
    <w:p>
      <w:pPr>
        <w:spacing w:after="0" w:line="209" w:lineRule="exact"/>
        <w:rPr>
          <w:sz w:val="20"/>
          <w:szCs w:val="20"/>
          <w:color w:val="auto"/>
        </w:rPr>
      </w:pPr>
    </w:p>
    <w:p>
      <w:pPr>
        <w:ind w:left="8" w:firstLine="459"/>
        <w:spacing w:after="0" w:line="287" w:lineRule="auto"/>
        <w:rPr>
          <w:sz w:val="20"/>
          <w:szCs w:val="20"/>
          <w:color w:val="auto"/>
        </w:rPr>
      </w:pPr>
      <w:r>
        <w:rPr>
          <w:rFonts w:ascii="Arial" w:cs="Arial" w:eastAsia="Arial" w:hAnsi="Arial"/>
          <w:sz w:val="11"/>
          <w:szCs w:val="11"/>
          <w:color w:val="auto"/>
        </w:rPr>
        <w:t>The Company obtains pricing information in determining the fair value of its available-for-sale securities from independent pricing vendors. Based on management’s inquiries, the pricing vendors use various pricing models consistent with what other market participants would use. The assumptions and inputs used by the pricing vendors are derived from market observable sources including: reported trades, broker/dealer quotes, issuer spreads, benchmark curves, bids, offers and other market-related data. Each quarter, the Company validates the fair value pricing methodology to determine its consistency with applicable accounting guidance and to confirm that the securities are classified properly in the fair value hierarchy. The Company compares the pricing received from its vendors to independent sources for the same or similar securities and no adjustment to such prices have resulted.</w:t>
      </w:r>
    </w:p>
    <w:p>
      <w:pPr>
        <w:spacing w:after="0" w:line="80" w:lineRule="exact"/>
        <w:rPr>
          <w:sz w:val="20"/>
          <w:szCs w:val="20"/>
          <w:color w:val="auto"/>
        </w:rPr>
      </w:pPr>
    </w:p>
    <w:p>
      <w:pPr>
        <w:ind w:left="468"/>
        <w:spacing w:after="0"/>
        <w:rPr>
          <w:sz w:val="20"/>
          <w:szCs w:val="20"/>
          <w:color w:val="auto"/>
        </w:rPr>
      </w:pPr>
      <w:r>
        <w:rPr>
          <w:rFonts w:ascii="Arial" w:cs="Arial" w:eastAsia="Arial" w:hAnsi="Arial"/>
          <w:sz w:val="12"/>
          <w:szCs w:val="12"/>
          <w:color w:val="auto"/>
        </w:rPr>
        <w:t>The amortized cost and estimated fair value of these investment securities at September 30, 2013, by contractual maturity, are as follows (amounts in thousands):</w:t>
      </w:r>
    </w:p>
    <w:p>
      <w:pPr>
        <w:spacing w:after="0" w:line="134" w:lineRule="exact"/>
        <w:rPr>
          <w:sz w:val="20"/>
          <w:szCs w:val="20"/>
          <w:color w:val="auto"/>
        </w:rPr>
      </w:pPr>
    </w:p>
    <w:tbl>
      <w:tblPr>
        <w:tblLayout w:type="fixed"/>
        <w:tblInd w:w="1388" w:type="dxa"/>
        <w:tblCellMar>
          <w:top w:w="0" w:type="dxa"/>
          <w:left w:w="0" w:type="dxa"/>
          <w:bottom w:w="0" w:type="dxa"/>
          <w:right w:w="0" w:type="dxa"/>
        </w:tblCellMar>
      </w:tblPr>
      <w:tr>
        <w:trPr>
          <w:trHeight w:val="103"/>
        </w:trPr>
        <w:tc>
          <w:tcPr>
            <w:tcW w:w="66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jc w:val="right"/>
              <w:ind w:right="87"/>
              <w:spacing w:after="0"/>
              <w:rPr>
                <w:sz w:val="20"/>
                <w:szCs w:val="20"/>
                <w:color w:val="auto"/>
              </w:rPr>
            </w:pPr>
            <w:r>
              <w:rPr>
                <w:rFonts w:ascii="Arial" w:cs="Arial" w:eastAsia="Arial" w:hAnsi="Arial"/>
                <w:sz w:val="9"/>
                <w:szCs w:val="9"/>
                <w:b w:val="1"/>
                <w:bCs w:val="1"/>
                <w:color w:val="auto"/>
                <w:w w:val="95"/>
              </w:rPr>
              <w:t>Amortized</w:t>
            </w:r>
          </w:p>
        </w:tc>
        <w:tc>
          <w:tcPr>
            <w:tcW w:w="6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120" w:type="dxa"/>
            <w:vAlign w:val="bottom"/>
          </w:tcPr>
          <w:p>
            <w:pPr>
              <w:spacing w:after="0"/>
              <w:rPr>
                <w:sz w:val="8"/>
                <w:szCs w:val="8"/>
                <w:color w:val="auto"/>
              </w:rPr>
            </w:pPr>
          </w:p>
        </w:tc>
      </w:tr>
      <w:tr>
        <w:trPr>
          <w:trHeight w:val="108"/>
        </w:trPr>
        <w:tc>
          <w:tcPr>
            <w:tcW w:w="662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jc w:val="right"/>
              <w:ind w:right="207"/>
              <w:spacing w:after="0"/>
              <w:rPr>
                <w:sz w:val="20"/>
                <w:szCs w:val="20"/>
                <w:color w:val="auto"/>
              </w:rPr>
            </w:pPr>
            <w:r>
              <w:rPr>
                <w:rFonts w:ascii="Arial" w:cs="Arial" w:eastAsia="Arial" w:hAnsi="Arial"/>
                <w:sz w:val="9"/>
                <w:szCs w:val="9"/>
                <w:b w:val="1"/>
                <w:bCs w:val="1"/>
                <w:color w:val="auto"/>
              </w:rPr>
              <w:t>cost</w:t>
            </w:r>
          </w:p>
        </w:tc>
        <w:tc>
          <w:tcPr>
            <w:tcW w:w="620" w:type="dxa"/>
            <w:vAlign w:val="bottom"/>
          </w:tcPr>
          <w:p>
            <w:pPr>
              <w:spacing w:after="0"/>
              <w:rPr>
                <w:sz w:val="9"/>
                <w:szCs w:val="9"/>
                <w:color w:val="auto"/>
              </w:rPr>
            </w:pPr>
          </w:p>
        </w:tc>
        <w:tc>
          <w:tcPr>
            <w:tcW w:w="100" w:type="dxa"/>
            <w:vAlign w:val="bottom"/>
          </w:tcPr>
          <w:p>
            <w:pPr>
              <w:spacing w:after="0"/>
              <w:rPr>
                <w:sz w:val="9"/>
                <w:szCs w:val="9"/>
                <w:color w:val="auto"/>
              </w:rPr>
            </w:pPr>
          </w:p>
        </w:tc>
        <w:tc>
          <w:tcPr>
            <w:tcW w:w="700" w:type="dxa"/>
            <w:vAlign w:val="bottom"/>
            <w:gridSpan w:val="2"/>
          </w:tcPr>
          <w:p>
            <w:pPr>
              <w:jc w:val="right"/>
              <w:ind w:right="260"/>
              <w:spacing w:after="0"/>
              <w:rPr>
                <w:sz w:val="20"/>
                <w:szCs w:val="20"/>
                <w:color w:val="auto"/>
              </w:rPr>
            </w:pPr>
            <w:r>
              <w:rPr>
                <w:rFonts w:ascii="Arial" w:cs="Arial" w:eastAsia="Arial" w:hAnsi="Arial"/>
                <w:sz w:val="9"/>
                <w:szCs w:val="9"/>
                <w:b w:val="1"/>
                <w:bCs w:val="1"/>
                <w:color w:val="auto"/>
                <w:w w:val="99"/>
              </w:rPr>
              <w:t>Fair value</w:t>
            </w:r>
          </w:p>
        </w:tc>
      </w:tr>
      <w:tr>
        <w:trPr>
          <w:trHeight w:val="124"/>
        </w:trPr>
        <w:tc>
          <w:tcPr>
            <w:tcW w:w="6620" w:type="dxa"/>
            <w:vAlign w:val="bottom"/>
            <w:tcBorders>
              <w:top w:val="single" w:sz="8" w:color="CCEEFF"/>
            </w:tcBorders>
            <w:shd w:val="clear" w:color="auto" w:fill="CCEEFF"/>
          </w:tcPr>
          <w:p>
            <w:pPr>
              <w:spacing w:after="0" w:line="124" w:lineRule="exact"/>
              <w:rPr>
                <w:sz w:val="20"/>
                <w:szCs w:val="20"/>
                <w:color w:val="auto"/>
              </w:rPr>
            </w:pPr>
            <w:r>
              <w:rPr>
                <w:rFonts w:ascii="Arial" w:cs="Arial" w:eastAsia="Arial" w:hAnsi="Arial"/>
                <w:sz w:val="12"/>
                <w:szCs w:val="12"/>
                <w:b w:val="1"/>
                <w:bCs w:val="1"/>
                <w:color w:val="auto"/>
              </w:rPr>
              <w:t>Available-for-sale securities:</w:t>
            </w:r>
          </w:p>
        </w:tc>
        <w:tc>
          <w:tcPr>
            <w:tcW w:w="100" w:type="dxa"/>
            <w:vAlign w:val="bottom"/>
            <w:tcBorders>
              <w:top w:val="single" w:sz="8" w:color="auto"/>
            </w:tcBorders>
            <w:shd w:val="clear" w:color="auto" w:fill="CCEEFF"/>
          </w:tcPr>
          <w:p>
            <w:pPr>
              <w:spacing w:after="0"/>
              <w:rPr>
                <w:sz w:val="10"/>
                <w:szCs w:val="10"/>
                <w:color w:val="auto"/>
              </w:rPr>
            </w:pPr>
          </w:p>
        </w:tc>
        <w:tc>
          <w:tcPr>
            <w:tcW w:w="580" w:type="dxa"/>
            <w:vAlign w:val="bottom"/>
            <w:tcBorders>
              <w:top w:val="single" w:sz="8" w:color="auto"/>
            </w:tcBorders>
            <w:shd w:val="clear" w:color="auto" w:fill="CCEEFF"/>
          </w:tcPr>
          <w:p>
            <w:pPr>
              <w:spacing w:after="0"/>
              <w:rPr>
                <w:sz w:val="10"/>
                <w:szCs w:val="10"/>
                <w:color w:val="auto"/>
              </w:rPr>
            </w:pPr>
          </w:p>
        </w:tc>
        <w:tc>
          <w:tcPr>
            <w:tcW w:w="620" w:type="dxa"/>
            <w:vAlign w:val="bottom"/>
            <w:tcBorders>
              <w:top w:val="single" w:sz="8" w:color="CCEEFF"/>
            </w:tcBorders>
            <w:shd w:val="clear" w:color="auto" w:fill="CCEEFF"/>
          </w:tcPr>
          <w:p>
            <w:pPr>
              <w:spacing w:after="0"/>
              <w:rPr>
                <w:sz w:val="10"/>
                <w:szCs w:val="10"/>
                <w:color w:val="auto"/>
              </w:rPr>
            </w:pPr>
          </w:p>
        </w:tc>
        <w:tc>
          <w:tcPr>
            <w:tcW w:w="100" w:type="dxa"/>
            <w:vAlign w:val="bottom"/>
            <w:tcBorders>
              <w:top w:val="single" w:sz="8" w:color="auto"/>
            </w:tcBorders>
            <w:shd w:val="clear" w:color="auto" w:fill="CCEEFF"/>
          </w:tcPr>
          <w:p>
            <w:pPr>
              <w:spacing w:after="0"/>
              <w:rPr>
                <w:sz w:val="10"/>
                <w:szCs w:val="10"/>
                <w:color w:val="auto"/>
              </w:rPr>
            </w:pPr>
          </w:p>
        </w:tc>
        <w:tc>
          <w:tcPr>
            <w:tcW w:w="580" w:type="dxa"/>
            <w:vAlign w:val="bottom"/>
            <w:tcBorders>
              <w:top w:val="single" w:sz="8" w:color="auto"/>
            </w:tcBorders>
            <w:shd w:val="clear" w:color="auto" w:fill="CCEEFF"/>
          </w:tcPr>
          <w:p>
            <w:pPr>
              <w:spacing w:after="0"/>
              <w:rPr>
                <w:sz w:val="10"/>
                <w:szCs w:val="10"/>
                <w:color w:val="auto"/>
              </w:rPr>
            </w:pPr>
          </w:p>
        </w:tc>
        <w:tc>
          <w:tcPr>
            <w:tcW w:w="120" w:type="dxa"/>
            <w:vAlign w:val="bottom"/>
            <w:tcBorders>
              <w:top w:val="single" w:sz="8" w:color="CCEEFF"/>
            </w:tcBorders>
            <w:shd w:val="clear" w:color="auto" w:fill="CCEEFF"/>
          </w:tcPr>
          <w:p>
            <w:pPr>
              <w:spacing w:after="0"/>
              <w:rPr>
                <w:sz w:val="10"/>
                <w:szCs w:val="10"/>
                <w:color w:val="auto"/>
              </w:rPr>
            </w:pPr>
          </w:p>
        </w:tc>
      </w:tr>
      <w:tr>
        <w:trPr>
          <w:trHeight w:val="144"/>
        </w:trPr>
        <w:tc>
          <w:tcPr>
            <w:tcW w:w="6620" w:type="dxa"/>
            <w:vAlign w:val="bottom"/>
          </w:tcPr>
          <w:p>
            <w:pPr>
              <w:ind w:left="280"/>
              <w:spacing w:after="0"/>
              <w:rPr>
                <w:sz w:val="20"/>
                <w:szCs w:val="20"/>
                <w:color w:val="auto"/>
              </w:rPr>
            </w:pPr>
            <w:r>
              <w:rPr>
                <w:rFonts w:ascii="Arial" w:cs="Arial" w:eastAsia="Arial" w:hAnsi="Arial"/>
                <w:sz w:val="12"/>
                <w:szCs w:val="12"/>
                <w:color w:val="auto"/>
              </w:rPr>
              <w:t>Due in one year or less</w:t>
            </w:r>
          </w:p>
        </w:tc>
        <w:tc>
          <w:tcPr>
            <w:tcW w:w="100" w:type="dxa"/>
            <w:vAlign w:val="bottom"/>
          </w:tcPr>
          <w:p>
            <w:pPr>
              <w:jc w:val="right"/>
              <w:spacing w:after="0"/>
              <w:rPr>
                <w:sz w:val="20"/>
                <w:szCs w:val="20"/>
                <w:color w:val="auto"/>
              </w:rPr>
            </w:pPr>
            <w:r>
              <w:rPr>
                <w:rFonts w:ascii="Arial" w:cs="Arial" w:eastAsia="Arial" w:hAnsi="Arial"/>
                <w:sz w:val="9"/>
                <w:szCs w:val="9"/>
                <w:color w:val="auto"/>
                <w:w w:val="78"/>
              </w:rPr>
              <w:t>$</w:t>
            </w:r>
          </w:p>
        </w:tc>
        <w:tc>
          <w:tcPr>
            <w:tcW w:w="580" w:type="dxa"/>
            <w:vAlign w:val="bottom"/>
          </w:tcPr>
          <w:p>
            <w:pPr>
              <w:jc w:val="right"/>
              <w:spacing w:after="0"/>
              <w:rPr>
                <w:sz w:val="20"/>
                <w:szCs w:val="20"/>
                <w:color w:val="auto"/>
              </w:rPr>
            </w:pPr>
            <w:r>
              <w:rPr>
                <w:rFonts w:ascii="Arial" w:cs="Arial" w:eastAsia="Arial" w:hAnsi="Arial"/>
                <w:sz w:val="12"/>
                <w:szCs w:val="12"/>
                <w:color w:val="auto"/>
              </w:rPr>
              <w:t>151,648</w:t>
            </w:r>
          </w:p>
        </w:tc>
        <w:tc>
          <w:tcPr>
            <w:tcW w:w="720" w:type="dxa"/>
            <w:vAlign w:val="bottom"/>
            <w:gridSpan w:val="2"/>
          </w:tcPr>
          <w:p>
            <w:pPr>
              <w:jc w:val="right"/>
              <w:ind w:right="40"/>
              <w:spacing w:after="0"/>
              <w:rPr>
                <w:sz w:val="20"/>
                <w:szCs w:val="20"/>
                <w:color w:val="auto"/>
              </w:rPr>
            </w:pPr>
            <w:r>
              <w:rPr>
                <w:rFonts w:ascii="Arial" w:cs="Arial" w:eastAsia="Arial" w:hAnsi="Arial"/>
                <w:sz w:val="12"/>
                <w:szCs w:val="12"/>
                <w:color w:val="auto"/>
              </w:rPr>
              <w:t>$</w:t>
            </w:r>
          </w:p>
        </w:tc>
        <w:tc>
          <w:tcPr>
            <w:tcW w:w="700" w:type="dxa"/>
            <w:vAlign w:val="bottom"/>
            <w:gridSpan w:val="2"/>
          </w:tcPr>
          <w:p>
            <w:pPr>
              <w:jc w:val="right"/>
              <w:ind w:right="120"/>
              <w:spacing w:after="0"/>
              <w:rPr>
                <w:sz w:val="20"/>
                <w:szCs w:val="20"/>
                <w:color w:val="auto"/>
              </w:rPr>
            </w:pPr>
            <w:r>
              <w:rPr>
                <w:rFonts w:ascii="Arial" w:cs="Arial" w:eastAsia="Arial" w:hAnsi="Arial"/>
                <w:sz w:val="12"/>
                <w:szCs w:val="12"/>
                <w:color w:val="auto"/>
              </w:rPr>
              <w:t>151,618</w:t>
            </w:r>
          </w:p>
        </w:tc>
      </w:tr>
      <w:tr>
        <w:trPr>
          <w:trHeight w:val="144"/>
        </w:trPr>
        <w:tc>
          <w:tcPr>
            <w:tcW w:w="6620" w:type="dxa"/>
            <w:vAlign w:val="bottom"/>
            <w:shd w:val="clear" w:color="auto" w:fill="CCEEFF"/>
          </w:tcPr>
          <w:p>
            <w:pPr>
              <w:ind w:left="280"/>
              <w:spacing w:after="0"/>
              <w:rPr>
                <w:sz w:val="20"/>
                <w:szCs w:val="20"/>
                <w:color w:val="auto"/>
              </w:rPr>
            </w:pPr>
            <w:r>
              <w:rPr>
                <w:rFonts w:ascii="Arial" w:cs="Arial" w:eastAsia="Arial" w:hAnsi="Arial"/>
                <w:sz w:val="12"/>
                <w:szCs w:val="12"/>
                <w:color w:val="auto"/>
              </w:rPr>
              <w:t>Due after one year through two years</w:t>
            </w: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104,133</w:t>
            </w:r>
          </w:p>
        </w:tc>
        <w:tc>
          <w:tcPr>
            <w:tcW w:w="6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104,103</w:t>
            </w:r>
          </w:p>
        </w:tc>
      </w:tr>
      <w:tr>
        <w:trPr>
          <w:trHeight w:val="20"/>
        </w:trPr>
        <w:tc>
          <w:tcPr>
            <w:tcW w:w="66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41"/>
        </w:trPr>
        <w:tc>
          <w:tcPr>
            <w:tcW w:w="6620" w:type="dxa"/>
            <w:vAlign w:val="bottom"/>
          </w:tcPr>
          <w:p>
            <w:pPr>
              <w:spacing w:after="0"/>
              <w:rPr>
                <w:sz w:val="12"/>
                <w:szCs w:val="12"/>
                <w:color w:val="auto"/>
              </w:rPr>
            </w:pPr>
          </w:p>
        </w:tc>
        <w:tc>
          <w:tcPr>
            <w:tcW w:w="100" w:type="dxa"/>
            <w:vAlign w:val="bottom"/>
          </w:tcPr>
          <w:p>
            <w:pPr>
              <w:jc w:val="right"/>
              <w:spacing w:after="0"/>
              <w:rPr>
                <w:sz w:val="20"/>
                <w:szCs w:val="20"/>
                <w:color w:val="auto"/>
              </w:rPr>
            </w:pPr>
            <w:r>
              <w:rPr>
                <w:rFonts w:ascii="Arial" w:cs="Arial" w:eastAsia="Arial" w:hAnsi="Arial"/>
                <w:sz w:val="9"/>
                <w:szCs w:val="9"/>
                <w:color w:val="auto"/>
                <w:w w:val="78"/>
              </w:rPr>
              <w:t>$</w:t>
            </w:r>
          </w:p>
        </w:tc>
        <w:tc>
          <w:tcPr>
            <w:tcW w:w="580" w:type="dxa"/>
            <w:vAlign w:val="bottom"/>
          </w:tcPr>
          <w:p>
            <w:pPr>
              <w:jc w:val="right"/>
              <w:spacing w:after="0"/>
              <w:rPr>
                <w:sz w:val="20"/>
                <w:szCs w:val="20"/>
                <w:color w:val="auto"/>
              </w:rPr>
            </w:pPr>
            <w:r>
              <w:rPr>
                <w:rFonts w:ascii="Arial" w:cs="Arial" w:eastAsia="Arial" w:hAnsi="Arial"/>
                <w:sz w:val="12"/>
                <w:szCs w:val="12"/>
                <w:color w:val="auto"/>
              </w:rPr>
              <w:t>255,781</w:t>
            </w:r>
          </w:p>
        </w:tc>
        <w:tc>
          <w:tcPr>
            <w:tcW w:w="720" w:type="dxa"/>
            <w:vAlign w:val="bottom"/>
            <w:gridSpan w:val="2"/>
          </w:tcPr>
          <w:p>
            <w:pPr>
              <w:jc w:val="right"/>
              <w:ind w:right="40"/>
              <w:spacing w:after="0"/>
              <w:rPr>
                <w:sz w:val="20"/>
                <w:szCs w:val="20"/>
                <w:color w:val="auto"/>
              </w:rPr>
            </w:pPr>
            <w:r>
              <w:rPr>
                <w:rFonts w:ascii="Arial" w:cs="Arial" w:eastAsia="Arial" w:hAnsi="Arial"/>
                <w:sz w:val="12"/>
                <w:szCs w:val="12"/>
                <w:color w:val="auto"/>
              </w:rPr>
              <w:t>$</w:t>
            </w:r>
          </w:p>
        </w:tc>
        <w:tc>
          <w:tcPr>
            <w:tcW w:w="700" w:type="dxa"/>
            <w:vAlign w:val="bottom"/>
            <w:gridSpan w:val="2"/>
          </w:tcPr>
          <w:p>
            <w:pPr>
              <w:jc w:val="right"/>
              <w:ind w:right="120"/>
              <w:spacing w:after="0"/>
              <w:rPr>
                <w:sz w:val="20"/>
                <w:szCs w:val="20"/>
                <w:color w:val="auto"/>
              </w:rPr>
            </w:pPr>
            <w:r>
              <w:rPr>
                <w:rFonts w:ascii="Arial" w:cs="Arial" w:eastAsia="Arial" w:hAnsi="Arial"/>
                <w:sz w:val="12"/>
                <w:szCs w:val="12"/>
                <w:color w:val="auto"/>
              </w:rPr>
              <w:t>255,721</w:t>
            </w:r>
          </w:p>
        </w:tc>
      </w:tr>
      <w:tr>
        <w:trPr>
          <w:trHeight w:val="28"/>
        </w:trPr>
        <w:tc>
          <w:tcPr>
            <w:tcW w:w="66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bl>
    <w:p>
      <w:pPr>
        <w:spacing w:after="0" w:line="190" w:lineRule="exact"/>
        <w:rPr>
          <w:sz w:val="20"/>
          <w:szCs w:val="20"/>
          <w:color w:val="auto"/>
        </w:rPr>
      </w:pPr>
    </w:p>
    <w:p>
      <w:pPr>
        <w:ind w:left="228" w:hanging="228"/>
        <w:spacing w:after="0"/>
        <w:tabs>
          <w:tab w:leader="none" w:pos="228" w:val="left"/>
        </w:tabs>
        <w:numPr>
          <w:ilvl w:val="0"/>
          <w:numId w:val="9"/>
        </w:numPr>
        <w:rPr>
          <w:rFonts w:ascii="Arial" w:cs="Arial" w:eastAsia="Arial" w:hAnsi="Arial"/>
          <w:sz w:val="12"/>
          <w:szCs w:val="12"/>
          <w:b w:val="1"/>
          <w:bCs w:val="1"/>
          <w:color w:val="auto"/>
        </w:rPr>
      </w:pPr>
      <w:r>
        <w:rPr>
          <w:rFonts w:ascii="Arial" w:cs="Arial" w:eastAsia="Arial" w:hAnsi="Arial"/>
          <w:sz w:val="12"/>
          <w:szCs w:val="12"/>
          <w:b w:val="1"/>
          <w:bCs w:val="1"/>
          <w:color w:val="auto"/>
        </w:rPr>
        <w:t>Receivables, net</w:t>
      </w:r>
    </w:p>
    <w:p>
      <w:pPr>
        <w:spacing w:after="0" w:line="62" w:lineRule="exact"/>
        <w:rPr>
          <w:sz w:val="20"/>
          <w:szCs w:val="20"/>
          <w:color w:val="auto"/>
        </w:rPr>
      </w:pPr>
    </w:p>
    <w:p>
      <w:pPr>
        <w:ind w:left="468"/>
        <w:spacing w:after="0"/>
        <w:rPr>
          <w:sz w:val="20"/>
          <w:szCs w:val="20"/>
          <w:color w:val="auto"/>
        </w:rPr>
      </w:pPr>
      <w:r>
        <w:rPr>
          <w:rFonts w:ascii="Arial" w:cs="Arial" w:eastAsia="Arial" w:hAnsi="Arial"/>
          <w:sz w:val="12"/>
          <w:szCs w:val="12"/>
          <w:color w:val="auto"/>
        </w:rPr>
        <w:t>Receivables, net consisted of the following (amounts in thousands):</w:t>
      </w:r>
    </w:p>
    <w:p>
      <w:pPr>
        <w:spacing w:after="0" w:line="134" w:lineRule="exact"/>
        <w:rPr>
          <w:sz w:val="20"/>
          <w:szCs w:val="20"/>
          <w:color w:val="auto"/>
        </w:rPr>
      </w:pPr>
    </w:p>
    <w:tbl>
      <w:tblPr>
        <w:tblLayout w:type="fixed"/>
        <w:tblInd w:w="8" w:type="dxa"/>
        <w:tblCellMar>
          <w:top w:w="0" w:type="dxa"/>
          <w:left w:w="0" w:type="dxa"/>
          <w:bottom w:w="0" w:type="dxa"/>
          <w:right w:w="0" w:type="dxa"/>
        </w:tblCellMar>
      </w:tblPr>
      <w:tr>
        <w:trPr>
          <w:trHeight w:val="103"/>
        </w:trPr>
        <w:tc>
          <w:tcPr>
            <w:tcW w:w="1380" w:type="dxa"/>
            <w:vAlign w:val="bottom"/>
          </w:tcPr>
          <w:p>
            <w:pPr>
              <w:spacing w:after="0"/>
              <w:rPr>
                <w:sz w:val="8"/>
                <w:szCs w:val="8"/>
                <w:color w:val="auto"/>
              </w:rPr>
            </w:pPr>
          </w:p>
        </w:tc>
        <w:tc>
          <w:tcPr>
            <w:tcW w:w="3540" w:type="dxa"/>
            <w:vAlign w:val="bottom"/>
          </w:tcPr>
          <w:p>
            <w:pPr>
              <w:spacing w:after="0"/>
              <w:rPr>
                <w:sz w:val="8"/>
                <w:szCs w:val="8"/>
                <w:color w:val="auto"/>
              </w:rPr>
            </w:pPr>
          </w:p>
        </w:tc>
        <w:tc>
          <w:tcPr>
            <w:tcW w:w="2800" w:type="dxa"/>
            <w:vAlign w:val="bottom"/>
          </w:tcPr>
          <w:p>
            <w:pPr>
              <w:spacing w:after="0"/>
              <w:rPr>
                <w:sz w:val="8"/>
                <w:szCs w:val="8"/>
                <w:color w:val="auto"/>
              </w:rPr>
            </w:pPr>
          </w:p>
        </w:tc>
        <w:tc>
          <w:tcPr>
            <w:tcW w:w="180" w:type="dxa"/>
            <w:vAlign w:val="bottom"/>
          </w:tcPr>
          <w:p>
            <w:pPr>
              <w:spacing w:after="0"/>
              <w:rPr>
                <w:sz w:val="8"/>
                <w:szCs w:val="8"/>
                <w:color w:val="auto"/>
              </w:rPr>
            </w:pPr>
          </w:p>
        </w:tc>
        <w:tc>
          <w:tcPr>
            <w:tcW w:w="1300" w:type="dxa"/>
            <w:vAlign w:val="bottom"/>
            <w:gridSpan w:val="3"/>
          </w:tcPr>
          <w:p>
            <w:pPr>
              <w:jc w:val="right"/>
              <w:ind w:right="720"/>
              <w:spacing w:after="0"/>
              <w:rPr>
                <w:sz w:val="20"/>
                <w:szCs w:val="20"/>
                <w:color w:val="auto"/>
              </w:rPr>
            </w:pPr>
            <w:r>
              <w:rPr>
                <w:rFonts w:ascii="Arial" w:cs="Arial" w:eastAsia="Arial" w:hAnsi="Arial"/>
                <w:sz w:val="9"/>
                <w:szCs w:val="9"/>
                <w:b w:val="1"/>
                <w:bCs w:val="1"/>
                <w:color w:val="auto"/>
                <w:w w:val="90"/>
              </w:rPr>
              <w:t>September 30,</w:t>
            </w:r>
          </w:p>
        </w:tc>
        <w:tc>
          <w:tcPr>
            <w:tcW w:w="200" w:type="dxa"/>
            <w:vAlign w:val="bottom"/>
          </w:tcPr>
          <w:p>
            <w:pPr>
              <w:spacing w:after="0"/>
              <w:rPr>
                <w:sz w:val="8"/>
                <w:szCs w:val="8"/>
                <w:color w:val="auto"/>
              </w:rPr>
            </w:pPr>
          </w:p>
        </w:tc>
        <w:tc>
          <w:tcPr>
            <w:tcW w:w="700" w:type="dxa"/>
            <w:vAlign w:val="bottom"/>
            <w:gridSpan w:val="3"/>
          </w:tcPr>
          <w:p>
            <w:pPr>
              <w:jc w:val="right"/>
              <w:ind w:right="140"/>
              <w:spacing w:after="0"/>
              <w:rPr>
                <w:sz w:val="20"/>
                <w:szCs w:val="20"/>
                <w:color w:val="auto"/>
              </w:rPr>
            </w:pPr>
            <w:r>
              <w:rPr>
                <w:rFonts w:ascii="Arial" w:cs="Arial" w:eastAsia="Arial" w:hAnsi="Arial"/>
                <w:sz w:val="9"/>
                <w:szCs w:val="9"/>
                <w:b w:val="1"/>
                <w:bCs w:val="1"/>
                <w:color w:val="auto"/>
                <w:w w:val="92"/>
              </w:rPr>
              <w:t>December 31,</w:t>
            </w:r>
          </w:p>
        </w:tc>
      </w:tr>
      <w:tr>
        <w:trPr>
          <w:trHeight w:val="108"/>
        </w:trPr>
        <w:tc>
          <w:tcPr>
            <w:tcW w:w="1380" w:type="dxa"/>
            <w:vAlign w:val="bottom"/>
          </w:tcPr>
          <w:p>
            <w:pPr>
              <w:spacing w:after="0"/>
              <w:rPr>
                <w:sz w:val="9"/>
                <w:szCs w:val="9"/>
                <w:color w:val="auto"/>
              </w:rPr>
            </w:pPr>
          </w:p>
        </w:tc>
        <w:tc>
          <w:tcPr>
            <w:tcW w:w="3540" w:type="dxa"/>
            <w:vAlign w:val="bottom"/>
            <w:tcBorders>
              <w:bottom w:val="single" w:sz="8" w:color="CCEEFF"/>
            </w:tcBorders>
          </w:tcPr>
          <w:p>
            <w:pPr>
              <w:spacing w:after="0"/>
              <w:rPr>
                <w:sz w:val="9"/>
                <w:szCs w:val="9"/>
                <w:color w:val="auto"/>
              </w:rPr>
            </w:pPr>
          </w:p>
        </w:tc>
        <w:tc>
          <w:tcPr>
            <w:tcW w:w="2800" w:type="dxa"/>
            <w:vAlign w:val="bottom"/>
            <w:tcBorders>
              <w:bottom w:val="single" w:sz="8" w:color="CCEEFF"/>
            </w:tcBorders>
          </w:tcPr>
          <w:p>
            <w:pPr>
              <w:spacing w:after="0"/>
              <w:rPr>
                <w:sz w:val="9"/>
                <w:szCs w:val="9"/>
                <w:color w:val="auto"/>
              </w:rPr>
            </w:pPr>
          </w:p>
        </w:tc>
        <w:tc>
          <w:tcPr>
            <w:tcW w:w="180" w:type="dxa"/>
            <w:vAlign w:val="bottom"/>
            <w:tcBorders>
              <w:bottom w:val="single" w:sz="8" w:color="CCEEFF"/>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520" w:type="dxa"/>
            <w:vAlign w:val="bottom"/>
            <w:tcBorders>
              <w:bottom w:val="single" w:sz="8" w:color="auto"/>
            </w:tcBorders>
          </w:tcPr>
          <w:p>
            <w:pPr>
              <w:jc w:val="right"/>
              <w:ind w:right="143"/>
              <w:spacing w:after="0"/>
              <w:rPr>
                <w:sz w:val="20"/>
                <w:szCs w:val="20"/>
                <w:color w:val="auto"/>
              </w:rPr>
            </w:pPr>
            <w:r>
              <w:rPr>
                <w:rFonts w:ascii="Arial" w:cs="Arial" w:eastAsia="Arial" w:hAnsi="Arial"/>
                <w:sz w:val="9"/>
                <w:szCs w:val="9"/>
                <w:b w:val="1"/>
                <w:bCs w:val="1"/>
                <w:color w:val="auto"/>
              </w:rPr>
              <w:t>2013</w:t>
            </w:r>
          </w:p>
        </w:tc>
        <w:tc>
          <w:tcPr>
            <w:tcW w:w="700" w:type="dxa"/>
            <w:vAlign w:val="bottom"/>
            <w:tcBorders>
              <w:bottom w:val="single" w:sz="8" w:color="CCEEFF"/>
            </w:tcBorders>
          </w:tcPr>
          <w:p>
            <w:pPr>
              <w:spacing w:after="0"/>
              <w:rPr>
                <w:sz w:val="9"/>
                <w:szCs w:val="9"/>
                <w:color w:val="auto"/>
              </w:rPr>
            </w:pPr>
          </w:p>
        </w:tc>
        <w:tc>
          <w:tcPr>
            <w:tcW w:w="200" w:type="dxa"/>
            <w:vAlign w:val="bottom"/>
            <w:tcBorders>
              <w:bottom w:val="single" w:sz="8" w:color="CCEEFF"/>
            </w:tcBorders>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520" w:type="dxa"/>
            <w:vAlign w:val="bottom"/>
            <w:tcBorders>
              <w:bottom w:val="single" w:sz="8" w:color="auto"/>
            </w:tcBorders>
          </w:tcPr>
          <w:p>
            <w:pPr>
              <w:ind w:left="160"/>
              <w:spacing w:after="0"/>
              <w:rPr>
                <w:sz w:val="20"/>
                <w:szCs w:val="20"/>
                <w:color w:val="auto"/>
              </w:rPr>
            </w:pPr>
            <w:r>
              <w:rPr>
                <w:rFonts w:ascii="Arial" w:cs="Arial" w:eastAsia="Arial" w:hAnsi="Arial"/>
                <w:sz w:val="9"/>
                <w:szCs w:val="9"/>
                <w:b w:val="1"/>
                <w:bCs w:val="1"/>
                <w:color w:val="auto"/>
              </w:rPr>
              <w:t>2012</w:t>
            </w:r>
          </w:p>
        </w:tc>
        <w:tc>
          <w:tcPr>
            <w:tcW w:w="120" w:type="dxa"/>
            <w:vAlign w:val="bottom"/>
            <w:tcBorders>
              <w:bottom w:val="single" w:sz="8" w:color="CCEEFF"/>
            </w:tcBorders>
          </w:tcPr>
          <w:p>
            <w:pPr>
              <w:spacing w:after="0"/>
              <w:rPr>
                <w:sz w:val="9"/>
                <w:szCs w:val="9"/>
                <w:color w:val="auto"/>
              </w:rPr>
            </w:pPr>
          </w:p>
        </w:tc>
      </w:tr>
      <w:tr>
        <w:trPr>
          <w:trHeight w:val="133"/>
        </w:trPr>
        <w:tc>
          <w:tcPr>
            <w:tcW w:w="1380" w:type="dxa"/>
            <w:vAlign w:val="bottom"/>
          </w:tcPr>
          <w:p>
            <w:pPr>
              <w:spacing w:after="0"/>
              <w:rPr>
                <w:sz w:val="11"/>
                <w:szCs w:val="11"/>
                <w:color w:val="auto"/>
              </w:rPr>
            </w:pPr>
          </w:p>
        </w:tc>
        <w:tc>
          <w:tcPr>
            <w:tcW w:w="3540" w:type="dxa"/>
            <w:vAlign w:val="bottom"/>
            <w:shd w:val="clear" w:color="auto" w:fill="CCEEFF"/>
          </w:tcPr>
          <w:p>
            <w:pPr>
              <w:spacing w:after="0" w:line="129" w:lineRule="exact"/>
              <w:rPr>
                <w:sz w:val="20"/>
                <w:szCs w:val="20"/>
                <w:color w:val="auto"/>
              </w:rPr>
            </w:pPr>
            <w:r>
              <w:rPr>
                <w:rFonts w:ascii="Arial" w:cs="Arial" w:eastAsia="Arial" w:hAnsi="Arial"/>
                <w:sz w:val="12"/>
                <w:szCs w:val="12"/>
                <w:color w:val="auto"/>
              </w:rPr>
              <w:t>Casino</w:t>
            </w:r>
          </w:p>
        </w:tc>
        <w:tc>
          <w:tcPr>
            <w:tcW w:w="28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520" w:type="dxa"/>
            <w:vAlign w:val="bottom"/>
            <w:shd w:val="clear" w:color="auto" w:fill="CCEEFF"/>
          </w:tcPr>
          <w:p>
            <w:pPr>
              <w:jc w:val="right"/>
              <w:spacing w:after="0" w:line="133" w:lineRule="exact"/>
              <w:rPr>
                <w:sz w:val="20"/>
                <w:szCs w:val="20"/>
                <w:color w:val="auto"/>
              </w:rPr>
            </w:pPr>
            <w:r>
              <w:rPr>
                <w:rFonts w:ascii="Arial" w:cs="Arial" w:eastAsia="Arial" w:hAnsi="Arial"/>
                <w:sz w:val="12"/>
                <w:szCs w:val="12"/>
                <w:color w:val="auto"/>
              </w:rPr>
              <w:t>246,857</w:t>
            </w:r>
          </w:p>
        </w:tc>
        <w:tc>
          <w:tcPr>
            <w:tcW w:w="700" w:type="dxa"/>
            <w:vAlign w:val="bottom"/>
            <w:tcBorders>
              <w:left w:val="single" w:sz="8" w:color="CCEEFF"/>
            </w:tcBorders>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520" w:type="dxa"/>
            <w:vAlign w:val="bottom"/>
            <w:shd w:val="clear" w:color="auto" w:fill="CCEEFF"/>
          </w:tcPr>
          <w:p>
            <w:pPr>
              <w:jc w:val="right"/>
              <w:spacing w:after="0" w:line="133" w:lineRule="exact"/>
              <w:rPr>
                <w:sz w:val="20"/>
                <w:szCs w:val="20"/>
                <w:color w:val="auto"/>
              </w:rPr>
            </w:pPr>
            <w:r>
              <w:rPr>
                <w:rFonts w:ascii="Arial" w:cs="Arial" w:eastAsia="Arial" w:hAnsi="Arial"/>
                <w:sz w:val="12"/>
                <w:szCs w:val="12"/>
                <w:color w:val="auto"/>
              </w:rPr>
              <w:t>275,302</w:t>
            </w:r>
          </w:p>
        </w:tc>
        <w:tc>
          <w:tcPr>
            <w:tcW w:w="120" w:type="dxa"/>
            <w:vAlign w:val="bottom"/>
            <w:tcBorders>
              <w:left w:val="single" w:sz="8" w:color="CCEEFF"/>
            </w:tcBorders>
            <w:shd w:val="clear" w:color="auto" w:fill="CCEEFF"/>
          </w:tcPr>
          <w:p>
            <w:pPr>
              <w:spacing w:after="0"/>
              <w:rPr>
                <w:sz w:val="11"/>
                <w:szCs w:val="11"/>
                <w:color w:val="auto"/>
              </w:rPr>
            </w:pPr>
          </w:p>
        </w:tc>
      </w:tr>
      <w:tr>
        <w:trPr>
          <w:trHeight w:val="144"/>
        </w:trPr>
        <w:tc>
          <w:tcPr>
            <w:tcW w:w="1380" w:type="dxa"/>
            <w:vAlign w:val="bottom"/>
          </w:tcPr>
          <w:p>
            <w:pPr>
              <w:spacing w:after="0"/>
              <w:rPr>
                <w:sz w:val="12"/>
                <w:szCs w:val="12"/>
                <w:color w:val="auto"/>
              </w:rPr>
            </w:pPr>
          </w:p>
        </w:tc>
        <w:tc>
          <w:tcPr>
            <w:tcW w:w="3540" w:type="dxa"/>
            <w:vAlign w:val="bottom"/>
          </w:tcPr>
          <w:p>
            <w:pPr>
              <w:spacing w:after="0"/>
              <w:rPr>
                <w:sz w:val="20"/>
                <w:szCs w:val="20"/>
                <w:color w:val="auto"/>
              </w:rPr>
            </w:pPr>
            <w:r>
              <w:rPr>
                <w:rFonts w:ascii="Arial" w:cs="Arial" w:eastAsia="Arial" w:hAnsi="Arial"/>
                <w:sz w:val="12"/>
                <w:szCs w:val="12"/>
                <w:color w:val="auto"/>
              </w:rPr>
              <w:t>Hotel</w:t>
            </w:r>
          </w:p>
        </w:tc>
        <w:tc>
          <w:tcPr>
            <w:tcW w:w="28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Arial" w:cs="Arial" w:eastAsia="Arial" w:hAnsi="Arial"/>
                <w:sz w:val="12"/>
                <w:szCs w:val="12"/>
                <w:color w:val="auto"/>
              </w:rPr>
              <w:t>12,134</w:t>
            </w:r>
          </w:p>
        </w:tc>
        <w:tc>
          <w:tcPr>
            <w:tcW w:w="7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Arial" w:cs="Arial" w:eastAsia="Arial" w:hAnsi="Arial"/>
                <w:sz w:val="12"/>
                <w:szCs w:val="12"/>
                <w:color w:val="auto"/>
              </w:rPr>
              <w:t>18,227</w:t>
            </w:r>
          </w:p>
        </w:tc>
        <w:tc>
          <w:tcPr>
            <w:tcW w:w="120" w:type="dxa"/>
            <w:vAlign w:val="bottom"/>
          </w:tcPr>
          <w:p>
            <w:pPr>
              <w:spacing w:after="0"/>
              <w:rPr>
                <w:sz w:val="12"/>
                <w:szCs w:val="12"/>
                <w:color w:val="auto"/>
              </w:rPr>
            </w:pPr>
          </w:p>
        </w:tc>
      </w:tr>
      <w:tr>
        <w:trPr>
          <w:trHeight w:val="144"/>
        </w:trPr>
        <w:tc>
          <w:tcPr>
            <w:tcW w:w="1380" w:type="dxa"/>
            <w:vAlign w:val="bottom"/>
          </w:tcPr>
          <w:p>
            <w:pPr>
              <w:spacing w:after="0"/>
              <w:rPr>
                <w:sz w:val="12"/>
                <w:szCs w:val="12"/>
                <w:color w:val="auto"/>
              </w:rPr>
            </w:pPr>
          </w:p>
        </w:tc>
        <w:tc>
          <w:tcPr>
            <w:tcW w:w="3540" w:type="dxa"/>
            <w:vAlign w:val="bottom"/>
            <w:shd w:val="clear" w:color="auto" w:fill="CCEEFF"/>
          </w:tcPr>
          <w:p>
            <w:pPr>
              <w:spacing w:after="0"/>
              <w:rPr>
                <w:sz w:val="20"/>
                <w:szCs w:val="20"/>
                <w:color w:val="auto"/>
              </w:rPr>
            </w:pPr>
            <w:r>
              <w:rPr>
                <w:rFonts w:ascii="Arial" w:cs="Arial" w:eastAsia="Arial" w:hAnsi="Arial"/>
                <w:sz w:val="12"/>
                <w:szCs w:val="12"/>
                <w:color w:val="auto"/>
              </w:rPr>
              <w:t>Retail leases and other</w:t>
            </w:r>
          </w:p>
        </w:tc>
        <w:tc>
          <w:tcPr>
            <w:tcW w:w="28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47,256</w:t>
            </w:r>
          </w:p>
        </w:tc>
        <w:tc>
          <w:tcPr>
            <w:tcW w:w="700" w:type="dxa"/>
            <w:vAlign w:val="bottom"/>
            <w:tcBorders>
              <w:left w:val="single" w:sz="8" w:color="CCEEFF"/>
            </w:tcBorders>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0" w:type="dxa"/>
            <w:vAlign w:val="bottom"/>
            <w:tcBorders>
              <w:bottom w:val="single" w:sz="8" w:color="auto"/>
            </w:tcBorders>
            <w:shd w:val="clear" w:color="auto" w:fill="CCEEFF"/>
          </w:tcPr>
          <w:p>
            <w:pPr>
              <w:spacing w:after="0"/>
              <w:rPr>
                <w:sz w:val="12"/>
                <w:szCs w:val="12"/>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47,257</w:t>
            </w:r>
          </w:p>
        </w:tc>
        <w:tc>
          <w:tcPr>
            <w:tcW w:w="120" w:type="dxa"/>
            <w:vAlign w:val="bottom"/>
            <w:tcBorders>
              <w:left w:val="single" w:sz="8" w:color="CCEEFF"/>
            </w:tcBorders>
            <w:shd w:val="clear" w:color="auto" w:fill="CCEEFF"/>
          </w:tcPr>
          <w:p>
            <w:pPr>
              <w:spacing w:after="0"/>
              <w:rPr>
                <w:sz w:val="12"/>
                <w:szCs w:val="12"/>
                <w:color w:val="auto"/>
              </w:rPr>
            </w:pPr>
          </w:p>
        </w:tc>
      </w:tr>
      <w:tr>
        <w:trPr>
          <w:trHeight w:val="141"/>
        </w:trPr>
        <w:tc>
          <w:tcPr>
            <w:tcW w:w="1380" w:type="dxa"/>
            <w:vAlign w:val="bottom"/>
          </w:tcPr>
          <w:p>
            <w:pPr>
              <w:spacing w:after="0"/>
              <w:rPr>
                <w:sz w:val="12"/>
                <w:szCs w:val="12"/>
                <w:color w:val="auto"/>
              </w:rPr>
            </w:pPr>
          </w:p>
        </w:tc>
        <w:tc>
          <w:tcPr>
            <w:tcW w:w="3540" w:type="dxa"/>
            <w:vAlign w:val="bottom"/>
          </w:tcPr>
          <w:p>
            <w:pPr>
              <w:spacing w:after="0"/>
              <w:rPr>
                <w:sz w:val="12"/>
                <w:szCs w:val="12"/>
                <w:color w:val="auto"/>
              </w:rPr>
            </w:pPr>
          </w:p>
        </w:tc>
        <w:tc>
          <w:tcPr>
            <w:tcW w:w="28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Arial" w:cs="Arial" w:eastAsia="Arial" w:hAnsi="Arial"/>
                <w:sz w:val="12"/>
                <w:szCs w:val="12"/>
                <w:color w:val="auto"/>
              </w:rPr>
              <w:t>306,247</w:t>
            </w:r>
          </w:p>
        </w:tc>
        <w:tc>
          <w:tcPr>
            <w:tcW w:w="7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Arial" w:cs="Arial" w:eastAsia="Arial" w:hAnsi="Arial"/>
                <w:sz w:val="12"/>
                <w:szCs w:val="12"/>
                <w:color w:val="auto"/>
              </w:rPr>
              <w:t>340,786</w:t>
            </w:r>
          </w:p>
        </w:tc>
        <w:tc>
          <w:tcPr>
            <w:tcW w:w="120" w:type="dxa"/>
            <w:vAlign w:val="bottom"/>
          </w:tcPr>
          <w:p>
            <w:pPr>
              <w:spacing w:after="0"/>
              <w:rPr>
                <w:sz w:val="12"/>
                <w:szCs w:val="12"/>
                <w:color w:val="auto"/>
              </w:rPr>
            </w:pPr>
          </w:p>
        </w:tc>
      </w:tr>
      <w:tr>
        <w:trPr>
          <w:trHeight w:val="145"/>
        </w:trPr>
        <w:tc>
          <w:tcPr>
            <w:tcW w:w="1380" w:type="dxa"/>
            <w:vAlign w:val="bottom"/>
          </w:tcPr>
          <w:p>
            <w:pPr>
              <w:spacing w:after="0"/>
              <w:rPr>
                <w:sz w:val="12"/>
                <w:szCs w:val="12"/>
                <w:color w:val="auto"/>
              </w:rPr>
            </w:pPr>
          </w:p>
        </w:tc>
        <w:tc>
          <w:tcPr>
            <w:tcW w:w="3540" w:type="dxa"/>
            <w:vAlign w:val="bottom"/>
            <w:shd w:val="clear" w:color="auto" w:fill="CCEEFF"/>
          </w:tcPr>
          <w:p>
            <w:pPr>
              <w:spacing w:after="0"/>
              <w:rPr>
                <w:sz w:val="20"/>
                <w:szCs w:val="20"/>
                <w:color w:val="auto"/>
              </w:rPr>
            </w:pPr>
            <w:r>
              <w:rPr>
                <w:rFonts w:ascii="Arial" w:cs="Arial" w:eastAsia="Arial" w:hAnsi="Arial"/>
                <w:sz w:val="12"/>
                <w:szCs w:val="12"/>
                <w:color w:val="auto"/>
              </w:rPr>
              <w:t>Less: allowance for doubtful accounts</w:t>
            </w:r>
          </w:p>
        </w:tc>
        <w:tc>
          <w:tcPr>
            <w:tcW w:w="28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20" w:type="dxa"/>
            <w:vAlign w:val="bottom"/>
            <w:gridSpan w:val="2"/>
            <w:shd w:val="clear" w:color="auto" w:fill="CCEEFF"/>
          </w:tcPr>
          <w:p>
            <w:pPr>
              <w:jc w:val="right"/>
              <w:ind w:right="640"/>
              <w:spacing w:after="0"/>
              <w:rPr>
                <w:sz w:val="20"/>
                <w:szCs w:val="20"/>
                <w:color w:val="auto"/>
              </w:rPr>
            </w:pPr>
            <w:r>
              <w:rPr>
                <w:rFonts w:ascii="Arial" w:cs="Arial" w:eastAsia="Arial" w:hAnsi="Arial"/>
                <w:sz w:val="12"/>
                <w:szCs w:val="12"/>
                <w:color w:val="auto"/>
              </w:rPr>
              <w:t>(90,000)</w:t>
            </w:r>
          </w:p>
        </w:tc>
        <w:tc>
          <w:tcPr>
            <w:tcW w:w="2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color w:val="auto"/>
              </w:rPr>
              <w:t>(102,213)</w:t>
            </w:r>
          </w:p>
        </w:tc>
      </w:tr>
      <w:tr>
        <w:trPr>
          <w:trHeight w:val="20"/>
        </w:trPr>
        <w:tc>
          <w:tcPr>
            <w:tcW w:w="1380" w:type="dxa"/>
            <w:vAlign w:val="bottom"/>
          </w:tcPr>
          <w:p>
            <w:pPr>
              <w:spacing w:after="0" w:line="20" w:lineRule="exact"/>
              <w:rPr>
                <w:sz w:val="1"/>
                <w:szCs w:val="1"/>
                <w:color w:val="auto"/>
              </w:rPr>
            </w:pPr>
          </w:p>
        </w:tc>
        <w:tc>
          <w:tcPr>
            <w:tcW w:w="3540" w:type="dxa"/>
            <w:vAlign w:val="bottom"/>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700" w:type="dxa"/>
            <w:vAlign w:val="bottom"/>
            <w:tcBorders>
              <w:left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20" w:type="dxa"/>
            <w:vAlign w:val="bottom"/>
            <w:tcBorders>
              <w:left w:val="single" w:sz="8" w:color="auto"/>
            </w:tcBorders>
          </w:tcPr>
          <w:p>
            <w:pPr>
              <w:spacing w:after="0" w:line="20" w:lineRule="exact"/>
              <w:rPr>
                <w:sz w:val="1"/>
                <w:szCs w:val="1"/>
                <w:color w:val="auto"/>
              </w:rPr>
            </w:pPr>
          </w:p>
        </w:tc>
      </w:tr>
      <w:tr>
        <w:trPr>
          <w:trHeight w:val="149"/>
        </w:trPr>
        <w:tc>
          <w:tcPr>
            <w:tcW w:w="1380" w:type="dxa"/>
            <w:vAlign w:val="bottom"/>
          </w:tcPr>
          <w:p>
            <w:pPr>
              <w:spacing w:after="0"/>
              <w:rPr>
                <w:sz w:val="12"/>
                <w:szCs w:val="12"/>
                <w:color w:val="auto"/>
              </w:rPr>
            </w:pPr>
          </w:p>
        </w:tc>
        <w:tc>
          <w:tcPr>
            <w:tcW w:w="3540" w:type="dxa"/>
            <w:vAlign w:val="bottom"/>
          </w:tcPr>
          <w:p>
            <w:pPr>
              <w:spacing w:after="0"/>
              <w:rPr>
                <w:sz w:val="12"/>
                <w:szCs w:val="12"/>
                <w:color w:val="auto"/>
              </w:rPr>
            </w:pPr>
          </w:p>
        </w:tc>
        <w:tc>
          <w:tcPr>
            <w:tcW w:w="2980" w:type="dxa"/>
            <w:vAlign w:val="bottom"/>
            <w:gridSpan w:val="2"/>
          </w:tcPr>
          <w:p>
            <w:pPr>
              <w:spacing w:after="0"/>
              <w:rPr>
                <w:sz w:val="12"/>
                <w:szCs w:val="12"/>
                <w:color w:val="auto"/>
              </w:rPr>
            </w:pPr>
          </w:p>
        </w:tc>
        <w:tc>
          <w:tcPr>
            <w:tcW w:w="80" w:type="dxa"/>
            <w:vAlign w:val="bottom"/>
          </w:tcPr>
          <w:p>
            <w:pPr>
              <w:jc w:val="right"/>
              <w:spacing w:after="0"/>
              <w:rPr>
                <w:sz w:val="20"/>
                <w:szCs w:val="20"/>
                <w:color w:val="auto"/>
              </w:rPr>
            </w:pPr>
            <w:r>
              <w:rPr>
                <w:rFonts w:ascii="Arial" w:cs="Arial" w:eastAsia="Arial" w:hAnsi="Arial"/>
                <w:sz w:val="9"/>
                <w:szCs w:val="9"/>
                <w:color w:val="auto"/>
                <w:w w:val="78"/>
              </w:rPr>
              <w:t>$</w:t>
            </w:r>
          </w:p>
        </w:tc>
        <w:tc>
          <w:tcPr>
            <w:tcW w:w="520" w:type="dxa"/>
            <w:vAlign w:val="bottom"/>
          </w:tcPr>
          <w:p>
            <w:pPr>
              <w:jc w:val="right"/>
              <w:spacing w:after="0"/>
              <w:rPr>
                <w:sz w:val="20"/>
                <w:szCs w:val="20"/>
                <w:color w:val="auto"/>
              </w:rPr>
            </w:pPr>
            <w:r>
              <w:rPr>
                <w:rFonts w:ascii="Arial" w:cs="Arial" w:eastAsia="Arial" w:hAnsi="Arial"/>
                <w:sz w:val="12"/>
                <w:szCs w:val="12"/>
                <w:color w:val="auto"/>
              </w:rPr>
              <w:t>216,247</w:t>
            </w:r>
          </w:p>
        </w:tc>
        <w:tc>
          <w:tcPr>
            <w:tcW w:w="700" w:type="dxa"/>
            <w:vAlign w:val="bottom"/>
          </w:tcPr>
          <w:p>
            <w:pPr>
              <w:spacing w:after="0"/>
              <w:rPr>
                <w:sz w:val="12"/>
                <w:szCs w:val="12"/>
                <w:color w:val="auto"/>
              </w:rPr>
            </w:pPr>
          </w:p>
        </w:tc>
        <w:tc>
          <w:tcPr>
            <w:tcW w:w="260" w:type="dxa"/>
            <w:vAlign w:val="bottom"/>
            <w:gridSpan w:val="2"/>
          </w:tcPr>
          <w:p>
            <w:pPr>
              <w:jc w:val="right"/>
              <w:spacing w:after="0"/>
              <w:rPr>
                <w:sz w:val="20"/>
                <w:szCs w:val="20"/>
                <w:color w:val="auto"/>
              </w:rPr>
            </w:pPr>
            <w:r>
              <w:rPr>
                <w:rFonts w:ascii="Arial" w:cs="Arial" w:eastAsia="Arial" w:hAnsi="Arial"/>
                <w:sz w:val="12"/>
                <w:szCs w:val="12"/>
                <w:color w:val="auto"/>
              </w:rPr>
              <w:t>$</w:t>
            </w:r>
          </w:p>
        </w:tc>
        <w:tc>
          <w:tcPr>
            <w:tcW w:w="520" w:type="dxa"/>
            <w:vAlign w:val="bottom"/>
          </w:tcPr>
          <w:p>
            <w:pPr>
              <w:jc w:val="right"/>
              <w:spacing w:after="0"/>
              <w:rPr>
                <w:sz w:val="20"/>
                <w:szCs w:val="20"/>
                <w:color w:val="auto"/>
              </w:rPr>
            </w:pPr>
            <w:r>
              <w:rPr>
                <w:rFonts w:ascii="Arial" w:cs="Arial" w:eastAsia="Arial" w:hAnsi="Arial"/>
                <w:sz w:val="12"/>
                <w:szCs w:val="12"/>
                <w:color w:val="auto"/>
              </w:rPr>
              <w:t>238,573</w:t>
            </w:r>
          </w:p>
        </w:tc>
        <w:tc>
          <w:tcPr>
            <w:tcW w:w="120" w:type="dxa"/>
            <w:vAlign w:val="bottom"/>
          </w:tcPr>
          <w:p>
            <w:pPr>
              <w:spacing w:after="0"/>
              <w:rPr>
                <w:sz w:val="12"/>
                <w:szCs w:val="12"/>
                <w:color w:val="auto"/>
              </w:rPr>
            </w:pPr>
          </w:p>
        </w:tc>
      </w:tr>
      <w:tr>
        <w:trPr>
          <w:trHeight w:val="340"/>
        </w:trPr>
        <w:tc>
          <w:tcPr>
            <w:tcW w:w="4920" w:type="dxa"/>
            <w:vAlign w:val="bottom"/>
            <w:gridSpan w:val="2"/>
          </w:tcPr>
          <w:p>
            <w:pPr>
              <w:spacing w:after="0"/>
              <w:rPr>
                <w:sz w:val="20"/>
                <w:szCs w:val="20"/>
                <w:color w:val="auto"/>
              </w:rPr>
            </w:pPr>
            <w:r>
              <w:rPr>
                <w:rFonts w:ascii="Arial" w:cs="Arial" w:eastAsia="Arial" w:hAnsi="Arial"/>
                <w:sz w:val="12"/>
                <w:szCs w:val="12"/>
                <w:b w:val="1"/>
                <w:bCs w:val="1"/>
                <w:color w:val="auto"/>
              </w:rPr>
              <w:t>8.  Property and Equipment, net</w:t>
            </w:r>
          </w:p>
        </w:tc>
        <w:tc>
          <w:tcPr>
            <w:tcW w:w="28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520" w:type="dxa"/>
            <w:vAlign w:val="bottom"/>
            <w:tcBorders>
              <w:top w:val="single" w:sz="8" w:color="auto"/>
            </w:tcBorders>
          </w:tcPr>
          <w:p>
            <w:pPr>
              <w:spacing w:after="0"/>
              <w:rPr>
                <w:sz w:val="24"/>
                <w:szCs w:val="24"/>
                <w:color w:val="auto"/>
              </w:rPr>
            </w:pPr>
          </w:p>
        </w:tc>
        <w:tc>
          <w:tcPr>
            <w:tcW w:w="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52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r>
      <w:tr>
        <w:trPr>
          <w:trHeight w:val="198"/>
        </w:trPr>
        <w:tc>
          <w:tcPr>
            <w:tcW w:w="4920" w:type="dxa"/>
            <w:vAlign w:val="bottom"/>
            <w:gridSpan w:val="2"/>
          </w:tcPr>
          <w:p>
            <w:pPr>
              <w:ind w:left="460"/>
              <w:spacing w:after="0"/>
              <w:rPr>
                <w:sz w:val="20"/>
                <w:szCs w:val="20"/>
                <w:color w:val="auto"/>
              </w:rPr>
            </w:pPr>
            <w:r>
              <w:rPr>
                <w:rFonts w:ascii="Arial" w:cs="Arial" w:eastAsia="Arial" w:hAnsi="Arial"/>
                <w:sz w:val="12"/>
                <w:szCs w:val="12"/>
                <w:color w:val="auto"/>
              </w:rPr>
              <w:t>Property and equipment, net consisted of the following (amounts in thousands):</w:t>
            </w:r>
          </w:p>
        </w:tc>
        <w:tc>
          <w:tcPr>
            <w:tcW w:w="28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27"/>
        </w:trPr>
        <w:tc>
          <w:tcPr>
            <w:tcW w:w="1380" w:type="dxa"/>
            <w:vAlign w:val="bottom"/>
          </w:tcPr>
          <w:p>
            <w:pPr>
              <w:spacing w:after="0"/>
              <w:rPr>
                <w:sz w:val="19"/>
                <w:szCs w:val="19"/>
                <w:color w:val="auto"/>
              </w:rPr>
            </w:pPr>
          </w:p>
        </w:tc>
        <w:tc>
          <w:tcPr>
            <w:tcW w:w="3540" w:type="dxa"/>
            <w:vAlign w:val="bottom"/>
          </w:tcPr>
          <w:p>
            <w:pPr>
              <w:spacing w:after="0"/>
              <w:rPr>
                <w:sz w:val="19"/>
                <w:szCs w:val="19"/>
                <w:color w:val="auto"/>
              </w:rPr>
            </w:pPr>
          </w:p>
        </w:tc>
        <w:tc>
          <w:tcPr>
            <w:tcW w:w="2800" w:type="dxa"/>
            <w:vAlign w:val="bottom"/>
          </w:tcPr>
          <w:p>
            <w:pPr>
              <w:spacing w:after="0"/>
              <w:rPr>
                <w:sz w:val="19"/>
                <w:szCs w:val="19"/>
                <w:color w:val="auto"/>
              </w:rPr>
            </w:pPr>
          </w:p>
        </w:tc>
        <w:tc>
          <w:tcPr>
            <w:tcW w:w="1480" w:type="dxa"/>
            <w:vAlign w:val="bottom"/>
            <w:gridSpan w:val="4"/>
          </w:tcPr>
          <w:p>
            <w:pPr>
              <w:jc w:val="right"/>
              <w:ind w:right="800"/>
              <w:spacing w:after="0"/>
              <w:rPr>
                <w:sz w:val="20"/>
                <w:szCs w:val="20"/>
                <w:color w:val="auto"/>
              </w:rPr>
            </w:pPr>
            <w:r>
              <w:rPr>
                <w:rFonts w:ascii="Arial" w:cs="Arial" w:eastAsia="Arial" w:hAnsi="Arial"/>
                <w:sz w:val="9"/>
                <w:szCs w:val="9"/>
                <w:b w:val="1"/>
                <w:bCs w:val="1"/>
                <w:color w:val="auto"/>
              </w:rPr>
              <w:t>September 30,</w:t>
            </w:r>
          </w:p>
        </w:tc>
        <w:tc>
          <w:tcPr>
            <w:tcW w:w="900" w:type="dxa"/>
            <w:vAlign w:val="bottom"/>
            <w:gridSpan w:val="4"/>
          </w:tcPr>
          <w:p>
            <w:pPr>
              <w:jc w:val="center"/>
              <w:ind w:right="100"/>
              <w:spacing w:after="0"/>
              <w:rPr>
                <w:sz w:val="20"/>
                <w:szCs w:val="20"/>
                <w:color w:val="auto"/>
              </w:rPr>
            </w:pPr>
            <w:r>
              <w:rPr>
                <w:rFonts w:ascii="Arial" w:cs="Arial" w:eastAsia="Arial" w:hAnsi="Arial"/>
                <w:sz w:val="9"/>
                <w:szCs w:val="9"/>
                <w:b w:val="1"/>
                <w:bCs w:val="1"/>
                <w:color w:val="auto"/>
                <w:w w:val="88"/>
              </w:rPr>
              <w:t>December 31,</w:t>
            </w:r>
          </w:p>
        </w:tc>
      </w:tr>
      <w:tr>
        <w:trPr>
          <w:trHeight w:val="108"/>
        </w:trPr>
        <w:tc>
          <w:tcPr>
            <w:tcW w:w="1380" w:type="dxa"/>
            <w:vAlign w:val="bottom"/>
          </w:tcPr>
          <w:p>
            <w:pPr>
              <w:spacing w:after="0"/>
              <w:rPr>
                <w:sz w:val="9"/>
                <w:szCs w:val="9"/>
                <w:color w:val="auto"/>
              </w:rPr>
            </w:pPr>
          </w:p>
        </w:tc>
        <w:tc>
          <w:tcPr>
            <w:tcW w:w="3540" w:type="dxa"/>
            <w:vAlign w:val="bottom"/>
            <w:tcBorders>
              <w:bottom w:val="single" w:sz="8" w:color="CCEEFF"/>
            </w:tcBorders>
          </w:tcPr>
          <w:p>
            <w:pPr>
              <w:spacing w:after="0"/>
              <w:rPr>
                <w:sz w:val="9"/>
                <w:szCs w:val="9"/>
                <w:color w:val="auto"/>
              </w:rPr>
            </w:pPr>
          </w:p>
        </w:tc>
        <w:tc>
          <w:tcPr>
            <w:tcW w:w="2800" w:type="dxa"/>
            <w:vAlign w:val="bottom"/>
            <w:tcBorders>
              <w:bottom w:val="single" w:sz="8" w:color="CCEEFF"/>
            </w:tcBorders>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520" w:type="dxa"/>
            <w:vAlign w:val="bottom"/>
            <w:tcBorders>
              <w:bottom w:val="single" w:sz="8" w:color="auto"/>
            </w:tcBorders>
          </w:tcPr>
          <w:p>
            <w:pPr>
              <w:jc w:val="right"/>
              <w:ind w:right="243"/>
              <w:spacing w:after="0"/>
              <w:rPr>
                <w:sz w:val="20"/>
                <w:szCs w:val="20"/>
                <w:color w:val="auto"/>
              </w:rPr>
            </w:pPr>
            <w:r>
              <w:rPr>
                <w:rFonts w:ascii="Arial" w:cs="Arial" w:eastAsia="Arial" w:hAnsi="Arial"/>
                <w:sz w:val="9"/>
                <w:szCs w:val="9"/>
                <w:b w:val="1"/>
                <w:bCs w:val="1"/>
                <w:color w:val="auto"/>
                <w:w w:val="99"/>
              </w:rPr>
              <w:t>2013</w:t>
            </w:r>
          </w:p>
        </w:tc>
        <w:tc>
          <w:tcPr>
            <w:tcW w:w="700" w:type="dxa"/>
            <w:vAlign w:val="bottom"/>
            <w:tcBorders>
              <w:bottom w:val="single" w:sz="8" w:color="CCEEFF"/>
            </w:tcBorders>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520" w:type="dxa"/>
            <w:vAlign w:val="bottom"/>
            <w:tcBorders>
              <w:bottom w:val="single" w:sz="8" w:color="auto"/>
            </w:tcBorders>
          </w:tcPr>
          <w:p>
            <w:pPr>
              <w:jc w:val="right"/>
              <w:ind w:right="243"/>
              <w:spacing w:after="0"/>
              <w:rPr>
                <w:sz w:val="20"/>
                <w:szCs w:val="20"/>
                <w:color w:val="auto"/>
              </w:rPr>
            </w:pPr>
            <w:r>
              <w:rPr>
                <w:rFonts w:ascii="Arial" w:cs="Arial" w:eastAsia="Arial" w:hAnsi="Arial"/>
                <w:sz w:val="9"/>
                <w:szCs w:val="9"/>
                <w:b w:val="1"/>
                <w:bCs w:val="1"/>
                <w:color w:val="auto"/>
                <w:w w:val="99"/>
              </w:rPr>
              <w:t>2012</w:t>
            </w:r>
          </w:p>
        </w:tc>
        <w:tc>
          <w:tcPr>
            <w:tcW w:w="120" w:type="dxa"/>
            <w:vAlign w:val="bottom"/>
            <w:tcBorders>
              <w:bottom w:val="single" w:sz="8" w:color="CCEEFF"/>
            </w:tcBorders>
          </w:tcPr>
          <w:p>
            <w:pPr>
              <w:spacing w:after="0"/>
              <w:rPr>
                <w:sz w:val="9"/>
                <w:szCs w:val="9"/>
                <w:color w:val="auto"/>
              </w:rPr>
            </w:pPr>
          </w:p>
        </w:tc>
      </w:tr>
      <w:tr>
        <w:trPr>
          <w:trHeight w:val="133"/>
        </w:trPr>
        <w:tc>
          <w:tcPr>
            <w:tcW w:w="1380" w:type="dxa"/>
            <w:vAlign w:val="bottom"/>
          </w:tcPr>
          <w:p>
            <w:pPr>
              <w:spacing w:after="0"/>
              <w:rPr>
                <w:sz w:val="11"/>
                <w:szCs w:val="11"/>
                <w:color w:val="auto"/>
              </w:rPr>
            </w:pPr>
          </w:p>
        </w:tc>
        <w:tc>
          <w:tcPr>
            <w:tcW w:w="3540" w:type="dxa"/>
            <w:vAlign w:val="bottom"/>
            <w:shd w:val="clear" w:color="auto" w:fill="CCEEFF"/>
          </w:tcPr>
          <w:p>
            <w:pPr>
              <w:spacing w:after="0" w:line="129" w:lineRule="exact"/>
              <w:rPr>
                <w:sz w:val="20"/>
                <w:szCs w:val="20"/>
                <w:color w:val="auto"/>
              </w:rPr>
            </w:pPr>
            <w:r>
              <w:rPr>
                <w:rFonts w:ascii="Arial" w:cs="Arial" w:eastAsia="Arial" w:hAnsi="Arial"/>
                <w:sz w:val="12"/>
                <w:szCs w:val="12"/>
                <w:color w:val="auto"/>
              </w:rPr>
              <w:t>Land and improvements</w:t>
            </w:r>
          </w:p>
        </w:tc>
        <w:tc>
          <w:tcPr>
            <w:tcW w:w="2800" w:type="dxa"/>
            <w:vAlign w:val="bottom"/>
            <w:shd w:val="clear" w:color="auto" w:fill="CCEEFF"/>
          </w:tcPr>
          <w:p>
            <w:pPr>
              <w:spacing w:after="0"/>
              <w:rPr>
                <w:sz w:val="11"/>
                <w:szCs w:val="11"/>
                <w:color w:val="auto"/>
              </w:rPr>
            </w:pPr>
          </w:p>
        </w:tc>
        <w:tc>
          <w:tcPr>
            <w:tcW w:w="180" w:type="dxa"/>
            <w:vAlign w:val="bottom"/>
            <w:shd w:val="clear" w:color="auto" w:fill="CCEEFF"/>
          </w:tcPr>
          <w:p>
            <w:pPr>
              <w:jc w:val="right"/>
              <w:ind w:right="74"/>
              <w:spacing w:after="0"/>
              <w:rPr>
                <w:sz w:val="20"/>
                <w:szCs w:val="20"/>
                <w:color w:val="auto"/>
              </w:rPr>
            </w:pPr>
            <w:r>
              <w:rPr>
                <w:rFonts w:ascii="Arial" w:cs="Arial" w:eastAsia="Arial" w:hAnsi="Arial"/>
                <w:sz w:val="9"/>
                <w:szCs w:val="9"/>
                <w:color w:val="auto"/>
                <w:w w:val="78"/>
              </w:rPr>
              <w:t>$</w:t>
            </w:r>
          </w:p>
        </w:tc>
        <w:tc>
          <w:tcPr>
            <w:tcW w:w="80" w:type="dxa"/>
            <w:vAlign w:val="bottom"/>
            <w:shd w:val="clear" w:color="auto" w:fill="CCEEFF"/>
          </w:tcPr>
          <w:p>
            <w:pPr>
              <w:spacing w:after="0"/>
              <w:rPr>
                <w:sz w:val="11"/>
                <w:szCs w:val="11"/>
                <w:color w:val="auto"/>
              </w:rPr>
            </w:pPr>
          </w:p>
        </w:tc>
        <w:tc>
          <w:tcPr>
            <w:tcW w:w="520" w:type="dxa"/>
            <w:vAlign w:val="bottom"/>
            <w:shd w:val="clear" w:color="auto" w:fill="CCEEFF"/>
          </w:tcPr>
          <w:p>
            <w:pPr>
              <w:jc w:val="right"/>
              <w:spacing w:after="0" w:line="133" w:lineRule="exact"/>
              <w:rPr>
                <w:sz w:val="20"/>
                <w:szCs w:val="20"/>
                <w:color w:val="auto"/>
              </w:rPr>
            </w:pPr>
            <w:r>
              <w:rPr>
                <w:rFonts w:ascii="Arial" w:cs="Arial" w:eastAsia="Arial" w:hAnsi="Arial"/>
                <w:sz w:val="12"/>
                <w:szCs w:val="12"/>
                <w:color w:val="auto"/>
              </w:rPr>
              <w:t>732,234</w:t>
            </w:r>
          </w:p>
        </w:tc>
        <w:tc>
          <w:tcPr>
            <w:tcW w:w="700" w:type="dxa"/>
            <w:vAlign w:val="bottom"/>
            <w:tcBorders>
              <w:left w:val="single" w:sz="8" w:color="CCEEFF"/>
            </w:tcBorders>
            <w:shd w:val="clear" w:color="auto" w:fill="CCEEFF"/>
          </w:tcPr>
          <w:p>
            <w:pPr>
              <w:spacing w:after="0"/>
              <w:rPr>
                <w:sz w:val="11"/>
                <w:szCs w:val="11"/>
                <w:color w:val="auto"/>
              </w:rPr>
            </w:pPr>
          </w:p>
        </w:tc>
        <w:tc>
          <w:tcPr>
            <w:tcW w:w="200" w:type="dxa"/>
            <w:vAlign w:val="bottom"/>
            <w:shd w:val="clear" w:color="auto" w:fill="CCEEFF"/>
          </w:tcPr>
          <w:p>
            <w:pPr>
              <w:jc w:val="right"/>
              <w:ind w:right="91"/>
              <w:spacing w:after="0"/>
              <w:rPr>
                <w:sz w:val="20"/>
                <w:szCs w:val="20"/>
                <w:color w:val="auto"/>
              </w:rPr>
            </w:pPr>
            <w:r>
              <w:rPr>
                <w:rFonts w:ascii="Arial" w:cs="Arial" w:eastAsia="Arial" w:hAnsi="Arial"/>
                <w:sz w:val="9"/>
                <w:szCs w:val="9"/>
                <w:color w:val="auto"/>
                <w:w w:val="78"/>
              </w:rPr>
              <w:t>$</w:t>
            </w:r>
          </w:p>
        </w:tc>
        <w:tc>
          <w:tcPr>
            <w:tcW w:w="60" w:type="dxa"/>
            <w:vAlign w:val="bottom"/>
            <w:shd w:val="clear" w:color="auto" w:fill="CCEEFF"/>
          </w:tcPr>
          <w:p>
            <w:pPr>
              <w:spacing w:after="0"/>
              <w:rPr>
                <w:sz w:val="11"/>
                <w:szCs w:val="11"/>
                <w:color w:val="auto"/>
              </w:rPr>
            </w:pPr>
          </w:p>
        </w:tc>
        <w:tc>
          <w:tcPr>
            <w:tcW w:w="520" w:type="dxa"/>
            <w:vAlign w:val="bottom"/>
            <w:shd w:val="clear" w:color="auto" w:fill="CCEEFF"/>
          </w:tcPr>
          <w:p>
            <w:pPr>
              <w:ind w:left="140"/>
              <w:spacing w:after="0" w:line="133" w:lineRule="exact"/>
              <w:rPr>
                <w:sz w:val="20"/>
                <w:szCs w:val="20"/>
                <w:color w:val="auto"/>
              </w:rPr>
            </w:pPr>
            <w:r>
              <w:rPr>
                <w:rFonts w:ascii="Arial" w:cs="Arial" w:eastAsia="Arial" w:hAnsi="Arial"/>
                <w:sz w:val="12"/>
                <w:szCs w:val="12"/>
                <w:color w:val="auto"/>
                <w:w w:val="78"/>
              </w:rPr>
              <w:t>732,209</w:t>
            </w:r>
          </w:p>
        </w:tc>
        <w:tc>
          <w:tcPr>
            <w:tcW w:w="120" w:type="dxa"/>
            <w:vAlign w:val="bottom"/>
            <w:tcBorders>
              <w:left w:val="single" w:sz="8" w:color="CCEEFF"/>
            </w:tcBorders>
            <w:shd w:val="clear" w:color="auto" w:fill="CCEEFF"/>
          </w:tcPr>
          <w:p>
            <w:pPr>
              <w:spacing w:after="0"/>
              <w:rPr>
                <w:sz w:val="11"/>
                <w:szCs w:val="11"/>
                <w:color w:val="auto"/>
              </w:rPr>
            </w:pPr>
          </w:p>
        </w:tc>
      </w:tr>
      <w:tr>
        <w:trPr>
          <w:trHeight w:val="144"/>
        </w:trPr>
        <w:tc>
          <w:tcPr>
            <w:tcW w:w="1380" w:type="dxa"/>
            <w:vAlign w:val="bottom"/>
          </w:tcPr>
          <w:p>
            <w:pPr>
              <w:spacing w:after="0"/>
              <w:rPr>
                <w:sz w:val="12"/>
                <w:szCs w:val="12"/>
                <w:color w:val="auto"/>
              </w:rPr>
            </w:pPr>
          </w:p>
        </w:tc>
        <w:tc>
          <w:tcPr>
            <w:tcW w:w="3540" w:type="dxa"/>
            <w:vAlign w:val="bottom"/>
          </w:tcPr>
          <w:p>
            <w:pPr>
              <w:spacing w:after="0"/>
              <w:rPr>
                <w:sz w:val="20"/>
                <w:szCs w:val="20"/>
                <w:color w:val="auto"/>
              </w:rPr>
            </w:pPr>
            <w:r>
              <w:rPr>
                <w:rFonts w:ascii="Arial" w:cs="Arial" w:eastAsia="Arial" w:hAnsi="Arial"/>
                <w:sz w:val="12"/>
                <w:szCs w:val="12"/>
                <w:color w:val="auto"/>
              </w:rPr>
              <w:t>Buildings and improvements</w:t>
            </w:r>
          </w:p>
        </w:tc>
        <w:tc>
          <w:tcPr>
            <w:tcW w:w="28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Arial" w:cs="Arial" w:eastAsia="Arial" w:hAnsi="Arial"/>
                <w:sz w:val="12"/>
                <w:szCs w:val="12"/>
                <w:color w:val="auto"/>
                <w:w w:val="93"/>
              </w:rPr>
              <w:t>3,866,998</w:t>
            </w:r>
          </w:p>
        </w:tc>
        <w:tc>
          <w:tcPr>
            <w:tcW w:w="7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Arial" w:cs="Arial" w:eastAsia="Arial" w:hAnsi="Arial"/>
                <w:sz w:val="12"/>
                <w:szCs w:val="12"/>
                <w:color w:val="auto"/>
                <w:w w:val="93"/>
              </w:rPr>
              <w:t>3,837,215</w:t>
            </w:r>
          </w:p>
        </w:tc>
        <w:tc>
          <w:tcPr>
            <w:tcW w:w="120" w:type="dxa"/>
            <w:vAlign w:val="bottom"/>
          </w:tcPr>
          <w:p>
            <w:pPr>
              <w:spacing w:after="0"/>
              <w:rPr>
                <w:sz w:val="12"/>
                <w:szCs w:val="12"/>
                <w:color w:val="auto"/>
              </w:rPr>
            </w:pPr>
          </w:p>
        </w:tc>
      </w:tr>
      <w:tr>
        <w:trPr>
          <w:trHeight w:val="144"/>
        </w:trPr>
        <w:tc>
          <w:tcPr>
            <w:tcW w:w="1380" w:type="dxa"/>
            <w:vAlign w:val="bottom"/>
          </w:tcPr>
          <w:p>
            <w:pPr>
              <w:spacing w:after="0"/>
              <w:rPr>
                <w:sz w:val="12"/>
                <w:szCs w:val="12"/>
                <w:color w:val="auto"/>
              </w:rPr>
            </w:pPr>
          </w:p>
        </w:tc>
        <w:tc>
          <w:tcPr>
            <w:tcW w:w="3540" w:type="dxa"/>
            <w:vAlign w:val="bottom"/>
            <w:shd w:val="clear" w:color="auto" w:fill="CCEEFF"/>
          </w:tcPr>
          <w:p>
            <w:pPr>
              <w:spacing w:after="0"/>
              <w:rPr>
                <w:sz w:val="20"/>
                <w:szCs w:val="20"/>
                <w:color w:val="auto"/>
              </w:rPr>
            </w:pPr>
            <w:r>
              <w:rPr>
                <w:rFonts w:ascii="Arial" w:cs="Arial" w:eastAsia="Arial" w:hAnsi="Arial"/>
                <w:sz w:val="12"/>
                <w:szCs w:val="12"/>
                <w:color w:val="auto"/>
              </w:rPr>
              <w:t>Airplanes</w:t>
            </w:r>
          </w:p>
        </w:tc>
        <w:tc>
          <w:tcPr>
            <w:tcW w:w="28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135,040</w:t>
            </w:r>
          </w:p>
        </w:tc>
        <w:tc>
          <w:tcPr>
            <w:tcW w:w="700" w:type="dxa"/>
            <w:vAlign w:val="bottom"/>
            <w:tcBorders>
              <w:left w:val="single" w:sz="8" w:color="CCEEFF"/>
            </w:tcBorders>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135,392</w:t>
            </w:r>
          </w:p>
        </w:tc>
        <w:tc>
          <w:tcPr>
            <w:tcW w:w="120" w:type="dxa"/>
            <w:vAlign w:val="bottom"/>
            <w:tcBorders>
              <w:left w:val="single" w:sz="8" w:color="CCEEFF"/>
            </w:tcBorders>
            <w:shd w:val="clear" w:color="auto" w:fill="CCEEFF"/>
          </w:tcPr>
          <w:p>
            <w:pPr>
              <w:spacing w:after="0"/>
              <w:rPr>
                <w:sz w:val="12"/>
                <w:szCs w:val="12"/>
                <w:color w:val="auto"/>
              </w:rPr>
            </w:pPr>
          </w:p>
        </w:tc>
      </w:tr>
      <w:tr>
        <w:trPr>
          <w:trHeight w:val="144"/>
        </w:trPr>
        <w:tc>
          <w:tcPr>
            <w:tcW w:w="1380" w:type="dxa"/>
            <w:vAlign w:val="bottom"/>
          </w:tcPr>
          <w:p>
            <w:pPr>
              <w:spacing w:after="0"/>
              <w:rPr>
                <w:sz w:val="12"/>
                <w:szCs w:val="12"/>
                <w:color w:val="auto"/>
              </w:rPr>
            </w:pPr>
          </w:p>
        </w:tc>
        <w:tc>
          <w:tcPr>
            <w:tcW w:w="3540" w:type="dxa"/>
            <w:vAlign w:val="bottom"/>
          </w:tcPr>
          <w:p>
            <w:pPr>
              <w:spacing w:after="0"/>
              <w:rPr>
                <w:sz w:val="20"/>
                <w:szCs w:val="20"/>
                <w:color w:val="auto"/>
              </w:rPr>
            </w:pPr>
            <w:r>
              <w:rPr>
                <w:rFonts w:ascii="Arial" w:cs="Arial" w:eastAsia="Arial" w:hAnsi="Arial"/>
                <w:sz w:val="12"/>
                <w:szCs w:val="12"/>
                <w:color w:val="auto"/>
              </w:rPr>
              <w:t>Furniture, fixtures and equipment</w:t>
            </w:r>
          </w:p>
        </w:tc>
        <w:tc>
          <w:tcPr>
            <w:tcW w:w="28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Arial" w:cs="Arial" w:eastAsia="Arial" w:hAnsi="Arial"/>
                <w:sz w:val="12"/>
                <w:szCs w:val="12"/>
                <w:color w:val="auto"/>
                <w:w w:val="93"/>
              </w:rPr>
              <w:t>1,668,687</w:t>
            </w:r>
          </w:p>
        </w:tc>
        <w:tc>
          <w:tcPr>
            <w:tcW w:w="7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Arial" w:cs="Arial" w:eastAsia="Arial" w:hAnsi="Arial"/>
                <w:sz w:val="12"/>
                <w:szCs w:val="12"/>
                <w:color w:val="auto"/>
                <w:w w:val="93"/>
              </w:rPr>
              <w:t>1,646,506</w:t>
            </w:r>
          </w:p>
        </w:tc>
        <w:tc>
          <w:tcPr>
            <w:tcW w:w="120" w:type="dxa"/>
            <w:vAlign w:val="bottom"/>
          </w:tcPr>
          <w:p>
            <w:pPr>
              <w:spacing w:after="0"/>
              <w:rPr>
                <w:sz w:val="12"/>
                <w:szCs w:val="12"/>
                <w:color w:val="auto"/>
              </w:rPr>
            </w:pPr>
          </w:p>
        </w:tc>
      </w:tr>
      <w:tr>
        <w:trPr>
          <w:trHeight w:val="144"/>
        </w:trPr>
        <w:tc>
          <w:tcPr>
            <w:tcW w:w="1380" w:type="dxa"/>
            <w:vAlign w:val="bottom"/>
          </w:tcPr>
          <w:p>
            <w:pPr>
              <w:spacing w:after="0"/>
              <w:rPr>
                <w:sz w:val="12"/>
                <w:szCs w:val="12"/>
                <w:color w:val="auto"/>
              </w:rPr>
            </w:pPr>
          </w:p>
        </w:tc>
        <w:tc>
          <w:tcPr>
            <w:tcW w:w="3540" w:type="dxa"/>
            <w:vAlign w:val="bottom"/>
            <w:shd w:val="clear" w:color="auto" w:fill="CCEEFF"/>
          </w:tcPr>
          <w:p>
            <w:pPr>
              <w:spacing w:after="0"/>
              <w:rPr>
                <w:sz w:val="20"/>
                <w:szCs w:val="20"/>
                <w:color w:val="auto"/>
              </w:rPr>
            </w:pPr>
            <w:r>
              <w:rPr>
                <w:rFonts w:ascii="Arial" w:cs="Arial" w:eastAsia="Arial" w:hAnsi="Arial"/>
                <w:sz w:val="12"/>
                <w:szCs w:val="12"/>
                <w:color w:val="auto"/>
              </w:rPr>
              <w:t>Leasehold interests in land</w:t>
            </w:r>
          </w:p>
        </w:tc>
        <w:tc>
          <w:tcPr>
            <w:tcW w:w="28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316,550</w:t>
            </w:r>
          </w:p>
        </w:tc>
        <w:tc>
          <w:tcPr>
            <w:tcW w:w="700" w:type="dxa"/>
            <w:vAlign w:val="bottom"/>
            <w:tcBorders>
              <w:left w:val="single" w:sz="8" w:color="CCEEFF"/>
            </w:tcBorders>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316,658</w:t>
            </w:r>
          </w:p>
        </w:tc>
        <w:tc>
          <w:tcPr>
            <w:tcW w:w="120" w:type="dxa"/>
            <w:vAlign w:val="bottom"/>
            <w:tcBorders>
              <w:left w:val="single" w:sz="8" w:color="CCEEFF"/>
            </w:tcBorders>
            <w:shd w:val="clear" w:color="auto" w:fill="CCEEFF"/>
          </w:tcPr>
          <w:p>
            <w:pPr>
              <w:spacing w:after="0"/>
              <w:rPr>
                <w:sz w:val="12"/>
                <w:szCs w:val="12"/>
                <w:color w:val="auto"/>
              </w:rPr>
            </w:pPr>
          </w:p>
        </w:tc>
      </w:tr>
      <w:tr>
        <w:trPr>
          <w:trHeight w:val="144"/>
        </w:trPr>
        <w:tc>
          <w:tcPr>
            <w:tcW w:w="1380" w:type="dxa"/>
            <w:vAlign w:val="bottom"/>
          </w:tcPr>
          <w:p>
            <w:pPr>
              <w:spacing w:after="0"/>
              <w:rPr>
                <w:sz w:val="12"/>
                <w:szCs w:val="12"/>
                <w:color w:val="auto"/>
              </w:rPr>
            </w:pPr>
          </w:p>
        </w:tc>
        <w:tc>
          <w:tcPr>
            <w:tcW w:w="3540" w:type="dxa"/>
            <w:vAlign w:val="bottom"/>
          </w:tcPr>
          <w:p>
            <w:pPr>
              <w:spacing w:after="0"/>
              <w:rPr>
                <w:sz w:val="20"/>
                <w:szCs w:val="20"/>
                <w:color w:val="auto"/>
              </w:rPr>
            </w:pPr>
            <w:r>
              <w:rPr>
                <w:rFonts w:ascii="Arial" w:cs="Arial" w:eastAsia="Arial" w:hAnsi="Arial"/>
                <w:sz w:val="12"/>
                <w:szCs w:val="12"/>
                <w:color w:val="auto"/>
              </w:rPr>
              <w:t>Construction in progress</w:t>
            </w:r>
          </w:p>
        </w:tc>
        <w:tc>
          <w:tcPr>
            <w:tcW w:w="28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Arial" w:cs="Arial" w:eastAsia="Arial" w:hAnsi="Arial"/>
                <w:sz w:val="12"/>
                <w:szCs w:val="12"/>
                <w:color w:val="auto"/>
              </w:rPr>
              <w:t>388,016</w:t>
            </w:r>
          </w:p>
        </w:tc>
        <w:tc>
          <w:tcPr>
            <w:tcW w:w="7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Arial" w:cs="Arial" w:eastAsia="Arial" w:hAnsi="Arial"/>
                <w:sz w:val="12"/>
                <w:szCs w:val="12"/>
                <w:color w:val="auto"/>
              </w:rPr>
              <w:t>110,490</w:t>
            </w:r>
          </w:p>
        </w:tc>
        <w:tc>
          <w:tcPr>
            <w:tcW w:w="120" w:type="dxa"/>
            <w:vAlign w:val="bottom"/>
          </w:tcPr>
          <w:p>
            <w:pPr>
              <w:spacing w:after="0"/>
              <w:rPr>
                <w:sz w:val="12"/>
                <w:szCs w:val="12"/>
                <w:color w:val="auto"/>
              </w:rPr>
            </w:pPr>
          </w:p>
        </w:tc>
      </w:tr>
      <w:tr>
        <w:trPr>
          <w:trHeight w:val="20"/>
        </w:trPr>
        <w:tc>
          <w:tcPr>
            <w:tcW w:w="1380" w:type="dxa"/>
            <w:vAlign w:val="bottom"/>
          </w:tcPr>
          <w:p>
            <w:pPr>
              <w:spacing w:after="0" w:line="20" w:lineRule="exact"/>
              <w:rPr>
                <w:sz w:val="1"/>
                <w:szCs w:val="1"/>
                <w:color w:val="auto"/>
              </w:rPr>
            </w:pPr>
          </w:p>
        </w:tc>
        <w:tc>
          <w:tcPr>
            <w:tcW w:w="3540" w:type="dxa"/>
            <w:vAlign w:val="bottom"/>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42"/>
        </w:trPr>
        <w:tc>
          <w:tcPr>
            <w:tcW w:w="1380" w:type="dxa"/>
            <w:vAlign w:val="bottom"/>
          </w:tcPr>
          <w:p>
            <w:pPr>
              <w:spacing w:after="0"/>
              <w:rPr>
                <w:sz w:val="12"/>
                <w:szCs w:val="12"/>
                <w:color w:val="auto"/>
              </w:rPr>
            </w:pPr>
          </w:p>
        </w:tc>
        <w:tc>
          <w:tcPr>
            <w:tcW w:w="3540" w:type="dxa"/>
            <w:vAlign w:val="bottom"/>
            <w:shd w:val="clear" w:color="auto" w:fill="CCEEFF"/>
          </w:tcPr>
          <w:p>
            <w:pPr>
              <w:spacing w:after="0"/>
              <w:rPr>
                <w:sz w:val="12"/>
                <w:szCs w:val="12"/>
                <w:color w:val="auto"/>
              </w:rPr>
            </w:pPr>
          </w:p>
        </w:tc>
        <w:tc>
          <w:tcPr>
            <w:tcW w:w="28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2"/>
                <w:szCs w:val="12"/>
                <w:color w:val="auto"/>
                <w:w w:val="93"/>
              </w:rPr>
              <w:t>7,107,525</w:t>
            </w:r>
          </w:p>
        </w:tc>
        <w:tc>
          <w:tcPr>
            <w:tcW w:w="700" w:type="dxa"/>
            <w:vAlign w:val="bottom"/>
            <w:tcBorders>
              <w:left w:val="single" w:sz="8" w:color="CCEEFF"/>
            </w:tcBorders>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2"/>
                <w:szCs w:val="12"/>
                <w:color w:val="auto"/>
                <w:w w:val="93"/>
              </w:rPr>
              <w:t>6,778,470</w:t>
            </w:r>
          </w:p>
        </w:tc>
        <w:tc>
          <w:tcPr>
            <w:tcW w:w="120" w:type="dxa"/>
            <w:vAlign w:val="bottom"/>
            <w:tcBorders>
              <w:left w:val="single" w:sz="8" w:color="CCEEFF"/>
            </w:tcBorders>
            <w:shd w:val="clear" w:color="auto" w:fill="CCEEFF"/>
          </w:tcPr>
          <w:p>
            <w:pPr>
              <w:spacing w:after="0"/>
              <w:rPr>
                <w:sz w:val="12"/>
                <w:szCs w:val="12"/>
                <w:color w:val="auto"/>
              </w:rPr>
            </w:pPr>
          </w:p>
        </w:tc>
      </w:tr>
      <w:tr>
        <w:trPr>
          <w:trHeight w:val="144"/>
        </w:trPr>
        <w:tc>
          <w:tcPr>
            <w:tcW w:w="1380" w:type="dxa"/>
            <w:vAlign w:val="bottom"/>
          </w:tcPr>
          <w:p>
            <w:pPr>
              <w:spacing w:after="0"/>
              <w:rPr>
                <w:sz w:val="12"/>
                <w:szCs w:val="12"/>
                <w:color w:val="auto"/>
              </w:rPr>
            </w:pPr>
          </w:p>
        </w:tc>
        <w:tc>
          <w:tcPr>
            <w:tcW w:w="3540" w:type="dxa"/>
            <w:vAlign w:val="bottom"/>
          </w:tcPr>
          <w:p>
            <w:pPr>
              <w:spacing w:after="0"/>
              <w:rPr>
                <w:sz w:val="20"/>
                <w:szCs w:val="20"/>
                <w:color w:val="auto"/>
              </w:rPr>
            </w:pPr>
            <w:r>
              <w:rPr>
                <w:rFonts w:ascii="Arial" w:cs="Arial" w:eastAsia="Arial" w:hAnsi="Arial"/>
                <w:sz w:val="12"/>
                <w:szCs w:val="12"/>
                <w:color w:val="auto"/>
              </w:rPr>
              <w:t>Less: accumulated depreciation</w:t>
            </w:r>
          </w:p>
        </w:tc>
        <w:tc>
          <w:tcPr>
            <w:tcW w:w="28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20" w:type="dxa"/>
            <w:vAlign w:val="bottom"/>
            <w:gridSpan w:val="2"/>
          </w:tcPr>
          <w:p>
            <w:pPr>
              <w:jc w:val="right"/>
              <w:ind w:right="660"/>
              <w:spacing w:after="0"/>
              <w:rPr>
                <w:sz w:val="20"/>
                <w:szCs w:val="20"/>
                <w:color w:val="auto"/>
              </w:rPr>
            </w:pPr>
            <w:r>
              <w:rPr>
                <w:rFonts w:ascii="Arial" w:cs="Arial" w:eastAsia="Arial" w:hAnsi="Arial"/>
                <w:sz w:val="12"/>
                <w:szCs w:val="12"/>
                <w:color w:val="auto"/>
                <w:w w:val="87"/>
              </w:rPr>
              <w:t>(2,297,147)</w:t>
            </w: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gridSpan w:val="2"/>
          </w:tcPr>
          <w:p>
            <w:pPr>
              <w:jc w:val="right"/>
              <w:ind w:right="80"/>
              <w:spacing w:after="0"/>
              <w:rPr>
                <w:sz w:val="20"/>
                <w:szCs w:val="20"/>
                <w:color w:val="auto"/>
              </w:rPr>
            </w:pPr>
            <w:r>
              <w:rPr>
                <w:rFonts w:ascii="Arial" w:cs="Arial" w:eastAsia="Arial" w:hAnsi="Arial"/>
                <w:sz w:val="12"/>
                <w:szCs w:val="12"/>
                <w:color w:val="auto"/>
                <w:w w:val="87"/>
              </w:rPr>
              <w:t>(2,050,571)</w:t>
            </w:r>
          </w:p>
        </w:tc>
      </w:tr>
      <w:tr>
        <w:trPr>
          <w:trHeight w:val="20"/>
        </w:trPr>
        <w:tc>
          <w:tcPr>
            <w:tcW w:w="1380" w:type="dxa"/>
            <w:vAlign w:val="bottom"/>
          </w:tcPr>
          <w:p>
            <w:pPr>
              <w:spacing w:after="0" w:line="20" w:lineRule="exact"/>
              <w:rPr>
                <w:sz w:val="1"/>
                <w:szCs w:val="1"/>
                <w:color w:val="auto"/>
              </w:rPr>
            </w:pPr>
          </w:p>
        </w:tc>
        <w:tc>
          <w:tcPr>
            <w:tcW w:w="3540" w:type="dxa"/>
            <w:vAlign w:val="bottom"/>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49"/>
        </w:trPr>
        <w:tc>
          <w:tcPr>
            <w:tcW w:w="1380" w:type="dxa"/>
            <w:vAlign w:val="bottom"/>
          </w:tcPr>
          <w:p>
            <w:pPr>
              <w:spacing w:after="0"/>
              <w:rPr>
                <w:sz w:val="12"/>
                <w:szCs w:val="12"/>
                <w:color w:val="auto"/>
              </w:rPr>
            </w:pPr>
          </w:p>
        </w:tc>
        <w:tc>
          <w:tcPr>
            <w:tcW w:w="3540" w:type="dxa"/>
            <w:vAlign w:val="bottom"/>
            <w:shd w:val="clear" w:color="auto" w:fill="CCEEFF"/>
          </w:tcPr>
          <w:p>
            <w:pPr>
              <w:spacing w:after="0"/>
              <w:rPr>
                <w:sz w:val="12"/>
                <w:szCs w:val="12"/>
                <w:color w:val="auto"/>
              </w:rPr>
            </w:pPr>
          </w:p>
        </w:tc>
        <w:tc>
          <w:tcPr>
            <w:tcW w:w="2800" w:type="dxa"/>
            <w:vAlign w:val="bottom"/>
            <w:shd w:val="clear" w:color="auto" w:fill="CCEEFF"/>
          </w:tcPr>
          <w:p>
            <w:pPr>
              <w:spacing w:after="0"/>
              <w:rPr>
                <w:sz w:val="12"/>
                <w:szCs w:val="12"/>
                <w:color w:val="auto"/>
              </w:rPr>
            </w:pPr>
          </w:p>
        </w:tc>
        <w:tc>
          <w:tcPr>
            <w:tcW w:w="180" w:type="dxa"/>
            <w:vAlign w:val="bottom"/>
            <w:shd w:val="clear" w:color="auto" w:fill="CCEEFF"/>
          </w:tcPr>
          <w:p>
            <w:pPr>
              <w:jc w:val="right"/>
              <w:ind w:right="74"/>
              <w:spacing w:after="0"/>
              <w:rPr>
                <w:sz w:val="20"/>
                <w:szCs w:val="20"/>
                <w:color w:val="auto"/>
              </w:rPr>
            </w:pPr>
            <w:r>
              <w:rPr>
                <w:rFonts w:ascii="Arial" w:cs="Arial" w:eastAsia="Arial" w:hAnsi="Arial"/>
                <w:sz w:val="9"/>
                <w:szCs w:val="9"/>
                <w:color w:val="auto"/>
                <w:w w:val="78"/>
              </w:rPr>
              <w:t>$</w:t>
            </w: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2"/>
                <w:szCs w:val="12"/>
                <w:color w:val="auto"/>
                <w:w w:val="93"/>
              </w:rPr>
              <w:t>4,810,378</w:t>
            </w:r>
          </w:p>
        </w:tc>
        <w:tc>
          <w:tcPr>
            <w:tcW w:w="700" w:type="dxa"/>
            <w:vAlign w:val="bottom"/>
            <w:tcBorders>
              <w:left w:val="single" w:sz="8" w:color="CCEEFF"/>
            </w:tcBorders>
            <w:shd w:val="clear" w:color="auto" w:fill="CCEEFF"/>
          </w:tcPr>
          <w:p>
            <w:pPr>
              <w:spacing w:after="0"/>
              <w:rPr>
                <w:sz w:val="12"/>
                <w:szCs w:val="12"/>
                <w:color w:val="auto"/>
              </w:rPr>
            </w:pPr>
          </w:p>
        </w:tc>
        <w:tc>
          <w:tcPr>
            <w:tcW w:w="200" w:type="dxa"/>
            <w:vAlign w:val="bottom"/>
            <w:shd w:val="clear" w:color="auto" w:fill="CCEEFF"/>
          </w:tcPr>
          <w:p>
            <w:pPr>
              <w:jc w:val="right"/>
              <w:ind w:right="91"/>
              <w:spacing w:after="0"/>
              <w:rPr>
                <w:sz w:val="20"/>
                <w:szCs w:val="20"/>
                <w:color w:val="auto"/>
              </w:rPr>
            </w:pPr>
            <w:r>
              <w:rPr>
                <w:rFonts w:ascii="Arial" w:cs="Arial" w:eastAsia="Arial" w:hAnsi="Arial"/>
                <w:sz w:val="9"/>
                <w:szCs w:val="9"/>
                <w:color w:val="auto"/>
                <w:w w:val="78"/>
              </w:rPr>
              <w:t>$</w:t>
            </w:r>
          </w:p>
        </w:tc>
        <w:tc>
          <w:tcPr>
            <w:tcW w:w="6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2"/>
                <w:szCs w:val="12"/>
                <w:color w:val="auto"/>
                <w:w w:val="93"/>
              </w:rPr>
              <w:t>4,727,899</w:t>
            </w:r>
          </w:p>
        </w:tc>
        <w:tc>
          <w:tcPr>
            <w:tcW w:w="120" w:type="dxa"/>
            <w:vAlign w:val="bottom"/>
            <w:tcBorders>
              <w:left w:val="single" w:sz="8" w:color="CCEEFF"/>
            </w:tcBorders>
            <w:shd w:val="clear" w:color="auto" w:fill="CCEEFF"/>
          </w:tcPr>
          <w:p>
            <w:pPr>
              <w:spacing w:after="0"/>
              <w:rPr>
                <w:sz w:val="12"/>
                <w:szCs w:val="12"/>
                <w:color w:val="auto"/>
              </w:rPr>
            </w:pPr>
          </w:p>
        </w:tc>
      </w:tr>
      <w:tr>
        <w:trPr>
          <w:trHeight w:val="250"/>
        </w:trPr>
        <w:tc>
          <w:tcPr>
            <w:tcW w:w="1380" w:type="dxa"/>
            <w:vAlign w:val="bottom"/>
          </w:tcPr>
          <w:p>
            <w:pPr>
              <w:spacing w:after="0"/>
              <w:rPr>
                <w:sz w:val="21"/>
                <w:szCs w:val="21"/>
                <w:color w:val="auto"/>
              </w:rPr>
            </w:pPr>
          </w:p>
        </w:tc>
        <w:tc>
          <w:tcPr>
            <w:tcW w:w="3540" w:type="dxa"/>
            <w:vAlign w:val="bottom"/>
          </w:tcPr>
          <w:p>
            <w:pPr>
              <w:spacing w:after="0"/>
              <w:rPr>
                <w:sz w:val="21"/>
                <w:szCs w:val="21"/>
                <w:color w:val="auto"/>
              </w:rPr>
            </w:pPr>
          </w:p>
        </w:tc>
        <w:tc>
          <w:tcPr>
            <w:tcW w:w="2800" w:type="dxa"/>
            <w:vAlign w:val="bottom"/>
          </w:tcPr>
          <w:p>
            <w:pPr>
              <w:jc w:val="right"/>
              <w:ind w:right="1861"/>
              <w:spacing w:after="0"/>
              <w:rPr>
                <w:sz w:val="20"/>
                <w:szCs w:val="20"/>
                <w:color w:val="auto"/>
              </w:rPr>
            </w:pPr>
            <w:r>
              <w:rPr>
                <w:rFonts w:ascii="Arial" w:cs="Arial" w:eastAsia="Arial" w:hAnsi="Arial"/>
                <w:sz w:val="12"/>
                <w:szCs w:val="12"/>
                <w:color w:val="auto"/>
              </w:rPr>
              <w:t>14</w:t>
            </w:r>
          </w:p>
        </w:tc>
        <w:tc>
          <w:tcPr>
            <w:tcW w:w="180" w:type="dxa"/>
            <w:vAlign w:val="bottom"/>
            <w:tcBorders>
              <w:top w:val="single" w:sz="8" w:color="auto"/>
            </w:tcBorders>
          </w:tcPr>
          <w:p>
            <w:pPr>
              <w:spacing w:after="0"/>
              <w:rPr>
                <w:sz w:val="21"/>
                <w:szCs w:val="21"/>
                <w:color w:val="auto"/>
              </w:rPr>
            </w:pPr>
          </w:p>
        </w:tc>
        <w:tc>
          <w:tcPr>
            <w:tcW w:w="80" w:type="dxa"/>
            <w:vAlign w:val="bottom"/>
            <w:tcBorders>
              <w:top w:val="single" w:sz="8" w:color="auto"/>
            </w:tcBorders>
          </w:tcPr>
          <w:p>
            <w:pPr>
              <w:spacing w:after="0"/>
              <w:rPr>
                <w:sz w:val="21"/>
                <w:szCs w:val="21"/>
                <w:color w:val="auto"/>
              </w:rPr>
            </w:pPr>
          </w:p>
        </w:tc>
        <w:tc>
          <w:tcPr>
            <w:tcW w:w="520" w:type="dxa"/>
            <w:vAlign w:val="bottom"/>
            <w:tcBorders>
              <w:top w:val="single" w:sz="8" w:color="auto"/>
            </w:tcBorders>
          </w:tcPr>
          <w:p>
            <w:pPr>
              <w:spacing w:after="0"/>
              <w:rPr>
                <w:sz w:val="21"/>
                <w:szCs w:val="21"/>
                <w:color w:val="auto"/>
              </w:rPr>
            </w:pPr>
          </w:p>
        </w:tc>
        <w:tc>
          <w:tcPr>
            <w:tcW w:w="700" w:type="dxa"/>
            <w:vAlign w:val="bottom"/>
          </w:tcPr>
          <w:p>
            <w:pPr>
              <w:spacing w:after="0"/>
              <w:rPr>
                <w:sz w:val="21"/>
                <w:szCs w:val="21"/>
                <w:color w:val="auto"/>
              </w:rPr>
            </w:pPr>
          </w:p>
        </w:tc>
        <w:tc>
          <w:tcPr>
            <w:tcW w:w="200" w:type="dxa"/>
            <w:vAlign w:val="bottom"/>
            <w:tcBorders>
              <w:top w:val="single" w:sz="8" w:color="auto"/>
            </w:tcBorders>
          </w:tcPr>
          <w:p>
            <w:pPr>
              <w:spacing w:after="0"/>
              <w:rPr>
                <w:sz w:val="21"/>
                <w:szCs w:val="21"/>
                <w:color w:val="auto"/>
              </w:rPr>
            </w:pPr>
          </w:p>
        </w:tc>
        <w:tc>
          <w:tcPr>
            <w:tcW w:w="60" w:type="dxa"/>
            <w:vAlign w:val="bottom"/>
            <w:tcBorders>
              <w:top w:val="single" w:sz="8" w:color="auto"/>
            </w:tcBorders>
          </w:tcPr>
          <w:p>
            <w:pPr>
              <w:spacing w:after="0"/>
              <w:rPr>
                <w:sz w:val="21"/>
                <w:szCs w:val="21"/>
                <w:color w:val="auto"/>
              </w:rPr>
            </w:pPr>
          </w:p>
        </w:tc>
        <w:tc>
          <w:tcPr>
            <w:tcW w:w="52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r>
    </w:tbl>
    <w:p>
      <w:pPr>
        <w:sectPr>
          <w:pgSz w:w="11900" w:h="16838" w:orient="portrait"/>
          <w:cols w:equalWidth="0" w:num="1">
            <w:col w:w="11408"/>
          </w:cols>
          <w:pgMar w:left="212" w:top="354" w:right="279" w:bottom="1440" w:gutter="0" w:footer="0" w:header="0"/>
        </w:sectPr>
      </w:pPr>
    </w:p>
    <w:bookmarkStart w:id="14" w:name="page15"/>
    <w:bookmarkEnd w:id="14"/>
    <w:p>
      <w:pPr>
        <w:ind w:left="8"/>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121920</wp:posOffset>
            </wp:positionH>
            <wp:positionV relativeFrom="page">
              <wp:posOffset>88900</wp:posOffset>
            </wp:positionV>
            <wp:extent cx="7329170" cy="298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329170" cy="29845"/>
                    </a:xfrm>
                    <a:prstGeom prst="rect">
                      <a:avLst/>
                    </a:prstGeom>
                    <a:noFill/>
                  </pic:spPr>
                </pic:pic>
              </a:graphicData>
            </a:graphic>
          </wp:anchor>
        </w:drawing>
      </w:r>
      <w:hyperlink w:anchor="page2">
        <w:r>
          <w:rPr>
            <w:rFonts w:ascii="Arial" w:cs="Arial" w:eastAsia="Arial" w:hAnsi="Arial"/>
            <w:sz w:val="12"/>
            <w:szCs w:val="12"/>
            <w:b w:val="1"/>
            <w:bCs w:val="1"/>
            <w:u w:val="single" w:color="auto"/>
            <w:color w:val="0000EE"/>
          </w:rPr>
          <w:t>Table of Contents</w:t>
        </w:r>
      </w:hyperlink>
    </w:p>
    <w:p>
      <w:pPr>
        <w:spacing w:after="0" w:line="207" w:lineRule="exact"/>
        <w:rPr>
          <w:sz w:val="20"/>
          <w:szCs w:val="20"/>
          <w:color w:val="auto"/>
        </w:rPr>
      </w:pPr>
    </w:p>
    <w:p>
      <w:pPr>
        <w:ind w:left="228" w:hanging="228"/>
        <w:spacing w:after="0"/>
        <w:tabs>
          <w:tab w:leader="none" w:pos="228" w:val="left"/>
        </w:tabs>
        <w:numPr>
          <w:ilvl w:val="0"/>
          <w:numId w:val="10"/>
        </w:numPr>
        <w:rPr>
          <w:rFonts w:ascii="Arial" w:cs="Arial" w:eastAsia="Arial" w:hAnsi="Arial"/>
          <w:sz w:val="12"/>
          <w:szCs w:val="12"/>
          <w:b w:val="1"/>
          <w:bCs w:val="1"/>
          <w:color w:val="auto"/>
        </w:rPr>
      </w:pPr>
      <w:r>
        <w:rPr>
          <w:rFonts w:ascii="Arial" w:cs="Arial" w:eastAsia="Arial" w:hAnsi="Arial"/>
          <w:sz w:val="12"/>
          <w:szCs w:val="12"/>
          <w:b w:val="1"/>
          <w:bCs w:val="1"/>
          <w:color w:val="auto"/>
        </w:rPr>
        <w:t>Long-Term Debt</w:t>
      </w:r>
    </w:p>
    <w:p>
      <w:pPr>
        <w:spacing w:after="0" w:line="62" w:lineRule="exact"/>
        <w:rPr>
          <w:sz w:val="20"/>
          <w:szCs w:val="20"/>
          <w:color w:val="auto"/>
        </w:rPr>
      </w:pPr>
    </w:p>
    <w:p>
      <w:pPr>
        <w:ind w:left="468"/>
        <w:spacing w:after="0"/>
        <w:rPr>
          <w:sz w:val="20"/>
          <w:szCs w:val="20"/>
          <w:color w:val="auto"/>
        </w:rPr>
      </w:pPr>
      <w:r>
        <w:rPr>
          <w:rFonts w:ascii="Arial" w:cs="Arial" w:eastAsia="Arial" w:hAnsi="Arial"/>
          <w:sz w:val="12"/>
          <w:szCs w:val="12"/>
          <w:color w:val="auto"/>
        </w:rPr>
        <w:t>Long-term debt consisted of the following (amounts in thousands):</w:t>
      </w:r>
    </w:p>
    <w:p>
      <w:pPr>
        <w:spacing w:after="0" w:line="134" w:lineRule="exact"/>
        <w:rPr>
          <w:sz w:val="20"/>
          <w:szCs w:val="20"/>
          <w:color w:val="auto"/>
        </w:rPr>
      </w:pPr>
    </w:p>
    <w:tbl>
      <w:tblPr>
        <w:tblLayout w:type="fixed"/>
        <w:tblInd w:w="8" w:type="dxa"/>
        <w:tblCellMar>
          <w:top w:w="0" w:type="dxa"/>
          <w:left w:w="0" w:type="dxa"/>
          <w:bottom w:w="0" w:type="dxa"/>
          <w:right w:w="0" w:type="dxa"/>
        </w:tblCellMar>
      </w:tblPr>
      <w:tr>
        <w:trPr>
          <w:trHeight w:val="103"/>
        </w:trPr>
        <w:tc>
          <w:tcPr>
            <w:tcW w:w="9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20" w:type="dxa"/>
            <w:vAlign w:val="bottom"/>
            <w:gridSpan w:val="2"/>
          </w:tcPr>
          <w:p>
            <w:pPr>
              <w:jc w:val="right"/>
              <w:ind w:right="440"/>
              <w:spacing w:after="0"/>
              <w:rPr>
                <w:sz w:val="20"/>
                <w:szCs w:val="20"/>
                <w:color w:val="auto"/>
              </w:rPr>
            </w:pPr>
            <w:r>
              <w:rPr>
                <w:rFonts w:ascii="Arial" w:cs="Arial" w:eastAsia="Arial" w:hAnsi="Arial"/>
                <w:sz w:val="9"/>
                <w:szCs w:val="9"/>
                <w:b w:val="1"/>
                <w:bCs w:val="1"/>
                <w:color w:val="auto"/>
                <w:w w:val="90"/>
              </w:rPr>
              <w:t>September 30,</w:t>
            </w:r>
          </w:p>
        </w:tc>
        <w:tc>
          <w:tcPr>
            <w:tcW w:w="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820" w:type="dxa"/>
            <w:vAlign w:val="bottom"/>
            <w:gridSpan w:val="2"/>
          </w:tcPr>
          <w:p>
            <w:pPr>
              <w:jc w:val="right"/>
              <w:ind w:right="260"/>
              <w:spacing w:after="0"/>
              <w:rPr>
                <w:sz w:val="20"/>
                <w:szCs w:val="20"/>
                <w:color w:val="auto"/>
              </w:rPr>
            </w:pPr>
            <w:r>
              <w:rPr>
                <w:rFonts w:ascii="Arial" w:cs="Arial" w:eastAsia="Arial" w:hAnsi="Arial"/>
                <w:sz w:val="9"/>
                <w:szCs w:val="9"/>
                <w:b w:val="1"/>
                <w:bCs w:val="1"/>
                <w:color w:val="auto"/>
                <w:w w:val="92"/>
              </w:rPr>
              <w:t>December 31,</w:t>
            </w:r>
          </w:p>
        </w:tc>
      </w:tr>
      <w:tr>
        <w:trPr>
          <w:trHeight w:val="108"/>
        </w:trPr>
        <w:tc>
          <w:tcPr>
            <w:tcW w:w="9180" w:type="dxa"/>
            <w:vAlign w:val="bottom"/>
            <w:tcBorders>
              <w:bottom w:val="single" w:sz="8" w:color="CCEEFF"/>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jc w:val="right"/>
              <w:ind w:right="263"/>
              <w:spacing w:after="0"/>
              <w:rPr>
                <w:sz w:val="20"/>
                <w:szCs w:val="20"/>
                <w:color w:val="auto"/>
              </w:rPr>
            </w:pPr>
            <w:r>
              <w:rPr>
                <w:rFonts w:ascii="Arial" w:cs="Arial" w:eastAsia="Arial" w:hAnsi="Arial"/>
                <w:sz w:val="9"/>
                <w:szCs w:val="9"/>
                <w:b w:val="1"/>
                <w:bCs w:val="1"/>
                <w:color w:val="auto"/>
              </w:rPr>
              <w:t>2013</w:t>
            </w:r>
          </w:p>
        </w:tc>
        <w:tc>
          <w:tcPr>
            <w:tcW w:w="300" w:type="dxa"/>
            <w:vAlign w:val="bottom"/>
            <w:tcBorders>
              <w:bottom w:val="single" w:sz="8" w:color="CCEEFF"/>
            </w:tcBorders>
          </w:tcPr>
          <w:p>
            <w:pPr>
              <w:spacing w:after="0"/>
              <w:rPr>
                <w:sz w:val="9"/>
                <w:szCs w:val="9"/>
                <w:color w:val="auto"/>
              </w:rPr>
            </w:pPr>
          </w:p>
        </w:tc>
        <w:tc>
          <w:tcPr>
            <w:tcW w:w="260" w:type="dxa"/>
            <w:vAlign w:val="bottom"/>
            <w:tcBorders>
              <w:bottom w:val="single" w:sz="8" w:color="CCEEFF"/>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jc w:val="right"/>
              <w:ind w:right="243"/>
              <w:spacing w:after="0"/>
              <w:rPr>
                <w:sz w:val="20"/>
                <w:szCs w:val="20"/>
                <w:color w:val="auto"/>
              </w:rPr>
            </w:pPr>
            <w:r>
              <w:rPr>
                <w:rFonts w:ascii="Arial" w:cs="Arial" w:eastAsia="Arial" w:hAnsi="Arial"/>
                <w:sz w:val="9"/>
                <w:szCs w:val="9"/>
                <w:b w:val="1"/>
                <w:bCs w:val="1"/>
                <w:color w:val="auto"/>
              </w:rPr>
              <w:t>2012</w:t>
            </w:r>
          </w:p>
        </w:tc>
        <w:tc>
          <w:tcPr>
            <w:tcW w:w="120" w:type="dxa"/>
            <w:vAlign w:val="bottom"/>
            <w:tcBorders>
              <w:bottom w:val="single" w:sz="8" w:color="CCEEFF"/>
            </w:tcBorders>
          </w:tcPr>
          <w:p>
            <w:pPr>
              <w:spacing w:after="0"/>
              <w:rPr>
                <w:sz w:val="9"/>
                <w:szCs w:val="9"/>
                <w:color w:val="auto"/>
              </w:rPr>
            </w:pPr>
          </w:p>
        </w:tc>
      </w:tr>
      <w:tr>
        <w:trPr>
          <w:trHeight w:val="133"/>
        </w:trPr>
        <w:tc>
          <w:tcPr>
            <w:tcW w:w="9180" w:type="dxa"/>
            <w:vAlign w:val="bottom"/>
            <w:shd w:val="clear" w:color="auto" w:fill="CCEEFF"/>
          </w:tcPr>
          <w:p>
            <w:pPr>
              <w:spacing w:after="0" w:line="129" w:lineRule="exact"/>
              <w:rPr>
                <w:sz w:val="20"/>
                <w:szCs w:val="20"/>
                <w:color w:val="auto"/>
              </w:rPr>
            </w:pPr>
            <w:r>
              <w:rPr>
                <w:rFonts w:ascii="Arial" w:cs="Arial" w:eastAsia="Arial" w:hAnsi="Arial"/>
                <w:sz w:val="12"/>
                <w:szCs w:val="12"/>
                <w:color w:val="auto"/>
              </w:rPr>
              <w:t xml:space="preserve">7 </w:t>
            </w:r>
            <w:r>
              <w:rPr>
                <w:rFonts w:ascii="Arial" w:cs="Arial" w:eastAsia="Arial" w:hAnsi="Arial"/>
                <w:sz w:val="7"/>
                <w:szCs w:val="7"/>
                <w:color w:val="auto"/>
              </w:rPr>
              <w:t>7</w:t>
            </w:r>
            <w:r>
              <w:rPr>
                <w:rFonts w:ascii="Arial" w:cs="Arial" w:eastAsia="Arial" w:hAnsi="Arial"/>
                <w:sz w:val="12"/>
                <w:szCs w:val="12"/>
                <w:color w:val="auto"/>
              </w:rPr>
              <w:t>/</w:t>
            </w:r>
            <w:r>
              <w:rPr>
                <w:rFonts w:ascii="Arial" w:cs="Arial" w:eastAsia="Arial" w:hAnsi="Arial"/>
                <w:sz w:val="7"/>
                <w:szCs w:val="7"/>
                <w:color w:val="auto"/>
              </w:rPr>
              <w:t>8</w:t>
            </w:r>
            <w:r>
              <w:rPr>
                <w:rFonts w:ascii="Arial" w:cs="Arial" w:eastAsia="Arial" w:hAnsi="Arial"/>
                <w:sz w:val="12"/>
                <w:szCs w:val="12"/>
                <w:color w:val="auto"/>
              </w:rPr>
              <w:t>% Wynn Las Vegas First Mortgage Notes, due November 1, 2017, net of original issue discount of $2,893 at September 30, 2013 and $7,384 at December 31, 2012</w:t>
            </w:r>
          </w:p>
        </w:tc>
        <w:tc>
          <w:tcPr>
            <w:tcW w:w="100" w:type="dxa"/>
            <w:vAlign w:val="bottom"/>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720" w:type="dxa"/>
            <w:vAlign w:val="bottom"/>
            <w:shd w:val="clear" w:color="auto" w:fill="CCEEFF"/>
          </w:tcPr>
          <w:p>
            <w:pPr>
              <w:jc w:val="right"/>
              <w:spacing w:after="0" w:line="133" w:lineRule="exact"/>
              <w:rPr>
                <w:sz w:val="20"/>
                <w:szCs w:val="20"/>
                <w:color w:val="auto"/>
              </w:rPr>
            </w:pPr>
            <w:r>
              <w:rPr>
                <w:rFonts w:ascii="Arial" w:cs="Arial" w:eastAsia="Arial" w:hAnsi="Arial"/>
                <w:sz w:val="12"/>
                <w:szCs w:val="12"/>
                <w:color w:val="auto"/>
              </w:rPr>
              <w:t>222,402</w:t>
            </w:r>
          </w:p>
        </w:tc>
        <w:tc>
          <w:tcPr>
            <w:tcW w:w="3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700" w:type="dxa"/>
            <w:vAlign w:val="bottom"/>
            <w:shd w:val="clear" w:color="auto" w:fill="CCEEFF"/>
          </w:tcPr>
          <w:p>
            <w:pPr>
              <w:jc w:val="right"/>
              <w:spacing w:after="0" w:line="133" w:lineRule="exact"/>
              <w:rPr>
                <w:sz w:val="20"/>
                <w:szCs w:val="20"/>
                <w:color w:val="auto"/>
              </w:rPr>
            </w:pPr>
            <w:r>
              <w:rPr>
                <w:rFonts w:ascii="Arial" w:cs="Arial" w:eastAsia="Arial" w:hAnsi="Arial"/>
                <w:sz w:val="12"/>
                <w:szCs w:val="12"/>
                <w:color w:val="auto"/>
              </w:rPr>
              <w:t>492,616</w:t>
            </w:r>
          </w:p>
        </w:tc>
        <w:tc>
          <w:tcPr>
            <w:tcW w:w="120" w:type="dxa"/>
            <w:vAlign w:val="bottom"/>
            <w:shd w:val="clear" w:color="auto" w:fill="CCEEFF"/>
          </w:tcPr>
          <w:p>
            <w:pPr>
              <w:spacing w:after="0"/>
              <w:rPr>
                <w:sz w:val="11"/>
                <w:szCs w:val="11"/>
                <w:color w:val="auto"/>
              </w:rPr>
            </w:pPr>
          </w:p>
        </w:tc>
      </w:tr>
      <w:tr>
        <w:trPr>
          <w:trHeight w:val="144"/>
        </w:trPr>
        <w:tc>
          <w:tcPr>
            <w:tcW w:w="9180" w:type="dxa"/>
            <w:vAlign w:val="bottom"/>
          </w:tcPr>
          <w:p>
            <w:pPr>
              <w:spacing w:after="0"/>
              <w:rPr>
                <w:sz w:val="20"/>
                <w:szCs w:val="20"/>
                <w:color w:val="auto"/>
              </w:rPr>
            </w:pPr>
            <w:r>
              <w:rPr>
                <w:rFonts w:ascii="Arial" w:cs="Arial" w:eastAsia="Arial" w:hAnsi="Arial"/>
                <w:sz w:val="12"/>
                <w:szCs w:val="12"/>
                <w:color w:val="auto"/>
              </w:rPr>
              <w:t xml:space="preserve">7 </w:t>
            </w:r>
            <w:r>
              <w:rPr>
                <w:rFonts w:ascii="Arial" w:cs="Arial" w:eastAsia="Arial" w:hAnsi="Arial"/>
                <w:sz w:val="7"/>
                <w:szCs w:val="7"/>
                <w:color w:val="auto"/>
              </w:rPr>
              <w:t>7</w:t>
            </w:r>
            <w:r>
              <w:rPr>
                <w:rFonts w:ascii="Arial" w:cs="Arial" w:eastAsia="Arial" w:hAnsi="Arial"/>
                <w:sz w:val="12"/>
                <w:szCs w:val="12"/>
                <w:color w:val="auto"/>
              </w:rPr>
              <w:t>/</w:t>
            </w:r>
            <w:r>
              <w:rPr>
                <w:rFonts w:ascii="Arial" w:cs="Arial" w:eastAsia="Arial" w:hAnsi="Arial"/>
                <w:sz w:val="7"/>
                <w:szCs w:val="7"/>
                <w:color w:val="auto"/>
              </w:rPr>
              <w:t>8</w:t>
            </w:r>
            <w:r>
              <w:rPr>
                <w:rFonts w:ascii="Arial" w:cs="Arial" w:eastAsia="Arial" w:hAnsi="Arial"/>
                <w:sz w:val="12"/>
                <w:szCs w:val="12"/>
                <w:color w:val="auto"/>
              </w:rPr>
              <w:t>% Wynn Las Vegas First Mortgage Notes, due May 1, 2020, net of original issue discount of $1,507 at September 30, 2013 and $1,632 at December 31, 2012</w:t>
            </w:r>
          </w:p>
        </w:tc>
        <w:tc>
          <w:tcPr>
            <w:tcW w:w="10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Arial" w:cs="Arial" w:eastAsia="Arial" w:hAnsi="Arial"/>
                <w:sz w:val="12"/>
                <w:szCs w:val="12"/>
                <w:color w:val="auto"/>
              </w:rPr>
              <w:t>350,503</w:t>
            </w:r>
          </w:p>
        </w:tc>
        <w:tc>
          <w:tcPr>
            <w:tcW w:w="3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350,378</w:t>
            </w:r>
          </w:p>
        </w:tc>
        <w:tc>
          <w:tcPr>
            <w:tcW w:w="120" w:type="dxa"/>
            <w:vAlign w:val="bottom"/>
          </w:tcPr>
          <w:p>
            <w:pPr>
              <w:spacing w:after="0"/>
              <w:rPr>
                <w:sz w:val="12"/>
                <w:szCs w:val="12"/>
                <w:color w:val="auto"/>
              </w:rPr>
            </w:pPr>
          </w:p>
        </w:tc>
      </w:tr>
      <w:tr>
        <w:trPr>
          <w:trHeight w:val="144"/>
        </w:trPr>
        <w:tc>
          <w:tcPr>
            <w:tcW w:w="9180" w:type="dxa"/>
            <w:vAlign w:val="bottom"/>
            <w:shd w:val="clear" w:color="auto" w:fill="CCEEFF"/>
          </w:tcPr>
          <w:p>
            <w:pPr>
              <w:spacing w:after="0"/>
              <w:rPr>
                <w:sz w:val="20"/>
                <w:szCs w:val="20"/>
                <w:color w:val="auto"/>
              </w:rPr>
            </w:pPr>
            <w:r>
              <w:rPr>
                <w:rFonts w:ascii="Arial" w:cs="Arial" w:eastAsia="Arial" w:hAnsi="Arial"/>
                <w:sz w:val="12"/>
                <w:szCs w:val="12"/>
                <w:color w:val="auto"/>
              </w:rPr>
              <w:t xml:space="preserve">7 </w:t>
            </w:r>
            <w:r>
              <w:rPr>
                <w:rFonts w:ascii="Arial" w:cs="Arial" w:eastAsia="Arial" w:hAnsi="Arial"/>
                <w:sz w:val="7"/>
                <w:szCs w:val="7"/>
                <w:color w:val="auto"/>
              </w:rPr>
              <w:t>3</w:t>
            </w:r>
            <w:r>
              <w:rPr>
                <w:rFonts w:ascii="Arial" w:cs="Arial" w:eastAsia="Arial" w:hAnsi="Arial"/>
                <w:sz w:val="12"/>
                <w:szCs w:val="12"/>
                <w:color w:val="auto"/>
              </w:rPr>
              <w:t>/</w:t>
            </w:r>
            <w:r>
              <w:rPr>
                <w:rFonts w:ascii="Arial" w:cs="Arial" w:eastAsia="Arial" w:hAnsi="Arial"/>
                <w:sz w:val="7"/>
                <w:szCs w:val="7"/>
                <w:color w:val="auto"/>
              </w:rPr>
              <w:t>4</w:t>
            </w:r>
            <w:r>
              <w:rPr>
                <w:rFonts w:ascii="Arial" w:cs="Arial" w:eastAsia="Arial" w:hAnsi="Arial"/>
                <w:sz w:val="12"/>
                <w:szCs w:val="12"/>
                <w:color w:val="auto"/>
              </w:rPr>
              <w:t>% Wynn Las Vegas First Mortgage Notes, due August 15, 2020</w:t>
            </w: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1,320,000</w:t>
            </w:r>
          </w:p>
        </w:tc>
        <w:tc>
          <w:tcPr>
            <w:tcW w:w="3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1,320,000</w:t>
            </w:r>
          </w:p>
        </w:tc>
        <w:tc>
          <w:tcPr>
            <w:tcW w:w="120" w:type="dxa"/>
            <w:vAlign w:val="bottom"/>
            <w:shd w:val="clear" w:color="auto" w:fill="CCEEFF"/>
          </w:tcPr>
          <w:p>
            <w:pPr>
              <w:spacing w:after="0"/>
              <w:rPr>
                <w:sz w:val="12"/>
                <w:szCs w:val="12"/>
                <w:color w:val="auto"/>
              </w:rPr>
            </w:pPr>
          </w:p>
        </w:tc>
      </w:tr>
      <w:tr>
        <w:trPr>
          <w:trHeight w:val="144"/>
        </w:trPr>
        <w:tc>
          <w:tcPr>
            <w:tcW w:w="9180" w:type="dxa"/>
            <w:vAlign w:val="bottom"/>
          </w:tcPr>
          <w:p>
            <w:pPr>
              <w:spacing w:after="0"/>
              <w:rPr>
                <w:sz w:val="20"/>
                <w:szCs w:val="20"/>
                <w:color w:val="auto"/>
              </w:rPr>
            </w:pPr>
            <w:r>
              <w:rPr>
                <w:rFonts w:ascii="Arial" w:cs="Arial" w:eastAsia="Arial" w:hAnsi="Arial"/>
                <w:sz w:val="12"/>
                <w:szCs w:val="12"/>
                <w:color w:val="auto"/>
              </w:rPr>
              <w:t xml:space="preserve">5 </w:t>
            </w:r>
            <w:r>
              <w:rPr>
                <w:rFonts w:ascii="Arial" w:cs="Arial" w:eastAsia="Arial" w:hAnsi="Arial"/>
                <w:sz w:val="7"/>
                <w:szCs w:val="7"/>
                <w:color w:val="auto"/>
              </w:rPr>
              <w:t>3</w:t>
            </w:r>
            <w:r>
              <w:rPr>
                <w:rFonts w:ascii="Arial" w:cs="Arial" w:eastAsia="Arial" w:hAnsi="Arial"/>
                <w:sz w:val="12"/>
                <w:szCs w:val="12"/>
                <w:color w:val="auto"/>
              </w:rPr>
              <w:t>/</w:t>
            </w:r>
            <w:r>
              <w:rPr>
                <w:rFonts w:ascii="Arial" w:cs="Arial" w:eastAsia="Arial" w:hAnsi="Arial"/>
                <w:sz w:val="7"/>
                <w:szCs w:val="7"/>
                <w:color w:val="auto"/>
              </w:rPr>
              <w:t>8</w:t>
            </w:r>
            <w:r>
              <w:rPr>
                <w:rFonts w:ascii="Arial" w:cs="Arial" w:eastAsia="Arial" w:hAnsi="Arial"/>
                <w:sz w:val="12"/>
                <w:szCs w:val="12"/>
                <w:color w:val="auto"/>
              </w:rPr>
              <w:t>% Wynn Las Vegas First Mortgage Notes, due March 15, 2022</w:t>
            </w:r>
          </w:p>
        </w:tc>
        <w:tc>
          <w:tcPr>
            <w:tcW w:w="10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Arial" w:cs="Arial" w:eastAsia="Arial" w:hAnsi="Arial"/>
                <w:sz w:val="12"/>
                <w:szCs w:val="12"/>
                <w:color w:val="auto"/>
              </w:rPr>
              <w:t>900,000</w:t>
            </w:r>
          </w:p>
        </w:tc>
        <w:tc>
          <w:tcPr>
            <w:tcW w:w="3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900,000</w:t>
            </w:r>
          </w:p>
        </w:tc>
        <w:tc>
          <w:tcPr>
            <w:tcW w:w="120" w:type="dxa"/>
            <w:vAlign w:val="bottom"/>
          </w:tcPr>
          <w:p>
            <w:pPr>
              <w:spacing w:after="0"/>
              <w:rPr>
                <w:sz w:val="12"/>
                <w:szCs w:val="12"/>
                <w:color w:val="auto"/>
              </w:rPr>
            </w:pPr>
          </w:p>
        </w:tc>
      </w:tr>
      <w:tr>
        <w:trPr>
          <w:trHeight w:val="144"/>
        </w:trPr>
        <w:tc>
          <w:tcPr>
            <w:tcW w:w="9180" w:type="dxa"/>
            <w:vAlign w:val="bottom"/>
            <w:shd w:val="clear" w:color="auto" w:fill="CCEEFF"/>
          </w:tcPr>
          <w:p>
            <w:pPr>
              <w:spacing w:after="0"/>
              <w:rPr>
                <w:sz w:val="20"/>
                <w:szCs w:val="20"/>
                <w:color w:val="auto"/>
              </w:rPr>
            </w:pPr>
            <w:r>
              <w:rPr>
                <w:rFonts w:ascii="Arial" w:cs="Arial" w:eastAsia="Arial" w:hAnsi="Arial"/>
                <w:sz w:val="12"/>
                <w:szCs w:val="12"/>
                <w:color w:val="auto"/>
              </w:rPr>
              <w:t xml:space="preserve">4 </w:t>
            </w:r>
            <w:r>
              <w:rPr>
                <w:rFonts w:ascii="Arial" w:cs="Arial" w:eastAsia="Arial" w:hAnsi="Arial"/>
                <w:sz w:val="7"/>
                <w:szCs w:val="7"/>
                <w:color w:val="auto"/>
              </w:rPr>
              <w:t>1</w:t>
            </w:r>
            <w:r>
              <w:rPr>
                <w:rFonts w:ascii="Arial" w:cs="Arial" w:eastAsia="Arial" w:hAnsi="Arial"/>
                <w:sz w:val="12"/>
                <w:szCs w:val="12"/>
                <w:color w:val="auto"/>
              </w:rPr>
              <w:t>/</w:t>
            </w:r>
            <w:r>
              <w:rPr>
                <w:rFonts w:ascii="Arial" w:cs="Arial" w:eastAsia="Arial" w:hAnsi="Arial"/>
                <w:sz w:val="7"/>
                <w:szCs w:val="7"/>
                <w:color w:val="auto"/>
              </w:rPr>
              <w:t>4</w:t>
            </w:r>
            <w:r>
              <w:rPr>
                <w:rFonts w:ascii="Arial" w:cs="Arial" w:eastAsia="Arial" w:hAnsi="Arial"/>
                <w:sz w:val="12"/>
                <w:szCs w:val="12"/>
                <w:color w:val="auto"/>
              </w:rPr>
              <w:t>% Wynn Las Vegas Senior Notes, due May 30, 2023</w:t>
            </w: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500,000</w:t>
            </w:r>
          </w:p>
        </w:tc>
        <w:tc>
          <w:tcPr>
            <w:tcW w:w="3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w:t>
            </w:r>
          </w:p>
        </w:tc>
      </w:tr>
      <w:tr>
        <w:trPr>
          <w:trHeight w:val="138"/>
        </w:trPr>
        <w:tc>
          <w:tcPr>
            <w:tcW w:w="9180" w:type="dxa"/>
            <w:vAlign w:val="bottom"/>
          </w:tcPr>
          <w:p>
            <w:pPr>
              <w:spacing w:after="0"/>
              <w:rPr>
                <w:sz w:val="20"/>
                <w:szCs w:val="20"/>
                <w:color w:val="auto"/>
              </w:rPr>
            </w:pPr>
            <w:r>
              <w:rPr>
                <w:rFonts w:ascii="Arial" w:cs="Arial" w:eastAsia="Arial" w:hAnsi="Arial"/>
                <w:sz w:val="12"/>
                <w:szCs w:val="12"/>
                <w:color w:val="auto"/>
                <w:w w:val="93"/>
              </w:rPr>
              <w:t>Wynn Macau Senior Term Loan Facilities (as amended July 2012), due July 31, 2017 and July 31, 2018: interest at LIBOR or HIBOR plus 1.75%-2.50%, net of original issue discount of</w:t>
            </w: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r>
      <w:tr>
        <w:trPr>
          <w:trHeight w:val="148"/>
        </w:trPr>
        <w:tc>
          <w:tcPr>
            <w:tcW w:w="9180" w:type="dxa"/>
            <w:vAlign w:val="bottom"/>
          </w:tcPr>
          <w:p>
            <w:pPr>
              <w:ind w:left="140"/>
              <w:spacing w:after="0"/>
              <w:rPr>
                <w:sz w:val="20"/>
                <w:szCs w:val="20"/>
                <w:color w:val="auto"/>
              </w:rPr>
            </w:pPr>
            <w:r>
              <w:rPr>
                <w:rFonts w:ascii="Arial" w:cs="Arial" w:eastAsia="Arial" w:hAnsi="Arial"/>
                <w:sz w:val="12"/>
                <w:szCs w:val="12"/>
                <w:color w:val="auto"/>
              </w:rPr>
              <w:t>$5,167 at September 30, 2013 and $3,737 at December 31, 2012</w:t>
            </w:r>
          </w:p>
        </w:tc>
        <w:tc>
          <w:tcPr>
            <w:tcW w:w="10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Arial" w:cs="Arial" w:eastAsia="Arial" w:hAnsi="Arial"/>
                <w:sz w:val="12"/>
                <w:szCs w:val="12"/>
                <w:color w:val="auto"/>
              </w:rPr>
              <w:t>947,761</w:t>
            </w:r>
          </w:p>
        </w:tc>
        <w:tc>
          <w:tcPr>
            <w:tcW w:w="3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749,433</w:t>
            </w:r>
          </w:p>
        </w:tc>
        <w:tc>
          <w:tcPr>
            <w:tcW w:w="120" w:type="dxa"/>
            <w:vAlign w:val="bottom"/>
          </w:tcPr>
          <w:p>
            <w:pPr>
              <w:spacing w:after="0"/>
              <w:rPr>
                <w:sz w:val="12"/>
                <w:szCs w:val="12"/>
                <w:color w:val="auto"/>
              </w:rPr>
            </w:pPr>
          </w:p>
        </w:tc>
      </w:tr>
      <w:tr>
        <w:trPr>
          <w:trHeight w:val="146"/>
        </w:trPr>
        <w:tc>
          <w:tcPr>
            <w:tcW w:w="9180" w:type="dxa"/>
            <w:vAlign w:val="bottom"/>
            <w:shd w:val="clear" w:color="auto" w:fill="CCEEFF"/>
          </w:tcPr>
          <w:p>
            <w:pPr>
              <w:spacing w:after="0"/>
              <w:rPr>
                <w:sz w:val="20"/>
                <w:szCs w:val="20"/>
                <w:color w:val="auto"/>
              </w:rPr>
            </w:pPr>
            <w:r>
              <w:rPr>
                <w:rFonts w:ascii="Arial" w:cs="Arial" w:eastAsia="Arial" w:hAnsi="Arial"/>
                <w:sz w:val="12"/>
                <w:szCs w:val="12"/>
                <w:color w:val="auto"/>
              </w:rPr>
              <w:t>Wynn Macau Senior Revolving Credit Facilities, (as amended July 2012) due July 31, 2017; interest at LIBOR or HIBOR plus 1.75%-2.50%</w:t>
            </w:r>
          </w:p>
        </w:tc>
        <w:tc>
          <w:tcPr>
            <w:tcW w:w="10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360"/>
              <w:spacing w:after="0"/>
              <w:rPr>
                <w:sz w:val="20"/>
                <w:szCs w:val="20"/>
                <w:color w:val="auto"/>
              </w:rPr>
            </w:pPr>
            <w:r>
              <w:rPr>
                <w:rFonts w:ascii="Arial" w:cs="Arial" w:eastAsia="Arial" w:hAnsi="Arial"/>
                <w:sz w:val="12"/>
                <w:szCs w:val="12"/>
                <w:color w:val="auto"/>
              </w:rPr>
              <w:t>—</w:t>
            </w:r>
          </w:p>
        </w:tc>
        <w:tc>
          <w:tcPr>
            <w:tcW w:w="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w:t>
            </w:r>
          </w:p>
        </w:tc>
      </w:tr>
      <w:tr>
        <w:trPr>
          <w:trHeight w:val="144"/>
        </w:trPr>
        <w:tc>
          <w:tcPr>
            <w:tcW w:w="9180" w:type="dxa"/>
            <w:vAlign w:val="bottom"/>
          </w:tcPr>
          <w:p>
            <w:pPr>
              <w:spacing w:after="0"/>
              <w:rPr>
                <w:sz w:val="20"/>
                <w:szCs w:val="20"/>
                <w:color w:val="auto"/>
              </w:rPr>
            </w:pPr>
            <w:r>
              <w:rPr>
                <w:rFonts w:ascii="Arial" w:cs="Arial" w:eastAsia="Arial" w:hAnsi="Arial"/>
                <w:sz w:val="12"/>
                <w:szCs w:val="12"/>
                <w:color w:val="auto"/>
              </w:rPr>
              <w:t>Redemption Price Promissory Note with former stockholder and related party, due February 18, 2022; interest at 2%</w:t>
            </w:r>
          </w:p>
        </w:tc>
        <w:tc>
          <w:tcPr>
            <w:tcW w:w="10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Arial" w:cs="Arial" w:eastAsia="Arial" w:hAnsi="Arial"/>
                <w:sz w:val="12"/>
                <w:szCs w:val="12"/>
                <w:color w:val="auto"/>
              </w:rPr>
              <w:t>1,936,443</w:t>
            </w:r>
          </w:p>
        </w:tc>
        <w:tc>
          <w:tcPr>
            <w:tcW w:w="3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1,936,443</w:t>
            </w:r>
          </w:p>
        </w:tc>
        <w:tc>
          <w:tcPr>
            <w:tcW w:w="120" w:type="dxa"/>
            <w:vAlign w:val="bottom"/>
          </w:tcPr>
          <w:p>
            <w:pPr>
              <w:spacing w:after="0"/>
              <w:rPr>
                <w:sz w:val="12"/>
                <w:szCs w:val="12"/>
                <w:color w:val="auto"/>
              </w:rPr>
            </w:pPr>
          </w:p>
        </w:tc>
      </w:tr>
      <w:tr>
        <w:trPr>
          <w:trHeight w:val="144"/>
        </w:trPr>
        <w:tc>
          <w:tcPr>
            <w:tcW w:w="9180" w:type="dxa"/>
            <w:vAlign w:val="bottom"/>
            <w:shd w:val="clear" w:color="auto" w:fill="CCEEFF"/>
          </w:tcPr>
          <w:p>
            <w:pPr>
              <w:spacing w:after="0"/>
              <w:rPr>
                <w:sz w:val="20"/>
                <w:szCs w:val="20"/>
                <w:color w:val="auto"/>
              </w:rPr>
            </w:pPr>
            <w:r>
              <w:rPr>
                <w:rFonts w:ascii="Arial" w:cs="Arial" w:eastAsia="Arial" w:hAnsi="Arial"/>
                <w:sz w:val="12"/>
                <w:szCs w:val="12"/>
                <w:color w:val="auto"/>
              </w:rPr>
              <w:t>$42 million Note Payable, due April 1, 2017; interest at LIBOR plus 1.25%</w:t>
            </w:r>
          </w:p>
        </w:tc>
        <w:tc>
          <w:tcPr>
            <w:tcW w:w="100" w:type="dxa"/>
            <w:vAlign w:val="bottom"/>
            <w:tcBorders>
              <w:bottom w:val="single" w:sz="8" w:color="auto"/>
            </w:tcBorders>
            <w:shd w:val="clear" w:color="auto" w:fill="CCEEFF"/>
          </w:tcPr>
          <w:p>
            <w:pPr>
              <w:spacing w:after="0"/>
              <w:rPr>
                <w:sz w:val="12"/>
                <w:szCs w:val="12"/>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32,900</w:t>
            </w:r>
          </w:p>
        </w:tc>
        <w:tc>
          <w:tcPr>
            <w:tcW w:w="3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33,950</w:t>
            </w:r>
          </w:p>
        </w:tc>
        <w:tc>
          <w:tcPr>
            <w:tcW w:w="120" w:type="dxa"/>
            <w:vAlign w:val="bottom"/>
            <w:shd w:val="clear" w:color="auto" w:fill="CCEEFF"/>
          </w:tcPr>
          <w:p>
            <w:pPr>
              <w:spacing w:after="0"/>
              <w:rPr>
                <w:sz w:val="12"/>
                <w:szCs w:val="12"/>
                <w:color w:val="auto"/>
              </w:rPr>
            </w:pPr>
          </w:p>
        </w:tc>
      </w:tr>
      <w:tr>
        <w:trPr>
          <w:trHeight w:val="140"/>
        </w:trPr>
        <w:tc>
          <w:tcPr>
            <w:tcW w:w="9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Arial" w:cs="Arial" w:eastAsia="Arial" w:hAnsi="Arial"/>
                <w:sz w:val="12"/>
                <w:szCs w:val="12"/>
                <w:color w:val="auto"/>
              </w:rPr>
              <w:t>6,210,009</w:t>
            </w:r>
          </w:p>
        </w:tc>
        <w:tc>
          <w:tcPr>
            <w:tcW w:w="3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5,782,820</w:t>
            </w:r>
          </w:p>
        </w:tc>
        <w:tc>
          <w:tcPr>
            <w:tcW w:w="120" w:type="dxa"/>
            <w:vAlign w:val="bottom"/>
          </w:tcPr>
          <w:p>
            <w:pPr>
              <w:spacing w:after="0"/>
              <w:rPr>
                <w:sz w:val="12"/>
                <w:szCs w:val="12"/>
                <w:color w:val="auto"/>
              </w:rPr>
            </w:pPr>
          </w:p>
        </w:tc>
      </w:tr>
      <w:tr>
        <w:trPr>
          <w:trHeight w:val="146"/>
        </w:trPr>
        <w:tc>
          <w:tcPr>
            <w:tcW w:w="9180" w:type="dxa"/>
            <w:vAlign w:val="bottom"/>
            <w:shd w:val="clear" w:color="auto" w:fill="CCEEFF"/>
          </w:tcPr>
          <w:p>
            <w:pPr>
              <w:spacing w:after="0"/>
              <w:rPr>
                <w:sz w:val="20"/>
                <w:szCs w:val="20"/>
                <w:color w:val="auto"/>
              </w:rPr>
            </w:pPr>
            <w:r>
              <w:rPr>
                <w:rFonts w:ascii="Arial" w:cs="Arial" w:eastAsia="Arial" w:hAnsi="Arial"/>
                <w:sz w:val="12"/>
                <w:szCs w:val="12"/>
                <w:color w:val="auto"/>
              </w:rPr>
              <w:t>Current portion of long-term debt</w:t>
            </w:r>
          </w:p>
        </w:tc>
        <w:tc>
          <w:tcPr>
            <w:tcW w:w="10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260"/>
              <w:spacing w:after="0"/>
              <w:rPr>
                <w:sz w:val="20"/>
                <w:szCs w:val="20"/>
                <w:color w:val="auto"/>
              </w:rPr>
            </w:pPr>
            <w:r>
              <w:rPr>
                <w:rFonts w:ascii="Arial" w:cs="Arial" w:eastAsia="Arial" w:hAnsi="Arial"/>
                <w:sz w:val="12"/>
                <w:szCs w:val="12"/>
                <w:color w:val="auto"/>
              </w:rPr>
              <w:t>(223,452)</w:t>
            </w:r>
          </w:p>
        </w:tc>
        <w:tc>
          <w:tcPr>
            <w:tcW w:w="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(1,050)</w:t>
            </w:r>
          </w:p>
        </w:tc>
      </w:tr>
      <w:tr>
        <w:trPr>
          <w:trHeight w:val="149"/>
        </w:trPr>
        <w:tc>
          <w:tcPr>
            <w:tcW w:w="9180" w:type="dxa"/>
            <w:vAlign w:val="bottom"/>
          </w:tcPr>
          <w:p>
            <w:pPr>
              <w:spacing w:after="0"/>
              <w:rPr>
                <w:sz w:val="12"/>
                <w:szCs w:val="12"/>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9"/>
                <w:szCs w:val="9"/>
                <w:color w:val="auto"/>
                <w:w w:val="78"/>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5,986,557</w:t>
            </w:r>
          </w:p>
        </w:tc>
        <w:tc>
          <w:tcPr>
            <w:tcW w:w="3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9"/>
                <w:szCs w:val="9"/>
                <w:color w:val="auto"/>
                <w:w w:val="78"/>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5,781,770</w:t>
            </w:r>
          </w:p>
        </w:tc>
        <w:tc>
          <w:tcPr>
            <w:tcW w:w="120" w:type="dxa"/>
            <w:vAlign w:val="bottom"/>
          </w:tcPr>
          <w:p>
            <w:pPr>
              <w:spacing w:after="0"/>
              <w:rPr>
                <w:sz w:val="12"/>
                <w:szCs w:val="12"/>
                <w:color w:val="auto"/>
              </w:rPr>
            </w:pPr>
          </w:p>
        </w:tc>
      </w:tr>
    </w:tbl>
    <w:p>
      <w:pPr>
        <w:spacing w:after="0" w:line="165" w:lineRule="exact"/>
        <w:rPr>
          <w:sz w:val="20"/>
          <w:szCs w:val="20"/>
          <w:color w:val="auto"/>
        </w:rPr>
      </w:pPr>
    </w:p>
    <w:p>
      <w:pPr>
        <w:ind w:left="228"/>
        <w:spacing w:after="0"/>
        <w:rPr>
          <w:sz w:val="20"/>
          <w:szCs w:val="20"/>
          <w:color w:val="auto"/>
        </w:rPr>
      </w:pPr>
      <w:r>
        <w:rPr>
          <w:rFonts w:ascii="Arial" w:cs="Arial" w:eastAsia="Arial" w:hAnsi="Arial"/>
          <w:sz w:val="12"/>
          <w:szCs w:val="12"/>
          <w:i w:val="1"/>
          <w:iCs w:val="1"/>
          <w:color w:val="auto"/>
        </w:rPr>
        <w:t>Wynn Las Vegas First Mortgage Notes</w:t>
      </w:r>
    </w:p>
    <w:p>
      <w:pPr>
        <w:spacing w:after="0" w:line="60" w:lineRule="exact"/>
        <w:rPr>
          <w:sz w:val="20"/>
          <w:szCs w:val="20"/>
          <w:color w:val="auto"/>
        </w:rPr>
      </w:pPr>
    </w:p>
    <w:p>
      <w:pPr>
        <w:ind w:left="8" w:right="20" w:firstLine="459"/>
        <w:spacing w:after="0" w:line="259" w:lineRule="auto"/>
        <w:rPr>
          <w:sz w:val="20"/>
          <w:szCs w:val="20"/>
          <w:color w:val="auto"/>
        </w:rPr>
      </w:pPr>
      <w:r>
        <w:rPr>
          <w:rFonts w:ascii="Arial" w:cs="Arial" w:eastAsia="Arial" w:hAnsi="Arial"/>
          <w:sz w:val="12"/>
          <w:szCs w:val="12"/>
          <w:color w:val="auto"/>
        </w:rPr>
        <w:t xml:space="preserve">On May 15, 2013, Wynn Las Vegas, LLC (“Wynn Las Vegas”), an indirect wholly owned subsidiary of Wynn Resorts, Limited, commenced a cash tender offer (the “tender offer”) for any and all of the outstanding $500 million aggregate principal amount of the 7 </w:t>
      </w:r>
      <w:r>
        <w:rPr>
          <w:rFonts w:ascii="Arial" w:cs="Arial" w:eastAsia="Arial" w:hAnsi="Arial"/>
          <w:sz w:val="7"/>
          <w:szCs w:val="7"/>
          <w:color w:val="auto"/>
        </w:rPr>
        <w:t>7</w:t>
      </w:r>
      <w:r>
        <w:rPr>
          <w:rFonts w:ascii="Arial" w:cs="Arial" w:eastAsia="Arial" w:hAnsi="Arial"/>
          <w:sz w:val="12"/>
          <w:szCs w:val="12"/>
          <w:color w:val="auto"/>
        </w:rPr>
        <w:t>/</w:t>
      </w:r>
      <w:r>
        <w:rPr>
          <w:rFonts w:ascii="Arial" w:cs="Arial" w:eastAsia="Arial" w:hAnsi="Arial"/>
          <w:sz w:val="7"/>
          <w:szCs w:val="7"/>
          <w:color w:val="auto"/>
        </w:rPr>
        <w:t>8</w:t>
      </w:r>
      <w:r>
        <w:rPr>
          <w:rFonts w:ascii="Arial" w:cs="Arial" w:eastAsia="Arial" w:hAnsi="Arial"/>
          <w:sz w:val="12"/>
          <w:szCs w:val="12"/>
          <w:color w:val="auto"/>
        </w:rPr>
        <w:t>% First Mortgage Notes due 2017 (the “2017 Notes”) of Wynn Las Vegas and Wynn Las Vegas Capital Corp., an indirect wholly owned subsidiary of Wynn Resorts, Limited (together with Wynn Las Vegas, the “Issuers”), and a solicitation of consents to certain proposed amendments to the indenture (the “2017 Indenture”) governing the 2017 Notes.</w:t>
      </w:r>
    </w:p>
    <w:p>
      <w:pPr>
        <w:spacing w:after="0" w:line="94" w:lineRule="exact"/>
        <w:rPr>
          <w:sz w:val="20"/>
          <w:szCs w:val="20"/>
          <w:color w:val="auto"/>
        </w:rPr>
      </w:pPr>
    </w:p>
    <w:p>
      <w:pPr>
        <w:ind w:left="8" w:right="100" w:firstLine="459"/>
        <w:spacing w:after="0" w:line="287" w:lineRule="auto"/>
        <w:rPr>
          <w:sz w:val="20"/>
          <w:szCs w:val="20"/>
          <w:color w:val="auto"/>
        </w:rPr>
      </w:pPr>
      <w:r>
        <w:rPr>
          <w:rFonts w:ascii="Arial" w:cs="Arial" w:eastAsia="Arial" w:hAnsi="Arial"/>
          <w:sz w:val="11"/>
          <w:szCs w:val="11"/>
          <w:color w:val="auto"/>
        </w:rPr>
        <w:t>The tender offer expired on May 21, 2013 and at the time of expiration, Wynn Las Vegas had received valid tenders with respect to approximately $274.7 million of the $500 million aggregate principal amount of the 2017 Notes outstanding. On May 22, 2013, note holders who validly tendered their 2017 Notes received the total consideration of $1,071.45 for each $1,000 principal amount of 2017 Notes, the premium portion of which totaled approximately $19.6 million. In accordance with accounting standards, the tender offer premium was expensed and is included in loss on extinguishment of debt in the accompanying Condensed Consolidated Statements of Income. In addition, upon the tender offer completion, the Issuers entered into a supplemental indenture, which eliminated substantially all of the restrictive covenants and certain events of default from the 2017 Indenture.</w:t>
      </w:r>
    </w:p>
    <w:p>
      <w:pPr>
        <w:spacing w:after="0" w:line="80" w:lineRule="exact"/>
        <w:rPr>
          <w:sz w:val="20"/>
          <w:szCs w:val="20"/>
          <w:color w:val="auto"/>
        </w:rPr>
      </w:pPr>
    </w:p>
    <w:p>
      <w:pPr>
        <w:ind w:left="8" w:right="80" w:firstLine="459"/>
        <w:spacing w:after="0" w:line="268" w:lineRule="auto"/>
        <w:rPr>
          <w:sz w:val="20"/>
          <w:szCs w:val="20"/>
          <w:color w:val="auto"/>
        </w:rPr>
      </w:pPr>
      <w:r>
        <w:rPr>
          <w:rFonts w:ascii="Arial" w:cs="Arial" w:eastAsia="Arial" w:hAnsi="Arial"/>
          <w:sz w:val="12"/>
          <w:szCs w:val="12"/>
          <w:color w:val="auto"/>
        </w:rPr>
        <w:t>Also in connection with this transaction, the Company expensed $6.7 million of unamortized debt issue costs and original issue discount related to the 2017 Notes and incurred other fees of approximately $0.3 million that are included in loss on extinguishment of debt in the accompanying Condensed Consolidated Statements of Income.</w:t>
      </w:r>
    </w:p>
    <w:p>
      <w:pPr>
        <w:spacing w:after="0" w:line="79" w:lineRule="exact"/>
        <w:rPr>
          <w:sz w:val="20"/>
          <w:szCs w:val="20"/>
          <w:color w:val="auto"/>
        </w:rPr>
      </w:pPr>
    </w:p>
    <w:p>
      <w:pPr>
        <w:jc w:val="center"/>
        <w:ind w:right="-7"/>
        <w:spacing w:after="0"/>
        <w:rPr>
          <w:sz w:val="20"/>
          <w:szCs w:val="20"/>
          <w:color w:val="auto"/>
        </w:rPr>
      </w:pPr>
      <w:r>
        <w:rPr>
          <w:rFonts w:ascii="Arial" w:cs="Arial" w:eastAsia="Arial" w:hAnsi="Arial"/>
          <w:sz w:val="12"/>
          <w:szCs w:val="12"/>
          <w:color w:val="auto"/>
        </w:rPr>
        <w:t>15</w:t>
      </w:r>
    </w:p>
    <w:p>
      <w:pPr>
        <w:sectPr>
          <w:pgSz w:w="11900" w:h="16838" w:orient="portrait"/>
          <w:cols w:equalWidth="0" w:num="1">
            <w:col w:w="11488"/>
          </w:cols>
          <w:pgMar w:left="212" w:top="354" w:right="199" w:bottom="1440" w:gutter="0" w:footer="0" w:header="0"/>
        </w:sectPr>
      </w:pPr>
    </w:p>
    <w:bookmarkStart w:id="15" w:name="page16"/>
    <w:bookmarkEnd w:id="15"/>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121920</wp:posOffset>
            </wp:positionH>
            <wp:positionV relativeFrom="page">
              <wp:posOffset>88900</wp:posOffset>
            </wp:positionV>
            <wp:extent cx="7329170" cy="298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329170" cy="29845"/>
                    </a:xfrm>
                    <a:prstGeom prst="rect">
                      <a:avLst/>
                    </a:prstGeom>
                    <a:noFill/>
                  </pic:spPr>
                </pic:pic>
              </a:graphicData>
            </a:graphic>
          </wp:anchor>
        </w:drawing>
      </w:r>
      <w:hyperlink w:anchor="page2">
        <w:r>
          <w:rPr>
            <w:rFonts w:ascii="Arial" w:cs="Arial" w:eastAsia="Arial" w:hAnsi="Arial"/>
            <w:sz w:val="12"/>
            <w:szCs w:val="12"/>
            <w:b w:val="1"/>
            <w:bCs w:val="1"/>
            <w:u w:val="single" w:color="auto"/>
            <w:color w:val="0000EE"/>
          </w:rPr>
          <w:t>Table of Contents</w:t>
        </w:r>
      </w:hyperlink>
    </w:p>
    <w:p>
      <w:pPr>
        <w:spacing w:after="0" w:line="209" w:lineRule="exact"/>
        <w:rPr>
          <w:sz w:val="20"/>
          <w:szCs w:val="20"/>
          <w:color w:val="auto"/>
        </w:rPr>
      </w:pPr>
    </w:p>
    <w:p>
      <w:pPr>
        <w:ind w:right="200" w:firstLine="459"/>
        <w:spacing w:after="0" w:line="268" w:lineRule="auto"/>
        <w:rPr>
          <w:sz w:val="20"/>
          <w:szCs w:val="20"/>
          <w:color w:val="auto"/>
        </w:rPr>
      </w:pPr>
      <w:r>
        <w:rPr>
          <w:rFonts w:ascii="Arial" w:cs="Arial" w:eastAsia="Arial" w:hAnsi="Arial"/>
          <w:sz w:val="12"/>
          <w:szCs w:val="12"/>
          <w:color w:val="auto"/>
        </w:rPr>
        <w:t>On November 1, 2013, Wynn Las Vegas redeemed the untendered 2017 Notes principal amount of $225.3 million. The redemption price was equal to 103.938% of the aggregate principal amount of the 2017 Notes plus accrued and unpaid interest on November 1, 2013. The total redemption fees paid were $8.9 million.</w:t>
      </w:r>
    </w:p>
    <w:p>
      <w:pPr>
        <w:spacing w:after="0" w:line="142" w:lineRule="exact"/>
        <w:rPr>
          <w:sz w:val="20"/>
          <w:szCs w:val="20"/>
          <w:color w:val="auto"/>
        </w:rPr>
      </w:pPr>
    </w:p>
    <w:p>
      <w:pPr>
        <w:ind w:left="220"/>
        <w:spacing w:after="0"/>
        <w:rPr>
          <w:sz w:val="20"/>
          <w:szCs w:val="20"/>
          <w:color w:val="auto"/>
        </w:rPr>
      </w:pPr>
      <w:r>
        <w:rPr>
          <w:rFonts w:ascii="Arial" w:cs="Arial" w:eastAsia="Arial" w:hAnsi="Arial"/>
          <w:sz w:val="12"/>
          <w:szCs w:val="12"/>
          <w:i w:val="1"/>
          <w:iCs w:val="1"/>
          <w:color w:val="auto"/>
        </w:rPr>
        <w:t>Wynn Las Vegas 2023 Notes</w:t>
      </w:r>
    </w:p>
    <w:p>
      <w:pPr>
        <w:spacing w:after="0" w:line="60" w:lineRule="exact"/>
        <w:rPr>
          <w:sz w:val="20"/>
          <w:szCs w:val="20"/>
          <w:color w:val="auto"/>
        </w:rPr>
      </w:pPr>
    </w:p>
    <w:p>
      <w:pPr>
        <w:ind w:firstLine="459"/>
        <w:spacing w:after="0" w:line="256" w:lineRule="auto"/>
        <w:rPr>
          <w:sz w:val="20"/>
          <w:szCs w:val="20"/>
          <w:color w:val="auto"/>
        </w:rPr>
      </w:pPr>
      <w:r>
        <w:rPr>
          <w:rFonts w:ascii="Arial" w:cs="Arial" w:eastAsia="Arial" w:hAnsi="Arial"/>
          <w:sz w:val="12"/>
          <w:szCs w:val="12"/>
          <w:color w:val="auto"/>
        </w:rPr>
        <w:t xml:space="preserve">Separately, on May 22, 2013, the Issuers completed the issuance of $500 million aggregate principal amount of 4 </w:t>
      </w:r>
      <w:r>
        <w:rPr>
          <w:rFonts w:ascii="Arial" w:cs="Arial" w:eastAsia="Arial" w:hAnsi="Arial"/>
          <w:sz w:val="7"/>
          <w:szCs w:val="7"/>
          <w:color w:val="auto"/>
        </w:rPr>
        <w:t>1</w:t>
      </w:r>
      <w:r>
        <w:rPr>
          <w:rFonts w:ascii="Arial" w:cs="Arial" w:eastAsia="Arial" w:hAnsi="Arial"/>
          <w:sz w:val="12"/>
          <w:szCs w:val="12"/>
          <w:color w:val="auto"/>
        </w:rPr>
        <w:t>/</w:t>
      </w:r>
      <w:r>
        <w:rPr>
          <w:rFonts w:ascii="Arial" w:cs="Arial" w:eastAsia="Arial" w:hAnsi="Arial"/>
          <w:sz w:val="7"/>
          <w:szCs w:val="7"/>
          <w:color w:val="auto"/>
        </w:rPr>
        <w:t>4</w:t>
      </w:r>
      <w:r>
        <w:rPr>
          <w:rFonts w:ascii="Arial" w:cs="Arial" w:eastAsia="Arial" w:hAnsi="Arial"/>
          <w:sz w:val="12"/>
          <w:szCs w:val="12"/>
          <w:color w:val="auto"/>
        </w:rPr>
        <w:t>% Senior Notes due 2023 (the “2023 Notes”) pursuant to an indenture, dated as of May 22, 2013 (the “2023 Indenture”), among the Issuers, the Guarantors (as defined below) and U.S. Bank National Association, as trustee. The 2023 Notes were issued at par. The Issuers used the net proceeds from the 2023 Notes to cover the cost of purchasing the 2017 Notes tendered in the tender offer. In addition, the Issuers satisfied and discharged the 2017 Indenture and, in November 2013, used the remaining net proceeds to redeem all of the 2017 Notes not previously tendered. In connection with the issuance of the 2023 Notes, the Company capitalized approximately $4.1 million of financing costs.</w:t>
      </w:r>
    </w:p>
    <w:p>
      <w:pPr>
        <w:spacing w:after="0" w:line="96" w:lineRule="exact"/>
        <w:rPr>
          <w:sz w:val="20"/>
          <w:szCs w:val="20"/>
          <w:color w:val="auto"/>
        </w:rPr>
      </w:pPr>
    </w:p>
    <w:p>
      <w:pPr>
        <w:ind w:right="40" w:firstLine="459"/>
        <w:spacing w:after="0" w:line="318" w:lineRule="auto"/>
        <w:rPr>
          <w:sz w:val="20"/>
          <w:szCs w:val="20"/>
          <w:color w:val="auto"/>
        </w:rPr>
      </w:pPr>
      <w:r>
        <w:rPr>
          <w:rFonts w:ascii="Arial" w:cs="Arial" w:eastAsia="Arial" w:hAnsi="Arial"/>
          <w:sz w:val="10"/>
          <w:szCs w:val="10"/>
          <w:color w:val="auto"/>
        </w:rPr>
        <w:t xml:space="preserve">The 2023 Notes will mature on May 30, 2023 and bear interest at the rate of 4 </w:t>
      </w:r>
      <w:r>
        <w:rPr>
          <w:rFonts w:ascii="Arial" w:cs="Arial" w:eastAsia="Arial" w:hAnsi="Arial"/>
          <w:sz w:val="6"/>
          <w:szCs w:val="6"/>
          <w:color w:val="auto"/>
        </w:rPr>
        <w:t>1</w:t>
      </w:r>
      <w:r>
        <w:rPr>
          <w:rFonts w:ascii="Arial" w:cs="Arial" w:eastAsia="Arial" w:hAnsi="Arial"/>
          <w:sz w:val="10"/>
          <w:szCs w:val="10"/>
          <w:color w:val="auto"/>
        </w:rPr>
        <w:t>/</w:t>
      </w:r>
      <w:r>
        <w:rPr>
          <w:rFonts w:ascii="Arial" w:cs="Arial" w:eastAsia="Arial" w:hAnsi="Arial"/>
          <w:sz w:val="6"/>
          <w:szCs w:val="6"/>
          <w:color w:val="auto"/>
        </w:rPr>
        <w:t>4</w:t>
      </w:r>
      <w:r>
        <w:rPr>
          <w:rFonts w:ascii="Arial" w:cs="Arial" w:eastAsia="Arial" w:hAnsi="Arial"/>
          <w:sz w:val="10"/>
          <w:szCs w:val="10"/>
          <w:color w:val="auto"/>
        </w:rPr>
        <w:t>% per annum. The Issuers may, at their option, redeem the 2023 Notes, in whole or in part, at any time or from time to time prior to their stated maturity. The redemption price for 2023 Notes that are redeemed before February 28, 2023 will be equal to the greater of (a) 100% of the principal amount of the 2023 Notes to be redeemed or (b) a “make-whole” amount described in the 2023 Indenture, plus in either case accrued and unpaid interest to, but not including, the redemption date. The redemption price for the 2023 Notes that are redeemed on or after February 28, 2023 will be equal to 100% of the principal amount of the 2023 Notes to be redeemed, plus accrued and unpaid interest to, but not including, the redemption date. In the event of a change of control triggering event, the Issuers will be required to offer to repurchase the 2023 Notes at 101% of the principal amount, plus accrued and unpaid interest to but not including the repurchase date. The 2023 Notes are also subject to mandatory redemption requirements imposed by gaming laws and regulations of gaming authorities in Nevada.</w:t>
      </w:r>
    </w:p>
    <w:p>
      <w:pPr>
        <w:spacing w:after="0" w:line="67" w:lineRule="exact"/>
        <w:rPr>
          <w:sz w:val="20"/>
          <w:szCs w:val="20"/>
          <w:color w:val="auto"/>
        </w:rPr>
      </w:pPr>
    </w:p>
    <w:p>
      <w:pPr>
        <w:ind w:right="20" w:firstLine="459"/>
        <w:spacing w:after="0" w:line="256" w:lineRule="auto"/>
        <w:rPr>
          <w:sz w:val="20"/>
          <w:szCs w:val="20"/>
          <w:color w:val="auto"/>
        </w:rPr>
      </w:pPr>
      <w:r>
        <w:rPr>
          <w:rFonts w:ascii="Arial" w:cs="Arial" w:eastAsia="Arial" w:hAnsi="Arial"/>
          <w:sz w:val="12"/>
          <w:szCs w:val="12"/>
          <w:color w:val="auto"/>
        </w:rPr>
        <w:t xml:space="preserve">The 2023 Notes are the Issuers’ senior unsecured obligations and rank pari passu in right of payment with the Issuers’ outstanding 7 </w:t>
      </w:r>
      <w:r>
        <w:rPr>
          <w:rFonts w:ascii="Arial" w:cs="Arial" w:eastAsia="Arial" w:hAnsi="Arial"/>
          <w:sz w:val="7"/>
          <w:szCs w:val="7"/>
          <w:color w:val="auto"/>
        </w:rPr>
        <w:t>7</w:t>
      </w:r>
      <w:r>
        <w:rPr>
          <w:rFonts w:ascii="Arial" w:cs="Arial" w:eastAsia="Arial" w:hAnsi="Arial"/>
          <w:sz w:val="12"/>
          <w:szCs w:val="12"/>
          <w:color w:val="auto"/>
        </w:rPr>
        <w:t>/</w:t>
      </w:r>
      <w:r>
        <w:rPr>
          <w:rFonts w:ascii="Arial" w:cs="Arial" w:eastAsia="Arial" w:hAnsi="Arial"/>
          <w:sz w:val="7"/>
          <w:szCs w:val="7"/>
          <w:color w:val="auto"/>
        </w:rPr>
        <w:t>8</w:t>
      </w:r>
      <w:r>
        <w:rPr>
          <w:rFonts w:ascii="Arial" w:cs="Arial" w:eastAsia="Arial" w:hAnsi="Arial"/>
          <w:sz w:val="12"/>
          <w:szCs w:val="12"/>
          <w:color w:val="auto"/>
        </w:rPr>
        <w:t xml:space="preserve"> % First Mortgage Notes due 2020 (“7 </w:t>
      </w:r>
      <w:r>
        <w:rPr>
          <w:rFonts w:ascii="Arial" w:cs="Arial" w:eastAsia="Arial" w:hAnsi="Arial"/>
          <w:sz w:val="7"/>
          <w:szCs w:val="7"/>
          <w:color w:val="auto"/>
        </w:rPr>
        <w:t>7</w:t>
      </w:r>
      <w:r>
        <w:rPr>
          <w:rFonts w:ascii="Arial" w:cs="Arial" w:eastAsia="Arial" w:hAnsi="Arial"/>
          <w:sz w:val="12"/>
          <w:szCs w:val="12"/>
          <w:color w:val="auto"/>
        </w:rPr>
        <w:t>/</w:t>
      </w:r>
      <w:r>
        <w:rPr>
          <w:rFonts w:ascii="Arial" w:cs="Arial" w:eastAsia="Arial" w:hAnsi="Arial"/>
          <w:sz w:val="7"/>
          <w:szCs w:val="7"/>
          <w:color w:val="auto"/>
        </w:rPr>
        <w:t>8</w:t>
      </w:r>
      <w:r>
        <w:rPr>
          <w:rFonts w:ascii="Arial" w:cs="Arial" w:eastAsia="Arial" w:hAnsi="Arial"/>
          <w:sz w:val="12"/>
          <w:szCs w:val="12"/>
          <w:color w:val="auto"/>
        </w:rPr>
        <w:t xml:space="preserve">% 2020 Notes”), 7 </w:t>
      </w:r>
      <w:r>
        <w:rPr>
          <w:rFonts w:ascii="Arial" w:cs="Arial" w:eastAsia="Arial" w:hAnsi="Arial"/>
          <w:sz w:val="7"/>
          <w:szCs w:val="7"/>
          <w:color w:val="auto"/>
        </w:rPr>
        <w:t>3</w:t>
      </w:r>
      <w:r>
        <w:rPr>
          <w:rFonts w:ascii="Arial" w:cs="Arial" w:eastAsia="Arial" w:hAnsi="Arial"/>
          <w:sz w:val="12"/>
          <w:szCs w:val="12"/>
          <w:color w:val="auto"/>
        </w:rPr>
        <w:t>/</w:t>
      </w:r>
      <w:r>
        <w:rPr>
          <w:rFonts w:ascii="Arial" w:cs="Arial" w:eastAsia="Arial" w:hAnsi="Arial"/>
          <w:sz w:val="7"/>
          <w:szCs w:val="7"/>
          <w:color w:val="auto"/>
        </w:rPr>
        <w:t>4</w:t>
      </w:r>
      <w:r>
        <w:rPr>
          <w:rFonts w:ascii="Arial" w:cs="Arial" w:eastAsia="Arial" w:hAnsi="Arial"/>
          <w:sz w:val="12"/>
          <w:szCs w:val="12"/>
          <w:color w:val="auto"/>
        </w:rPr>
        <w:t xml:space="preserve"> % First Mortgage Notes due 2020 (the “7 </w:t>
      </w:r>
      <w:r>
        <w:rPr>
          <w:rFonts w:ascii="Arial" w:cs="Arial" w:eastAsia="Arial" w:hAnsi="Arial"/>
          <w:sz w:val="7"/>
          <w:szCs w:val="7"/>
          <w:color w:val="auto"/>
        </w:rPr>
        <w:t>3</w:t>
      </w:r>
      <w:r>
        <w:rPr>
          <w:rFonts w:ascii="Arial" w:cs="Arial" w:eastAsia="Arial" w:hAnsi="Arial"/>
          <w:sz w:val="12"/>
          <w:szCs w:val="12"/>
          <w:color w:val="auto"/>
        </w:rPr>
        <w:t>/</w:t>
      </w:r>
      <w:r>
        <w:rPr>
          <w:rFonts w:ascii="Arial" w:cs="Arial" w:eastAsia="Arial" w:hAnsi="Arial"/>
          <w:sz w:val="7"/>
          <w:szCs w:val="7"/>
          <w:color w:val="auto"/>
        </w:rPr>
        <w:t>4</w:t>
      </w:r>
      <w:r>
        <w:rPr>
          <w:rFonts w:ascii="Arial" w:cs="Arial" w:eastAsia="Arial" w:hAnsi="Arial"/>
          <w:sz w:val="12"/>
          <w:szCs w:val="12"/>
          <w:color w:val="auto"/>
        </w:rPr>
        <w:t xml:space="preserve"> % 2020 Notes”) and 5 </w:t>
      </w:r>
      <w:r>
        <w:rPr>
          <w:rFonts w:ascii="Arial" w:cs="Arial" w:eastAsia="Arial" w:hAnsi="Arial"/>
          <w:sz w:val="7"/>
          <w:szCs w:val="7"/>
          <w:color w:val="auto"/>
        </w:rPr>
        <w:t>3</w:t>
      </w:r>
      <w:r>
        <w:rPr>
          <w:rFonts w:ascii="Arial" w:cs="Arial" w:eastAsia="Arial" w:hAnsi="Arial"/>
          <w:sz w:val="12"/>
          <w:szCs w:val="12"/>
          <w:color w:val="auto"/>
        </w:rPr>
        <w:t>/</w:t>
      </w:r>
      <w:r>
        <w:rPr>
          <w:rFonts w:ascii="Arial" w:cs="Arial" w:eastAsia="Arial" w:hAnsi="Arial"/>
          <w:sz w:val="7"/>
          <w:szCs w:val="7"/>
          <w:color w:val="auto"/>
        </w:rPr>
        <w:t>8</w:t>
      </w:r>
      <w:r>
        <w:rPr>
          <w:rFonts w:ascii="Arial" w:cs="Arial" w:eastAsia="Arial" w:hAnsi="Arial"/>
          <w:sz w:val="12"/>
          <w:szCs w:val="12"/>
          <w:color w:val="auto"/>
        </w:rPr>
        <w:t xml:space="preserve"> % First Mortgage Notes due 2022 (the “2022 Notes” and, together with the 7 </w:t>
      </w:r>
      <w:r>
        <w:rPr>
          <w:rFonts w:ascii="Arial" w:cs="Arial" w:eastAsia="Arial" w:hAnsi="Arial"/>
          <w:sz w:val="7"/>
          <w:szCs w:val="7"/>
          <w:color w:val="auto"/>
        </w:rPr>
        <w:t>7</w:t>
      </w:r>
      <w:r>
        <w:rPr>
          <w:rFonts w:ascii="Arial" w:cs="Arial" w:eastAsia="Arial" w:hAnsi="Arial"/>
          <w:sz w:val="12"/>
          <w:szCs w:val="12"/>
          <w:color w:val="auto"/>
        </w:rPr>
        <w:t>/</w:t>
      </w:r>
      <w:r>
        <w:rPr>
          <w:rFonts w:ascii="Arial" w:cs="Arial" w:eastAsia="Arial" w:hAnsi="Arial"/>
          <w:sz w:val="7"/>
          <w:szCs w:val="7"/>
          <w:color w:val="auto"/>
        </w:rPr>
        <w:t>8</w:t>
      </w:r>
      <w:r>
        <w:rPr>
          <w:rFonts w:ascii="Arial" w:cs="Arial" w:eastAsia="Arial" w:hAnsi="Arial"/>
          <w:sz w:val="12"/>
          <w:szCs w:val="12"/>
          <w:color w:val="auto"/>
        </w:rPr>
        <w:t xml:space="preserve"> % 2020 Notes and 7 </w:t>
      </w:r>
      <w:r>
        <w:rPr>
          <w:rFonts w:ascii="Arial" w:cs="Arial" w:eastAsia="Arial" w:hAnsi="Arial"/>
          <w:sz w:val="7"/>
          <w:szCs w:val="7"/>
          <w:color w:val="auto"/>
        </w:rPr>
        <w:t>3</w:t>
      </w:r>
      <w:r>
        <w:rPr>
          <w:rFonts w:ascii="Arial" w:cs="Arial" w:eastAsia="Arial" w:hAnsi="Arial"/>
          <w:sz w:val="12"/>
          <w:szCs w:val="12"/>
          <w:color w:val="auto"/>
        </w:rPr>
        <w:t>/</w:t>
      </w:r>
      <w:r>
        <w:rPr>
          <w:rFonts w:ascii="Arial" w:cs="Arial" w:eastAsia="Arial" w:hAnsi="Arial"/>
          <w:sz w:val="7"/>
          <w:szCs w:val="7"/>
          <w:color w:val="auto"/>
        </w:rPr>
        <w:t>4</w:t>
      </w:r>
      <w:r>
        <w:rPr>
          <w:rFonts w:ascii="Arial" w:cs="Arial" w:eastAsia="Arial" w:hAnsi="Arial"/>
          <w:sz w:val="12"/>
          <w:szCs w:val="12"/>
          <w:color w:val="auto"/>
        </w:rPr>
        <w:t xml:space="preserve"> % 2020 Notes, the “Existing Notes”). The 2023 Notes are secured by a first priority pledge of the Company’s equity interests, the effectiveness of which is subject to the prior approval of the Nevada gaming authorities. The equity interests of the Company also secure the Existing Notes. If Wynn Resorts, Limited receives an investment grade rating from one or more ratings agencies, the first priority pledge securing the 2023 Notes will be released.</w:t>
      </w:r>
    </w:p>
    <w:p>
      <w:pPr>
        <w:spacing w:after="0" w:line="96" w:lineRule="exact"/>
        <w:rPr>
          <w:sz w:val="20"/>
          <w:szCs w:val="20"/>
          <w:color w:val="auto"/>
        </w:rPr>
      </w:pPr>
    </w:p>
    <w:p>
      <w:pPr>
        <w:ind w:right="60" w:firstLine="459"/>
        <w:spacing w:after="0" w:line="259" w:lineRule="auto"/>
        <w:rPr>
          <w:sz w:val="20"/>
          <w:szCs w:val="20"/>
          <w:color w:val="auto"/>
        </w:rPr>
      </w:pPr>
      <w:r>
        <w:rPr>
          <w:rFonts w:ascii="Arial" w:cs="Arial" w:eastAsia="Arial" w:hAnsi="Arial"/>
          <w:sz w:val="12"/>
          <w:szCs w:val="12"/>
          <w:color w:val="auto"/>
        </w:rPr>
        <w:t>The 2023 Notes are jointly and severally guaranteed by all of the Issuers’ subsidiaries, other than Wynn Las Vegas Capital Corp. which was a co-issuer (the “Guarantors”). The guarantees are senior unsecured obligations of the Guarantors and rank senior in right of payment to all of their existing and future subordinated debt. The guarantees rank equally in right of payment with all existing and future liabilities of the Guarantors that are not so subordinated and will be effectively subordinated in right of payment to all of such Guarantors’ existing and future secured debt (to the extent of the collateral securing such debt).</w:t>
      </w:r>
    </w:p>
    <w:p>
      <w:pPr>
        <w:spacing w:after="0" w:line="94" w:lineRule="exact"/>
        <w:rPr>
          <w:sz w:val="20"/>
          <w:szCs w:val="20"/>
          <w:color w:val="auto"/>
        </w:rPr>
      </w:pPr>
    </w:p>
    <w:p>
      <w:pPr>
        <w:ind w:firstLine="459"/>
        <w:spacing w:after="0" w:line="268" w:lineRule="auto"/>
        <w:rPr>
          <w:sz w:val="20"/>
          <w:szCs w:val="20"/>
          <w:color w:val="auto"/>
        </w:rPr>
      </w:pPr>
      <w:r>
        <w:rPr>
          <w:rFonts w:ascii="Arial" w:cs="Arial" w:eastAsia="Arial" w:hAnsi="Arial"/>
          <w:sz w:val="12"/>
          <w:szCs w:val="12"/>
          <w:color w:val="auto"/>
        </w:rPr>
        <w:t>The 2023 Indenture contains covenants limiting the Issuers’ and the Guarantor’s ability to create liens on assets to secure debt; enter into sale-leaseback transactions; and merge or consolidate with another company. These covenants are subject to a number of important and significant limitations, qualifications and exceptions.</w:t>
      </w:r>
    </w:p>
    <w:p>
      <w:pPr>
        <w:spacing w:after="0" w:line="88" w:lineRule="exact"/>
        <w:rPr>
          <w:sz w:val="20"/>
          <w:szCs w:val="20"/>
          <w:color w:val="auto"/>
        </w:rPr>
      </w:pPr>
    </w:p>
    <w:p>
      <w:pPr>
        <w:jc w:val="both"/>
        <w:ind w:right="120" w:firstLine="459"/>
        <w:spacing w:after="0" w:line="259" w:lineRule="auto"/>
        <w:rPr>
          <w:sz w:val="20"/>
          <w:szCs w:val="20"/>
          <w:color w:val="auto"/>
        </w:rPr>
      </w:pPr>
      <w:r>
        <w:rPr>
          <w:rFonts w:ascii="Arial" w:cs="Arial" w:eastAsia="Arial" w:hAnsi="Arial"/>
          <w:sz w:val="12"/>
          <w:szCs w:val="12"/>
          <w:color w:val="auto"/>
        </w:rPr>
        <w:t>Events of default under the 2023 Indenture include, among others, the following: default for 30 days in the payment when due of interest on the 2023 Notes; default in payment when due of the principal of, or premium, if any, on the 2023 Notes; failure to comply with certain covenants in the 2023 Indenture; and certain events of bankruptcy or insolvency. In the case of an event of default arising from certain events of bankruptcy or insolvency with respect to the Issuers or any Guarantor, all 2023 Notes then outstanding will become due and payable immediately without further action or notice.</w:t>
      </w:r>
    </w:p>
    <w:p>
      <w:pPr>
        <w:spacing w:after="0" w:line="85"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16</w:t>
      </w:r>
    </w:p>
    <w:p>
      <w:pPr>
        <w:sectPr>
          <w:pgSz w:w="11900" w:h="16838" w:orient="portrait"/>
          <w:cols w:equalWidth="0" w:num="1">
            <w:col w:w="11460"/>
          </w:cols>
          <w:pgMar w:left="220" w:top="354" w:right="219" w:bottom="1440" w:gutter="0" w:footer="0" w:header="0"/>
        </w:sectPr>
      </w:pPr>
    </w:p>
    <w:bookmarkStart w:id="16" w:name="page17"/>
    <w:bookmarkEnd w:id="16"/>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121920</wp:posOffset>
            </wp:positionH>
            <wp:positionV relativeFrom="page">
              <wp:posOffset>88900</wp:posOffset>
            </wp:positionV>
            <wp:extent cx="7329170" cy="298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329170" cy="29845"/>
                    </a:xfrm>
                    <a:prstGeom prst="rect">
                      <a:avLst/>
                    </a:prstGeom>
                    <a:noFill/>
                  </pic:spPr>
                </pic:pic>
              </a:graphicData>
            </a:graphic>
          </wp:anchor>
        </w:drawing>
      </w:r>
      <w:hyperlink w:anchor="page2">
        <w:r>
          <w:rPr>
            <w:rFonts w:ascii="Arial" w:cs="Arial" w:eastAsia="Arial" w:hAnsi="Arial"/>
            <w:sz w:val="12"/>
            <w:szCs w:val="12"/>
            <w:b w:val="1"/>
            <w:bCs w:val="1"/>
            <w:u w:val="single" w:color="auto"/>
            <w:color w:val="0000EE"/>
          </w:rPr>
          <w:t>Table of Contents</w:t>
        </w:r>
      </w:hyperlink>
    </w:p>
    <w:p>
      <w:pPr>
        <w:spacing w:after="0" w:line="209" w:lineRule="exact"/>
        <w:rPr>
          <w:sz w:val="20"/>
          <w:szCs w:val="20"/>
          <w:color w:val="auto"/>
        </w:rPr>
      </w:pPr>
    </w:p>
    <w:p>
      <w:pPr>
        <w:ind w:right="40" w:firstLine="459"/>
        <w:spacing w:after="0" w:line="256" w:lineRule="auto"/>
        <w:rPr>
          <w:sz w:val="20"/>
          <w:szCs w:val="20"/>
          <w:color w:val="auto"/>
        </w:rPr>
      </w:pPr>
      <w:r>
        <w:rPr>
          <w:rFonts w:ascii="Arial" w:cs="Arial" w:eastAsia="Arial" w:hAnsi="Arial"/>
          <w:sz w:val="12"/>
          <w:szCs w:val="12"/>
          <w:color w:val="auto"/>
        </w:rPr>
        <w:t>The 2023 Notes were offered pursuant to an exemption under the Securities Act of 1933, as amended (the “Securities Act”). The 2023 Notes were offered only to qualified institutional buyers in reliance on Rule 144A under the Securities Act or outside the United States to certain persons in reliance on Regulation S under the Securities Act. The 2023 Notes have not been and will not be registered under the Securities Act of 1933 or under any state securities laws. Therefore, the 2023 Notes may not be offered or sold within the United States to, or for the account or benefit of, any United States person unless the offer or sale would qualify for a registration exemption from the Securities Act and applicable state securities laws.</w:t>
      </w:r>
    </w:p>
    <w:p>
      <w:pPr>
        <w:spacing w:after="0" w:line="150" w:lineRule="exact"/>
        <w:rPr>
          <w:sz w:val="20"/>
          <w:szCs w:val="20"/>
          <w:color w:val="auto"/>
        </w:rPr>
      </w:pPr>
    </w:p>
    <w:p>
      <w:pPr>
        <w:ind w:left="220"/>
        <w:spacing w:after="0"/>
        <w:rPr>
          <w:sz w:val="20"/>
          <w:szCs w:val="20"/>
          <w:color w:val="auto"/>
        </w:rPr>
      </w:pPr>
      <w:r>
        <w:rPr>
          <w:rFonts w:ascii="Arial" w:cs="Arial" w:eastAsia="Arial" w:hAnsi="Arial"/>
          <w:sz w:val="12"/>
          <w:szCs w:val="12"/>
          <w:i w:val="1"/>
          <w:iCs w:val="1"/>
          <w:color w:val="auto"/>
        </w:rPr>
        <w:t>Wynn Macau, Limited</w:t>
      </w:r>
    </w:p>
    <w:p>
      <w:pPr>
        <w:spacing w:after="0" w:line="60" w:lineRule="exact"/>
        <w:rPr>
          <w:sz w:val="20"/>
          <w:szCs w:val="20"/>
          <w:color w:val="auto"/>
        </w:rPr>
      </w:pPr>
    </w:p>
    <w:p>
      <w:pPr>
        <w:ind w:right="20" w:firstLine="459"/>
        <w:spacing w:after="0" w:line="294" w:lineRule="auto"/>
        <w:rPr>
          <w:sz w:val="20"/>
          <w:szCs w:val="20"/>
          <w:color w:val="auto"/>
        </w:rPr>
      </w:pPr>
      <w:r>
        <w:rPr>
          <w:rFonts w:ascii="Arial" w:cs="Arial" w:eastAsia="Arial" w:hAnsi="Arial"/>
          <w:sz w:val="11"/>
          <w:szCs w:val="11"/>
          <w:color w:val="auto"/>
        </w:rPr>
        <w:t>On October 16, 2013, Wynn Macau, Limited (“WML”), an indirect subsidiary of Wynn Resorts, Limited, entered into an Indenture, dated as of October 16, 2013 (the “WML Indenture”), between WML and Deutsche Bank Trust Company Americas, as trustee, pursuant to which WML issued $600 million aggregate principal amount of 5.25% Senior Notes due 2021 (the “2021 Notes”). WML received net proceeds of approximately $591.5 million from the offering of the 2021 Notes after deducting commissions and estimated expenses of the offering and will use the net proceeds for working capital requirements and general corporate purposes.</w:t>
      </w:r>
    </w:p>
    <w:p>
      <w:pPr>
        <w:spacing w:after="0" w:line="76" w:lineRule="exact"/>
        <w:rPr>
          <w:sz w:val="20"/>
          <w:szCs w:val="20"/>
          <w:color w:val="auto"/>
        </w:rPr>
      </w:pPr>
    </w:p>
    <w:p>
      <w:pPr>
        <w:ind w:firstLine="459"/>
        <w:spacing w:after="0" w:line="280" w:lineRule="auto"/>
        <w:rPr>
          <w:sz w:val="20"/>
          <w:szCs w:val="20"/>
          <w:color w:val="auto"/>
        </w:rPr>
      </w:pPr>
      <w:r>
        <w:rPr>
          <w:rFonts w:ascii="Arial" w:cs="Arial" w:eastAsia="Arial" w:hAnsi="Arial"/>
          <w:sz w:val="11"/>
          <w:szCs w:val="11"/>
          <w:color w:val="auto"/>
        </w:rPr>
        <w:t>The 2021 Notes will bear interest at the rate of 5.25% per annum and will mature on October 15, 2021. Interest on the 2021 Notes is payable semi-annually in arrears on April 15 and October 15 of each year, beginning on April 15, 2014. At any time on or before October 14, 2016, WML may redeem the 2021 Notes, in whole or in part, at a redemption price equal to the greater of (a) 100% of the aggregate principal amount of the 2021 Notes or (b) a “make-whole” amount as determined by an independent investment banker in accordance with the terms of the WML Indenture, in either case, plus accrued and unpaid interest. In addition, on or after October 15, 2016, WML may redeem the 2021 Notes, in whole or in part, at a premium decreasing annually from 3.938% of the principal amount to zero, plus accrued and unpaid interest. If WML undergoes a Change of Control (as defined in the WML Indenture), it must offer to repurchase the 2021 Notes at a price equal to 101% of the aggregate principal amount thereof, plus accrued and unpaid interest. In addition, the Company may redeem the 2021 Notes, in whole but not in part, at a redemption price equal to 100% of the principal amount, plus accrued and unpaid interest, in response to any change in or amendment to certain tax laws or tax positions. Further, if a holder or beneficial owner of the 2021 Notes fails to meet certain requirements imposed by any Gaming Authority (as defined in the WML Indenture), WML may require the holder or beneficial owner to dispose of or redeem its 2021 Notes.</w:t>
      </w:r>
    </w:p>
    <w:p>
      <w:pPr>
        <w:spacing w:after="0" w:line="84" w:lineRule="exact"/>
        <w:rPr>
          <w:sz w:val="20"/>
          <w:szCs w:val="20"/>
          <w:color w:val="auto"/>
        </w:rPr>
      </w:pPr>
    </w:p>
    <w:p>
      <w:pPr>
        <w:ind w:right="180" w:firstLine="459"/>
        <w:spacing w:after="0" w:line="256" w:lineRule="auto"/>
        <w:rPr>
          <w:sz w:val="20"/>
          <w:szCs w:val="20"/>
          <w:color w:val="auto"/>
        </w:rPr>
      </w:pPr>
      <w:r>
        <w:rPr>
          <w:rFonts w:ascii="Arial" w:cs="Arial" w:eastAsia="Arial" w:hAnsi="Arial"/>
          <w:sz w:val="12"/>
          <w:szCs w:val="12"/>
          <w:color w:val="auto"/>
        </w:rPr>
        <w:t>The 2021 Notes are WML’s general unsecured obligations and rank pari passu in right of payment with all of WML’s existing and future senior unsecured indebtedness; will rank senior to all of WML’s future subordinated indebtedness, if any; will be effectively subordinated to all of WML’s future secured indebtedness to the extent of the value of the assets securing such debt; and will be structurally subordinated to all existing and future obligations of WML’s subsidiaries, including Wynn Macau, S.A.’s existing credit facilities. The 2021 Notes are not registered under the Securities Act of 1933, as amended (the “Securities Act”), and the 2021 Notes are subject to restrictions on transferability and resale.</w:t>
      </w:r>
    </w:p>
    <w:p>
      <w:pPr>
        <w:spacing w:after="0" w:line="96" w:lineRule="exact"/>
        <w:rPr>
          <w:sz w:val="20"/>
          <w:szCs w:val="20"/>
          <w:color w:val="auto"/>
        </w:rPr>
      </w:pPr>
    </w:p>
    <w:p>
      <w:pPr>
        <w:ind w:right="20" w:firstLine="459"/>
        <w:spacing w:after="0" w:line="283" w:lineRule="auto"/>
        <w:rPr>
          <w:sz w:val="20"/>
          <w:szCs w:val="20"/>
          <w:color w:val="auto"/>
        </w:rPr>
      </w:pPr>
      <w:r>
        <w:rPr>
          <w:rFonts w:ascii="Arial" w:cs="Arial" w:eastAsia="Arial" w:hAnsi="Arial"/>
          <w:sz w:val="11"/>
          <w:szCs w:val="11"/>
          <w:color w:val="auto"/>
        </w:rPr>
        <w:t>The WML Indenture contains covenants limiting WML’s (and certain of its subsidiaries’) ability to, among other things: merge or consolidate with another company; transfer or sell all or substantially all of its properties or assets; and lease all or substantially all of its properties or assets. The terms of the WML Indenture contain customary events of default, including, but not limited to: default for 30 days in the payment when due of interest on the 2021 Notes; default in the payment when due of the principal of, or premium, if any, on the 2021 Notes; failure to comply with any payment obligations relating to the repurchase by WML of the 2021 Notes upon a change of control; failure to comply with certain covenants in the WML Indenture; certain defaults on certain other indebtedness; failure to pay judgments against WML or certain subsidiaries that, in the aggregate, exceed $50 million; and certain events of bankruptcy or insolvency. In the case of an event of default arising from certain events of bankruptcy or insolvency, all 2021 Notes then outstanding will become due and payable immediately without further action or notice.</w:t>
      </w:r>
    </w:p>
    <w:p>
      <w:pPr>
        <w:spacing w:after="0" w:line="74"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17</w:t>
      </w:r>
    </w:p>
    <w:p>
      <w:pPr>
        <w:sectPr>
          <w:pgSz w:w="11900" w:h="16838" w:orient="portrait"/>
          <w:cols w:equalWidth="0" w:num="1">
            <w:col w:w="11460"/>
          </w:cols>
          <w:pgMar w:left="220" w:top="354" w:right="219" w:bottom="1440" w:gutter="0" w:footer="0" w:header="0"/>
        </w:sectPr>
      </w:pPr>
    </w:p>
    <w:bookmarkStart w:id="17" w:name="page18"/>
    <w:bookmarkEnd w:id="17"/>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121920</wp:posOffset>
            </wp:positionH>
            <wp:positionV relativeFrom="page">
              <wp:posOffset>88900</wp:posOffset>
            </wp:positionV>
            <wp:extent cx="7329170" cy="298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329170" cy="29845"/>
                    </a:xfrm>
                    <a:prstGeom prst="rect">
                      <a:avLst/>
                    </a:prstGeom>
                    <a:noFill/>
                  </pic:spPr>
                </pic:pic>
              </a:graphicData>
            </a:graphic>
          </wp:anchor>
        </w:drawing>
      </w:r>
      <w:hyperlink w:anchor="page2">
        <w:r>
          <w:rPr>
            <w:rFonts w:ascii="Arial" w:cs="Arial" w:eastAsia="Arial" w:hAnsi="Arial"/>
            <w:sz w:val="12"/>
            <w:szCs w:val="12"/>
            <w:b w:val="1"/>
            <w:bCs w:val="1"/>
            <w:u w:val="single" w:color="auto"/>
            <w:color w:val="0000EE"/>
          </w:rPr>
          <w:t>Table of Contents</w:t>
        </w:r>
      </w:hyperlink>
    </w:p>
    <w:p>
      <w:pPr>
        <w:spacing w:after="0" w:line="209" w:lineRule="exact"/>
        <w:rPr>
          <w:sz w:val="20"/>
          <w:szCs w:val="20"/>
          <w:color w:val="auto"/>
        </w:rPr>
      </w:pPr>
    </w:p>
    <w:p>
      <w:pPr>
        <w:ind w:left="220"/>
        <w:spacing w:after="0"/>
        <w:rPr>
          <w:sz w:val="20"/>
          <w:szCs w:val="20"/>
          <w:color w:val="auto"/>
        </w:rPr>
      </w:pPr>
      <w:r>
        <w:rPr>
          <w:rFonts w:ascii="Arial" w:cs="Arial" w:eastAsia="Arial" w:hAnsi="Arial"/>
          <w:sz w:val="12"/>
          <w:szCs w:val="12"/>
          <w:i w:val="1"/>
          <w:iCs w:val="1"/>
          <w:color w:val="auto"/>
        </w:rPr>
        <w:t>Redemption Price Promissory Note</w:t>
      </w:r>
    </w:p>
    <w:p>
      <w:pPr>
        <w:spacing w:after="0" w:line="60" w:lineRule="exact"/>
        <w:rPr>
          <w:sz w:val="20"/>
          <w:szCs w:val="20"/>
          <w:color w:val="auto"/>
        </w:rPr>
      </w:pPr>
    </w:p>
    <w:p>
      <w:pPr>
        <w:ind w:firstLine="459"/>
        <w:spacing w:after="0" w:line="279" w:lineRule="auto"/>
        <w:rPr>
          <w:sz w:val="20"/>
          <w:szCs w:val="20"/>
          <w:color w:val="auto"/>
        </w:rPr>
      </w:pPr>
      <w:r>
        <w:rPr>
          <w:rFonts w:ascii="Arial" w:cs="Arial" w:eastAsia="Arial" w:hAnsi="Arial"/>
          <w:sz w:val="11"/>
          <w:szCs w:val="11"/>
          <w:color w:val="auto"/>
        </w:rPr>
        <w:t>Based on the Board of Directors’ finding of “unsuitability,” on February 18, 2012, the Company redeemed and cancelled Aruze USA, Inc.’s 24,549,222 shares of Wynn Resorts’ common stock. Following a finding of “unsuitability,” Wynn Resorts’ articles of incorporation authorize redemption of the shares held by unsuitable persons at a “fair value” redemption price. The Company engaged an independent financial advisor to assist in the fair value calculation and concluded that a discount to the then current trading price was appropriate because of, among other things, restrictions on most of the shares which were subject to the terms of an existing stockholder agreement. Pursuant to the articles of incorporation, the Company issued the Redemption Note to Aruze USA, Inc., a former stockholder and related party, in redemption of the shares. The Redemption Note has a principal amount of $1.94 billion, matures on February 18, 2022 and bears interest at the rate of 2% per annum payable annually in arrears on each anniversary of the date of the Redemption Note. The Company may, in its sole and absolute discretion, at any time and from time to time, and without penalty or premium, prepay the whole or any portion of the principal or interest due under the Redemption Note. In no instance shall any payment obligation under the Redemption Note be accelerated except in the sole and absolute discretion of the Company or as specifically mandated by law. The indebtedness evidenced by the Redemption Note is and shall be subordinated in right of payment, to the extent and in the manner provided in the Redemption Note, to the prior payment in full of all existing and future obligations of Wynn Resorts and any of its affiliates in respect of indebtedness for borrowed money of any kind or nature.</w:t>
      </w:r>
    </w:p>
    <w:p>
      <w:pPr>
        <w:spacing w:after="0" w:line="85" w:lineRule="exact"/>
        <w:rPr>
          <w:sz w:val="20"/>
          <w:szCs w:val="20"/>
          <w:color w:val="auto"/>
        </w:rPr>
      </w:pPr>
    </w:p>
    <w:p>
      <w:pPr>
        <w:ind w:firstLine="459"/>
        <w:spacing w:after="0" w:line="280" w:lineRule="auto"/>
        <w:rPr>
          <w:sz w:val="20"/>
          <w:szCs w:val="20"/>
          <w:color w:val="auto"/>
        </w:rPr>
      </w:pPr>
      <w:r>
        <w:rPr>
          <w:rFonts w:ascii="Arial" w:cs="Arial" w:eastAsia="Arial" w:hAnsi="Arial"/>
          <w:sz w:val="11"/>
          <w:szCs w:val="11"/>
          <w:color w:val="auto"/>
        </w:rPr>
        <w:t>The Company has recorded the fair value of the Redemption Note at its estimated present value of approximately $1.94 billion in accordance with applicable accounting guidance. In determining this fair value, the Company considered the stated maturity of the Redemption Note, its stated interest rate, and the uncertainty of the related cash flows of the Redemption Note as well as the potential effects of the following: uncertainties surrounding the potential outcome and timing of pending litigation with Aruze USA, Inc. and its affiliates (see Note 15 – “Commitments and Contingencies”); the outcome of ongoing investigations by the Nevada Gaming Control Board and/or other governmental regulatory agencies; and other potential legal and regulatory actions. In addition, in the furtherance of various future business objectives, the Company considered its ability, at its sole option, to prepay the Redemption Note at any time in accordance with its terms without penalty. Accordingly, the Company reasonably determined that the estimated life of the Redemption Note could be less than the contractual life of the Redemption Note. When considering the appropriate rate of interest to be used to determine fair value for accounting purposes and in light of the uncertainty in the timing of the cash flows, the Company used observable inputs from a range of trading values of financial instruments with terms and lives similar to the estimated life and terms of the Redemption Note. As a result of this analysis, the Company concluded the Redemption Note’s stated rate of 2% approximated a market rate.</w:t>
      </w:r>
    </w:p>
    <w:p>
      <w:pPr>
        <w:spacing w:after="0" w:line="84" w:lineRule="exact"/>
        <w:rPr>
          <w:sz w:val="20"/>
          <w:szCs w:val="20"/>
          <w:color w:val="auto"/>
        </w:rPr>
      </w:pPr>
    </w:p>
    <w:p>
      <w:pPr>
        <w:ind w:firstLine="459"/>
        <w:spacing w:after="0" w:line="279" w:lineRule="auto"/>
        <w:rPr>
          <w:sz w:val="20"/>
          <w:szCs w:val="20"/>
          <w:color w:val="auto"/>
        </w:rPr>
      </w:pPr>
      <w:r>
        <w:rPr>
          <w:rFonts w:ascii="Arial" w:cs="Arial" w:eastAsia="Arial" w:hAnsi="Arial"/>
          <w:sz w:val="11"/>
          <w:szCs w:val="11"/>
          <w:color w:val="auto"/>
        </w:rPr>
        <w:t>Aruze USA, Inc. (at the time a stockholder of Wynn Resorts), Universal Entertainment Corporation (Aruze USA, Inc.’s parent company), and Kazuo Okada (the majority shareholder of Universal Entertainment Corporation) (collectively, the “Okada Parties”) have challenged the redemption of Aruze USA, Inc.’s shares and the Company is currently involved in litigation with those parties as well as related shareholder derivative litigation. On February 13, 2013, the Okada Parties filed a motion in the Nevada state court asking the court to establish an escrow account (specifically, they asked the court to establish a “disputed ownership fund,” as defined in a federal tax regulation (“DOF”)) to hold the Redemption Note as well as the redeemed shares themselves (although those shares were previously cancelled in February 2012), until the resolution of the redemption action and counterclaim. The Okada Parties subsequently filed reply papers in further support of their motion, in which they narrowed the relief they were seeking, specifically by withdrawing their request that the redeemed shares be placed into the escrow account. On April 17, 2013, the court entered an order granting the Okada Parties’ motion in part as to the narrowed relief outlined in their reply papers. Among other things, the court’s order directed the Okada Parties to establish an escrow account with a third party (without making any ruling as to whether such an account would satisfy the requirements of a DOF) to hold interest payments tendered by the Company on the Redemption Note. The Company is to have no responsibility for fees or costs of the account, and will receive a full release and indemnity related to the account. On February 14, 2013, the Company issued a check to Aruze USA, Inc. in the amount of $38.7 million, representing the interest payment</w:t>
      </w:r>
    </w:p>
    <w:p>
      <w:pPr>
        <w:spacing w:after="0" w:line="76"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18</w:t>
      </w:r>
    </w:p>
    <w:p>
      <w:pPr>
        <w:sectPr>
          <w:pgSz w:w="11900" w:h="16838" w:orient="portrait"/>
          <w:cols w:equalWidth="0" w:num="1">
            <w:col w:w="11460"/>
          </w:cols>
          <w:pgMar w:left="220" w:top="354" w:right="219" w:bottom="1440" w:gutter="0" w:footer="0" w:header="0"/>
        </w:sectPr>
      </w:pPr>
    </w:p>
    <w:bookmarkStart w:id="18" w:name="page19"/>
    <w:bookmarkEnd w:id="18"/>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121920</wp:posOffset>
            </wp:positionH>
            <wp:positionV relativeFrom="page">
              <wp:posOffset>88900</wp:posOffset>
            </wp:positionV>
            <wp:extent cx="7329170" cy="298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329170" cy="29845"/>
                    </a:xfrm>
                    <a:prstGeom prst="rect">
                      <a:avLst/>
                    </a:prstGeom>
                    <a:noFill/>
                  </pic:spPr>
                </pic:pic>
              </a:graphicData>
            </a:graphic>
          </wp:anchor>
        </w:drawing>
      </w:r>
      <w:hyperlink w:anchor="page2">
        <w:r>
          <w:rPr>
            <w:rFonts w:ascii="Arial" w:cs="Arial" w:eastAsia="Arial" w:hAnsi="Arial"/>
            <w:sz w:val="12"/>
            <w:szCs w:val="12"/>
            <w:b w:val="1"/>
            <w:bCs w:val="1"/>
            <w:u w:val="single" w:color="auto"/>
            <w:color w:val="0000EE"/>
          </w:rPr>
          <w:t>Table of Contents</w:t>
        </w:r>
      </w:hyperlink>
    </w:p>
    <w:p>
      <w:pPr>
        <w:spacing w:after="0" w:line="209" w:lineRule="exact"/>
        <w:rPr>
          <w:sz w:val="20"/>
          <w:szCs w:val="20"/>
          <w:color w:val="auto"/>
        </w:rPr>
      </w:pPr>
    </w:p>
    <w:p>
      <w:pPr>
        <w:spacing w:after="0"/>
        <w:rPr>
          <w:sz w:val="20"/>
          <w:szCs w:val="20"/>
          <w:color w:val="auto"/>
        </w:rPr>
      </w:pPr>
      <w:r>
        <w:rPr>
          <w:rFonts w:ascii="Arial" w:cs="Arial" w:eastAsia="Arial" w:hAnsi="Arial"/>
          <w:sz w:val="11"/>
          <w:szCs w:val="11"/>
          <w:color w:val="auto"/>
        </w:rPr>
        <w:t>due on the Redemption Note at that time. However, as of the date of this report, the check remains uncashed as the Okada Parties have not proposed a form of escrow agreement to the Company, as contemplated by the court’s order.</w:t>
      </w:r>
    </w:p>
    <w:p>
      <w:pPr>
        <w:spacing w:after="0" w:line="126" w:lineRule="exact"/>
        <w:rPr>
          <w:sz w:val="20"/>
          <w:szCs w:val="20"/>
          <w:color w:val="auto"/>
        </w:rPr>
      </w:pPr>
    </w:p>
    <w:p>
      <w:pPr>
        <w:ind w:right="40" w:firstLine="459"/>
        <w:spacing w:after="0" w:line="312" w:lineRule="auto"/>
        <w:rPr>
          <w:sz w:val="20"/>
          <w:szCs w:val="20"/>
          <w:color w:val="auto"/>
        </w:rPr>
      </w:pPr>
      <w:r>
        <w:rPr>
          <w:rFonts w:ascii="Arial" w:cs="Arial" w:eastAsia="Arial" w:hAnsi="Arial"/>
          <w:sz w:val="10"/>
          <w:szCs w:val="10"/>
          <w:color w:val="auto"/>
        </w:rPr>
        <w:t xml:space="preserve">As further discussed in Note 15 – “Commitments and Contingencies”, on June 19, 2012, Elaine Wynn responded to the counterclaim and asserted a cross claim against Steve Wynn and Kazuo Okada seeking a declaration that (1) any and all of Elaine Wynn’s duties under the Stockholders Agreement be discharged; (2) the Stockholders Agreement is subject to rescission and is rescinded; (3) the Stockholders Agreement is an unreasonable restraint on alienation in violation of public policy; and/or (4) the restrictions on sale of shares shall be construed as inapplicable to Elaine Wynn. Mr. Wynn filed his answer to Elaine Wynn’s cross claim on September 24, 2012. The indentures governing the Existing Notes (other than the 5 </w:t>
      </w:r>
      <w:r>
        <w:rPr>
          <w:rFonts w:ascii="Arial" w:cs="Arial" w:eastAsia="Arial" w:hAnsi="Arial"/>
          <w:sz w:val="6"/>
          <w:szCs w:val="6"/>
          <w:color w:val="auto"/>
        </w:rPr>
        <w:t>3</w:t>
      </w:r>
      <w:r>
        <w:rPr>
          <w:rFonts w:ascii="Arial" w:cs="Arial" w:eastAsia="Arial" w:hAnsi="Arial"/>
          <w:sz w:val="10"/>
          <w:szCs w:val="10"/>
          <w:color w:val="auto"/>
        </w:rPr>
        <w:t>/</w:t>
      </w:r>
      <w:r>
        <w:rPr>
          <w:rFonts w:ascii="Arial" w:cs="Arial" w:eastAsia="Arial" w:hAnsi="Arial"/>
          <w:sz w:val="6"/>
          <w:szCs w:val="6"/>
          <w:color w:val="auto"/>
        </w:rPr>
        <w:t>8</w:t>
      </w:r>
      <w:r>
        <w:rPr>
          <w:rFonts w:ascii="Arial" w:cs="Arial" w:eastAsia="Arial" w:hAnsi="Arial"/>
          <w:sz w:val="10"/>
          <w:szCs w:val="10"/>
          <w:color w:val="auto"/>
        </w:rPr>
        <w:t>% First Mortgage Notes due 2022) and the 2023 Notes (the “Indentures”) provide that if Steve Wynn, together with certain related parties, in the aggregate beneficially owns a lesser percentage of the outstanding common stock of the Company than are beneficially owned by any other person, a change of control will have occurred. If Elaine Wynn prevails in her cross claim, Steve Wynn would not beneficially own or control Elaine Wynn’s shares and a change in control may result under the Company’s debt documents. Under the Indentures, the occurrence of a change of control requires that the Company make an offer (unless the notes have been previously called for redemption) to each holder to repurchase all or any part of such holder’s Notes at a purchase price equal to 101% of the aggregate principal amount thereof plus accrued and unpaid interest on the Notes purchased, if any, to the date of repurchase.</w:t>
      </w:r>
    </w:p>
    <w:p>
      <w:pPr>
        <w:spacing w:after="0" w:line="70" w:lineRule="exact"/>
        <w:rPr>
          <w:sz w:val="20"/>
          <w:szCs w:val="20"/>
          <w:color w:val="auto"/>
        </w:rPr>
      </w:pPr>
    </w:p>
    <w:p>
      <w:pPr>
        <w:jc w:val="both"/>
        <w:ind w:right="80" w:firstLine="459"/>
        <w:spacing w:after="0" w:line="259" w:lineRule="auto"/>
        <w:rPr>
          <w:sz w:val="20"/>
          <w:szCs w:val="20"/>
          <w:color w:val="auto"/>
        </w:rPr>
      </w:pPr>
      <w:r>
        <w:rPr>
          <w:rFonts w:ascii="Arial" w:cs="Arial" w:eastAsia="Arial" w:hAnsi="Arial"/>
          <w:sz w:val="12"/>
          <w:szCs w:val="12"/>
          <w:color w:val="auto"/>
        </w:rPr>
        <w:t>The outcome of these various proceedings cannot be predicted. The Company’s claims and the Okada Parties’ counterclaims are in a preliminary stage and management has determined that based on proceedings to date, it is currently unable to determine the probability of the outcome of this matter or the range of reasonably possible loss, if any. An adverse judgment or settlement involving payment of a material amount could cause a material adverse effect on our financial condition.</w:t>
      </w:r>
    </w:p>
    <w:p>
      <w:pPr>
        <w:spacing w:after="0" w:line="148" w:lineRule="exact"/>
        <w:rPr>
          <w:sz w:val="20"/>
          <w:szCs w:val="20"/>
          <w:color w:val="auto"/>
        </w:rPr>
      </w:pPr>
    </w:p>
    <w:p>
      <w:pPr>
        <w:ind w:left="220"/>
        <w:spacing w:after="0"/>
        <w:rPr>
          <w:sz w:val="20"/>
          <w:szCs w:val="20"/>
          <w:color w:val="auto"/>
        </w:rPr>
      </w:pPr>
      <w:r>
        <w:rPr>
          <w:rFonts w:ascii="Arial" w:cs="Arial" w:eastAsia="Arial" w:hAnsi="Arial"/>
          <w:sz w:val="12"/>
          <w:szCs w:val="12"/>
          <w:i w:val="1"/>
          <w:iCs w:val="1"/>
          <w:color w:val="auto"/>
        </w:rPr>
        <w:t>Wynn Macau Credit Facilities</w:t>
      </w:r>
    </w:p>
    <w:p>
      <w:pPr>
        <w:spacing w:after="0" w:line="60" w:lineRule="exact"/>
        <w:rPr>
          <w:sz w:val="20"/>
          <w:szCs w:val="20"/>
          <w:color w:val="auto"/>
        </w:rPr>
      </w:pPr>
    </w:p>
    <w:p>
      <w:pPr>
        <w:ind w:right="260" w:firstLine="459"/>
        <w:spacing w:after="0" w:line="314" w:lineRule="auto"/>
        <w:rPr>
          <w:sz w:val="20"/>
          <w:szCs w:val="20"/>
          <w:color w:val="auto"/>
        </w:rPr>
      </w:pPr>
      <w:r>
        <w:rPr>
          <w:rFonts w:ascii="Arial" w:cs="Arial" w:eastAsia="Arial" w:hAnsi="Arial"/>
          <w:sz w:val="11"/>
          <w:szCs w:val="11"/>
          <w:color w:val="auto"/>
        </w:rPr>
        <w:t>On July 31, 2012, Wynn Macau, S.A. amended and restated its credit facilities, dated September 14, 2004 (as amended, the “Amended Wynn Macau Credit Facilities”) to expand the availability under the Wynn Macau S.A. senior secured bank facility to US$2.3 billion equivalent, consisting of a US$750 million equivalent fully funded senior term loan facility and a US$1.55 billion equivalent senior secured revolving credit facility.</w:t>
      </w:r>
    </w:p>
    <w:p>
      <w:pPr>
        <w:spacing w:after="0" w:line="65" w:lineRule="exact"/>
        <w:rPr>
          <w:sz w:val="20"/>
          <w:szCs w:val="20"/>
          <w:color w:val="auto"/>
        </w:rPr>
      </w:pPr>
    </w:p>
    <w:p>
      <w:pPr>
        <w:jc w:val="both"/>
        <w:ind w:firstLine="459"/>
        <w:spacing w:after="0" w:line="259" w:lineRule="auto"/>
        <w:rPr>
          <w:sz w:val="20"/>
          <w:szCs w:val="20"/>
          <w:color w:val="auto"/>
        </w:rPr>
      </w:pPr>
      <w:r>
        <w:rPr>
          <w:rFonts w:ascii="Arial" w:cs="Arial" w:eastAsia="Arial" w:hAnsi="Arial"/>
          <w:sz w:val="12"/>
          <w:szCs w:val="12"/>
          <w:color w:val="auto"/>
        </w:rPr>
        <w:t>On July 30, 2013, Wynn Macau, S.A. exercised its option to increase the senior term loan facility by US$200 million equivalent pursuant to the terms and provisions of the Amended Wynn Macau Credit Facilities. The US$200 million equivalent was fully funded as of July 31, 2013 and is required to be used for the payment of certain Wynn Palace related construction and development costs. The additional US$200 million equivalent will mature on July 31, 2018 and will bear interest at HIBOR plus a margin between 1.75% to 2.50% based on Wynn Macau’s leverage ratio.</w:t>
      </w:r>
    </w:p>
    <w:p>
      <w:pPr>
        <w:spacing w:after="0" w:line="94" w:lineRule="exact"/>
        <w:rPr>
          <w:sz w:val="20"/>
          <w:szCs w:val="20"/>
          <w:color w:val="auto"/>
        </w:rPr>
      </w:pPr>
    </w:p>
    <w:p>
      <w:pPr>
        <w:ind w:left="460"/>
        <w:spacing w:after="0"/>
        <w:rPr>
          <w:sz w:val="20"/>
          <w:szCs w:val="20"/>
          <w:color w:val="auto"/>
        </w:rPr>
      </w:pPr>
      <w:r>
        <w:rPr>
          <w:rFonts w:ascii="Arial" w:cs="Arial" w:eastAsia="Arial" w:hAnsi="Arial"/>
          <w:sz w:val="9"/>
          <w:szCs w:val="9"/>
          <w:color w:val="auto"/>
        </w:rPr>
        <w:t>As of September 30, 2013, there were no amounts outstanding under the Wynn Macau Senior Revolving Credit Facility. Accordingly, the Company has availability of US$1.55 billion under the Amended Wynn Macau Credit Facilities.</w:t>
      </w:r>
    </w:p>
    <w:p>
      <w:pPr>
        <w:spacing w:after="0" w:line="203" w:lineRule="exact"/>
        <w:rPr>
          <w:sz w:val="20"/>
          <w:szCs w:val="20"/>
          <w:color w:val="auto"/>
        </w:rPr>
      </w:pPr>
    </w:p>
    <w:p>
      <w:pPr>
        <w:ind w:left="220"/>
        <w:spacing w:after="0"/>
        <w:rPr>
          <w:sz w:val="20"/>
          <w:szCs w:val="20"/>
          <w:color w:val="auto"/>
        </w:rPr>
      </w:pPr>
      <w:r>
        <w:rPr>
          <w:rFonts w:ascii="Arial" w:cs="Arial" w:eastAsia="Arial" w:hAnsi="Arial"/>
          <w:sz w:val="12"/>
          <w:szCs w:val="12"/>
          <w:i w:val="1"/>
          <w:iCs w:val="1"/>
          <w:color w:val="auto"/>
        </w:rPr>
        <w:t>Debt Covenant Compliance</w:t>
      </w:r>
    </w:p>
    <w:p>
      <w:pPr>
        <w:spacing w:after="0" w:line="60" w:lineRule="exact"/>
        <w:rPr>
          <w:sz w:val="20"/>
          <w:szCs w:val="20"/>
          <w:color w:val="auto"/>
        </w:rPr>
      </w:pPr>
    </w:p>
    <w:p>
      <w:pPr>
        <w:ind w:left="460"/>
        <w:spacing w:after="0"/>
        <w:rPr>
          <w:sz w:val="20"/>
          <w:szCs w:val="20"/>
          <w:color w:val="auto"/>
        </w:rPr>
      </w:pPr>
      <w:r>
        <w:rPr>
          <w:rFonts w:ascii="Arial" w:cs="Arial" w:eastAsia="Arial" w:hAnsi="Arial"/>
          <w:sz w:val="12"/>
          <w:szCs w:val="12"/>
          <w:color w:val="auto"/>
        </w:rPr>
        <w:t>As of September 30, 2013, management believes the Company was in compliance with all debt covenants.</w:t>
      </w:r>
    </w:p>
    <w:p>
      <w:pPr>
        <w:spacing w:after="0" w:line="168" w:lineRule="exact"/>
        <w:rPr>
          <w:sz w:val="20"/>
          <w:szCs w:val="20"/>
          <w:color w:val="auto"/>
        </w:rPr>
      </w:pPr>
    </w:p>
    <w:p>
      <w:pPr>
        <w:ind w:left="220"/>
        <w:spacing w:after="0"/>
        <w:rPr>
          <w:sz w:val="20"/>
          <w:szCs w:val="20"/>
          <w:color w:val="auto"/>
        </w:rPr>
      </w:pPr>
      <w:r>
        <w:rPr>
          <w:rFonts w:ascii="Arial" w:cs="Arial" w:eastAsia="Arial" w:hAnsi="Arial"/>
          <w:sz w:val="12"/>
          <w:szCs w:val="12"/>
          <w:i w:val="1"/>
          <w:iCs w:val="1"/>
          <w:color w:val="auto"/>
        </w:rPr>
        <w:t>Fair Value of Long-Term Debt</w:t>
      </w:r>
    </w:p>
    <w:p>
      <w:pPr>
        <w:spacing w:after="0" w:line="60" w:lineRule="exact"/>
        <w:rPr>
          <w:sz w:val="20"/>
          <w:szCs w:val="20"/>
          <w:color w:val="auto"/>
        </w:rPr>
      </w:pPr>
    </w:p>
    <w:p>
      <w:pPr>
        <w:ind w:right="300" w:firstLine="459"/>
        <w:spacing w:after="0" w:line="268" w:lineRule="auto"/>
        <w:rPr>
          <w:sz w:val="20"/>
          <w:szCs w:val="20"/>
          <w:color w:val="auto"/>
        </w:rPr>
      </w:pPr>
      <w:r>
        <w:rPr>
          <w:rFonts w:ascii="Arial" w:cs="Arial" w:eastAsia="Arial" w:hAnsi="Arial"/>
          <w:sz w:val="12"/>
          <w:szCs w:val="12"/>
          <w:color w:val="auto"/>
        </w:rPr>
        <w:t>The net book value of the Company’s outstanding first mortgage notes and senior notes was approximately $3.3 billion and $3.1 billion at September 30, 2013 and December 31, 2012, respectively. The estimated fair value of the Company’s outstanding first mortgage notes and senior notes, based on recent trades (using Level 2</w:t>
      </w:r>
    </w:p>
    <w:p>
      <w:pPr>
        <w:spacing w:after="0" w:line="79"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19</w:t>
      </w:r>
    </w:p>
    <w:p>
      <w:pPr>
        <w:sectPr>
          <w:pgSz w:w="11900" w:h="16838" w:orient="portrait"/>
          <w:cols w:equalWidth="0" w:num="1">
            <w:col w:w="11440"/>
          </w:cols>
          <w:pgMar w:left="220" w:top="354" w:right="239" w:bottom="1440" w:gutter="0" w:footer="0" w:header="0"/>
        </w:sectPr>
      </w:pPr>
    </w:p>
    <w:bookmarkStart w:id="19" w:name="page20"/>
    <w:bookmarkEnd w:id="19"/>
    <w:p>
      <w:pPr>
        <w:ind w:left="8"/>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121920</wp:posOffset>
            </wp:positionH>
            <wp:positionV relativeFrom="page">
              <wp:posOffset>88900</wp:posOffset>
            </wp:positionV>
            <wp:extent cx="7329170" cy="298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329170" cy="29845"/>
                    </a:xfrm>
                    <a:prstGeom prst="rect">
                      <a:avLst/>
                    </a:prstGeom>
                    <a:noFill/>
                  </pic:spPr>
                </pic:pic>
              </a:graphicData>
            </a:graphic>
          </wp:anchor>
        </w:drawing>
      </w:r>
      <w:hyperlink w:anchor="page2">
        <w:r>
          <w:rPr>
            <w:rFonts w:ascii="Arial" w:cs="Arial" w:eastAsia="Arial" w:hAnsi="Arial"/>
            <w:sz w:val="12"/>
            <w:szCs w:val="12"/>
            <w:b w:val="1"/>
            <w:bCs w:val="1"/>
            <w:u w:val="single" w:color="auto"/>
            <w:color w:val="0000EE"/>
          </w:rPr>
          <w:t>Table of Contents</w:t>
        </w:r>
      </w:hyperlink>
    </w:p>
    <w:p>
      <w:pPr>
        <w:spacing w:after="0" w:line="209" w:lineRule="exact"/>
        <w:rPr>
          <w:sz w:val="20"/>
          <w:szCs w:val="20"/>
          <w:color w:val="auto"/>
        </w:rPr>
      </w:pPr>
    </w:p>
    <w:p>
      <w:pPr>
        <w:ind w:left="8" w:right="280"/>
        <w:spacing w:after="0" w:line="294" w:lineRule="auto"/>
        <w:rPr>
          <w:sz w:val="20"/>
          <w:szCs w:val="20"/>
          <w:color w:val="auto"/>
        </w:rPr>
      </w:pPr>
      <w:r>
        <w:rPr>
          <w:rFonts w:ascii="Arial" w:cs="Arial" w:eastAsia="Arial" w:hAnsi="Arial"/>
          <w:sz w:val="11"/>
          <w:szCs w:val="11"/>
          <w:color w:val="auto"/>
        </w:rPr>
        <w:t>inputs), was approximately $3.5 billion and $3.4 billion at September 30, 2013 and December 31, 2012, respectively. The net book value of the Company’s other debt instruments, excluding the Redemption Note, was approximately $980.7 million and $783.4 million at September 30, 2013 and December 31, 2012, respectively. The estimated fair value of the Company’s other debt instruments was approximately $971.5 million and $760.8 million at September 30, 2013 and December 31, 2012, respectively. The estimated fair value of the Redemption Note (using Level 2 inputs) was approximately $1.94 billion at both September 30, 2013 and December 31, 2012.</w:t>
      </w:r>
    </w:p>
    <w:p>
      <w:pPr>
        <w:spacing w:after="0" w:line="155" w:lineRule="exact"/>
        <w:rPr>
          <w:sz w:val="20"/>
          <w:szCs w:val="20"/>
          <w:color w:val="auto"/>
        </w:rPr>
      </w:pPr>
    </w:p>
    <w:p>
      <w:pPr>
        <w:ind w:left="8"/>
        <w:spacing w:after="0"/>
        <w:rPr>
          <w:sz w:val="20"/>
          <w:szCs w:val="20"/>
          <w:color w:val="auto"/>
        </w:rPr>
      </w:pPr>
      <w:r>
        <w:rPr>
          <w:rFonts w:ascii="Arial" w:cs="Arial" w:eastAsia="Arial" w:hAnsi="Arial"/>
          <w:sz w:val="12"/>
          <w:szCs w:val="12"/>
          <w:b w:val="1"/>
          <w:bCs w:val="1"/>
          <w:color w:val="auto"/>
        </w:rPr>
        <w:t>10. Interest Rate Swaps</w:t>
      </w:r>
    </w:p>
    <w:p>
      <w:pPr>
        <w:spacing w:after="0" w:line="62" w:lineRule="exact"/>
        <w:rPr>
          <w:sz w:val="20"/>
          <w:szCs w:val="20"/>
          <w:color w:val="auto"/>
        </w:rPr>
      </w:pPr>
    </w:p>
    <w:p>
      <w:pPr>
        <w:ind w:left="8" w:right="120" w:firstLine="459"/>
        <w:spacing w:after="0" w:line="386" w:lineRule="auto"/>
        <w:rPr>
          <w:sz w:val="20"/>
          <w:szCs w:val="20"/>
          <w:color w:val="auto"/>
        </w:rPr>
      </w:pPr>
      <w:r>
        <w:rPr>
          <w:rFonts w:ascii="Arial" w:cs="Arial" w:eastAsia="Arial" w:hAnsi="Arial"/>
          <w:sz w:val="9"/>
          <w:szCs w:val="9"/>
          <w:color w:val="auto"/>
        </w:rPr>
        <w:t>The Company has entered into floating-for-fixed interest rate swap arrangements in order to manage interest rate risk relating to certain of its debt facilities. These interest rate swap agreements modify the Company’s exposure to interest rate risk by converting a portion of the Company’s floating-rate debt to a fixed rate. These interest rate swaps essentially fixed the interest rate at the percentages noted below; however, changes in the fair value of the interest rate swaps for each reporting period have been recorded as an increase/decrease in swap fair value in the accompanying Condensed Consolidated Statements of Income, as the interest rate swaps do not qualify for hedge accounting.</w:t>
      </w:r>
    </w:p>
    <w:p>
      <w:pPr>
        <w:spacing w:after="0" w:line="41" w:lineRule="exact"/>
        <w:rPr>
          <w:sz w:val="20"/>
          <w:szCs w:val="20"/>
          <w:color w:val="auto"/>
        </w:rPr>
      </w:pPr>
    </w:p>
    <w:p>
      <w:pPr>
        <w:ind w:left="8" w:firstLine="459"/>
        <w:spacing w:after="0" w:line="255" w:lineRule="auto"/>
        <w:rPr>
          <w:sz w:val="20"/>
          <w:szCs w:val="20"/>
          <w:color w:val="auto"/>
        </w:rPr>
      </w:pPr>
      <w:r>
        <w:rPr>
          <w:rFonts w:ascii="Arial" w:cs="Arial" w:eastAsia="Arial" w:hAnsi="Arial"/>
          <w:sz w:val="12"/>
          <w:szCs w:val="12"/>
          <w:color w:val="auto"/>
        </w:rPr>
        <w:t>The Company utilized Level 2 inputs as described in Note 2 – “Summary of Significant Accounting Policies” to determine fair value. The fair value approximates the amount the Company would pay if these contracts were settled at the respective valuation dates. Fair value is estimated based upon current, and predictions of future, interest rate levels along a yield curve, the remaining duration of the instruments and other market conditions, and therefore, is subject to significant estimation and a high degree of variability and fluctuation between periods. The fair value is adjusted, to reflect the impact of credit ratings of the counterparties or the Company, as applicable. These adjustments resulted in a reduction in the fair values as compared to their settlement values. As of September 30, 2013, the interest rate swaps were recorded as an asset of $9.2 million and included in deposits and other assets. As of December 31, 2012, the interest rate swaps were recorded as a liability of $3.9 million and included in other long-term liabilities.</w:t>
      </w:r>
    </w:p>
    <w:p>
      <w:pPr>
        <w:spacing w:after="0" w:line="96" w:lineRule="exact"/>
        <w:rPr>
          <w:sz w:val="20"/>
          <w:szCs w:val="20"/>
          <w:color w:val="auto"/>
        </w:rPr>
      </w:pPr>
    </w:p>
    <w:p>
      <w:pPr>
        <w:jc w:val="both"/>
        <w:ind w:left="8" w:right="100" w:firstLine="459"/>
        <w:spacing w:after="0" w:line="256" w:lineRule="auto"/>
        <w:rPr>
          <w:sz w:val="20"/>
          <w:szCs w:val="20"/>
          <w:color w:val="auto"/>
        </w:rPr>
      </w:pPr>
      <w:r>
        <w:rPr>
          <w:rFonts w:ascii="Arial" w:cs="Arial" w:eastAsia="Arial" w:hAnsi="Arial"/>
          <w:sz w:val="12"/>
          <w:szCs w:val="12"/>
          <w:color w:val="auto"/>
        </w:rPr>
        <w:t>The Company currently has three interest rate swap agreements intended to hedge a portion of the underlying interest rate risk on borrowings under the Amended Wynn Macau Credit Facilities. Under two of the swap agreements, the Company pays a fixed interest rate (excluding the applicable interest margin) of 0.73% on notional amounts corresponding to borrowings of HK$3.95 billion (approximately US$509.4 million) incurred under the Amended Wynn Macau Credit Facilities in exchange for receipts on the same amount at a variable interest rate based on the applicable HIBOR at the time of payment. These interest rate swaps fix the all-in interest rate on such amounts at 2.48% to 3.23%. These interest rate swap agreements mature in July 2017.</w:t>
      </w:r>
    </w:p>
    <w:p>
      <w:pPr>
        <w:spacing w:after="0" w:line="96" w:lineRule="exact"/>
        <w:rPr>
          <w:sz w:val="20"/>
          <w:szCs w:val="20"/>
          <w:color w:val="auto"/>
        </w:rPr>
      </w:pPr>
    </w:p>
    <w:p>
      <w:pPr>
        <w:ind w:left="8" w:firstLine="459"/>
        <w:spacing w:after="0" w:line="259" w:lineRule="auto"/>
        <w:rPr>
          <w:sz w:val="20"/>
          <w:szCs w:val="20"/>
          <w:color w:val="auto"/>
        </w:rPr>
      </w:pPr>
      <w:r>
        <w:rPr>
          <w:rFonts w:ascii="Arial" w:cs="Arial" w:eastAsia="Arial" w:hAnsi="Arial"/>
          <w:sz w:val="12"/>
          <w:szCs w:val="12"/>
          <w:color w:val="auto"/>
        </w:rPr>
        <w:t>Under the third swap agreement, the Company pays a fixed interest rate (excluding the applicable interest margin) of 0.6763% on notional amounts corresponding to borrowings of US$243.75 million incurred under the Amended Wynn Macau Credit Facilities in exchange for receipts on the same amount at a variable rate based on the applicable LIBOR at the time of payment. This interest rate swap fixes the all-in interest rate on such amounts at 2.4263% to 3.1763%. This interest rate swap agreement matures in July 2017.</w:t>
      </w:r>
    </w:p>
    <w:p>
      <w:pPr>
        <w:spacing w:after="0" w:line="173" w:lineRule="exact"/>
        <w:rPr>
          <w:sz w:val="20"/>
          <w:szCs w:val="20"/>
          <w:color w:val="auto"/>
        </w:rPr>
      </w:pPr>
    </w:p>
    <w:p>
      <w:pPr>
        <w:ind w:left="228" w:hanging="228"/>
        <w:spacing w:after="0"/>
        <w:tabs>
          <w:tab w:leader="none" w:pos="228" w:val="left"/>
        </w:tabs>
        <w:numPr>
          <w:ilvl w:val="0"/>
          <w:numId w:val="11"/>
        </w:numPr>
        <w:rPr>
          <w:rFonts w:ascii="Arial" w:cs="Arial" w:eastAsia="Arial" w:hAnsi="Arial"/>
          <w:sz w:val="12"/>
          <w:szCs w:val="12"/>
          <w:b w:val="1"/>
          <w:bCs w:val="1"/>
          <w:color w:val="auto"/>
        </w:rPr>
      </w:pPr>
      <w:r>
        <w:rPr>
          <w:rFonts w:ascii="Arial" w:cs="Arial" w:eastAsia="Arial" w:hAnsi="Arial"/>
          <w:sz w:val="12"/>
          <w:szCs w:val="12"/>
          <w:b w:val="1"/>
          <w:bCs w:val="1"/>
          <w:color w:val="auto"/>
        </w:rPr>
        <w:t>Related Party Transactions</w:t>
      </w:r>
    </w:p>
    <w:p>
      <w:pPr>
        <w:spacing w:after="0" w:line="62" w:lineRule="exact"/>
        <w:rPr>
          <w:rFonts w:ascii="Arial" w:cs="Arial" w:eastAsia="Arial" w:hAnsi="Arial"/>
          <w:sz w:val="12"/>
          <w:szCs w:val="12"/>
          <w:b w:val="1"/>
          <w:bCs w:val="1"/>
          <w:color w:val="auto"/>
        </w:rPr>
      </w:pPr>
    </w:p>
    <w:p>
      <w:pPr>
        <w:ind w:left="228"/>
        <w:spacing w:after="0"/>
        <w:rPr>
          <w:rFonts w:ascii="Arial" w:cs="Arial" w:eastAsia="Arial" w:hAnsi="Arial"/>
          <w:sz w:val="12"/>
          <w:szCs w:val="12"/>
          <w:b w:val="1"/>
          <w:bCs w:val="1"/>
          <w:color w:val="auto"/>
        </w:rPr>
      </w:pPr>
      <w:r>
        <w:rPr>
          <w:rFonts w:ascii="Arial" w:cs="Arial" w:eastAsia="Arial" w:hAnsi="Arial"/>
          <w:sz w:val="12"/>
          <w:szCs w:val="12"/>
          <w:i w:val="1"/>
          <w:iCs w:val="1"/>
          <w:color w:val="auto"/>
        </w:rPr>
        <w:t>Share Redemption of a Former Related Party</w:t>
      </w:r>
    </w:p>
    <w:p>
      <w:pPr>
        <w:spacing w:after="0" w:line="60" w:lineRule="exact"/>
        <w:rPr>
          <w:sz w:val="20"/>
          <w:szCs w:val="20"/>
          <w:color w:val="auto"/>
        </w:rPr>
      </w:pPr>
    </w:p>
    <w:p>
      <w:pPr>
        <w:ind w:left="8" w:right="180" w:firstLine="459"/>
        <w:spacing w:after="0" w:line="256" w:lineRule="auto"/>
        <w:rPr>
          <w:sz w:val="20"/>
          <w:szCs w:val="20"/>
          <w:color w:val="auto"/>
        </w:rPr>
      </w:pPr>
      <w:r>
        <w:rPr>
          <w:rFonts w:ascii="Arial" w:cs="Arial" w:eastAsia="Arial" w:hAnsi="Arial"/>
          <w:sz w:val="12"/>
          <w:szCs w:val="12"/>
          <w:color w:val="auto"/>
        </w:rPr>
        <w:t>Based on the Board of Directors’ finding of “unsuitability,” on February 18, 2012, the Company redeemed and cancelled Aruze USA, Inc.’s 24,549,222 shares of Wynn Resorts’ common stock. Following a finding of “unsuitability,” Wynn Resorts’ articles of incorporation authorize redemption of the shares held by unsuitable persons at a “fair value” redemption price. The Company engaged an independent financial advisor to assist in the fair value calculation and concluded that a discount to the then current trading price was appropriate because of, among other things, restrictions on most of the shares which were subject to the terms of an existing stockholder agreement. Pursuant to the articles of incorporation, the Company issued the Redemption Note to</w:t>
      </w:r>
    </w:p>
    <w:p>
      <w:pPr>
        <w:spacing w:after="0" w:line="87" w:lineRule="exact"/>
        <w:rPr>
          <w:sz w:val="20"/>
          <w:szCs w:val="20"/>
          <w:color w:val="auto"/>
        </w:rPr>
      </w:pPr>
    </w:p>
    <w:p>
      <w:pPr>
        <w:jc w:val="center"/>
        <w:ind w:right="-7"/>
        <w:spacing w:after="0"/>
        <w:rPr>
          <w:sz w:val="20"/>
          <w:szCs w:val="20"/>
          <w:color w:val="auto"/>
        </w:rPr>
      </w:pPr>
      <w:r>
        <w:rPr>
          <w:rFonts w:ascii="Arial" w:cs="Arial" w:eastAsia="Arial" w:hAnsi="Arial"/>
          <w:sz w:val="12"/>
          <w:szCs w:val="12"/>
          <w:color w:val="auto"/>
        </w:rPr>
        <w:t>20</w:t>
      </w:r>
    </w:p>
    <w:p>
      <w:pPr>
        <w:sectPr>
          <w:pgSz w:w="11900" w:h="16838" w:orient="portrait"/>
          <w:cols w:equalWidth="0" w:num="1">
            <w:col w:w="11488"/>
          </w:cols>
          <w:pgMar w:left="212" w:top="354" w:right="199" w:bottom="1440" w:gutter="0" w:footer="0" w:header="0"/>
        </w:sectPr>
      </w:pPr>
    </w:p>
    <w:bookmarkStart w:id="20" w:name="page21"/>
    <w:bookmarkEnd w:id="20"/>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121920</wp:posOffset>
            </wp:positionH>
            <wp:positionV relativeFrom="page">
              <wp:posOffset>88900</wp:posOffset>
            </wp:positionV>
            <wp:extent cx="7329170" cy="298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329170" cy="29845"/>
                    </a:xfrm>
                    <a:prstGeom prst="rect">
                      <a:avLst/>
                    </a:prstGeom>
                    <a:noFill/>
                  </pic:spPr>
                </pic:pic>
              </a:graphicData>
            </a:graphic>
          </wp:anchor>
        </w:drawing>
      </w:r>
      <w:hyperlink w:anchor="page2">
        <w:r>
          <w:rPr>
            <w:rFonts w:ascii="Arial" w:cs="Arial" w:eastAsia="Arial" w:hAnsi="Arial"/>
            <w:sz w:val="12"/>
            <w:szCs w:val="12"/>
            <w:b w:val="1"/>
            <w:bCs w:val="1"/>
            <w:u w:val="single" w:color="auto"/>
            <w:color w:val="0000EE"/>
          </w:rPr>
          <w:t>Table of Contents</w:t>
        </w:r>
      </w:hyperlink>
    </w:p>
    <w:p>
      <w:pPr>
        <w:spacing w:after="0" w:line="209" w:lineRule="exact"/>
        <w:rPr>
          <w:sz w:val="20"/>
          <w:szCs w:val="20"/>
          <w:color w:val="auto"/>
        </w:rPr>
      </w:pPr>
    </w:p>
    <w:p>
      <w:pPr>
        <w:ind w:right="140"/>
        <w:spacing w:after="0" w:line="256" w:lineRule="auto"/>
        <w:rPr>
          <w:sz w:val="20"/>
          <w:szCs w:val="20"/>
          <w:color w:val="auto"/>
        </w:rPr>
      </w:pPr>
      <w:r>
        <w:rPr>
          <w:rFonts w:ascii="Arial" w:cs="Arial" w:eastAsia="Arial" w:hAnsi="Arial"/>
          <w:sz w:val="12"/>
          <w:szCs w:val="12"/>
          <w:color w:val="auto"/>
        </w:rPr>
        <w:t>Aruze USA, Inc., a former stockholder and related party, in redemption of the shares. Aruze USA, Inc., Universal Entertainment Corporation and Kazuo Okada have challenged the redemption of Aruze USA, Inc.’s shares and we are currently involved in litigation with those parties as well as related shareholder derivative litigation. The outcome of these various proceedings cannot be predicted. The Company’s claims and the Okada Parties’ counterclaims are in a preliminary stage and management has determined that based on proceedings to date, it is currently unable to determine the probability of the outcome of this matter or the range of reasonably possible loss, if any. An adverse judgment or settlement involving payment of a material amount could cause a material adverse effect on our financial condition.</w:t>
      </w:r>
    </w:p>
    <w:p>
      <w:pPr>
        <w:spacing w:after="0" w:line="150" w:lineRule="exact"/>
        <w:rPr>
          <w:sz w:val="20"/>
          <w:szCs w:val="20"/>
          <w:color w:val="auto"/>
        </w:rPr>
      </w:pPr>
    </w:p>
    <w:p>
      <w:pPr>
        <w:ind w:left="220"/>
        <w:spacing w:after="0"/>
        <w:rPr>
          <w:sz w:val="20"/>
          <w:szCs w:val="20"/>
          <w:color w:val="auto"/>
        </w:rPr>
      </w:pPr>
      <w:r>
        <w:rPr>
          <w:rFonts w:ascii="Arial" w:cs="Arial" w:eastAsia="Arial" w:hAnsi="Arial"/>
          <w:sz w:val="12"/>
          <w:szCs w:val="12"/>
          <w:i w:val="1"/>
          <w:iCs w:val="1"/>
          <w:color w:val="auto"/>
        </w:rPr>
        <w:t>Amounts Due to Officers</w:t>
      </w:r>
    </w:p>
    <w:p>
      <w:pPr>
        <w:spacing w:after="0" w:line="60" w:lineRule="exact"/>
        <w:rPr>
          <w:sz w:val="20"/>
          <w:szCs w:val="20"/>
          <w:color w:val="auto"/>
        </w:rPr>
      </w:pPr>
    </w:p>
    <w:p>
      <w:pPr>
        <w:ind w:firstLine="459"/>
        <w:spacing w:after="0" w:line="294" w:lineRule="auto"/>
        <w:rPr>
          <w:sz w:val="20"/>
          <w:szCs w:val="20"/>
          <w:color w:val="auto"/>
        </w:rPr>
      </w:pPr>
      <w:r>
        <w:rPr>
          <w:rFonts w:ascii="Arial" w:cs="Arial" w:eastAsia="Arial" w:hAnsi="Arial"/>
          <w:sz w:val="11"/>
          <w:szCs w:val="11"/>
          <w:color w:val="auto"/>
        </w:rPr>
        <w:t>The Company periodically provides services to Stephen A. Wynn (“Mr. Wynn”), Chairman of the Board of Directors and Chief Executive Officer, and certain other officers and directors of the Company, including household employees, construction work and other personal services. Mr. Wynn and the other officers and directors have deposits with the Company to prepay any such items, which are replenished on an ongoing basis as needed. As of September 30, 2013 and December 31, 2012, Mr. Wynn and the other officers and directors had a net deposit balance with the Company of approximately $1.4 million and $1 million, respectively.</w:t>
      </w:r>
    </w:p>
    <w:p>
      <w:pPr>
        <w:spacing w:after="0" w:line="130" w:lineRule="exact"/>
        <w:rPr>
          <w:sz w:val="20"/>
          <w:szCs w:val="20"/>
          <w:color w:val="auto"/>
        </w:rPr>
      </w:pPr>
    </w:p>
    <w:p>
      <w:pPr>
        <w:ind w:left="220"/>
        <w:spacing w:after="0"/>
        <w:rPr>
          <w:sz w:val="20"/>
          <w:szCs w:val="20"/>
          <w:color w:val="auto"/>
        </w:rPr>
      </w:pPr>
      <w:r>
        <w:rPr>
          <w:rFonts w:ascii="Arial" w:cs="Arial" w:eastAsia="Arial" w:hAnsi="Arial"/>
          <w:sz w:val="12"/>
          <w:szCs w:val="12"/>
          <w:i w:val="1"/>
          <w:iCs w:val="1"/>
          <w:color w:val="auto"/>
        </w:rPr>
        <w:t>Villa Suite Lease</w:t>
      </w:r>
    </w:p>
    <w:p>
      <w:pPr>
        <w:spacing w:after="0" w:line="60" w:lineRule="exact"/>
        <w:rPr>
          <w:sz w:val="20"/>
          <w:szCs w:val="20"/>
          <w:color w:val="auto"/>
        </w:rPr>
      </w:pPr>
    </w:p>
    <w:p>
      <w:pPr>
        <w:ind w:firstLine="459"/>
        <w:spacing w:after="0" w:line="280" w:lineRule="auto"/>
        <w:rPr>
          <w:sz w:val="20"/>
          <w:szCs w:val="20"/>
          <w:color w:val="auto"/>
        </w:rPr>
      </w:pPr>
      <w:r>
        <w:rPr>
          <w:rFonts w:ascii="Arial" w:cs="Arial" w:eastAsia="Arial" w:hAnsi="Arial"/>
          <w:sz w:val="11"/>
          <w:szCs w:val="11"/>
          <w:color w:val="auto"/>
        </w:rPr>
        <w:t>On March 18, 2010, Mr. Wynn and Wynn Las Vegas entered into an Amended and Restated Agreement of Lease (the “Prior SW Lease”) for a villa suite to serve as Mr. Wynn’s personal residence. The Prior SW Lease amended and restated a previous lease. The Prior SW Lease was approved by the Audit Committee of the Board of Directors of the Company. The term of the Prior SW Lease commenced as of March 1, 2010 and ran concurrent with Mr. Wynn’s employment agreement with the Company; provided that either party could terminate on 90 days notice. Pursuant to the Prior SW Lease, the rental value of the villa suite is treated as imputed income to Mr. Wynn, and was equal to the fair market value of the accommodations provided. Effective March 1, 2010, and for the first two years of the term of the Prior SW Lease, the rental value was $503,831 per year. Effective March 1, 2012, the rental value was $440,000 per year. On May 7, 2013, Wynn Las Vegas entered into a 2013 Amended and Restated Agreement of Lease (the “Existing SW Lease”), effective December 29, 2012, to include an expansion of the villa and to adjust the rental value accordingly to $525,000 per year based on the current fair market value as established by the Audit Committee of the Company with the assistance of an independent third-party appraisal. The rental value for the villa suite will be re-determined every two years during the term of the Existing SW Lease by the Audit Committee. Certain services for, and maintenance of, the villa suite are included in the rental.</w:t>
      </w:r>
    </w:p>
    <w:p>
      <w:pPr>
        <w:spacing w:after="0" w:line="138" w:lineRule="exact"/>
        <w:rPr>
          <w:sz w:val="20"/>
          <w:szCs w:val="20"/>
          <w:color w:val="auto"/>
        </w:rPr>
      </w:pPr>
    </w:p>
    <w:p>
      <w:pPr>
        <w:ind w:left="220"/>
        <w:spacing w:after="0"/>
        <w:rPr>
          <w:sz w:val="20"/>
          <w:szCs w:val="20"/>
          <w:color w:val="auto"/>
        </w:rPr>
      </w:pPr>
      <w:r>
        <w:rPr>
          <w:rFonts w:ascii="Arial" w:cs="Arial" w:eastAsia="Arial" w:hAnsi="Arial"/>
          <w:sz w:val="12"/>
          <w:szCs w:val="12"/>
          <w:i w:val="1"/>
          <w:iCs w:val="1"/>
          <w:color w:val="auto"/>
        </w:rPr>
        <w:t>Aircraft Purchase Option Agreement</w:t>
      </w:r>
    </w:p>
    <w:p>
      <w:pPr>
        <w:spacing w:after="0" w:line="60" w:lineRule="exact"/>
        <w:rPr>
          <w:sz w:val="20"/>
          <w:szCs w:val="20"/>
          <w:color w:val="auto"/>
        </w:rPr>
      </w:pPr>
    </w:p>
    <w:p>
      <w:pPr>
        <w:jc w:val="both"/>
        <w:ind w:right="220" w:firstLine="459"/>
        <w:spacing w:after="0" w:line="294" w:lineRule="auto"/>
        <w:rPr>
          <w:sz w:val="20"/>
          <w:szCs w:val="20"/>
          <w:color w:val="auto"/>
        </w:rPr>
      </w:pPr>
      <w:r>
        <w:rPr>
          <w:rFonts w:ascii="Arial" w:cs="Arial" w:eastAsia="Arial" w:hAnsi="Arial"/>
          <w:sz w:val="11"/>
          <w:szCs w:val="11"/>
          <w:color w:val="auto"/>
        </w:rPr>
        <w:t>On January 3, 2013, the Company and Mr. Wynn entered into an agreement pursuant to which Mr. Wynn agreed to terminate a previously granted option to purchase an approximately two acre tract of land located on the Wynn Las Vegas golf course and, in return, the Company granted Mr. Wynn the right to purchase any or all of the aircraft owned by the Company or its direct wholly owned subsidiaries. The aircraft purchase option is exercisable upon 30 days written notice and at a price equal to the book value of such aircraft, and will terminate on the date of termination of the employment agreement between the Company and Mr. Wynn, which expires in October 2020.</w:t>
      </w:r>
    </w:p>
    <w:p>
      <w:pPr>
        <w:spacing w:after="0" w:line="130" w:lineRule="exact"/>
        <w:rPr>
          <w:sz w:val="20"/>
          <w:szCs w:val="20"/>
          <w:color w:val="auto"/>
        </w:rPr>
      </w:pPr>
    </w:p>
    <w:p>
      <w:pPr>
        <w:ind w:left="220"/>
        <w:spacing w:after="0"/>
        <w:rPr>
          <w:sz w:val="20"/>
          <w:szCs w:val="20"/>
          <w:color w:val="auto"/>
        </w:rPr>
      </w:pPr>
      <w:r>
        <w:rPr>
          <w:rFonts w:ascii="Arial" w:cs="Arial" w:eastAsia="Arial" w:hAnsi="Arial"/>
          <w:sz w:val="12"/>
          <w:szCs w:val="12"/>
          <w:i w:val="1"/>
          <w:iCs w:val="1"/>
          <w:color w:val="auto"/>
        </w:rPr>
        <w:t>The “Wynn” Surname Rights Agreement</w:t>
      </w:r>
    </w:p>
    <w:p>
      <w:pPr>
        <w:spacing w:after="0" w:line="60" w:lineRule="exact"/>
        <w:rPr>
          <w:sz w:val="20"/>
          <w:szCs w:val="20"/>
          <w:color w:val="auto"/>
        </w:rPr>
      </w:pPr>
    </w:p>
    <w:p>
      <w:pPr>
        <w:ind w:right="120" w:firstLine="459"/>
        <w:spacing w:after="0" w:line="259" w:lineRule="auto"/>
        <w:rPr>
          <w:sz w:val="20"/>
          <w:szCs w:val="20"/>
          <w:color w:val="auto"/>
        </w:rPr>
      </w:pPr>
      <w:r>
        <w:rPr>
          <w:rFonts w:ascii="Arial" w:cs="Arial" w:eastAsia="Arial" w:hAnsi="Arial"/>
          <w:sz w:val="12"/>
          <w:szCs w:val="12"/>
          <w:color w:val="auto"/>
        </w:rPr>
        <w:t>On August 6, 2004, the Company entered into agreements with Mr. Wynn that confirm and clarify the Company’s rights to use the “Wynn” name and Mr. Wynn’s persona in connection with its casino resorts. Under the parties’ Surname Rights Agreement, Mr. Wynn granted the Company an exclusive, fully paid-up, perpetual, worldwide license to use, and to own and register trademarks and service marks incorporating the “Wynn” name for casino resorts and related businesses, together with the right to sublicense the name and marks to its affiliates.</w:t>
      </w:r>
    </w:p>
    <w:p>
      <w:pPr>
        <w:spacing w:after="0" w:line="85"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21</w:t>
      </w:r>
    </w:p>
    <w:p>
      <w:pPr>
        <w:sectPr>
          <w:pgSz w:w="11900" w:h="16838" w:orient="portrait"/>
          <w:cols w:equalWidth="0" w:num="1">
            <w:col w:w="11460"/>
          </w:cols>
          <w:pgMar w:left="220" w:top="354" w:right="219" w:bottom="1440" w:gutter="0" w:footer="0" w:header="0"/>
        </w:sectPr>
      </w:pPr>
    </w:p>
    <w:bookmarkStart w:id="21" w:name="page22"/>
    <w:bookmarkEnd w:id="21"/>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121920</wp:posOffset>
            </wp:positionH>
            <wp:positionV relativeFrom="page">
              <wp:posOffset>88900</wp:posOffset>
            </wp:positionV>
            <wp:extent cx="7329170" cy="298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329170" cy="29845"/>
                    </a:xfrm>
                    <a:prstGeom prst="rect">
                      <a:avLst/>
                    </a:prstGeom>
                    <a:noFill/>
                  </pic:spPr>
                </pic:pic>
              </a:graphicData>
            </a:graphic>
          </wp:anchor>
        </w:drawing>
      </w:r>
      <w:hyperlink w:anchor="page2">
        <w:r>
          <w:rPr>
            <w:rFonts w:ascii="Arial" w:cs="Arial" w:eastAsia="Arial" w:hAnsi="Arial"/>
            <w:sz w:val="12"/>
            <w:szCs w:val="12"/>
            <w:b w:val="1"/>
            <w:bCs w:val="1"/>
            <w:u w:val="single" w:color="auto"/>
            <w:color w:val="0000EE"/>
          </w:rPr>
          <w:t>Table of Contents</w:t>
        </w:r>
      </w:hyperlink>
    </w:p>
    <w:p>
      <w:pPr>
        <w:spacing w:after="0" w:line="209" w:lineRule="exact"/>
        <w:rPr>
          <w:sz w:val="20"/>
          <w:szCs w:val="20"/>
          <w:color w:val="auto"/>
        </w:rPr>
      </w:pPr>
    </w:p>
    <w:p>
      <w:pPr>
        <w:ind w:right="140"/>
        <w:spacing w:after="0" w:line="268" w:lineRule="auto"/>
        <w:rPr>
          <w:sz w:val="20"/>
          <w:szCs w:val="20"/>
          <w:color w:val="auto"/>
        </w:rPr>
      </w:pPr>
      <w:r>
        <w:rPr>
          <w:rFonts w:ascii="Arial" w:cs="Arial" w:eastAsia="Arial" w:hAnsi="Arial"/>
          <w:sz w:val="12"/>
          <w:szCs w:val="12"/>
          <w:color w:val="auto"/>
        </w:rPr>
        <w:t>Under the parties’ Rights of Publicity License, Mr. Wynn granted the Company the exclusive, royalty-free, worldwide right to use his full name, persona and related rights of publicity for casino resorts and related businesses, together with the ability to sublicense the persona and publicity rights to its affiliates, until October 24, 2017.</w:t>
      </w:r>
    </w:p>
    <w:p>
      <w:pPr>
        <w:spacing w:after="0" w:line="167"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12. Property Charges and Other</w:t>
      </w:r>
    </w:p>
    <w:p>
      <w:pPr>
        <w:spacing w:after="0" w:line="62" w:lineRule="exact"/>
        <w:rPr>
          <w:sz w:val="20"/>
          <w:szCs w:val="20"/>
          <w:color w:val="auto"/>
        </w:rPr>
      </w:pPr>
    </w:p>
    <w:p>
      <w:pPr>
        <w:ind w:left="460"/>
        <w:spacing w:after="0"/>
        <w:rPr>
          <w:sz w:val="20"/>
          <w:szCs w:val="20"/>
          <w:color w:val="auto"/>
        </w:rPr>
      </w:pPr>
      <w:r>
        <w:rPr>
          <w:rFonts w:ascii="Arial" w:cs="Arial" w:eastAsia="Arial" w:hAnsi="Arial"/>
          <w:sz w:val="9"/>
          <w:szCs w:val="9"/>
          <w:color w:val="auto"/>
        </w:rPr>
        <w:t>Property charges and other generally include costs related to the retirement of assets for remodels and asset abandonments. Property charges and other for the three and nine months ended September 30, 2013 were $2.6 million and</w:t>
      </w:r>
    </w:p>
    <w:p>
      <w:pPr>
        <w:spacing w:after="0" w:line="45" w:lineRule="exact"/>
        <w:rPr>
          <w:sz w:val="20"/>
          <w:szCs w:val="20"/>
          <w:color w:val="auto"/>
        </w:rPr>
      </w:pPr>
    </w:p>
    <w:p>
      <w:pPr>
        <w:spacing w:after="0"/>
        <w:rPr>
          <w:sz w:val="20"/>
          <w:szCs w:val="20"/>
          <w:color w:val="auto"/>
        </w:rPr>
      </w:pPr>
      <w:r>
        <w:rPr>
          <w:rFonts w:ascii="Arial" w:cs="Arial" w:eastAsia="Arial" w:hAnsi="Arial"/>
          <w:sz w:val="9"/>
          <w:szCs w:val="9"/>
          <w:color w:val="auto"/>
        </w:rPr>
        <w:t>$13.6 million, respectively, which includes miscellaneous renovations and abandonments at our resorts, entertainment development costs and fees paid in connection with the termination of a contract. Property charges and other for the three and</w:t>
      </w:r>
    </w:p>
    <w:p>
      <w:pPr>
        <w:spacing w:after="0" w:line="41" w:lineRule="exact"/>
        <w:rPr>
          <w:sz w:val="20"/>
          <w:szCs w:val="20"/>
          <w:color w:val="auto"/>
        </w:rPr>
      </w:pPr>
    </w:p>
    <w:p>
      <w:pPr>
        <w:spacing w:after="0"/>
        <w:rPr>
          <w:sz w:val="20"/>
          <w:szCs w:val="20"/>
          <w:color w:val="auto"/>
        </w:rPr>
      </w:pPr>
      <w:r>
        <w:rPr>
          <w:rFonts w:ascii="Arial" w:cs="Arial" w:eastAsia="Arial" w:hAnsi="Arial"/>
          <w:sz w:val="9"/>
          <w:szCs w:val="9"/>
          <w:color w:val="auto"/>
        </w:rPr>
        <w:t>nine months ended September 30, 2012 were $22.7 million and $36.5 million respectively, and included a remodel of a Las Vegas restaurant, charges associated with the termination of a Las Vegas show that ended its run in November 2012 and</w:t>
      </w:r>
    </w:p>
    <w:p>
      <w:pPr>
        <w:spacing w:after="0" w:line="41" w:lineRule="exact"/>
        <w:rPr>
          <w:sz w:val="20"/>
          <w:szCs w:val="20"/>
          <w:color w:val="auto"/>
        </w:rPr>
      </w:pPr>
    </w:p>
    <w:p>
      <w:pPr>
        <w:spacing w:after="0"/>
        <w:rPr>
          <w:sz w:val="20"/>
          <w:szCs w:val="20"/>
          <w:color w:val="auto"/>
        </w:rPr>
      </w:pPr>
      <w:r>
        <w:rPr>
          <w:rFonts w:ascii="Arial" w:cs="Arial" w:eastAsia="Arial" w:hAnsi="Arial"/>
          <w:sz w:val="12"/>
          <w:szCs w:val="12"/>
          <w:color w:val="auto"/>
        </w:rPr>
        <w:t>miscellaneous renovations and abandonments at our resorts.</w:t>
      </w:r>
    </w:p>
    <w:p>
      <w:pPr>
        <w:spacing w:after="0" w:line="189"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13. Noncontrolling Interest</w:t>
      </w:r>
    </w:p>
    <w:p>
      <w:pPr>
        <w:spacing w:after="0" w:line="62" w:lineRule="exact"/>
        <w:rPr>
          <w:sz w:val="20"/>
          <w:szCs w:val="20"/>
          <w:color w:val="auto"/>
        </w:rPr>
      </w:pPr>
    </w:p>
    <w:p>
      <w:pPr>
        <w:ind w:firstLine="459"/>
        <w:spacing w:after="0" w:line="255" w:lineRule="auto"/>
        <w:rPr>
          <w:sz w:val="20"/>
          <w:szCs w:val="20"/>
          <w:color w:val="auto"/>
        </w:rPr>
      </w:pPr>
      <w:r>
        <w:rPr>
          <w:rFonts w:ascii="Arial" w:cs="Arial" w:eastAsia="Arial" w:hAnsi="Arial"/>
          <w:sz w:val="12"/>
          <w:szCs w:val="12"/>
          <w:color w:val="auto"/>
        </w:rPr>
        <w:t>In October 2009, Wynn Macau, Limited, an indirect wholly owned subsidiary of the Company and the developer, owner and operator of Wynn Macau, listed its ordinary shares of common stock on The Stock Exchange of Hong Kong Limited. Through an initial public offering, including the over allotment, Wynn Macau, Limited sold 1,437,500,000 shares (27.7%) of its common stock. The shares of Wynn Macau, Limited were not and will not be registered under the Securities Act and may not be offered or sold in the United States absent a registration under the Securities Act as amended, or an applicable exception from such registration requirements. Net income attributable to noncontrolling interest was $66.8 million and $53.1 million for the three months ended September 30, 2013 and 2012, respectively. Net income attributable to noncontrolling interest was $198.9 million and $172.2 million for the nine months ended September 30, 2013 and 2012, respectively.</w:t>
      </w:r>
    </w:p>
    <w:p>
      <w:pPr>
        <w:spacing w:after="0" w:line="175"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14. Stock-Based Compensation</w:t>
      </w:r>
    </w:p>
    <w:p>
      <w:pPr>
        <w:spacing w:after="0" w:line="62" w:lineRule="exact"/>
        <w:rPr>
          <w:sz w:val="20"/>
          <w:szCs w:val="20"/>
          <w:color w:val="auto"/>
        </w:rPr>
      </w:pPr>
    </w:p>
    <w:p>
      <w:pPr>
        <w:ind w:left="460"/>
        <w:spacing w:after="0"/>
        <w:rPr>
          <w:sz w:val="20"/>
          <w:szCs w:val="20"/>
          <w:color w:val="auto"/>
        </w:rPr>
      </w:pPr>
      <w:r>
        <w:rPr>
          <w:rFonts w:ascii="Arial" w:cs="Arial" w:eastAsia="Arial" w:hAnsi="Arial"/>
          <w:sz w:val="12"/>
          <w:szCs w:val="12"/>
          <w:color w:val="auto"/>
        </w:rPr>
        <w:t>The total compensation cost relating both to stock options and nonvested stock is allocated as follows (amounts in thousands):</w:t>
      </w:r>
    </w:p>
    <w:p>
      <w:pPr>
        <w:spacing w:after="0" w:line="134" w:lineRule="exact"/>
        <w:rPr>
          <w:sz w:val="20"/>
          <w:szCs w:val="20"/>
          <w:color w:val="auto"/>
        </w:rPr>
      </w:pPr>
    </w:p>
    <w:tbl>
      <w:tblPr>
        <w:tblLayout w:type="fixed"/>
        <w:tblInd w:w="460" w:type="dxa"/>
        <w:tblCellMar>
          <w:top w:w="0" w:type="dxa"/>
          <w:left w:w="0" w:type="dxa"/>
          <w:bottom w:w="0" w:type="dxa"/>
          <w:right w:w="0" w:type="dxa"/>
        </w:tblCellMar>
      </w:tblPr>
      <w:tr>
        <w:trPr>
          <w:trHeight w:val="103"/>
        </w:trPr>
        <w:tc>
          <w:tcPr>
            <w:tcW w:w="69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840" w:type="dxa"/>
            <w:vAlign w:val="bottom"/>
            <w:gridSpan w:val="5"/>
          </w:tcPr>
          <w:p>
            <w:pPr>
              <w:jc w:val="right"/>
              <w:ind w:right="820"/>
              <w:spacing w:after="0"/>
              <w:rPr>
                <w:sz w:val="20"/>
                <w:szCs w:val="20"/>
                <w:color w:val="auto"/>
              </w:rPr>
            </w:pPr>
            <w:r>
              <w:rPr>
                <w:rFonts w:ascii="Arial" w:cs="Arial" w:eastAsia="Arial" w:hAnsi="Arial"/>
                <w:sz w:val="9"/>
                <w:szCs w:val="9"/>
                <w:b w:val="1"/>
                <w:bCs w:val="1"/>
                <w:color w:val="auto"/>
              </w:rPr>
              <w:t>Three Months Ended</w:t>
            </w:r>
          </w:p>
        </w:tc>
        <w:tc>
          <w:tcPr>
            <w:tcW w:w="120" w:type="dxa"/>
            <w:vAlign w:val="bottom"/>
          </w:tcPr>
          <w:p>
            <w:pPr>
              <w:spacing w:after="0"/>
              <w:rPr>
                <w:sz w:val="8"/>
                <w:szCs w:val="8"/>
                <w:color w:val="auto"/>
              </w:rPr>
            </w:pPr>
          </w:p>
        </w:tc>
        <w:tc>
          <w:tcPr>
            <w:tcW w:w="1060" w:type="dxa"/>
            <w:vAlign w:val="bottom"/>
            <w:gridSpan w:val="4"/>
          </w:tcPr>
          <w:p>
            <w:pPr>
              <w:jc w:val="right"/>
              <w:spacing w:after="0"/>
              <w:rPr>
                <w:sz w:val="20"/>
                <w:szCs w:val="20"/>
                <w:color w:val="auto"/>
              </w:rPr>
            </w:pPr>
            <w:r>
              <w:rPr>
                <w:rFonts w:ascii="Arial" w:cs="Arial" w:eastAsia="Arial" w:hAnsi="Arial"/>
                <w:sz w:val="9"/>
                <w:szCs w:val="9"/>
                <w:b w:val="1"/>
                <w:bCs w:val="1"/>
                <w:color w:val="auto"/>
              </w:rPr>
              <w:t>Nine Months Ended</w:t>
            </w:r>
          </w:p>
        </w:tc>
        <w:tc>
          <w:tcPr>
            <w:tcW w:w="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8"/>
        </w:trPr>
        <w:tc>
          <w:tcPr>
            <w:tcW w:w="69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960" w:type="dxa"/>
            <w:vAlign w:val="bottom"/>
            <w:tcBorders>
              <w:bottom w:val="single" w:sz="8" w:color="auto"/>
            </w:tcBorders>
            <w:gridSpan w:val="3"/>
          </w:tcPr>
          <w:p>
            <w:pPr>
              <w:jc w:val="right"/>
              <w:ind w:right="13"/>
              <w:spacing w:after="0"/>
              <w:rPr>
                <w:sz w:val="20"/>
                <w:szCs w:val="20"/>
                <w:color w:val="auto"/>
              </w:rPr>
            </w:pPr>
            <w:r>
              <w:rPr>
                <w:rFonts w:ascii="Arial" w:cs="Arial" w:eastAsia="Arial" w:hAnsi="Arial"/>
                <w:sz w:val="9"/>
                <w:szCs w:val="9"/>
                <w:b w:val="1"/>
                <w:bCs w:val="1"/>
                <w:color w:val="auto"/>
              </w:rPr>
              <w:t>September 30,</w:t>
            </w:r>
          </w:p>
        </w:tc>
        <w:tc>
          <w:tcPr>
            <w:tcW w:w="380" w:type="dxa"/>
            <w:vAlign w:val="bottom"/>
            <w:tcBorders>
              <w:bottom w:val="single" w:sz="8" w:color="auto"/>
            </w:tcBorders>
          </w:tcPr>
          <w:p>
            <w:pPr>
              <w:spacing w:after="0"/>
              <w:rPr>
                <w:sz w:val="9"/>
                <w:szCs w:val="9"/>
                <w:color w:val="auto"/>
              </w:rPr>
            </w:pPr>
          </w:p>
        </w:tc>
        <w:tc>
          <w:tcPr>
            <w:tcW w:w="50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1060" w:type="dxa"/>
            <w:vAlign w:val="bottom"/>
            <w:tcBorders>
              <w:bottom w:val="single" w:sz="8" w:color="auto"/>
            </w:tcBorders>
            <w:gridSpan w:val="4"/>
          </w:tcPr>
          <w:p>
            <w:pPr>
              <w:jc w:val="right"/>
              <w:ind w:right="73"/>
              <w:spacing w:after="0"/>
              <w:rPr>
                <w:sz w:val="20"/>
                <w:szCs w:val="20"/>
                <w:color w:val="auto"/>
              </w:rPr>
            </w:pPr>
            <w:r>
              <w:rPr>
                <w:rFonts w:ascii="Arial" w:cs="Arial" w:eastAsia="Arial" w:hAnsi="Arial"/>
                <w:sz w:val="9"/>
                <w:szCs w:val="9"/>
                <w:b w:val="1"/>
                <w:bCs w:val="1"/>
                <w:color w:val="auto"/>
              </w:rPr>
              <w:t>September 30,</w:t>
            </w:r>
          </w:p>
        </w:tc>
        <w:tc>
          <w:tcPr>
            <w:tcW w:w="38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88"/>
        </w:trPr>
        <w:tc>
          <w:tcPr>
            <w:tcW w:w="6960" w:type="dxa"/>
            <w:vAlign w:val="bottom"/>
            <w:tcBorders>
              <w:bottom w:val="single" w:sz="8" w:color="CCEEFF"/>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360" w:type="dxa"/>
            <w:vAlign w:val="bottom"/>
            <w:tcBorders>
              <w:bottom w:val="single" w:sz="8" w:color="auto"/>
            </w:tcBorders>
          </w:tcPr>
          <w:p>
            <w:pPr>
              <w:jc w:val="right"/>
              <w:ind w:right="85"/>
              <w:spacing w:after="0" w:line="88" w:lineRule="exact"/>
              <w:rPr>
                <w:sz w:val="20"/>
                <w:szCs w:val="20"/>
                <w:color w:val="auto"/>
              </w:rPr>
            </w:pPr>
            <w:r>
              <w:rPr>
                <w:rFonts w:ascii="Arial" w:cs="Arial" w:eastAsia="Arial" w:hAnsi="Arial"/>
                <w:sz w:val="9"/>
                <w:szCs w:val="9"/>
                <w:b w:val="1"/>
                <w:bCs w:val="1"/>
                <w:color w:val="auto"/>
                <w:w w:val="99"/>
              </w:rPr>
              <w:t>2013</w:t>
            </w:r>
          </w:p>
        </w:tc>
        <w:tc>
          <w:tcPr>
            <w:tcW w:w="480" w:type="dxa"/>
            <w:vAlign w:val="bottom"/>
            <w:tcBorders>
              <w:bottom w:val="single" w:sz="8" w:color="CCEEFF"/>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380" w:type="dxa"/>
            <w:vAlign w:val="bottom"/>
            <w:tcBorders>
              <w:bottom w:val="single" w:sz="8" w:color="auto"/>
            </w:tcBorders>
          </w:tcPr>
          <w:p>
            <w:pPr>
              <w:jc w:val="right"/>
              <w:ind w:right="103"/>
              <w:spacing w:after="0" w:line="88" w:lineRule="exact"/>
              <w:rPr>
                <w:sz w:val="20"/>
                <w:szCs w:val="20"/>
                <w:color w:val="auto"/>
              </w:rPr>
            </w:pPr>
            <w:r>
              <w:rPr>
                <w:rFonts w:ascii="Arial" w:cs="Arial" w:eastAsia="Arial" w:hAnsi="Arial"/>
                <w:sz w:val="9"/>
                <w:szCs w:val="9"/>
                <w:b w:val="1"/>
                <w:bCs w:val="1"/>
                <w:color w:val="auto"/>
                <w:w w:val="99"/>
              </w:rPr>
              <w:t>2012</w:t>
            </w:r>
          </w:p>
        </w:tc>
        <w:tc>
          <w:tcPr>
            <w:tcW w:w="500" w:type="dxa"/>
            <w:vAlign w:val="bottom"/>
            <w:tcBorders>
              <w:bottom w:val="single" w:sz="8" w:color="CCEEFF"/>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400" w:type="dxa"/>
            <w:vAlign w:val="bottom"/>
            <w:tcBorders>
              <w:bottom w:val="single" w:sz="8" w:color="auto"/>
            </w:tcBorders>
          </w:tcPr>
          <w:p>
            <w:pPr>
              <w:jc w:val="right"/>
              <w:ind w:right="105"/>
              <w:spacing w:after="0" w:line="88" w:lineRule="exact"/>
              <w:rPr>
                <w:sz w:val="20"/>
                <w:szCs w:val="20"/>
                <w:color w:val="auto"/>
              </w:rPr>
            </w:pPr>
            <w:r>
              <w:rPr>
                <w:rFonts w:ascii="Arial" w:cs="Arial" w:eastAsia="Arial" w:hAnsi="Arial"/>
                <w:sz w:val="9"/>
                <w:szCs w:val="9"/>
                <w:b w:val="1"/>
                <w:bCs w:val="1"/>
                <w:color w:val="auto"/>
              </w:rPr>
              <w:t>2013</w:t>
            </w:r>
          </w:p>
        </w:tc>
        <w:tc>
          <w:tcPr>
            <w:tcW w:w="240" w:type="dxa"/>
            <w:vAlign w:val="bottom"/>
            <w:tcBorders>
              <w:bottom w:val="single" w:sz="8" w:color="CCEEFF"/>
            </w:tcBorders>
          </w:tcPr>
          <w:p>
            <w:pPr>
              <w:spacing w:after="0"/>
              <w:rPr>
                <w:sz w:val="7"/>
                <w:szCs w:val="7"/>
                <w:color w:val="auto"/>
              </w:rPr>
            </w:pPr>
          </w:p>
        </w:tc>
        <w:tc>
          <w:tcPr>
            <w:tcW w:w="260" w:type="dxa"/>
            <w:vAlign w:val="bottom"/>
            <w:tcBorders>
              <w:bottom w:val="single" w:sz="8" w:color="CCEEFF"/>
            </w:tcBorders>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380" w:type="dxa"/>
            <w:vAlign w:val="bottom"/>
            <w:tcBorders>
              <w:bottom w:val="single" w:sz="8" w:color="auto"/>
            </w:tcBorders>
          </w:tcPr>
          <w:p>
            <w:pPr>
              <w:jc w:val="right"/>
              <w:ind w:right="123"/>
              <w:spacing w:after="0" w:line="88" w:lineRule="exact"/>
              <w:rPr>
                <w:sz w:val="20"/>
                <w:szCs w:val="20"/>
                <w:color w:val="auto"/>
              </w:rPr>
            </w:pPr>
            <w:r>
              <w:rPr>
                <w:rFonts w:ascii="Arial" w:cs="Arial" w:eastAsia="Arial" w:hAnsi="Arial"/>
                <w:sz w:val="9"/>
                <w:szCs w:val="9"/>
                <w:b w:val="1"/>
                <w:bCs w:val="1"/>
                <w:color w:val="auto"/>
                <w:w w:val="89"/>
              </w:rPr>
              <w:t>2012</w:t>
            </w:r>
          </w:p>
        </w:tc>
        <w:tc>
          <w:tcPr>
            <w:tcW w:w="100" w:type="dxa"/>
            <w:vAlign w:val="bottom"/>
            <w:tcBorders>
              <w:bottom w:val="single" w:sz="8" w:color="CCEEFF"/>
            </w:tcBorders>
          </w:tcPr>
          <w:p>
            <w:pPr>
              <w:spacing w:after="0"/>
              <w:rPr>
                <w:sz w:val="7"/>
                <w:szCs w:val="7"/>
                <w:color w:val="auto"/>
              </w:rPr>
            </w:pPr>
          </w:p>
        </w:tc>
        <w:tc>
          <w:tcPr>
            <w:tcW w:w="0" w:type="dxa"/>
            <w:vAlign w:val="bottom"/>
          </w:tcPr>
          <w:p>
            <w:pPr>
              <w:spacing w:after="0"/>
              <w:rPr>
                <w:sz w:val="1"/>
                <w:szCs w:val="1"/>
                <w:color w:val="auto"/>
              </w:rPr>
            </w:pPr>
          </w:p>
        </w:tc>
      </w:tr>
      <w:tr>
        <w:trPr>
          <w:trHeight w:val="133"/>
        </w:trPr>
        <w:tc>
          <w:tcPr>
            <w:tcW w:w="6960" w:type="dxa"/>
            <w:vAlign w:val="bottom"/>
            <w:shd w:val="clear" w:color="auto" w:fill="CCEEFF"/>
          </w:tcPr>
          <w:p>
            <w:pPr>
              <w:spacing w:after="0" w:line="129" w:lineRule="exact"/>
              <w:rPr>
                <w:sz w:val="20"/>
                <w:szCs w:val="20"/>
                <w:color w:val="auto"/>
              </w:rPr>
            </w:pPr>
            <w:r>
              <w:rPr>
                <w:rFonts w:ascii="Arial" w:cs="Arial" w:eastAsia="Arial" w:hAnsi="Arial"/>
                <w:sz w:val="12"/>
                <w:szCs w:val="12"/>
                <w:color w:val="auto"/>
              </w:rPr>
              <w:t>Casino</w:t>
            </w:r>
          </w:p>
        </w:tc>
        <w:tc>
          <w:tcPr>
            <w:tcW w:w="100" w:type="dxa"/>
            <w:vAlign w:val="bottom"/>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360" w:type="dxa"/>
            <w:vAlign w:val="bottom"/>
            <w:shd w:val="clear" w:color="auto" w:fill="CCEEFF"/>
          </w:tcPr>
          <w:p>
            <w:pPr>
              <w:jc w:val="right"/>
              <w:spacing w:after="0" w:line="133" w:lineRule="exact"/>
              <w:rPr>
                <w:sz w:val="20"/>
                <w:szCs w:val="20"/>
                <w:color w:val="auto"/>
              </w:rPr>
            </w:pPr>
            <w:r>
              <w:rPr>
                <w:rFonts w:ascii="Arial" w:cs="Arial" w:eastAsia="Arial" w:hAnsi="Arial"/>
                <w:sz w:val="12"/>
                <w:szCs w:val="12"/>
                <w:color w:val="auto"/>
              </w:rPr>
              <w:t>1,814</w:t>
            </w:r>
          </w:p>
        </w:tc>
        <w:tc>
          <w:tcPr>
            <w:tcW w:w="480" w:type="dxa"/>
            <w:vAlign w:val="bottom"/>
            <w:tcBorders>
              <w:left w:val="single" w:sz="8" w:color="CCEEFF"/>
            </w:tcBorders>
            <w:shd w:val="clear" w:color="auto" w:fill="CCEEFF"/>
          </w:tcPr>
          <w:p>
            <w:pPr>
              <w:spacing w:after="0"/>
              <w:rPr>
                <w:sz w:val="11"/>
                <w:szCs w:val="11"/>
                <w:color w:val="auto"/>
              </w:rPr>
            </w:pPr>
          </w:p>
        </w:tc>
        <w:tc>
          <w:tcPr>
            <w:tcW w:w="120" w:type="dxa"/>
            <w:vAlign w:val="bottom"/>
            <w:shd w:val="clear" w:color="auto" w:fill="CCEEFF"/>
          </w:tcPr>
          <w:p>
            <w:pPr>
              <w:jc w:val="right"/>
              <w:ind w:right="13"/>
              <w:spacing w:after="0"/>
              <w:rPr>
                <w:sz w:val="20"/>
                <w:szCs w:val="20"/>
                <w:color w:val="auto"/>
              </w:rPr>
            </w:pPr>
            <w:r>
              <w:rPr>
                <w:rFonts w:ascii="Arial" w:cs="Arial" w:eastAsia="Arial" w:hAnsi="Arial"/>
                <w:sz w:val="9"/>
                <w:szCs w:val="9"/>
                <w:color w:val="auto"/>
                <w:w w:val="78"/>
              </w:rPr>
              <w:t>$</w:t>
            </w:r>
          </w:p>
        </w:tc>
        <w:tc>
          <w:tcPr>
            <w:tcW w:w="380" w:type="dxa"/>
            <w:vAlign w:val="bottom"/>
            <w:shd w:val="clear" w:color="auto" w:fill="CCEEFF"/>
          </w:tcPr>
          <w:p>
            <w:pPr>
              <w:jc w:val="right"/>
              <w:spacing w:after="0" w:line="133" w:lineRule="exact"/>
              <w:rPr>
                <w:sz w:val="20"/>
                <w:szCs w:val="20"/>
                <w:color w:val="auto"/>
              </w:rPr>
            </w:pPr>
            <w:r>
              <w:rPr>
                <w:rFonts w:ascii="Arial" w:cs="Arial" w:eastAsia="Arial" w:hAnsi="Arial"/>
                <w:sz w:val="12"/>
                <w:szCs w:val="12"/>
                <w:color w:val="auto"/>
              </w:rPr>
              <w:t>2,621</w:t>
            </w:r>
          </w:p>
        </w:tc>
        <w:tc>
          <w:tcPr>
            <w:tcW w:w="500" w:type="dxa"/>
            <w:vAlign w:val="bottom"/>
            <w:shd w:val="clear" w:color="auto" w:fill="CCEEFF"/>
          </w:tcPr>
          <w:p>
            <w:pPr>
              <w:spacing w:after="0"/>
              <w:rPr>
                <w:sz w:val="11"/>
                <w:szCs w:val="11"/>
                <w:color w:val="auto"/>
              </w:rPr>
            </w:pPr>
          </w:p>
        </w:tc>
        <w:tc>
          <w:tcPr>
            <w:tcW w:w="120" w:type="dxa"/>
            <w:vAlign w:val="bottom"/>
            <w:shd w:val="clear" w:color="auto" w:fill="CCEEFF"/>
          </w:tcPr>
          <w:p>
            <w:pPr>
              <w:jc w:val="right"/>
              <w:ind w:right="13"/>
              <w:spacing w:after="0"/>
              <w:rPr>
                <w:sz w:val="20"/>
                <w:szCs w:val="20"/>
                <w:color w:val="auto"/>
              </w:rPr>
            </w:pPr>
            <w:r>
              <w:rPr>
                <w:rFonts w:ascii="Arial" w:cs="Arial" w:eastAsia="Arial" w:hAnsi="Arial"/>
                <w:sz w:val="9"/>
                <w:szCs w:val="9"/>
                <w:color w:val="auto"/>
                <w:w w:val="78"/>
              </w:rPr>
              <w:t>$</w:t>
            </w:r>
          </w:p>
        </w:tc>
        <w:tc>
          <w:tcPr>
            <w:tcW w:w="400" w:type="dxa"/>
            <w:vAlign w:val="bottom"/>
            <w:shd w:val="clear" w:color="auto" w:fill="CCEEFF"/>
          </w:tcPr>
          <w:p>
            <w:pPr>
              <w:jc w:val="right"/>
              <w:spacing w:after="0" w:line="133" w:lineRule="exact"/>
              <w:rPr>
                <w:sz w:val="20"/>
                <w:szCs w:val="20"/>
                <w:color w:val="auto"/>
              </w:rPr>
            </w:pPr>
            <w:r>
              <w:rPr>
                <w:rFonts w:ascii="Arial" w:cs="Arial" w:eastAsia="Arial" w:hAnsi="Arial"/>
                <w:sz w:val="12"/>
                <w:szCs w:val="12"/>
                <w:color w:val="auto"/>
              </w:rPr>
              <w:t>5,550</w:t>
            </w:r>
          </w:p>
        </w:tc>
        <w:tc>
          <w:tcPr>
            <w:tcW w:w="24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60" w:type="dxa"/>
            <w:vAlign w:val="bottom"/>
            <w:shd w:val="clear" w:color="auto" w:fill="CCEEFF"/>
          </w:tcPr>
          <w:p>
            <w:pPr>
              <w:jc w:val="right"/>
              <w:ind w:right="53"/>
              <w:spacing w:after="0"/>
              <w:rPr>
                <w:sz w:val="20"/>
                <w:szCs w:val="20"/>
                <w:color w:val="auto"/>
              </w:rPr>
            </w:pPr>
            <w:r>
              <w:rPr>
                <w:rFonts w:ascii="Arial" w:cs="Arial" w:eastAsia="Arial" w:hAnsi="Arial"/>
                <w:sz w:val="9"/>
                <w:szCs w:val="9"/>
                <w:color w:val="auto"/>
                <w:w w:val="78"/>
              </w:rPr>
              <w:t>$</w:t>
            </w:r>
          </w:p>
        </w:tc>
        <w:tc>
          <w:tcPr>
            <w:tcW w:w="380" w:type="dxa"/>
            <w:vAlign w:val="bottom"/>
            <w:shd w:val="clear" w:color="auto" w:fill="CCEEFF"/>
          </w:tcPr>
          <w:p>
            <w:pPr>
              <w:jc w:val="right"/>
              <w:spacing w:after="0" w:line="133" w:lineRule="exact"/>
              <w:rPr>
                <w:sz w:val="20"/>
                <w:szCs w:val="20"/>
                <w:color w:val="auto"/>
              </w:rPr>
            </w:pPr>
            <w:r>
              <w:rPr>
                <w:rFonts w:ascii="Arial" w:cs="Arial" w:eastAsia="Arial" w:hAnsi="Arial"/>
                <w:sz w:val="12"/>
                <w:szCs w:val="12"/>
                <w:color w:val="auto"/>
              </w:rPr>
              <w:t>3,571</w:t>
            </w: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6960" w:type="dxa"/>
            <w:vAlign w:val="bottom"/>
          </w:tcPr>
          <w:p>
            <w:pPr>
              <w:spacing w:after="0"/>
              <w:rPr>
                <w:sz w:val="20"/>
                <w:szCs w:val="20"/>
                <w:color w:val="auto"/>
              </w:rPr>
            </w:pPr>
            <w:r>
              <w:rPr>
                <w:rFonts w:ascii="Arial" w:cs="Arial" w:eastAsia="Arial" w:hAnsi="Arial"/>
                <w:sz w:val="12"/>
                <w:szCs w:val="12"/>
                <w:color w:val="auto"/>
              </w:rPr>
              <w:t>Rooms</w:t>
            </w:r>
          </w:p>
        </w:tc>
        <w:tc>
          <w:tcPr>
            <w:tcW w:w="100" w:type="dxa"/>
            <w:vAlign w:val="bottom"/>
          </w:tcPr>
          <w:p>
            <w:pPr>
              <w:spacing w:after="0"/>
              <w:rPr>
                <w:sz w:val="12"/>
                <w:szCs w:val="12"/>
                <w:color w:val="auto"/>
              </w:rPr>
            </w:pPr>
          </w:p>
        </w:tc>
        <w:tc>
          <w:tcPr>
            <w:tcW w:w="360" w:type="dxa"/>
            <w:vAlign w:val="bottom"/>
          </w:tcPr>
          <w:p>
            <w:pPr>
              <w:jc w:val="right"/>
              <w:spacing w:after="0"/>
              <w:rPr>
                <w:sz w:val="20"/>
                <w:szCs w:val="20"/>
                <w:color w:val="auto"/>
              </w:rPr>
            </w:pPr>
            <w:r>
              <w:rPr>
                <w:rFonts w:ascii="Arial" w:cs="Arial" w:eastAsia="Arial" w:hAnsi="Arial"/>
                <w:sz w:val="12"/>
                <w:szCs w:val="12"/>
                <w:color w:val="auto"/>
              </w:rPr>
              <w:t>194</w:t>
            </w: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gridSpan w:val="2"/>
          </w:tcPr>
          <w:p>
            <w:pPr>
              <w:jc w:val="right"/>
              <w:ind w:right="500"/>
              <w:spacing w:after="0"/>
              <w:rPr>
                <w:sz w:val="20"/>
                <w:szCs w:val="20"/>
                <w:color w:val="auto"/>
              </w:rPr>
            </w:pPr>
            <w:r>
              <w:rPr>
                <w:rFonts w:ascii="Arial" w:cs="Arial" w:eastAsia="Arial" w:hAnsi="Arial"/>
                <w:sz w:val="12"/>
                <w:szCs w:val="12"/>
                <w:color w:val="auto"/>
              </w:rPr>
              <w:t>34</w:t>
            </w:r>
          </w:p>
        </w:tc>
        <w:tc>
          <w:tcPr>
            <w:tcW w:w="120" w:type="dxa"/>
            <w:vAlign w:val="bottom"/>
          </w:tcPr>
          <w:p>
            <w:pPr>
              <w:spacing w:after="0"/>
              <w:rPr>
                <w:sz w:val="12"/>
                <w:szCs w:val="12"/>
                <w:color w:val="auto"/>
              </w:rPr>
            </w:pPr>
          </w:p>
        </w:tc>
        <w:tc>
          <w:tcPr>
            <w:tcW w:w="640" w:type="dxa"/>
            <w:vAlign w:val="bottom"/>
            <w:gridSpan w:val="2"/>
          </w:tcPr>
          <w:p>
            <w:pPr>
              <w:jc w:val="right"/>
              <w:ind w:right="240"/>
              <w:spacing w:after="0"/>
              <w:rPr>
                <w:sz w:val="20"/>
                <w:szCs w:val="20"/>
                <w:color w:val="auto"/>
              </w:rPr>
            </w:pPr>
            <w:r>
              <w:rPr>
                <w:rFonts w:ascii="Arial" w:cs="Arial" w:eastAsia="Arial" w:hAnsi="Arial"/>
                <w:sz w:val="12"/>
                <w:szCs w:val="12"/>
                <w:color w:val="auto"/>
              </w:rPr>
              <w:t>632</w:t>
            </w:r>
          </w:p>
        </w:tc>
        <w:tc>
          <w:tcPr>
            <w:tcW w:w="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80" w:type="dxa"/>
            <w:vAlign w:val="bottom"/>
            <w:gridSpan w:val="2"/>
          </w:tcPr>
          <w:p>
            <w:pPr>
              <w:jc w:val="right"/>
              <w:ind w:right="100"/>
              <w:spacing w:after="0"/>
              <w:rPr>
                <w:sz w:val="20"/>
                <w:szCs w:val="20"/>
                <w:color w:val="auto"/>
              </w:rPr>
            </w:pPr>
            <w:r>
              <w:rPr>
                <w:rFonts w:ascii="Arial" w:cs="Arial" w:eastAsia="Arial" w:hAnsi="Arial"/>
                <w:sz w:val="12"/>
                <w:szCs w:val="12"/>
                <w:color w:val="auto"/>
              </w:rPr>
              <w:t>234</w:t>
            </w:r>
          </w:p>
        </w:tc>
        <w:tc>
          <w:tcPr>
            <w:tcW w:w="0" w:type="dxa"/>
            <w:vAlign w:val="bottom"/>
          </w:tcPr>
          <w:p>
            <w:pPr>
              <w:spacing w:after="0"/>
              <w:rPr>
                <w:sz w:val="1"/>
                <w:szCs w:val="1"/>
                <w:color w:val="auto"/>
              </w:rPr>
            </w:pPr>
          </w:p>
        </w:tc>
      </w:tr>
      <w:tr>
        <w:trPr>
          <w:trHeight w:val="144"/>
        </w:trPr>
        <w:tc>
          <w:tcPr>
            <w:tcW w:w="6960" w:type="dxa"/>
            <w:vAlign w:val="bottom"/>
            <w:shd w:val="clear" w:color="auto" w:fill="CCEEFF"/>
          </w:tcPr>
          <w:p>
            <w:pPr>
              <w:spacing w:after="0"/>
              <w:rPr>
                <w:sz w:val="20"/>
                <w:szCs w:val="20"/>
                <w:color w:val="auto"/>
              </w:rPr>
            </w:pPr>
            <w:r>
              <w:rPr>
                <w:rFonts w:ascii="Arial" w:cs="Arial" w:eastAsia="Arial" w:hAnsi="Arial"/>
                <w:sz w:val="12"/>
                <w:szCs w:val="12"/>
                <w:color w:val="auto"/>
              </w:rPr>
              <w:t>Food and beverage</w:t>
            </w:r>
          </w:p>
        </w:tc>
        <w:tc>
          <w:tcPr>
            <w:tcW w:w="100" w:type="dxa"/>
            <w:vAlign w:val="bottom"/>
            <w:shd w:val="clear" w:color="auto" w:fill="CCEEFF"/>
          </w:tcPr>
          <w:p>
            <w:pPr>
              <w:spacing w:after="0"/>
              <w:rPr>
                <w:sz w:val="12"/>
                <w:szCs w:val="12"/>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281</w:t>
            </w:r>
          </w:p>
        </w:tc>
        <w:tc>
          <w:tcPr>
            <w:tcW w:w="480" w:type="dxa"/>
            <w:vAlign w:val="bottom"/>
            <w:tcBorders>
              <w:left w:val="single" w:sz="8" w:color="CCEEFF"/>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500"/>
              <w:spacing w:after="0"/>
              <w:rPr>
                <w:sz w:val="20"/>
                <w:szCs w:val="20"/>
                <w:color w:val="auto"/>
              </w:rPr>
            </w:pPr>
            <w:r>
              <w:rPr>
                <w:rFonts w:ascii="Arial" w:cs="Arial" w:eastAsia="Arial" w:hAnsi="Arial"/>
                <w:sz w:val="12"/>
                <w:szCs w:val="12"/>
                <w:color w:val="auto"/>
              </w:rPr>
              <w:t>27</w:t>
            </w:r>
          </w:p>
        </w:tc>
        <w:tc>
          <w:tcPr>
            <w:tcW w:w="12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872</w:t>
            </w:r>
          </w:p>
        </w:tc>
        <w:tc>
          <w:tcPr>
            <w:tcW w:w="2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8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82</w:t>
            </w:r>
          </w:p>
        </w:tc>
        <w:tc>
          <w:tcPr>
            <w:tcW w:w="0" w:type="dxa"/>
            <w:vAlign w:val="bottom"/>
          </w:tcPr>
          <w:p>
            <w:pPr>
              <w:spacing w:after="0"/>
              <w:rPr>
                <w:sz w:val="1"/>
                <w:szCs w:val="1"/>
                <w:color w:val="auto"/>
              </w:rPr>
            </w:pPr>
          </w:p>
        </w:tc>
      </w:tr>
      <w:tr>
        <w:trPr>
          <w:trHeight w:val="144"/>
        </w:trPr>
        <w:tc>
          <w:tcPr>
            <w:tcW w:w="6960" w:type="dxa"/>
            <w:vAlign w:val="bottom"/>
          </w:tcPr>
          <w:p>
            <w:pPr>
              <w:spacing w:after="0"/>
              <w:rPr>
                <w:sz w:val="20"/>
                <w:szCs w:val="20"/>
                <w:color w:val="auto"/>
              </w:rPr>
            </w:pPr>
            <w:r>
              <w:rPr>
                <w:rFonts w:ascii="Arial" w:cs="Arial" w:eastAsia="Arial" w:hAnsi="Arial"/>
                <w:sz w:val="12"/>
                <w:szCs w:val="12"/>
                <w:color w:val="auto"/>
              </w:rPr>
              <w:t>Entertainment, retail and other</w:t>
            </w:r>
          </w:p>
        </w:tc>
        <w:tc>
          <w:tcPr>
            <w:tcW w:w="100" w:type="dxa"/>
            <w:vAlign w:val="bottom"/>
          </w:tcPr>
          <w:p>
            <w:pPr>
              <w:spacing w:after="0"/>
              <w:rPr>
                <w:sz w:val="12"/>
                <w:szCs w:val="12"/>
                <w:color w:val="auto"/>
              </w:rPr>
            </w:pPr>
          </w:p>
        </w:tc>
        <w:tc>
          <w:tcPr>
            <w:tcW w:w="360" w:type="dxa"/>
            <w:vAlign w:val="bottom"/>
          </w:tcPr>
          <w:p>
            <w:pPr>
              <w:jc w:val="right"/>
              <w:spacing w:after="0"/>
              <w:rPr>
                <w:sz w:val="20"/>
                <w:szCs w:val="20"/>
                <w:color w:val="auto"/>
              </w:rPr>
            </w:pPr>
            <w:r>
              <w:rPr>
                <w:rFonts w:ascii="Arial" w:cs="Arial" w:eastAsia="Arial" w:hAnsi="Arial"/>
                <w:sz w:val="12"/>
                <w:szCs w:val="12"/>
                <w:color w:val="auto"/>
              </w:rPr>
              <w:t>116</w:t>
            </w: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gridSpan w:val="2"/>
          </w:tcPr>
          <w:p>
            <w:pPr>
              <w:jc w:val="right"/>
              <w:ind w:right="56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2"/>
                <w:szCs w:val="12"/>
                <w:color w:val="auto"/>
              </w:rPr>
            </w:pPr>
          </w:p>
        </w:tc>
        <w:tc>
          <w:tcPr>
            <w:tcW w:w="640" w:type="dxa"/>
            <w:vAlign w:val="bottom"/>
            <w:gridSpan w:val="2"/>
          </w:tcPr>
          <w:p>
            <w:pPr>
              <w:jc w:val="right"/>
              <w:ind w:right="240"/>
              <w:spacing w:after="0"/>
              <w:rPr>
                <w:sz w:val="20"/>
                <w:szCs w:val="20"/>
                <w:color w:val="auto"/>
              </w:rPr>
            </w:pPr>
            <w:r>
              <w:rPr>
                <w:rFonts w:ascii="Arial" w:cs="Arial" w:eastAsia="Arial" w:hAnsi="Arial"/>
                <w:sz w:val="12"/>
                <w:szCs w:val="12"/>
                <w:color w:val="auto"/>
              </w:rPr>
              <w:t>342</w:t>
            </w:r>
          </w:p>
        </w:tc>
        <w:tc>
          <w:tcPr>
            <w:tcW w:w="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80" w:type="dxa"/>
            <w:vAlign w:val="bottom"/>
            <w:gridSpan w:val="2"/>
          </w:tcPr>
          <w:p>
            <w:pPr>
              <w:jc w:val="right"/>
              <w:ind w:right="100"/>
              <w:spacing w:after="0"/>
              <w:rPr>
                <w:sz w:val="20"/>
                <w:szCs w:val="20"/>
                <w:color w:val="auto"/>
              </w:rPr>
            </w:pPr>
            <w:r>
              <w:rPr>
                <w:rFonts w:ascii="Arial" w:cs="Arial" w:eastAsia="Arial" w:hAnsi="Arial"/>
                <w:sz w:val="12"/>
                <w:szCs w:val="12"/>
                <w:color w:val="auto"/>
              </w:rPr>
              <w:t>14</w:t>
            </w:r>
          </w:p>
        </w:tc>
        <w:tc>
          <w:tcPr>
            <w:tcW w:w="0" w:type="dxa"/>
            <w:vAlign w:val="bottom"/>
          </w:tcPr>
          <w:p>
            <w:pPr>
              <w:spacing w:after="0"/>
              <w:rPr>
                <w:sz w:val="1"/>
                <w:szCs w:val="1"/>
                <w:color w:val="auto"/>
              </w:rPr>
            </w:pPr>
          </w:p>
        </w:tc>
      </w:tr>
      <w:tr>
        <w:trPr>
          <w:trHeight w:val="144"/>
        </w:trPr>
        <w:tc>
          <w:tcPr>
            <w:tcW w:w="6960" w:type="dxa"/>
            <w:vAlign w:val="bottom"/>
            <w:shd w:val="clear" w:color="auto" w:fill="CCEEFF"/>
          </w:tcPr>
          <w:p>
            <w:pPr>
              <w:spacing w:after="0"/>
              <w:rPr>
                <w:sz w:val="20"/>
                <w:szCs w:val="20"/>
                <w:color w:val="auto"/>
              </w:rPr>
            </w:pPr>
            <w:r>
              <w:rPr>
                <w:rFonts w:ascii="Arial" w:cs="Arial" w:eastAsia="Arial" w:hAnsi="Arial"/>
                <w:sz w:val="12"/>
                <w:szCs w:val="12"/>
                <w:color w:val="auto"/>
              </w:rPr>
              <w:t>General and administrative</w:t>
            </w:r>
          </w:p>
        </w:tc>
        <w:tc>
          <w:tcPr>
            <w:tcW w:w="100" w:type="dxa"/>
            <w:vAlign w:val="bottom"/>
            <w:shd w:val="clear" w:color="auto" w:fill="CCEEFF"/>
          </w:tcPr>
          <w:p>
            <w:pPr>
              <w:spacing w:after="0"/>
              <w:rPr>
                <w:sz w:val="12"/>
                <w:szCs w:val="12"/>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2,799</w:t>
            </w:r>
          </w:p>
        </w:tc>
        <w:tc>
          <w:tcPr>
            <w:tcW w:w="480" w:type="dxa"/>
            <w:vAlign w:val="bottom"/>
            <w:tcBorders>
              <w:left w:val="single" w:sz="8" w:color="CCEEFF"/>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500"/>
              <w:spacing w:after="0"/>
              <w:rPr>
                <w:sz w:val="20"/>
                <w:szCs w:val="20"/>
                <w:color w:val="auto"/>
              </w:rPr>
            </w:pPr>
            <w:r>
              <w:rPr>
                <w:rFonts w:ascii="Arial" w:cs="Arial" w:eastAsia="Arial" w:hAnsi="Arial"/>
                <w:sz w:val="12"/>
                <w:szCs w:val="12"/>
                <w:color w:val="auto"/>
              </w:rPr>
              <w:t>3,168</w:t>
            </w:r>
          </w:p>
        </w:tc>
        <w:tc>
          <w:tcPr>
            <w:tcW w:w="12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27,676</w:t>
            </w:r>
          </w:p>
        </w:tc>
        <w:tc>
          <w:tcPr>
            <w:tcW w:w="2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8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9,803</w:t>
            </w:r>
          </w:p>
        </w:tc>
        <w:tc>
          <w:tcPr>
            <w:tcW w:w="0" w:type="dxa"/>
            <w:vAlign w:val="bottom"/>
          </w:tcPr>
          <w:p>
            <w:pPr>
              <w:spacing w:after="0"/>
              <w:rPr>
                <w:sz w:val="1"/>
                <w:szCs w:val="1"/>
                <w:color w:val="auto"/>
              </w:rPr>
            </w:pPr>
          </w:p>
        </w:tc>
      </w:tr>
      <w:tr>
        <w:trPr>
          <w:trHeight w:val="20"/>
        </w:trPr>
        <w:tc>
          <w:tcPr>
            <w:tcW w:w="6960" w:type="dxa"/>
            <w:vAlign w:val="bottom"/>
            <w:vMerge w:val="restart"/>
          </w:tcPr>
          <w:p>
            <w:pPr>
              <w:ind w:left="280"/>
              <w:spacing w:after="0"/>
              <w:rPr>
                <w:sz w:val="20"/>
                <w:szCs w:val="20"/>
                <w:color w:val="auto"/>
              </w:rPr>
            </w:pPr>
            <w:r>
              <w:rPr>
                <w:rFonts w:ascii="Arial" w:cs="Arial" w:eastAsia="Arial" w:hAnsi="Arial"/>
                <w:sz w:val="12"/>
                <w:szCs w:val="12"/>
                <w:color w:val="auto"/>
              </w:rPr>
              <w:t>Total stock-based compensation expense</w:t>
            </w:r>
          </w:p>
        </w:tc>
        <w:tc>
          <w:tcPr>
            <w:tcW w:w="10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1"/>
        </w:trPr>
        <w:tc>
          <w:tcPr>
            <w:tcW w:w="696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360" w:type="dxa"/>
            <w:vAlign w:val="bottom"/>
          </w:tcPr>
          <w:p>
            <w:pPr>
              <w:jc w:val="right"/>
              <w:spacing w:after="0"/>
              <w:rPr>
                <w:sz w:val="20"/>
                <w:szCs w:val="20"/>
                <w:color w:val="auto"/>
              </w:rPr>
            </w:pPr>
            <w:r>
              <w:rPr>
                <w:rFonts w:ascii="Arial" w:cs="Arial" w:eastAsia="Arial" w:hAnsi="Arial"/>
                <w:sz w:val="12"/>
                <w:szCs w:val="12"/>
                <w:color w:val="auto"/>
              </w:rPr>
              <w:t>5,204</w:t>
            </w: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gridSpan w:val="2"/>
          </w:tcPr>
          <w:p>
            <w:pPr>
              <w:jc w:val="right"/>
              <w:ind w:right="500"/>
              <w:spacing w:after="0"/>
              <w:rPr>
                <w:sz w:val="20"/>
                <w:szCs w:val="20"/>
                <w:color w:val="auto"/>
              </w:rPr>
            </w:pPr>
            <w:r>
              <w:rPr>
                <w:rFonts w:ascii="Arial" w:cs="Arial" w:eastAsia="Arial" w:hAnsi="Arial"/>
                <w:sz w:val="12"/>
                <w:szCs w:val="12"/>
                <w:color w:val="auto"/>
              </w:rPr>
              <w:t>5,850</w:t>
            </w:r>
          </w:p>
        </w:tc>
        <w:tc>
          <w:tcPr>
            <w:tcW w:w="120" w:type="dxa"/>
            <w:vAlign w:val="bottom"/>
          </w:tcPr>
          <w:p>
            <w:pPr>
              <w:spacing w:after="0"/>
              <w:rPr>
                <w:sz w:val="12"/>
                <w:szCs w:val="12"/>
                <w:color w:val="auto"/>
              </w:rPr>
            </w:pPr>
          </w:p>
        </w:tc>
        <w:tc>
          <w:tcPr>
            <w:tcW w:w="640" w:type="dxa"/>
            <w:vAlign w:val="bottom"/>
            <w:gridSpan w:val="2"/>
          </w:tcPr>
          <w:p>
            <w:pPr>
              <w:jc w:val="right"/>
              <w:ind w:right="240"/>
              <w:spacing w:after="0"/>
              <w:rPr>
                <w:sz w:val="20"/>
                <w:szCs w:val="20"/>
                <w:color w:val="auto"/>
              </w:rPr>
            </w:pPr>
            <w:r>
              <w:rPr>
                <w:rFonts w:ascii="Arial" w:cs="Arial" w:eastAsia="Arial" w:hAnsi="Arial"/>
                <w:sz w:val="12"/>
                <w:szCs w:val="12"/>
                <w:color w:val="auto"/>
              </w:rPr>
              <w:t>35,072</w:t>
            </w:r>
          </w:p>
        </w:tc>
        <w:tc>
          <w:tcPr>
            <w:tcW w:w="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80" w:type="dxa"/>
            <w:vAlign w:val="bottom"/>
            <w:gridSpan w:val="2"/>
          </w:tcPr>
          <w:p>
            <w:pPr>
              <w:jc w:val="right"/>
              <w:ind w:right="100"/>
              <w:spacing w:after="0"/>
              <w:rPr>
                <w:sz w:val="20"/>
                <w:szCs w:val="20"/>
                <w:color w:val="auto"/>
              </w:rPr>
            </w:pPr>
            <w:r>
              <w:rPr>
                <w:rFonts w:ascii="Arial" w:cs="Arial" w:eastAsia="Arial" w:hAnsi="Arial"/>
                <w:sz w:val="12"/>
                <w:szCs w:val="12"/>
                <w:color w:val="auto"/>
                <w:w w:val="97"/>
              </w:rPr>
              <w:t>13,704</w:t>
            </w:r>
          </w:p>
        </w:tc>
        <w:tc>
          <w:tcPr>
            <w:tcW w:w="0" w:type="dxa"/>
            <w:vAlign w:val="bottom"/>
          </w:tcPr>
          <w:p>
            <w:pPr>
              <w:spacing w:after="0"/>
              <w:rPr>
                <w:sz w:val="1"/>
                <w:szCs w:val="1"/>
                <w:color w:val="auto"/>
              </w:rPr>
            </w:pPr>
          </w:p>
        </w:tc>
      </w:tr>
      <w:tr>
        <w:trPr>
          <w:trHeight w:val="145"/>
        </w:trPr>
        <w:tc>
          <w:tcPr>
            <w:tcW w:w="6960" w:type="dxa"/>
            <w:vAlign w:val="bottom"/>
            <w:shd w:val="clear" w:color="auto" w:fill="CCEEFF"/>
          </w:tcPr>
          <w:p>
            <w:pPr>
              <w:ind w:left="280"/>
              <w:spacing w:after="0"/>
              <w:rPr>
                <w:sz w:val="20"/>
                <w:szCs w:val="20"/>
                <w:color w:val="auto"/>
              </w:rPr>
            </w:pPr>
            <w:r>
              <w:rPr>
                <w:rFonts w:ascii="Arial" w:cs="Arial" w:eastAsia="Arial" w:hAnsi="Arial"/>
                <w:sz w:val="12"/>
                <w:szCs w:val="12"/>
                <w:color w:val="auto"/>
              </w:rPr>
              <w:t>Total stock-based compensation capitalized</w:t>
            </w:r>
          </w:p>
        </w:tc>
        <w:tc>
          <w:tcPr>
            <w:tcW w:w="100" w:type="dxa"/>
            <w:vAlign w:val="bottom"/>
            <w:shd w:val="clear" w:color="auto" w:fill="CCEEFF"/>
          </w:tcPr>
          <w:p>
            <w:pPr>
              <w:spacing w:after="0"/>
              <w:rPr>
                <w:sz w:val="12"/>
                <w:szCs w:val="12"/>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49</w:t>
            </w:r>
          </w:p>
        </w:tc>
        <w:tc>
          <w:tcPr>
            <w:tcW w:w="480" w:type="dxa"/>
            <w:vAlign w:val="bottom"/>
            <w:tcBorders>
              <w:left w:val="single" w:sz="8" w:color="CCEEFF"/>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500"/>
              <w:spacing w:after="0"/>
              <w:rPr>
                <w:sz w:val="20"/>
                <w:szCs w:val="20"/>
                <w:color w:val="auto"/>
              </w:rPr>
            </w:pPr>
            <w:r>
              <w:rPr>
                <w:rFonts w:ascii="Arial" w:cs="Arial" w:eastAsia="Arial" w:hAnsi="Arial"/>
                <w:sz w:val="12"/>
                <w:szCs w:val="12"/>
                <w:color w:val="auto"/>
              </w:rPr>
              <w:t>49</w:t>
            </w:r>
          </w:p>
        </w:tc>
        <w:tc>
          <w:tcPr>
            <w:tcW w:w="12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145</w:t>
            </w:r>
          </w:p>
        </w:tc>
        <w:tc>
          <w:tcPr>
            <w:tcW w:w="2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8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146</w:t>
            </w:r>
          </w:p>
        </w:tc>
        <w:tc>
          <w:tcPr>
            <w:tcW w:w="0" w:type="dxa"/>
            <w:vAlign w:val="bottom"/>
          </w:tcPr>
          <w:p>
            <w:pPr>
              <w:spacing w:after="0"/>
              <w:rPr>
                <w:sz w:val="1"/>
                <w:szCs w:val="1"/>
                <w:color w:val="auto"/>
              </w:rPr>
            </w:pPr>
          </w:p>
        </w:tc>
      </w:tr>
      <w:tr>
        <w:trPr>
          <w:trHeight w:val="20"/>
        </w:trPr>
        <w:tc>
          <w:tcPr>
            <w:tcW w:w="6960" w:type="dxa"/>
            <w:vAlign w:val="bottom"/>
            <w:vMerge w:val="restart"/>
          </w:tcPr>
          <w:p>
            <w:pPr>
              <w:ind w:left="280"/>
              <w:spacing w:after="0"/>
              <w:rPr>
                <w:sz w:val="20"/>
                <w:szCs w:val="20"/>
                <w:color w:val="auto"/>
              </w:rPr>
            </w:pPr>
            <w:r>
              <w:rPr>
                <w:rFonts w:ascii="Arial" w:cs="Arial" w:eastAsia="Arial" w:hAnsi="Arial"/>
                <w:sz w:val="12"/>
                <w:szCs w:val="12"/>
                <w:color w:val="auto"/>
              </w:rPr>
              <w:t>Total stock-based compensation costs</w:t>
            </w:r>
          </w:p>
        </w:tc>
        <w:tc>
          <w:tcPr>
            <w:tcW w:w="10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1"/>
        </w:trPr>
        <w:tc>
          <w:tcPr>
            <w:tcW w:w="6960" w:type="dxa"/>
            <w:vAlign w:val="bottom"/>
            <w:vMerge w:val="continue"/>
          </w:tcPr>
          <w:p>
            <w:pPr>
              <w:spacing w:after="0"/>
              <w:rPr>
                <w:sz w:val="12"/>
                <w:szCs w:val="12"/>
                <w:color w:val="auto"/>
              </w:rPr>
            </w:pPr>
          </w:p>
        </w:tc>
        <w:tc>
          <w:tcPr>
            <w:tcW w:w="100" w:type="dxa"/>
            <w:vAlign w:val="bottom"/>
          </w:tcPr>
          <w:p>
            <w:pPr>
              <w:jc w:val="right"/>
              <w:spacing w:after="0"/>
              <w:rPr>
                <w:sz w:val="20"/>
                <w:szCs w:val="20"/>
                <w:color w:val="auto"/>
              </w:rPr>
            </w:pPr>
            <w:r>
              <w:rPr>
                <w:rFonts w:ascii="Arial" w:cs="Arial" w:eastAsia="Arial" w:hAnsi="Arial"/>
                <w:sz w:val="9"/>
                <w:szCs w:val="9"/>
                <w:color w:val="auto"/>
                <w:w w:val="78"/>
              </w:rPr>
              <w:t>$</w:t>
            </w:r>
          </w:p>
        </w:tc>
        <w:tc>
          <w:tcPr>
            <w:tcW w:w="360" w:type="dxa"/>
            <w:vAlign w:val="bottom"/>
          </w:tcPr>
          <w:p>
            <w:pPr>
              <w:jc w:val="right"/>
              <w:spacing w:after="0"/>
              <w:rPr>
                <w:sz w:val="20"/>
                <w:szCs w:val="20"/>
                <w:color w:val="auto"/>
              </w:rPr>
            </w:pPr>
            <w:r>
              <w:rPr>
                <w:rFonts w:ascii="Arial" w:cs="Arial" w:eastAsia="Arial" w:hAnsi="Arial"/>
                <w:sz w:val="12"/>
                <w:szCs w:val="12"/>
                <w:color w:val="auto"/>
              </w:rPr>
              <w:t>5,253</w:t>
            </w:r>
          </w:p>
        </w:tc>
        <w:tc>
          <w:tcPr>
            <w:tcW w:w="480" w:type="dxa"/>
            <w:vAlign w:val="bottom"/>
          </w:tcPr>
          <w:p>
            <w:pPr>
              <w:spacing w:after="0"/>
              <w:rPr>
                <w:sz w:val="12"/>
                <w:szCs w:val="12"/>
                <w:color w:val="auto"/>
              </w:rPr>
            </w:pPr>
          </w:p>
        </w:tc>
        <w:tc>
          <w:tcPr>
            <w:tcW w:w="120" w:type="dxa"/>
            <w:vAlign w:val="bottom"/>
          </w:tcPr>
          <w:p>
            <w:pPr>
              <w:jc w:val="right"/>
              <w:ind w:right="13"/>
              <w:spacing w:after="0"/>
              <w:rPr>
                <w:sz w:val="20"/>
                <w:szCs w:val="20"/>
                <w:color w:val="auto"/>
              </w:rPr>
            </w:pPr>
            <w:r>
              <w:rPr>
                <w:rFonts w:ascii="Arial" w:cs="Arial" w:eastAsia="Arial" w:hAnsi="Arial"/>
                <w:sz w:val="9"/>
                <w:szCs w:val="9"/>
                <w:color w:val="auto"/>
                <w:w w:val="78"/>
              </w:rPr>
              <w:t>$</w:t>
            </w:r>
          </w:p>
        </w:tc>
        <w:tc>
          <w:tcPr>
            <w:tcW w:w="880" w:type="dxa"/>
            <w:vAlign w:val="bottom"/>
            <w:gridSpan w:val="2"/>
          </w:tcPr>
          <w:p>
            <w:pPr>
              <w:jc w:val="right"/>
              <w:ind w:right="500"/>
              <w:spacing w:after="0"/>
              <w:rPr>
                <w:sz w:val="20"/>
                <w:szCs w:val="20"/>
                <w:color w:val="auto"/>
              </w:rPr>
            </w:pPr>
            <w:r>
              <w:rPr>
                <w:rFonts w:ascii="Arial" w:cs="Arial" w:eastAsia="Arial" w:hAnsi="Arial"/>
                <w:sz w:val="12"/>
                <w:szCs w:val="12"/>
                <w:color w:val="auto"/>
              </w:rPr>
              <w:t>5,899</w:t>
            </w:r>
          </w:p>
        </w:tc>
        <w:tc>
          <w:tcPr>
            <w:tcW w:w="120" w:type="dxa"/>
            <w:vAlign w:val="bottom"/>
          </w:tcPr>
          <w:p>
            <w:pPr>
              <w:jc w:val="right"/>
              <w:ind w:right="13"/>
              <w:spacing w:after="0"/>
              <w:rPr>
                <w:sz w:val="20"/>
                <w:szCs w:val="20"/>
                <w:color w:val="auto"/>
              </w:rPr>
            </w:pPr>
            <w:r>
              <w:rPr>
                <w:rFonts w:ascii="Arial" w:cs="Arial" w:eastAsia="Arial" w:hAnsi="Arial"/>
                <w:sz w:val="9"/>
                <w:szCs w:val="9"/>
                <w:color w:val="auto"/>
                <w:w w:val="78"/>
              </w:rPr>
              <w:t>$</w:t>
            </w:r>
          </w:p>
        </w:tc>
        <w:tc>
          <w:tcPr>
            <w:tcW w:w="640" w:type="dxa"/>
            <w:vAlign w:val="bottom"/>
            <w:gridSpan w:val="2"/>
          </w:tcPr>
          <w:p>
            <w:pPr>
              <w:jc w:val="right"/>
              <w:ind w:right="240"/>
              <w:spacing w:after="0"/>
              <w:rPr>
                <w:sz w:val="20"/>
                <w:szCs w:val="20"/>
                <w:color w:val="auto"/>
              </w:rPr>
            </w:pPr>
            <w:r>
              <w:rPr>
                <w:rFonts w:ascii="Arial" w:cs="Arial" w:eastAsia="Arial" w:hAnsi="Arial"/>
                <w:sz w:val="12"/>
                <w:szCs w:val="12"/>
                <w:color w:val="auto"/>
              </w:rPr>
              <w:t>35,217</w:t>
            </w:r>
          </w:p>
        </w:tc>
        <w:tc>
          <w:tcPr>
            <w:tcW w:w="420" w:type="dxa"/>
            <w:vAlign w:val="bottom"/>
            <w:gridSpan w:val="2"/>
          </w:tcPr>
          <w:p>
            <w:pPr>
              <w:jc w:val="right"/>
              <w:ind w:right="53"/>
              <w:spacing w:after="0"/>
              <w:rPr>
                <w:sz w:val="20"/>
                <w:szCs w:val="20"/>
                <w:color w:val="auto"/>
              </w:rPr>
            </w:pPr>
            <w:r>
              <w:rPr>
                <w:rFonts w:ascii="Arial" w:cs="Arial" w:eastAsia="Arial" w:hAnsi="Arial"/>
                <w:sz w:val="12"/>
                <w:szCs w:val="12"/>
                <w:color w:val="auto"/>
              </w:rPr>
              <w:t>$</w:t>
            </w:r>
          </w:p>
        </w:tc>
        <w:tc>
          <w:tcPr>
            <w:tcW w:w="480" w:type="dxa"/>
            <w:vAlign w:val="bottom"/>
            <w:gridSpan w:val="2"/>
          </w:tcPr>
          <w:p>
            <w:pPr>
              <w:jc w:val="right"/>
              <w:ind w:right="100"/>
              <w:spacing w:after="0"/>
              <w:rPr>
                <w:sz w:val="20"/>
                <w:szCs w:val="20"/>
                <w:color w:val="auto"/>
              </w:rPr>
            </w:pPr>
            <w:r>
              <w:rPr>
                <w:rFonts w:ascii="Arial" w:cs="Arial" w:eastAsia="Arial" w:hAnsi="Arial"/>
                <w:sz w:val="12"/>
                <w:szCs w:val="12"/>
                <w:color w:val="auto"/>
                <w:w w:val="97"/>
              </w:rPr>
              <w:t>13,850</w:t>
            </w:r>
          </w:p>
        </w:tc>
        <w:tc>
          <w:tcPr>
            <w:tcW w:w="0" w:type="dxa"/>
            <w:vAlign w:val="bottom"/>
          </w:tcPr>
          <w:p>
            <w:pPr>
              <w:spacing w:after="0"/>
              <w:rPr>
                <w:sz w:val="1"/>
                <w:szCs w:val="1"/>
                <w:color w:val="auto"/>
              </w:rPr>
            </w:pPr>
          </w:p>
        </w:tc>
      </w:tr>
      <w:tr>
        <w:trPr>
          <w:trHeight w:val="28"/>
        </w:trPr>
        <w:tc>
          <w:tcPr>
            <w:tcW w:w="69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480" w:type="dxa"/>
            <w:vAlign w:val="bottom"/>
            <w:tcBorders>
              <w:left w:val="single" w:sz="8" w:color="auto"/>
            </w:tcBorders>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11" w:lineRule="exact"/>
        <w:rPr>
          <w:sz w:val="20"/>
          <w:szCs w:val="20"/>
          <w:color w:val="auto"/>
        </w:rPr>
      </w:pPr>
    </w:p>
    <w:p>
      <w:pPr>
        <w:ind w:right="60" w:firstLine="459"/>
        <w:spacing w:after="0" w:line="268" w:lineRule="auto"/>
        <w:rPr>
          <w:sz w:val="20"/>
          <w:szCs w:val="20"/>
          <w:color w:val="auto"/>
        </w:rPr>
      </w:pPr>
      <w:r>
        <w:rPr>
          <w:rFonts w:ascii="Arial" w:cs="Arial" w:eastAsia="Arial" w:hAnsi="Arial"/>
          <w:sz w:val="12"/>
          <w:szCs w:val="12"/>
          <w:color w:val="auto"/>
        </w:rPr>
        <w:t>For the nine months ended September 30, 2013, the Company recorded a charge, in accordance with applicable accounting standards, of approximately $23 million due to the retirement of the Company’s former chief operating officer and the related accelerated vesting of shares previously granted to him.</w:t>
      </w:r>
    </w:p>
    <w:p>
      <w:pPr>
        <w:spacing w:after="0" w:line="88" w:lineRule="exact"/>
        <w:rPr>
          <w:sz w:val="20"/>
          <w:szCs w:val="20"/>
          <w:color w:val="auto"/>
        </w:rPr>
      </w:pPr>
    </w:p>
    <w:p>
      <w:pPr>
        <w:ind w:right="20" w:firstLine="459"/>
        <w:spacing w:after="0" w:line="268" w:lineRule="auto"/>
        <w:rPr>
          <w:sz w:val="20"/>
          <w:szCs w:val="20"/>
          <w:color w:val="auto"/>
        </w:rPr>
      </w:pPr>
      <w:r>
        <w:rPr>
          <w:rFonts w:ascii="Arial" w:cs="Arial" w:eastAsia="Arial" w:hAnsi="Arial"/>
          <w:sz w:val="12"/>
          <w:szCs w:val="12"/>
          <w:color w:val="auto"/>
        </w:rPr>
        <w:t>For the nine months ended September 30, 2012, the Company reversed stock-based compensation expense allocated to casino operations related to stock options and restricted stock granted in 2008 with an approximate 8 year cliff vest provision that were forfeited during the first quarter of 2012.</w:t>
      </w:r>
    </w:p>
    <w:p>
      <w:pPr>
        <w:spacing w:after="0" w:line="79"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22</w:t>
      </w:r>
    </w:p>
    <w:p>
      <w:pPr>
        <w:sectPr>
          <w:pgSz w:w="11900" w:h="16838" w:orient="portrait"/>
          <w:cols w:equalWidth="0" w:num="1">
            <w:col w:w="11460"/>
          </w:cols>
          <w:pgMar w:left="220" w:top="354" w:right="219" w:bottom="1440" w:gutter="0" w:footer="0" w:header="0"/>
        </w:sectPr>
      </w:pPr>
    </w:p>
    <w:bookmarkStart w:id="22" w:name="page23"/>
    <w:bookmarkEnd w:id="22"/>
    <w:p>
      <w:pPr>
        <w:ind w:left="8"/>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121920</wp:posOffset>
            </wp:positionH>
            <wp:positionV relativeFrom="page">
              <wp:posOffset>88900</wp:posOffset>
            </wp:positionV>
            <wp:extent cx="7329170" cy="298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329170" cy="29845"/>
                    </a:xfrm>
                    <a:prstGeom prst="rect">
                      <a:avLst/>
                    </a:prstGeom>
                    <a:noFill/>
                  </pic:spPr>
                </pic:pic>
              </a:graphicData>
            </a:graphic>
          </wp:anchor>
        </w:drawing>
      </w:r>
      <w:hyperlink w:anchor="page2">
        <w:r>
          <w:rPr>
            <w:rFonts w:ascii="Arial" w:cs="Arial" w:eastAsia="Arial" w:hAnsi="Arial"/>
            <w:sz w:val="12"/>
            <w:szCs w:val="12"/>
            <w:b w:val="1"/>
            <w:bCs w:val="1"/>
            <w:u w:val="single" w:color="auto"/>
            <w:color w:val="0000EE"/>
          </w:rPr>
          <w:t>Table of Contents</w:t>
        </w:r>
      </w:hyperlink>
    </w:p>
    <w:p>
      <w:pPr>
        <w:spacing w:after="0" w:line="207" w:lineRule="exact"/>
        <w:rPr>
          <w:sz w:val="20"/>
          <w:szCs w:val="20"/>
          <w:color w:val="auto"/>
        </w:rPr>
      </w:pPr>
    </w:p>
    <w:p>
      <w:pPr>
        <w:ind w:left="8" w:right="9600" w:hanging="8"/>
        <w:spacing w:after="0" w:line="346" w:lineRule="auto"/>
        <w:tabs>
          <w:tab w:leader="none" w:pos="233" w:val="left"/>
        </w:tabs>
        <w:numPr>
          <w:ilvl w:val="0"/>
          <w:numId w:val="12"/>
        </w:numPr>
        <w:rPr>
          <w:rFonts w:ascii="Arial" w:cs="Arial" w:eastAsia="Arial" w:hAnsi="Arial"/>
          <w:sz w:val="12"/>
          <w:szCs w:val="12"/>
          <w:b w:val="1"/>
          <w:bCs w:val="1"/>
          <w:color w:val="auto"/>
        </w:rPr>
      </w:pPr>
      <w:r>
        <w:rPr>
          <w:rFonts w:ascii="Arial" w:cs="Arial" w:eastAsia="Arial" w:hAnsi="Arial"/>
          <w:sz w:val="12"/>
          <w:szCs w:val="12"/>
          <w:b w:val="1"/>
          <w:bCs w:val="1"/>
          <w:color w:val="auto"/>
        </w:rPr>
        <w:t xml:space="preserve">Commitments and Contingencies </w:t>
      </w:r>
      <w:r>
        <w:rPr>
          <w:rFonts w:ascii="Arial" w:cs="Arial" w:eastAsia="Arial" w:hAnsi="Arial"/>
          <w:sz w:val="12"/>
          <w:szCs w:val="12"/>
          <w:b w:val="1"/>
          <w:bCs w:val="1"/>
          <w:i w:val="1"/>
          <w:iCs w:val="1"/>
          <w:color w:val="auto"/>
        </w:rPr>
        <w:t>Wynn Macau</w:t>
      </w:r>
    </w:p>
    <w:p>
      <w:pPr>
        <w:ind w:left="8"/>
        <w:spacing w:after="0"/>
        <w:rPr>
          <w:rFonts w:ascii="Arial" w:cs="Arial" w:eastAsia="Arial" w:hAnsi="Arial"/>
          <w:sz w:val="12"/>
          <w:szCs w:val="12"/>
          <w:b w:val="1"/>
          <w:bCs w:val="1"/>
          <w:color w:val="auto"/>
        </w:rPr>
      </w:pPr>
      <w:r>
        <w:rPr>
          <w:rFonts w:ascii="Arial" w:cs="Arial" w:eastAsia="Arial" w:hAnsi="Arial"/>
          <w:sz w:val="12"/>
          <w:szCs w:val="12"/>
          <w:i w:val="1"/>
          <w:iCs w:val="1"/>
          <w:color w:val="auto"/>
        </w:rPr>
        <w:t>Cotai Development and Land Concession Contract</w:t>
      </w:r>
    </w:p>
    <w:p>
      <w:pPr>
        <w:spacing w:after="0" w:line="60" w:lineRule="exact"/>
        <w:rPr>
          <w:sz w:val="20"/>
          <w:szCs w:val="20"/>
          <w:color w:val="auto"/>
        </w:rPr>
      </w:pPr>
    </w:p>
    <w:p>
      <w:pPr>
        <w:ind w:left="8" w:right="20" w:firstLine="459"/>
        <w:spacing w:after="0" w:line="359" w:lineRule="auto"/>
        <w:rPr>
          <w:sz w:val="20"/>
          <w:szCs w:val="20"/>
          <w:color w:val="auto"/>
        </w:rPr>
      </w:pPr>
      <w:r>
        <w:rPr>
          <w:rFonts w:ascii="Arial" w:cs="Arial" w:eastAsia="Arial" w:hAnsi="Arial"/>
          <w:sz w:val="9"/>
          <w:szCs w:val="9"/>
          <w:color w:val="auto"/>
        </w:rPr>
        <w:t>In September 2011, Palo Real Estate Company Limited (“Palo”) and Wynn Resorts (Macau) S.A., each an indirect subsidiary of Wynn Macau Limited, formally accepted the terms and conditions of a draft land concession contract from the Macau government for approximately 51 acres of land in the Cotai area of Macau. On May 2, 2012, the land concession contract was gazetted by the government of Macau evidencing the final step in the granting of the land concession. The initial term of the land concession contract is 25 years from May 2, 2012, and it may be renewed with government approval for successive periods. The total land premium payable, including interest as required by the land concession contract, is $193.4 million. An initial payment of $62.5 million was paid in December 2011, with eight additional semi-annual payments of approximately $16.4 million each (which includes interest at 5%) due beginning November 2012. As of September 30, 2013 and December 31, 2012, the Company has recorded this obligation and related asset with $28.6 million and $27.9 million included as a current liability, respectively and $61.7 million and $76.2 million, respectively, included as a long-term liability. The Company is also required to make annual lease payments of $0.8 million during the resort construction period and annual payments of approximately $1.1 million once the development is completed.</w:t>
      </w:r>
    </w:p>
    <w:p>
      <w:pPr>
        <w:spacing w:after="0" w:line="199" w:lineRule="exact"/>
        <w:rPr>
          <w:sz w:val="20"/>
          <w:szCs w:val="20"/>
          <w:color w:val="auto"/>
        </w:rPr>
      </w:pPr>
    </w:p>
    <w:p>
      <w:pPr>
        <w:jc w:val="both"/>
        <w:ind w:left="8" w:right="80" w:firstLine="459"/>
        <w:spacing w:after="0" w:line="259" w:lineRule="auto"/>
        <w:rPr>
          <w:sz w:val="20"/>
          <w:szCs w:val="20"/>
          <w:color w:val="auto"/>
        </w:rPr>
      </w:pPr>
      <w:r>
        <w:rPr>
          <w:rFonts w:ascii="Arial" w:cs="Arial" w:eastAsia="Arial" w:hAnsi="Arial"/>
          <w:sz w:val="12"/>
          <w:szCs w:val="12"/>
          <w:color w:val="auto"/>
        </w:rPr>
        <w:t>The Company is currently constructing Wynn Palace, a full-scale integrated resort containing a 1,700-room hotel, performance lake, meeting space, casino, spa, retail and food and beverage outlets. The Company estimates the project budget to be approximately $4 billion including all project costs, land costs, preopening expenses, capitalized interest, and opening inventories. The Company has completed the pre-foundation work, has substantially completed the piling work, and started the structural steel erection. The Company continues to remain on schedule for an opening in the first half of 2016.</w:t>
      </w:r>
    </w:p>
    <w:p>
      <w:pPr>
        <w:spacing w:after="0" w:line="94" w:lineRule="exact"/>
        <w:rPr>
          <w:sz w:val="20"/>
          <w:szCs w:val="20"/>
          <w:color w:val="auto"/>
        </w:rPr>
      </w:pPr>
    </w:p>
    <w:p>
      <w:pPr>
        <w:ind w:left="8" w:right="100" w:firstLine="459"/>
        <w:spacing w:after="0" w:line="283" w:lineRule="auto"/>
        <w:rPr>
          <w:sz w:val="20"/>
          <w:szCs w:val="20"/>
          <w:color w:val="auto"/>
        </w:rPr>
      </w:pPr>
      <w:r>
        <w:rPr>
          <w:rFonts w:ascii="Arial" w:cs="Arial" w:eastAsia="Arial" w:hAnsi="Arial"/>
          <w:sz w:val="11"/>
          <w:szCs w:val="11"/>
          <w:color w:val="auto"/>
        </w:rPr>
        <w:t>On July 29, 2013, Wynn Macau, S.A. and Palo finalized and executed a guaranteed maximum price construction (“GMP”) contract with Leighton Contractors (Asia) Limited, acting as the general contractor. Under the GMP contract, the general contractor is responsible for both the construction and design of the Wynn Palace project. The general contractor is obligated to substantially complete the project in the first half of 2016 for a guaranteed maximum price of HK$20 billion (approximately US$2.57 billion). An early completion bonus for achievement of substantial completion on or before January 25, 2016 will be paid to the general contractor if certain conditions are satisfied under the GMP contract. Both the contract time and guaranteed maximum price are subject to further adjustment under certain specified conditions. The performance of the general contractor is backed by a full completion guarantee given by Leighton Holdings Limited, the parent company of the general contractor, as well as a performance bond for 5% of the guaranteed maximum price.</w:t>
      </w:r>
    </w:p>
    <w:p>
      <w:pPr>
        <w:spacing w:after="0" w:line="137" w:lineRule="exact"/>
        <w:rPr>
          <w:sz w:val="20"/>
          <w:szCs w:val="20"/>
          <w:color w:val="auto"/>
        </w:rPr>
      </w:pPr>
    </w:p>
    <w:p>
      <w:pPr>
        <w:ind w:left="8"/>
        <w:spacing w:after="0"/>
        <w:rPr>
          <w:sz w:val="20"/>
          <w:szCs w:val="20"/>
          <w:color w:val="auto"/>
        </w:rPr>
      </w:pPr>
      <w:r>
        <w:rPr>
          <w:rFonts w:ascii="Arial" w:cs="Arial" w:eastAsia="Arial" w:hAnsi="Arial"/>
          <w:sz w:val="12"/>
          <w:szCs w:val="12"/>
          <w:b w:val="1"/>
          <w:bCs w:val="1"/>
          <w:i w:val="1"/>
          <w:iCs w:val="1"/>
          <w:color w:val="auto"/>
        </w:rPr>
        <w:t>Litigation</w:t>
      </w:r>
    </w:p>
    <w:p>
      <w:pPr>
        <w:spacing w:after="0" w:line="60" w:lineRule="exact"/>
        <w:rPr>
          <w:sz w:val="20"/>
          <w:szCs w:val="20"/>
          <w:color w:val="auto"/>
        </w:rPr>
      </w:pPr>
    </w:p>
    <w:p>
      <w:pPr>
        <w:ind w:left="468"/>
        <w:spacing w:after="0"/>
        <w:rPr>
          <w:sz w:val="20"/>
          <w:szCs w:val="20"/>
          <w:color w:val="auto"/>
        </w:rPr>
      </w:pPr>
      <w:r>
        <w:rPr>
          <w:rFonts w:ascii="Arial" w:cs="Arial" w:eastAsia="Arial" w:hAnsi="Arial"/>
          <w:sz w:val="12"/>
          <w:szCs w:val="12"/>
          <w:color w:val="auto"/>
        </w:rPr>
        <w:t>We are occasionally party to lawsuits. As with all litigation, no assurance can be provided as to the outcome of such matters and we note that litigation inherently involves significant costs.</w:t>
      </w:r>
    </w:p>
    <w:p>
      <w:pPr>
        <w:spacing w:after="0" w:line="168" w:lineRule="exact"/>
        <w:rPr>
          <w:sz w:val="20"/>
          <w:szCs w:val="20"/>
          <w:color w:val="auto"/>
        </w:rPr>
      </w:pPr>
    </w:p>
    <w:p>
      <w:pPr>
        <w:ind w:left="8"/>
        <w:spacing w:after="0"/>
        <w:rPr>
          <w:sz w:val="20"/>
          <w:szCs w:val="20"/>
          <w:color w:val="auto"/>
        </w:rPr>
      </w:pPr>
      <w:r>
        <w:rPr>
          <w:rFonts w:ascii="Arial" w:cs="Arial" w:eastAsia="Arial" w:hAnsi="Arial"/>
          <w:sz w:val="12"/>
          <w:szCs w:val="12"/>
          <w:i w:val="1"/>
          <w:iCs w:val="1"/>
          <w:color w:val="auto"/>
        </w:rPr>
        <w:t>Atlantic-Pacific Capital</w:t>
      </w:r>
    </w:p>
    <w:p>
      <w:pPr>
        <w:spacing w:after="0" w:line="60" w:lineRule="exact"/>
        <w:rPr>
          <w:sz w:val="20"/>
          <w:szCs w:val="20"/>
          <w:color w:val="auto"/>
        </w:rPr>
      </w:pPr>
    </w:p>
    <w:p>
      <w:pPr>
        <w:ind w:left="8" w:firstLine="459"/>
        <w:spacing w:after="0" w:line="287" w:lineRule="auto"/>
        <w:rPr>
          <w:sz w:val="20"/>
          <w:szCs w:val="20"/>
          <w:color w:val="auto"/>
        </w:rPr>
      </w:pPr>
      <w:r>
        <w:rPr>
          <w:rFonts w:ascii="Arial" w:cs="Arial" w:eastAsia="Arial" w:hAnsi="Arial"/>
          <w:sz w:val="11"/>
          <w:szCs w:val="11"/>
          <w:color w:val="auto"/>
        </w:rPr>
        <w:t>On May 3, 2010, Atlantic-Pacific Capital, Inc. (“APC”) filed an arbitration demand with JAMS, a private alternative dispute resolution provider, regarding an agreement with the Company. The action concerns a claim for compensation of approximately $32 million pursuant to an agreement entered into between APC and the Company on or about March 30, 2008, whereby APC was engaged to raise equity capital for a specific investment vehicle sponsored by the Company. APC is seeking compensation unrelated to the investment vehicle. The Company has denied APC’s claims for compensation. The Company filed a Complaint for Damages and Declaratory Relief against APC in the Eighth Judicial District Court, Clark County, Nevada, on May 10, 2010, which APC removed to the United States District Court, District of Nevada. In March 2011, the District</w:t>
      </w:r>
    </w:p>
    <w:p>
      <w:pPr>
        <w:spacing w:after="0" w:line="71" w:lineRule="exact"/>
        <w:rPr>
          <w:sz w:val="20"/>
          <w:szCs w:val="20"/>
          <w:color w:val="auto"/>
        </w:rPr>
      </w:pPr>
    </w:p>
    <w:p>
      <w:pPr>
        <w:jc w:val="center"/>
        <w:ind w:right="-7"/>
        <w:spacing w:after="0"/>
        <w:rPr>
          <w:sz w:val="20"/>
          <w:szCs w:val="20"/>
          <w:color w:val="auto"/>
        </w:rPr>
      </w:pPr>
      <w:r>
        <w:rPr>
          <w:rFonts w:ascii="Arial" w:cs="Arial" w:eastAsia="Arial" w:hAnsi="Arial"/>
          <w:sz w:val="12"/>
          <w:szCs w:val="12"/>
          <w:color w:val="auto"/>
        </w:rPr>
        <w:t>23</w:t>
      </w:r>
    </w:p>
    <w:p>
      <w:pPr>
        <w:sectPr>
          <w:pgSz w:w="11900" w:h="16838" w:orient="portrait"/>
          <w:cols w:equalWidth="0" w:num="1">
            <w:col w:w="11488"/>
          </w:cols>
          <w:pgMar w:left="212" w:top="354" w:right="199" w:bottom="1440" w:gutter="0" w:footer="0" w:header="0"/>
        </w:sectPr>
      </w:pPr>
    </w:p>
    <w:bookmarkStart w:id="23" w:name="page24"/>
    <w:bookmarkEnd w:id="23"/>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121920</wp:posOffset>
            </wp:positionH>
            <wp:positionV relativeFrom="page">
              <wp:posOffset>88900</wp:posOffset>
            </wp:positionV>
            <wp:extent cx="7329170" cy="298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329170" cy="29845"/>
                    </a:xfrm>
                    <a:prstGeom prst="rect">
                      <a:avLst/>
                    </a:prstGeom>
                    <a:noFill/>
                  </pic:spPr>
                </pic:pic>
              </a:graphicData>
            </a:graphic>
          </wp:anchor>
        </w:drawing>
      </w:r>
      <w:hyperlink w:anchor="page2">
        <w:r>
          <w:rPr>
            <w:rFonts w:ascii="Arial" w:cs="Arial" w:eastAsia="Arial" w:hAnsi="Arial"/>
            <w:sz w:val="12"/>
            <w:szCs w:val="12"/>
            <w:b w:val="1"/>
            <w:bCs w:val="1"/>
            <w:u w:val="single" w:color="auto"/>
            <w:color w:val="0000EE"/>
          </w:rPr>
          <w:t>Table of Contents</w:t>
        </w:r>
      </w:hyperlink>
    </w:p>
    <w:p>
      <w:pPr>
        <w:spacing w:after="0" w:line="209" w:lineRule="exact"/>
        <w:rPr>
          <w:sz w:val="20"/>
          <w:szCs w:val="20"/>
          <w:color w:val="auto"/>
        </w:rPr>
      </w:pPr>
    </w:p>
    <w:p>
      <w:pPr>
        <w:spacing w:after="0" w:line="259" w:lineRule="auto"/>
        <w:rPr>
          <w:sz w:val="20"/>
          <w:szCs w:val="20"/>
          <w:color w:val="auto"/>
        </w:rPr>
      </w:pPr>
      <w:r>
        <w:rPr>
          <w:rFonts w:ascii="Arial" w:cs="Arial" w:eastAsia="Arial" w:hAnsi="Arial"/>
          <w:sz w:val="12"/>
          <w:szCs w:val="12"/>
          <w:color w:val="auto"/>
        </w:rPr>
        <w:t>Court denied APC’s motion to compel arbitration, and dismissed the action. APC appealed, and on November 13, 2012, the United States Court of Appeals for the Ninth Circuit reversed the District Court and compelled arbitration. The matter is proceeding in arbitration. An arbitrator has been selected, and the parties are beginning the discovery process. The arbitration has been set for April 2014. Management believes that APC’s claims against the Company are without merit, and the Company intends to continue to defend this matter vigorously.</w:t>
      </w:r>
    </w:p>
    <w:p>
      <w:pPr>
        <w:spacing w:after="0" w:line="148"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Determination of Unsuitability and Redemption of Aruze USA, Inc. and Affiliates</w:t>
      </w:r>
    </w:p>
    <w:p>
      <w:pPr>
        <w:spacing w:after="0" w:line="60" w:lineRule="exact"/>
        <w:rPr>
          <w:sz w:val="20"/>
          <w:szCs w:val="20"/>
          <w:color w:val="auto"/>
        </w:rPr>
      </w:pPr>
    </w:p>
    <w:p>
      <w:pPr>
        <w:ind w:right="40" w:firstLine="459"/>
        <w:spacing w:after="0" w:line="256" w:lineRule="auto"/>
        <w:rPr>
          <w:sz w:val="20"/>
          <w:szCs w:val="20"/>
          <w:color w:val="auto"/>
        </w:rPr>
      </w:pPr>
      <w:r>
        <w:rPr>
          <w:rFonts w:ascii="Arial" w:cs="Arial" w:eastAsia="Arial" w:hAnsi="Arial"/>
          <w:sz w:val="12"/>
          <w:szCs w:val="12"/>
          <w:color w:val="auto"/>
        </w:rPr>
        <w:t>On February 18, 2012, Wynn Resorts’ Gaming Compliance Committee concluded an investigation after receiving an independent report by Freeh, Sporkin &amp; Sullivan, LLP (the “Freeh Report”) detailing a pattern of misconduct by the Okada Parties. The factual record presented in the Freeh Report included evidence that the Okada Parties had provided valuable items to certain foreign gaming officials who were responsible for regulating gaming in a jurisdiction in which entities controlled by Mr. Okada were developing a gaming resort. Mr. Okada denied the impropriety of such conduct to members of the Board of Directors of Wynn Resorts, refused to acknowledge or abide by Wynn Resorts’ anti-bribery policies and refused to participate in the training all other directors received concerning these policies.</w:t>
      </w:r>
    </w:p>
    <w:p>
      <w:pPr>
        <w:spacing w:after="0" w:line="96" w:lineRule="exact"/>
        <w:rPr>
          <w:sz w:val="20"/>
          <w:szCs w:val="20"/>
          <w:color w:val="auto"/>
        </w:rPr>
      </w:pPr>
    </w:p>
    <w:p>
      <w:pPr>
        <w:ind w:firstLine="459"/>
        <w:spacing w:after="0" w:line="283" w:lineRule="auto"/>
        <w:rPr>
          <w:sz w:val="20"/>
          <w:szCs w:val="20"/>
          <w:color w:val="auto"/>
        </w:rPr>
      </w:pPr>
      <w:r>
        <w:rPr>
          <w:rFonts w:ascii="Arial" w:cs="Arial" w:eastAsia="Arial" w:hAnsi="Arial"/>
          <w:sz w:val="11"/>
          <w:szCs w:val="11"/>
          <w:color w:val="auto"/>
        </w:rPr>
        <w:t>Based on the Freeh Report, the Board of Directors of Wynn Resorts determined that each of the Okada Parties is an “unsuitable person” under Article VII of the Company’s articles of incorporation. The Board of Directors was unanimous (other than Mr. Okada) in its determination. The Board of Directors also requested that Mr. Okada resign as a director of Wynn Resorts (under Nevada corporation law, a board of directors does not have the power to remove a director) and recommended that Mr. Okada be removed as a member of the Board of Directors of Wynn Macau, Limited. On February 18, 2012, Mr. Okada was removed from the Board of Directors of Wynn Las Vegas Capital Corp., an indirect wholly owned subsidiary of Wynn Resorts, and on February 24, 2012, he was removed from the Board of Directors of Wynn Macau, Limited. On February 22, 2013, Mr. Okada was removed from the Board of Directors of Wynn Resorts by a stockholder vote in which 99.6% of the over 86 million shares voted were cast in favor of removal. Additionally, Mr. Okada resigned from the Board of Directors of Wynn Resorts on February 21, 2013.</w:t>
      </w:r>
    </w:p>
    <w:p>
      <w:pPr>
        <w:spacing w:after="0" w:line="83" w:lineRule="exact"/>
        <w:rPr>
          <w:sz w:val="20"/>
          <w:szCs w:val="20"/>
          <w:color w:val="auto"/>
        </w:rPr>
      </w:pPr>
    </w:p>
    <w:p>
      <w:pPr>
        <w:ind w:right="40" w:firstLine="459"/>
        <w:spacing w:after="0" w:line="279" w:lineRule="auto"/>
        <w:rPr>
          <w:sz w:val="20"/>
          <w:szCs w:val="20"/>
          <w:color w:val="auto"/>
        </w:rPr>
      </w:pPr>
      <w:r>
        <w:rPr>
          <w:rFonts w:ascii="Arial" w:cs="Arial" w:eastAsia="Arial" w:hAnsi="Arial"/>
          <w:sz w:val="11"/>
          <w:szCs w:val="11"/>
          <w:color w:val="auto"/>
        </w:rPr>
        <w:t>Based on the Board of Directors’ finding of “unsuitability,” on February 18, 2012, Wynn Resorts redeemed and cancelled Aruze USA, Inc.’s 24,549,222 shares of Wynn Resorts’ common stock. Following a finding of “unsuitability,” Article VII of Wynn Resorts’ articles of incorporation authorizes redemption at “fair value” of the shares held by unsuitable persons. The Company engaged an independent financial advisor to assist in the fair value calculation and concluded that a discount to the then current trading price was appropriate because of, among other things, restrictions on most of the shares held by Aruze USA, Inc. under the terms of the Stockholders Agreement (as defined below). Pursuant to the articles of incorporation, Wynn Resorts issued the Redemption Note to Aruze USA, Inc. in redemption of the shares. The Redemption Note has a principal amount of $1.94 billion, matures on February 18, 2022 and bears interest at the rate of 2% per annum, payable annually in arrears on each anniversary of the date of the Redemption Note. The Company may, in its sole and absolute discretion, at any time and from time to time, and without penalty or premium, prepay the whole or any portion of the principal or interest due under the Redemption Note. In no instance shall any payment obligation under the Redemption Note be accelerated except in the sole and absolute discretion of Wynn Resorts or as specifically mandated by law. The indebtedness evidenced by the Redemption Note is and shall be subordinated in right of payment, to the extent and in the manner provided in the Redemption Note, to the prior payment in full of all existing and future obligations of Wynn Resorts or any of its affiliates in respect of indebtedness for borrowed money of any kind or nature.</w:t>
      </w:r>
    </w:p>
    <w:p>
      <w:pPr>
        <w:spacing w:after="0" w:line="85" w:lineRule="exact"/>
        <w:rPr>
          <w:sz w:val="20"/>
          <w:szCs w:val="20"/>
          <w:color w:val="auto"/>
        </w:rPr>
      </w:pPr>
    </w:p>
    <w:p>
      <w:pPr>
        <w:ind w:right="80" w:firstLine="459"/>
        <w:spacing w:after="0" w:line="268" w:lineRule="auto"/>
        <w:rPr>
          <w:sz w:val="20"/>
          <w:szCs w:val="20"/>
          <w:color w:val="auto"/>
        </w:rPr>
      </w:pPr>
      <w:r>
        <w:rPr>
          <w:rFonts w:ascii="Arial" w:cs="Arial" w:eastAsia="Arial" w:hAnsi="Arial"/>
          <w:sz w:val="12"/>
          <w:szCs w:val="12"/>
          <w:color w:val="auto"/>
        </w:rPr>
        <w:t>The Company provided the Freeh Report to appropriate regulators and law enforcement agencies and is cooperating with related investigations that such regulators and agencies have undertaken. The conduct of the Okada Parties and any resulting regulatory investigations could have adverse consequences to the Company and</w:t>
      </w:r>
    </w:p>
    <w:p>
      <w:pPr>
        <w:spacing w:after="0" w:line="79"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24</w:t>
      </w:r>
    </w:p>
    <w:p>
      <w:pPr>
        <w:sectPr>
          <w:pgSz w:w="11900" w:h="16838" w:orient="portrait"/>
          <w:cols w:equalWidth="0" w:num="1">
            <w:col w:w="11440"/>
          </w:cols>
          <w:pgMar w:left="220" w:top="354" w:right="239" w:bottom="1440" w:gutter="0" w:footer="0" w:header="0"/>
        </w:sectPr>
      </w:pPr>
    </w:p>
    <w:bookmarkStart w:id="24" w:name="page25"/>
    <w:bookmarkEnd w:id="24"/>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121920</wp:posOffset>
            </wp:positionH>
            <wp:positionV relativeFrom="page">
              <wp:posOffset>88900</wp:posOffset>
            </wp:positionV>
            <wp:extent cx="7329170" cy="298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329170" cy="29845"/>
                    </a:xfrm>
                    <a:prstGeom prst="rect">
                      <a:avLst/>
                    </a:prstGeom>
                    <a:noFill/>
                  </pic:spPr>
                </pic:pic>
              </a:graphicData>
            </a:graphic>
          </wp:anchor>
        </w:drawing>
      </w:r>
      <w:hyperlink w:anchor="page2">
        <w:r>
          <w:rPr>
            <w:rFonts w:ascii="Arial" w:cs="Arial" w:eastAsia="Arial" w:hAnsi="Arial"/>
            <w:sz w:val="12"/>
            <w:szCs w:val="12"/>
            <w:b w:val="1"/>
            <w:bCs w:val="1"/>
            <w:u w:val="single" w:color="auto"/>
            <w:color w:val="0000EE"/>
          </w:rPr>
          <w:t>Table of Contents</w:t>
        </w:r>
      </w:hyperlink>
    </w:p>
    <w:p>
      <w:pPr>
        <w:spacing w:after="0" w:line="209" w:lineRule="exact"/>
        <w:rPr>
          <w:sz w:val="20"/>
          <w:szCs w:val="20"/>
          <w:color w:val="auto"/>
        </w:rPr>
      </w:pPr>
    </w:p>
    <w:p>
      <w:pPr>
        <w:ind w:right="280"/>
        <w:spacing w:after="0" w:line="268" w:lineRule="auto"/>
        <w:rPr>
          <w:sz w:val="20"/>
          <w:szCs w:val="20"/>
          <w:color w:val="auto"/>
        </w:rPr>
      </w:pPr>
      <w:r>
        <w:rPr>
          <w:rFonts w:ascii="Arial" w:cs="Arial" w:eastAsia="Arial" w:hAnsi="Arial"/>
          <w:sz w:val="12"/>
          <w:szCs w:val="12"/>
          <w:color w:val="auto"/>
        </w:rPr>
        <w:t>its subsidiaries. A finding by regulatory authorities that Mr. Okada violated anti-corruption statutes and/or other laws or regulations applicable to persons affiliated with a gaming licensee on Company property and/or otherwise involved the Company in criminal or civil violations could result in actions by regulatory authorities against the Company and its subsidiaries.</w:t>
      </w:r>
    </w:p>
    <w:p>
      <w:pPr>
        <w:spacing w:after="0" w:line="142"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Redemption Action and Counterclaim</w:t>
      </w:r>
    </w:p>
    <w:p>
      <w:pPr>
        <w:spacing w:after="0" w:line="60" w:lineRule="exact"/>
        <w:rPr>
          <w:sz w:val="20"/>
          <w:szCs w:val="20"/>
          <w:color w:val="auto"/>
        </w:rPr>
      </w:pPr>
    </w:p>
    <w:p>
      <w:pPr>
        <w:jc w:val="both"/>
        <w:ind w:right="120" w:firstLine="459"/>
        <w:spacing w:after="0" w:line="259" w:lineRule="auto"/>
        <w:rPr>
          <w:sz w:val="20"/>
          <w:szCs w:val="20"/>
          <w:color w:val="auto"/>
        </w:rPr>
      </w:pPr>
      <w:r>
        <w:rPr>
          <w:rFonts w:ascii="Arial" w:cs="Arial" w:eastAsia="Arial" w:hAnsi="Arial"/>
          <w:sz w:val="12"/>
          <w:szCs w:val="12"/>
          <w:color w:val="auto"/>
        </w:rPr>
        <w:t>On February 19, 2012, Wynn Resorts filed a complaint in the Eighth Judicial District Court, Clark County, Nevada against the Okada Parties (as amended, the “Complaint”), alleging breaches of fiduciary duty and related claims (the “Redemption Action”) arising from the activities addressed in the Freeh Report. The Company is seeking compensatory and special damages as well as a declaration that it acted lawfully and in full compliance with its articles of incorporation, bylaws and other governing documents in redeeming and cancelling the shares of Aruze, USA, Inc.</w:t>
      </w:r>
    </w:p>
    <w:p>
      <w:pPr>
        <w:spacing w:after="0" w:line="94" w:lineRule="exact"/>
        <w:rPr>
          <w:sz w:val="20"/>
          <w:szCs w:val="20"/>
          <w:color w:val="auto"/>
        </w:rPr>
      </w:pPr>
    </w:p>
    <w:p>
      <w:pPr>
        <w:ind w:firstLine="459"/>
        <w:spacing w:after="0" w:line="351" w:lineRule="auto"/>
        <w:rPr>
          <w:sz w:val="20"/>
          <w:szCs w:val="20"/>
          <w:color w:val="auto"/>
        </w:rPr>
      </w:pPr>
      <w:r>
        <w:rPr>
          <w:rFonts w:ascii="Arial" w:cs="Arial" w:eastAsia="Arial" w:hAnsi="Arial"/>
          <w:sz w:val="9"/>
          <w:szCs w:val="9"/>
          <w:color w:val="auto"/>
        </w:rPr>
        <w:t>On March 12, 2012, the Okada Parties removed the action to the United States District Court for the District of Nevada (the action was subsequently remanded to Nevada state court). On that same date, the Okada Parties filed an answer denying the claims and a counterclaim (as amended, the “Counterclaim”) that purports to assert claims against the Company, each of the members of the Company’s Board of Directors (other than Mr. Okada) and Wynn Resorts’ General Counsel (the “Wynn Parties”). The Counterclaim alleges, among other things: (1) that the shares of Wynn Resorts common stock owned by Aruze USA, Inc. were exempt from the redemption-for-unsuitability provisions in the Wynn Resorts articles of incorporation (the “Articles”) pursuant to certain agreements executed in 2002; (2) that the Wynn Resorts directors who authorized the redemption of Aruze USA, Inc.’s shares acted at the direction of Stephen A. Wynn and did not independently and objectively evaluate the Okada Parties’ suitability, and by so doing, breached their fiduciary duties; (3) that the Wynn Resorts directors violated the terms of the Wynn Resorts Articles by failing to pay Aruze USA, Inc. fair value for the redeemed shares; and (4) that the terms of the Redemption Note that Aruze USA, Inc. received in exchange for the redeemed shares, including the Redemption Note’s principal amount, duration, interest rate, and subordinated status, were unconscionable. Among other relief, the Counterclaim seeks a declaration that the redemption of Aruze USA, Inc.’s shares was void, an injunction restoring Aruze USA, Inc.’s share ownership, damages in an unspecified amount and rescission of the Amended and Restated Stockholders Agreement, dated as of January 6, 2010, by and among Aruze USA, Inc., Stephen A. Wynn, and Elaine Wynn (the “Stockholders Agreement”).</w:t>
      </w:r>
    </w:p>
    <w:p>
      <w:pPr>
        <w:spacing w:after="0" w:line="202" w:lineRule="exact"/>
        <w:rPr>
          <w:sz w:val="20"/>
          <w:szCs w:val="20"/>
          <w:color w:val="auto"/>
        </w:rPr>
      </w:pPr>
    </w:p>
    <w:p>
      <w:pPr>
        <w:ind w:right="60" w:firstLine="459"/>
        <w:spacing w:after="0" w:line="253" w:lineRule="auto"/>
        <w:rPr>
          <w:sz w:val="20"/>
          <w:szCs w:val="20"/>
          <w:color w:val="auto"/>
        </w:rPr>
      </w:pPr>
      <w:r>
        <w:rPr>
          <w:rFonts w:ascii="Arial" w:cs="Arial" w:eastAsia="Arial" w:hAnsi="Arial"/>
          <w:sz w:val="12"/>
          <w:szCs w:val="12"/>
          <w:color w:val="auto"/>
        </w:rPr>
        <w:t>On June 19, 2012, Elaine Wynn responded to the Counterclaim and asserted a cross claim against Steve Wynn and Kazuo Okada seeking a declaration that (1) any and all of Elaine Wynn’s duties under the Stockholders Agreement be discharged; (2) the Stockholders Agreement is subject to rescission and is rescinded; (3) the Stockholders Agreement is an unreasonable restraint on alienation in violation of public policy; and/or (4) the restrictions on sale of shares shall be construed as inapplicable to Elaine Wynn. Mr. Wynn filed his answer to Elaine Wynn’s cross claim on September 24, 2012. The Indentures provide that if Steve Wynn, together with certain related parties, in the aggregate beneficially owns a lesser percentage of the outstanding common stock of the Company than are beneficially owned by any other person, a change of control will have occurred. If Elaine Wynn prevails in her cross claim, Steve Wynn would not beneficially own or control Elaine Wynn’s shares and a change in control may result under the Company’s debt documents. Under the Indentures, the occurrence of a change of control requires that the Company make an offer (unless the notes have been previously called for redemption) to each holder to repurchase all or any part of such holder’s Notes at a purchase price equal to 101% of the aggregate principal amount thereof plus accrued and unpaid interest on the Notes purchased, if any, to the date of repurchase.</w:t>
      </w:r>
    </w:p>
    <w:p>
      <w:pPr>
        <w:spacing w:after="0" w:line="99" w:lineRule="exact"/>
        <w:rPr>
          <w:sz w:val="20"/>
          <w:szCs w:val="20"/>
          <w:color w:val="auto"/>
        </w:rPr>
      </w:pPr>
    </w:p>
    <w:p>
      <w:pPr>
        <w:ind w:right="60" w:firstLine="459"/>
        <w:spacing w:after="0" w:line="314" w:lineRule="auto"/>
        <w:rPr>
          <w:sz w:val="20"/>
          <w:szCs w:val="20"/>
          <w:color w:val="auto"/>
        </w:rPr>
      </w:pPr>
      <w:r>
        <w:rPr>
          <w:rFonts w:ascii="Arial" w:cs="Arial" w:eastAsia="Arial" w:hAnsi="Arial"/>
          <w:sz w:val="11"/>
          <w:szCs w:val="11"/>
          <w:color w:val="auto"/>
        </w:rPr>
        <w:t>The Company’s Complaint and the Okada Parties’ Counterclaim have been, and continue to be, challenged through motion practice. At a hearing held on November 13, 2012, the Nevada state court granted the Wynn Parties’ motion to dismiss the Counterclaim with respect to the Okada Parties’ claim under the Nevada Racketeer Influenced and Corrupt Organizations Act with respect to certain Company executives but otherwise denied the</w:t>
      </w:r>
    </w:p>
    <w:p>
      <w:pPr>
        <w:spacing w:after="0" w:line="56"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25</w:t>
      </w:r>
    </w:p>
    <w:p>
      <w:pPr>
        <w:sectPr>
          <w:pgSz w:w="11900" w:h="16838" w:orient="portrait"/>
          <w:cols w:equalWidth="0" w:num="1">
            <w:col w:w="11480"/>
          </w:cols>
          <w:pgMar w:left="220" w:top="354" w:right="199" w:bottom="1440" w:gutter="0" w:footer="0" w:header="0"/>
        </w:sectPr>
      </w:pPr>
    </w:p>
    <w:bookmarkStart w:id="25" w:name="page26"/>
    <w:bookmarkEnd w:id="25"/>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121920</wp:posOffset>
            </wp:positionH>
            <wp:positionV relativeFrom="page">
              <wp:posOffset>88900</wp:posOffset>
            </wp:positionV>
            <wp:extent cx="7329170" cy="298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329170" cy="29845"/>
                    </a:xfrm>
                    <a:prstGeom prst="rect">
                      <a:avLst/>
                    </a:prstGeom>
                    <a:noFill/>
                  </pic:spPr>
                </pic:pic>
              </a:graphicData>
            </a:graphic>
          </wp:anchor>
        </w:drawing>
      </w:r>
      <w:hyperlink w:anchor="page2">
        <w:r>
          <w:rPr>
            <w:rFonts w:ascii="Arial" w:cs="Arial" w:eastAsia="Arial" w:hAnsi="Arial"/>
            <w:sz w:val="12"/>
            <w:szCs w:val="12"/>
            <w:b w:val="1"/>
            <w:bCs w:val="1"/>
            <w:u w:val="single" w:color="auto"/>
            <w:color w:val="0000EE"/>
          </w:rPr>
          <w:t>Table of Contents</w:t>
        </w:r>
      </w:hyperlink>
    </w:p>
    <w:p>
      <w:pPr>
        <w:spacing w:after="0" w:line="209" w:lineRule="exact"/>
        <w:rPr>
          <w:sz w:val="20"/>
          <w:szCs w:val="20"/>
          <w:color w:val="auto"/>
        </w:rPr>
      </w:pPr>
    </w:p>
    <w:p>
      <w:pPr>
        <w:ind w:right="160"/>
        <w:spacing w:after="0" w:line="368" w:lineRule="auto"/>
        <w:rPr>
          <w:sz w:val="20"/>
          <w:szCs w:val="20"/>
          <w:color w:val="auto"/>
        </w:rPr>
      </w:pPr>
      <w:r>
        <w:rPr>
          <w:rFonts w:ascii="Arial" w:cs="Arial" w:eastAsia="Arial" w:hAnsi="Arial"/>
          <w:sz w:val="9"/>
          <w:szCs w:val="9"/>
          <w:color w:val="auto"/>
        </w:rPr>
        <w:t>motion. At a hearing held on January 15, 2013, the court denied the Okada Parties’ motion to dismiss the Company’s Complaint. On April 22, 2013, the Company filed a second amended complaint. On June 12, 2013, the Okada Parties filed a request to file a third amended counterclaim, and on August 30, 2013, the Okada Parties filed their third amended counterclaim. On September 18, 2013, the Company filed a Partial Motion to Dismiss related to a claim in the third amended counterclaim alleging civil extortion by Mr. Wynn and Ms. Sinatra. On October 29, 2013, the court granted the motion and dismissed the claim. The parties had been engaged in discovery at the time the court entered the Stay (defined and discussed below). Therefore, although the court previously set a timetable for all discovery, pre-trial and trial deadlines, with a five-week jury trial scheduled to commence in April 2014, this schedule may change due to the Stay.</w:t>
      </w:r>
    </w:p>
    <w:p>
      <w:pPr>
        <w:spacing w:after="0" w:line="50" w:lineRule="exact"/>
        <w:rPr>
          <w:sz w:val="20"/>
          <w:szCs w:val="20"/>
          <w:color w:val="auto"/>
        </w:rPr>
      </w:pPr>
    </w:p>
    <w:p>
      <w:pPr>
        <w:ind w:right="80" w:firstLine="459"/>
        <w:spacing w:after="0" w:line="354" w:lineRule="auto"/>
        <w:rPr>
          <w:sz w:val="20"/>
          <w:szCs w:val="20"/>
          <w:color w:val="auto"/>
        </w:rPr>
      </w:pPr>
      <w:r>
        <w:rPr>
          <w:rFonts w:ascii="Arial" w:cs="Arial" w:eastAsia="Arial" w:hAnsi="Arial"/>
          <w:sz w:val="9"/>
          <w:szCs w:val="9"/>
          <w:color w:val="auto"/>
        </w:rPr>
        <w:t>On February 13, 2013, the Okada Parties filed a motion in the Nevada state court asking the court to establish an escrow account (specifically, they asked the court to establish a “disputed ownership fund,” as defined in a federal tax regulation (“DOF”)) to hold the Redemption Note as well as the redeemed shares themselves (although those shares were previously cancelled in February 2012), until the resolution of the Redemption Action and Counterclaim. The Okada Parties subsequently filed reply papers in further support of their motion, in which they narrowed the relief they were seeking, specifically by withdrawing their request that the redeemed shares be placed into the escrow account. On April 17, 2013, the court entered an order granting the Okada Parties’ motion in part as to the narrowed relief outlined in their reply papers. Among other things, the court’s order directed the Okada Parties to establish an escrow account with a third party (without making any ruling as to whether such an account would satisfy the requirements of a DOF) to hold interest payments tendered by the Company on the Redemption Note. The Company is to have no responsibility for fees or costs of the account, and will receive a full release and indemnity related to the account. On February 14, 2013, the Company issued a check to Aruze USA, Inc. in the amount of $38.7 million, representing the interest payment due on the Redemption Note at that time. However, as of the date of this report, the check remains uncashed as the Okada Parties have not proposed a form of escrow agreement to the Company, as contemplated by the court’s order.</w:t>
      </w:r>
    </w:p>
    <w:p>
      <w:pPr>
        <w:spacing w:after="0" w:line="201" w:lineRule="exact"/>
        <w:rPr>
          <w:sz w:val="20"/>
          <w:szCs w:val="20"/>
          <w:color w:val="auto"/>
        </w:rPr>
      </w:pPr>
    </w:p>
    <w:p>
      <w:pPr>
        <w:ind w:right="20" w:firstLine="459"/>
        <w:spacing w:after="0" w:line="280" w:lineRule="auto"/>
        <w:rPr>
          <w:sz w:val="20"/>
          <w:szCs w:val="20"/>
          <w:color w:val="auto"/>
        </w:rPr>
      </w:pPr>
      <w:r>
        <w:rPr>
          <w:rFonts w:ascii="Arial" w:cs="Arial" w:eastAsia="Arial" w:hAnsi="Arial"/>
          <w:sz w:val="11"/>
          <w:szCs w:val="11"/>
          <w:color w:val="auto"/>
        </w:rPr>
        <w:t>On April 8, 2013, the United States Attorney’s Office and the U.S. Department of Justice filed a Motion to Intervene and for Temporary and Partial Stay of Discovery in the Redemption Action. The motion stated that the federal government has been conducting a criminal investigation of the Okada Parties involving the “same underlying allegations of misconduct – that is, potential violations of the Foreign Corrupt Practice Act and related fraudulent conduct – that form the basis of” the Company’s complaint, as amended, in the Redemption Action. The motion sought to stay all discovery in the Redemption Action related to the Okada Parties’ allegedly unlawful activities in connection with their Philippine Casino Project until the conclusion of the criminal investigation and any resulting criminal prosecution, with an interim status update to the court in six months. At a hearing on May 2, 2013, the court granted the motion and ordered that all discovery in the Redemption Action be stayed for a period of six months (the “Stay”). On October 29, 2013, the United States Attorney’s Office and the U.S. Department of Justice filed a Motion to Extend the Stay for a period of six months. At a hearing on October 31, 2013, the court granted the requested extension based upon an affidavit provided under seal that outlined, among other things, concerns for witness safety. The court did, however, order the parties to exchange written discovery propounded prior to May 2, 2013, including discovery related to the Elaine Wynn cross and counterclaims referred to in the following paragraph.</w:t>
      </w:r>
    </w:p>
    <w:p>
      <w:pPr>
        <w:spacing w:after="0" w:line="84" w:lineRule="exact"/>
        <w:rPr>
          <w:sz w:val="20"/>
          <w:szCs w:val="20"/>
          <w:color w:val="auto"/>
        </w:rPr>
      </w:pPr>
    </w:p>
    <w:p>
      <w:pPr>
        <w:jc w:val="both"/>
        <w:ind w:firstLine="459"/>
        <w:spacing w:after="0" w:line="294" w:lineRule="auto"/>
        <w:rPr>
          <w:sz w:val="20"/>
          <w:szCs w:val="20"/>
          <w:color w:val="auto"/>
        </w:rPr>
      </w:pPr>
      <w:r>
        <w:rPr>
          <w:rFonts w:ascii="Arial" w:cs="Arial" w:eastAsia="Arial" w:hAnsi="Arial"/>
          <w:sz w:val="11"/>
          <w:szCs w:val="11"/>
          <w:color w:val="auto"/>
        </w:rPr>
        <w:t>On May 30, 2013, Elaine Wynn filed a motion for partial relief from the Stay, to allow her to conduct limited discovery related to her cross and counterclaims. The Wynn Parties opposed the motion so as to not interfere with the United States Government’s investigation. At a hearing on August 1, 2013, the court denied the motion. On August 2, 2013, the court stayed discovery in the indemnification action related to the government investigations (consistent with the Stay in the Redemption Action), and ordered that all other discovery be conducted within ninety (90) days. The court did not set a trial date; rather set the matter for a status check on January 10, 2014.</w:t>
      </w:r>
    </w:p>
    <w:p>
      <w:pPr>
        <w:spacing w:after="0" w:line="76" w:lineRule="exact"/>
        <w:rPr>
          <w:sz w:val="20"/>
          <w:szCs w:val="20"/>
          <w:color w:val="auto"/>
        </w:rPr>
      </w:pPr>
    </w:p>
    <w:p>
      <w:pPr>
        <w:jc w:val="center"/>
        <w:ind w:right="500"/>
        <w:spacing w:after="0" w:line="440" w:lineRule="auto"/>
        <w:rPr>
          <w:sz w:val="20"/>
          <w:szCs w:val="20"/>
          <w:color w:val="auto"/>
        </w:rPr>
      </w:pPr>
      <w:r>
        <w:rPr>
          <w:rFonts w:ascii="Arial" w:cs="Arial" w:eastAsia="Arial" w:hAnsi="Arial"/>
          <w:sz w:val="12"/>
          <w:szCs w:val="12"/>
          <w:color w:val="auto"/>
        </w:rPr>
        <w:t>Subject to the Stay, the Company will continue to vigorously pursue its claims against the Okada Parties, and the Company and the Wynn Parties will continue to vigorously defend against the counterclaims asserted 26</w:t>
      </w:r>
    </w:p>
    <w:p>
      <w:pPr>
        <w:sectPr>
          <w:pgSz w:w="11900" w:h="16838" w:orient="portrait"/>
          <w:cols w:equalWidth="0" w:num="1">
            <w:col w:w="11480"/>
          </w:cols>
          <w:pgMar w:left="220" w:top="354" w:right="199" w:bottom="1440" w:gutter="0" w:footer="0" w:header="0"/>
        </w:sectPr>
      </w:pPr>
    </w:p>
    <w:bookmarkStart w:id="26" w:name="page27"/>
    <w:bookmarkEnd w:id="26"/>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121920</wp:posOffset>
            </wp:positionH>
            <wp:positionV relativeFrom="page">
              <wp:posOffset>88900</wp:posOffset>
            </wp:positionV>
            <wp:extent cx="7329170" cy="298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329170" cy="29845"/>
                    </a:xfrm>
                    <a:prstGeom prst="rect">
                      <a:avLst/>
                    </a:prstGeom>
                    <a:noFill/>
                  </pic:spPr>
                </pic:pic>
              </a:graphicData>
            </a:graphic>
          </wp:anchor>
        </w:drawing>
      </w:r>
      <w:hyperlink w:anchor="page2">
        <w:r>
          <w:rPr>
            <w:rFonts w:ascii="Arial" w:cs="Arial" w:eastAsia="Arial" w:hAnsi="Arial"/>
            <w:sz w:val="12"/>
            <w:szCs w:val="12"/>
            <w:b w:val="1"/>
            <w:bCs w:val="1"/>
            <w:u w:val="single" w:color="auto"/>
            <w:color w:val="0000EE"/>
          </w:rPr>
          <w:t>Table of Contents</w:t>
        </w:r>
      </w:hyperlink>
    </w:p>
    <w:p>
      <w:pPr>
        <w:spacing w:after="0" w:line="209" w:lineRule="exact"/>
        <w:rPr>
          <w:sz w:val="20"/>
          <w:szCs w:val="20"/>
          <w:color w:val="auto"/>
        </w:rPr>
      </w:pPr>
    </w:p>
    <w:p>
      <w:pPr>
        <w:ind w:right="220"/>
        <w:spacing w:after="0" w:line="314" w:lineRule="auto"/>
        <w:rPr>
          <w:sz w:val="20"/>
          <w:szCs w:val="20"/>
          <w:color w:val="auto"/>
        </w:rPr>
      </w:pPr>
      <w:r>
        <w:rPr>
          <w:rFonts w:ascii="Arial" w:cs="Arial" w:eastAsia="Arial" w:hAnsi="Arial"/>
          <w:sz w:val="11"/>
          <w:szCs w:val="11"/>
          <w:color w:val="auto"/>
        </w:rPr>
        <w:t>against them. The Company’s claims and the Okada Parties’ counterclaims remain in an early stage and management has determined that based on proceedings to date, it is currently unable to determine the probability of the outcome of this matter or the range of reasonably possible loss, if any. An adverse judgment or settlement involving payment of a material amount could cause a material adverse effect on our financial condition.</w:t>
      </w:r>
    </w:p>
    <w:p>
      <w:pPr>
        <w:spacing w:after="0" w:line="119"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Litigation Commenced by Kazuo Okada</w:t>
      </w:r>
    </w:p>
    <w:p>
      <w:pPr>
        <w:spacing w:after="0" w:line="60" w:lineRule="exact"/>
        <w:rPr>
          <w:sz w:val="20"/>
          <w:szCs w:val="20"/>
          <w:color w:val="auto"/>
        </w:rPr>
      </w:pPr>
    </w:p>
    <w:p>
      <w:pPr>
        <w:ind w:left="220"/>
        <w:spacing w:after="0"/>
        <w:rPr>
          <w:sz w:val="20"/>
          <w:szCs w:val="20"/>
          <w:color w:val="auto"/>
        </w:rPr>
      </w:pPr>
      <w:r>
        <w:rPr>
          <w:rFonts w:ascii="Arial" w:cs="Arial" w:eastAsia="Arial" w:hAnsi="Arial"/>
          <w:sz w:val="12"/>
          <w:szCs w:val="12"/>
          <w:u w:val="single" w:color="auto"/>
          <w:color w:val="auto"/>
        </w:rPr>
        <w:t>Books and Records Action:</w:t>
      </w:r>
    </w:p>
    <w:p>
      <w:pPr>
        <w:spacing w:after="0" w:line="60" w:lineRule="exact"/>
        <w:rPr>
          <w:sz w:val="20"/>
          <w:szCs w:val="20"/>
          <w:color w:val="auto"/>
        </w:rPr>
      </w:pPr>
    </w:p>
    <w:p>
      <w:pPr>
        <w:ind w:right="140" w:firstLine="459"/>
        <w:spacing w:after="0" w:line="259" w:lineRule="auto"/>
        <w:rPr>
          <w:sz w:val="20"/>
          <w:szCs w:val="20"/>
          <w:color w:val="auto"/>
        </w:rPr>
      </w:pPr>
      <w:r>
        <w:rPr>
          <w:rFonts w:ascii="Arial" w:cs="Arial" w:eastAsia="Arial" w:hAnsi="Arial"/>
          <w:sz w:val="12"/>
          <w:szCs w:val="12"/>
          <w:color w:val="auto"/>
        </w:rPr>
        <w:t>On January 11, 2012, Mr. Okada, in his then role as a Wynn Resorts’ director, commenced a writ proceeding in the Eighth Judicial District Court, Clark County, Nevada, seeking to compel the Company to produce certain books and records relating to the board’s approval of a donation to the University of Macau, among other things. There have been no developments in this proceeding beyond those described in Note 15 – “Commitments and Contingencies” in the Company’s Form 10-Q for the quarter ended June 30, 2013.</w:t>
      </w:r>
    </w:p>
    <w:p>
      <w:pPr>
        <w:spacing w:after="0" w:line="148" w:lineRule="exact"/>
        <w:rPr>
          <w:sz w:val="20"/>
          <w:szCs w:val="20"/>
          <w:color w:val="auto"/>
        </w:rPr>
      </w:pPr>
    </w:p>
    <w:p>
      <w:pPr>
        <w:ind w:left="220"/>
        <w:spacing w:after="0"/>
        <w:rPr>
          <w:sz w:val="20"/>
          <w:szCs w:val="20"/>
          <w:color w:val="auto"/>
        </w:rPr>
      </w:pPr>
      <w:r>
        <w:rPr>
          <w:rFonts w:ascii="Arial" w:cs="Arial" w:eastAsia="Arial" w:hAnsi="Arial"/>
          <w:sz w:val="12"/>
          <w:szCs w:val="12"/>
          <w:u w:val="single" w:color="auto"/>
          <w:color w:val="auto"/>
        </w:rPr>
        <w:t>Japan Action:</w:t>
      </w:r>
    </w:p>
    <w:p>
      <w:pPr>
        <w:spacing w:after="0" w:line="60" w:lineRule="exact"/>
        <w:rPr>
          <w:sz w:val="20"/>
          <w:szCs w:val="20"/>
          <w:color w:val="auto"/>
        </w:rPr>
      </w:pPr>
    </w:p>
    <w:p>
      <w:pPr>
        <w:ind w:right="40" w:firstLine="459"/>
        <w:spacing w:after="0" w:line="255" w:lineRule="auto"/>
        <w:rPr>
          <w:sz w:val="20"/>
          <w:szCs w:val="20"/>
          <w:color w:val="auto"/>
        </w:rPr>
      </w:pPr>
      <w:r>
        <w:rPr>
          <w:rFonts w:ascii="Arial" w:cs="Arial" w:eastAsia="Arial" w:hAnsi="Arial"/>
          <w:sz w:val="12"/>
          <w:szCs w:val="12"/>
          <w:color w:val="auto"/>
        </w:rPr>
        <w:t>On August 28, 2012, Mr. Okada, Universal Entertainment Corporation and Okada Holdings (“Okada Japan Parties”) filed a complaint in Tokyo District Court against the Company, all members of the Board of Directors (other than Mr. Okada) and the Company’s General Counsel (the “Wynn Parties”), alleging that the press release issued by the Company with respect to the redemption has damaged plaintiffs’ social evaluation and credibility. The Okada Japan Parties seek damages and legal fees from the Wynn Parties. After asking the Okada Japan Parties to clarify the allegations in their complaint, the Wynn Parties objected to the jurisdiction of the Japanese court. On April 30, 2013, the Wynn Parties filed a memorandum in support of their jurisdictional position. On October 21, 2013, the court dismissed the action on jurisdictional grounds. On November 1, 2013, the Okada Japan Parties filed an appeal moving the matter to the Tokyo High Court with a hearing date to be determined.</w:t>
      </w:r>
    </w:p>
    <w:p>
      <w:pPr>
        <w:spacing w:after="0" w:line="150" w:lineRule="exact"/>
        <w:rPr>
          <w:sz w:val="20"/>
          <w:szCs w:val="20"/>
          <w:color w:val="auto"/>
        </w:rPr>
      </w:pPr>
    </w:p>
    <w:p>
      <w:pPr>
        <w:ind w:left="220"/>
        <w:spacing w:after="0"/>
        <w:rPr>
          <w:sz w:val="20"/>
          <w:szCs w:val="20"/>
          <w:color w:val="auto"/>
        </w:rPr>
      </w:pPr>
      <w:r>
        <w:rPr>
          <w:rFonts w:ascii="Arial" w:cs="Arial" w:eastAsia="Arial" w:hAnsi="Arial"/>
          <w:sz w:val="12"/>
          <w:szCs w:val="12"/>
          <w:u w:val="single" w:color="auto"/>
          <w:color w:val="auto"/>
        </w:rPr>
        <w:t>Indemnification Action:</w:t>
      </w:r>
    </w:p>
    <w:p>
      <w:pPr>
        <w:spacing w:after="0" w:line="60" w:lineRule="exact"/>
        <w:rPr>
          <w:sz w:val="20"/>
          <w:szCs w:val="20"/>
          <w:color w:val="auto"/>
        </w:rPr>
      </w:pPr>
    </w:p>
    <w:p>
      <w:pPr>
        <w:ind w:left="460"/>
        <w:spacing w:after="0"/>
        <w:rPr>
          <w:sz w:val="20"/>
          <w:szCs w:val="20"/>
          <w:color w:val="auto"/>
        </w:rPr>
      </w:pPr>
      <w:r>
        <w:rPr>
          <w:rFonts w:ascii="Arial" w:cs="Arial" w:eastAsia="Arial" w:hAnsi="Arial"/>
          <w:sz w:val="11"/>
          <w:szCs w:val="11"/>
          <w:color w:val="auto"/>
        </w:rPr>
        <w:t>On March 20, 2013, Mr. Okada filed a complaint against the Company in Nevada state court for indemnification under the Company’s Articles, bylaws and agreements with its directors. The complaint seeks advancement of</w:t>
      </w:r>
    </w:p>
    <w:p>
      <w:pPr>
        <w:spacing w:after="0" w:line="22" w:lineRule="exact"/>
        <w:rPr>
          <w:sz w:val="20"/>
          <w:szCs w:val="20"/>
          <w:color w:val="auto"/>
        </w:rPr>
      </w:pPr>
    </w:p>
    <w:p>
      <w:pPr>
        <w:spacing w:after="0" w:line="381" w:lineRule="auto"/>
        <w:rPr>
          <w:sz w:val="20"/>
          <w:szCs w:val="20"/>
          <w:color w:val="auto"/>
        </w:rPr>
      </w:pPr>
      <w:r>
        <w:rPr>
          <w:rFonts w:ascii="Arial" w:cs="Arial" w:eastAsia="Arial" w:hAnsi="Arial"/>
          <w:sz w:val="9"/>
          <w:szCs w:val="9"/>
          <w:color w:val="auto"/>
        </w:rPr>
        <w:t>Mr. Okada’s costs and expenses (including attorney’s fees) incurred pursuant to the various legal proceedings and related regulatory investigations described above. The Company believes there is no basis for the relief requested in the complaint and intends to vigorously defend against this matter. The Company’s answer and counterclaim was filed on April 15, 2013. The counterclaim names each of the Okada Parties as defendants and seeks indemnification under the Company’s Articles for costs and expenses (including attorney’s fees) incurred pursuant to the various legal proceedings and related regulatory investigations described above. On April 30, 2013, Mr. Okada filed his reply to the counterclaim.</w:t>
      </w:r>
    </w:p>
    <w:p>
      <w:pPr>
        <w:spacing w:after="0" w:line="43" w:lineRule="exact"/>
        <w:rPr>
          <w:sz w:val="20"/>
          <w:szCs w:val="20"/>
          <w:color w:val="auto"/>
        </w:rPr>
      </w:pPr>
    </w:p>
    <w:p>
      <w:pPr>
        <w:jc w:val="both"/>
        <w:ind w:right="140" w:firstLine="459"/>
        <w:spacing w:after="0" w:line="256" w:lineRule="auto"/>
        <w:rPr>
          <w:sz w:val="20"/>
          <w:szCs w:val="20"/>
          <w:color w:val="auto"/>
        </w:rPr>
      </w:pPr>
      <w:r>
        <w:rPr>
          <w:rFonts w:ascii="Arial" w:cs="Arial" w:eastAsia="Arial" w:hAnsi="Arial"/>
          <w:sz w:val="12"/>
          <w:szCs w:val="12"/>
          <w:color w:val="auto"/>
        </w:rPr>
        <w:t>On June 14, 2013, Mr. Okada filed a motion for partial summary judgment that he was entitled to advancement of his expenses incurred in the various proceedings and investigations. Mr. Okada also filed a special motion to dismiss, arguing that the Company’s counterclaims seek to infringe upon Mr. Okada’s right to petition the court, and constitute a strategic lawsuit against public policy (“S.L.A.P.P.”). The Company’s counterclaims seek only to enforce Wynn Resorts’ contractual right to indemnity under Article VII, Section 4 of the Company’s Articles. At a hearing on August 1, 2013, the court denied both motions and provided for limited discovery (</w:t>
      </w:r>
      <w:r>
        <w:rPr>
          <w:rFonts w:ascii="Arial" w:cs="Arial" w:eastAsia="Arial" w:hAnsi="Arial"/>
          <w:sz w:val="12"/>
          <w:szCs w:val="12"/>
          <w:i w:val="1"/>
          <w:iCs w:val="1"/>
          <w:color w:val="auto"/>
        </w:rPr>
        <w:t>i.e</w:t>
      </w:r>
      <w:r>
        <w:rPr>
          <w:rFonts w:ascii="Arial" w:cs="Arial" w:eastAsia="Arial" w:hAnsi="Arial"/>
          <w:sz w:val="12"/>
          <w:szCs w:val="12"/>
          <w:color w:val="auto"/>
        </w:rPr>
        <w:t>., discovery that does not implicate any of the issues subject to the Stay entered in the Redemption Action).</w:t>
      </w:r>
    </w:p>
    <w:p>
      <w:pPr>
        <w:spacing w:after="0" w:line="96" w:lineRule="exact"/>
        <w:rPr>
          <w:sz w:val="20"/>
          <w:szCs w:val="20"/>
          <w:color w:val="auto"/>
        </w:rPr>
      </w:pPr>
    </w:p>
    <w:p>
      <w:pPr>
        <w:ind w:right="180" w:firstLine="459"/>
        <w:spacing w:after="0" w:line="314" w:lineRule="auto"/>
        <w:rPr>
          <w:sz w:val="20"/>
          <w:szCs w:val="20"/>
          <w:color w:val="auto"/>
        </w:rPr>
      </w:pPr>
      <w:r>
        <w:rPr>
          <w:rFonts w:ascii="Arial" w:cs="Arial" w:eastAsia="Arial" w:hAnsi="Arial"/>
          <w:sz w:val="11"/>
          <w:szCs w:val="11"/>
          <w:color w:val="auto"/>
        </w:rPr>
        <w:t>On August 22, 2013, the Company noticed Mr. Okada’s deposition for September 16, 2013. Mr. Okada filed a motion for protective order seeking to vacate his deposition, arguing that he did not have any information relevant to his claims for advancement of fees and/or indemnity that he asserted against the Company. On October 18, 2013, after a full briefing by the parties, the court denied Mr. Okada’s motion and entered an order</w:t>
      </w:r>
    </w:p>
    <w:p>
      <w:pPr>
        <w:spacing w:after="0" w:line="56"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27</w:t>
      </w:r>
    </w:p>
    <w:p>
      <w:pPr>
        <w:sectPr>
          <w:pgSz w:w="11900" w:h="16838" w:orient="portrait"/>
          <w:cols w:equalWidth="0" w:num="1">
            <w:col w:w="11440"/>
          </w:cols>
          <w:pgMar w:left="220" w:top="354" w:right="239" w:bottom="1440" w:gutter="0" w:footer="0" w:header="0"/>
        </w:sectPr>
      </w:pPr>
    </w:p>
    <w:bookmarkStart w:id="27" w:name="page28"/>
    <w:bookmarkEnd w:id="27"/>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121920</wp:posOffset>
            </wp:positionH>
            <wp:positionV relativeFrom="page">
              <wp:posOffset>88900</wp:posOffset>
            </wp:positionV>
            <wp:extent cx="7329170" cy="298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329170" cy="29845"/>
                    </a:xfrm>
                    <a:prstGeom prst="rect">
                      <a:avLst/>
                    </a:prstGeom>
                    <a:noFill/>
                  </pic:spPr>
                </pic:pic>
              </a:graphicData>
            </a:graphic>
          </wp:anchor>
        </w:drawing>
      </w:r>
      <w:hyperlink w:anchor="page2">
        <w:r>
          <w:rPr>
            <w:rFonts w:ascii="Arial" w:cs="Arial" w:eastAsia="Arial" w:hAnsi="Arial"/>
            <w:sz w:val="12"/>
            <w:szCs w:val="12"/>
            <w:b w:val="1"/>
            <w:bCs w:val="1"/>
            <w:u w:val="single" w:color="auto"/>
            <w:color w:val="0000EE"/>
          </w:rPr>
          <w:t>Table of Contents</w:t>
        </w:r>
      </w:hyperlink>
    </w:p>
    <w:p>
      <w:pPr>
        <w:spacing w:after="0" w:line="209" w:lineRule="exact"/>
        <w:rPr>
          <w:sz w:val="20"/>
          <w:szCs w:val="20"/>
          <w:color w:val="auto"/>
        </w:rPr>
      </w:pPr>
    </w:p>
    <w:p>
      <w:pPr>
        <w:ind w:right="160"/>
        <w:spacing w:after="0" w:line="268" w:lineRule="auto"/>
        <w:rPr>
          <w:sz w:val="20"/>
          <w:szCs w:val="20"/>
          <w:color w:val="auto"/>
        </w:rPr>
      </w:pPr>
      <w:r>
        <w:rPr>
          <w:rFonts w:ascii="Arial" w:cs="Arial" w:eastAsia="Arial" w:hAnsi="Arial"/>
          <w:sz w:val="12"/>
          <w:szCs w:val="12"/>
          <w:color w:val="auto"/>
        </w:rPr>
        <w:t>stating that Mr. Okada’s deposition testimony is relevant to the claims he asserted against the Company, that Mr. Okada may not designate someone else to testify on his behalf, and that the Company may sequence discovery in the action as it chooses. The Company intends to re-notice Mr. Okada’s deposition.</w:t>
      </w:r>
    </w:p>
    <w:p>
      <w:pPr>
        <w:spacing w:after="0" w:line="142"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Related Investigations and Derivative Litigation</w:t>
      </w:r>
    </w:p>
    <w:p>
      <w:pPr>
        <w:spacing w:after="0" w:line="60" w:lineRule="exact"/>
        <w:rPr>
          <w:sz w:val="20"/>
          <w:szCs w:val="20"/>
          <w:color w:val="auto"/>
        </w:rPr>
      </w:pPr>
    </w:p>
    <w:p>
      <w:pPr>
        <w:ind w:left="220"/>
        <w:spacing w:after="0"/>
        <w:rPr>
          <w:sz w:val="20"/>
          <w:szCs w:val="20"/>
          <w:color w:val="auto"/>
        </w:rPr>
      </w:pPr>
      <w:r>
        <w:rPr>
          <w:rFonts w:ascii="Arial" w:cs="Arial" w:eastAsia="Arial" w:hAnsi="Arial"/>
          <w:sz w:val="12"/>
          <w:szCs w:val="12"/>
          <w:u w:val="single" w:color="auto"/>
          <w:color w:val="auto"/>
        </w:rPr>
        <w:t>Various Investigations:</w:t>
      </w:r>
    </w:p>
    <w:p>
      <w:pPr>
        <w:spacing w:after="0" w:line="60" w:lineRule="exact"/>
        <w:rPr>
          <w:sz w:val="20"/>
          <w:szCs w:val="20"/>
          <w:color w:val="auto"/>
        </w:rPr>
      </w:pPr>
    </w:p>
    <w:p>
      <w:pPr>
        <w:ind w:right="40" w:firstLine="459"/>
        <w:spacing w:after="0" w:line="368" w:lineRule="auto"/>
        <w:rPr>
          <w:sz w:val="20"/>
          <w:szCs w:val="20"/>
          <w:color w:val="auto"/>
        </w:rPr>
      </w:pPr>
      <w:r>
        <w:rPr>
          <w:rFonts w:ascii="Arial" w:cs="Arial" w:eastAsia="Arial" w:hAnsi="Arial"/>
          <w:sz w:val="9"/>
          <w:szCs w:val="9"/>
          <w:color w:val="auto"/>
        </w:rPr>
        <w:t>On February 8, 2012, following the initiation of Mr. Okada’s books and records action (described above) regarding Wynn Macau’s donation to the University of Macau Development Foundation, the Company received a letter from the Salt Lake Regional Office of the SEC (the “Office”) requesting that, in connection with an informal inquiry by the SEC, the Company preserve information relating to the donation to the University of Macau, any donations by the Company to any other educational charitable institutions, including the University of Macau Development Foundation, and the Company’s casino or concession gaming licenses or renewals in Macau. The Company fully cooperated with the Salt Lake Regional Office staff. On July 2, 2013, the Company received a letter from the Office stating that the investigation had been completed with the Office not intending to recommend any enforcement action against the Company by the SEC.</w:t>
      </w:r>
    </w:p>
    <w:p>
      <w:pPr>
        <w:spacing w:after="0" w:line="50" w:lineRule="exact"/>
        <w:rPr>
          <w:sz w:val="20"/>
          <w:szCs w:val="20"/>
          <w:color w:val="auto"/>
        </w:rPr>
      </w:pPr>
    </w:p>
    <w:p>
      <w:pPr>
        <w:ind w:right="180" w:firstLine="459"/>
        <w:spacing w:after="0" w:line="268" w:lineRule="auto"/>
        <w:rPr>
          <w:sz w:val="20"/>
          <w:szCs w:val="20"/>
          <w:color w:val="auto"/>
        </w:rPr>
      </w:pPr>
      <w:r>
        <w:rPr>
          <w:rFonts w:ascii="Arial" w:cs="Arial" w:eastAsia="Arial" w:hAnsi="Arial"/>
          <w:sz w:val="12"/>
          <w:szCs w:val="12"/>
          <w:color w:val="auto"/>
        </w:rPr>
        <w:t>In February 2013, the Nevada Gaming Control Board informed the Company that it had completed an investigation of allegations made by Mr. Okada against the Company regarding the activities of Mr. Wynn and related entities in Macau and found no violations of the Gaming Control Act or the Nevada Gaming Commission Regulations.</w:t>
      </w:r>
    </w:p>
    <w:p>
      <w:pPr>
        <w:spacing w:after="0" w:line="88" w:lineRule="exact"/>
        <w:rPr>
          <w:sz w:val="20"/>
          <w:szCs w:val="20"/>
          <w:color w:val="auto"/>
        </w:rPr>
      </w:pPr>
    </w:p>
    <w:p>
      <w:pPr>
        <w:ind w:firstLine="459"/>
        <w:spacing w:after="0" w:line="259" w:lineRule="auto"/>
        <w:rPr>
          <w:sz w:val="20"/>
          <w:szCs w:val="20"/>
          <w:color w:val="auto"/>
        </w:rPr>
      </w:pPr>
      <w:r>
        <w:rPr>
          <w:rFonts w:ascii="Arial" w:cs="Arial" w:eastAsia="Arial" w:hAnsi="Arial"/>
          <w:sz w:val="12"/>
          <w:szCs w:val="12"/>
          <w:color w:val="auto"/>
        </w:rPr>
        <w:t>In the U.S. Department of Justice’s Motion to Intervene and for Temporary and Partial Stay of Discovery in the Redemption Action, the Department of Justice states in a footnote that the government also has been conducting a criminal investigation into the Company’s donation to the University of Macau discussed above. The Company has not received any target letter or subpoena in connection with such an investigation. The Company intends to cooperate fully with the government in response to any inquiry related to the donation to the University of Macau.</w:t>
      </w:r>
    </w:p>
    <w:p>
      <w:pPr>
        <w:spacing w:after="0" w:line="94" w:lineRule="exact"/>
        <w:rPr>
          <w:sz w:val="20"/>
          <w:szCs w:val="20"/>
          <w:color w:val="auto"/>
        </w:rPr>
      </w:pPr>
    </w:p>
    <w:p>
      <w:pPr>
        <w:jc w:val="both"/>
        <w:ind w:right="220" w:firstLine="459"/>
        <w:spacing w:after="0" w:line="259" w:lineRule="auto"/>
        <w:rPr>
          <w:sz w:val="20"/>
          <w:szCs w:val="20"/>
          <w:color w:val="auto"/>
        </w:rPr>
      </w:pPr>
      <w:r>
        <w:rPr>
          <w:rFonts w:ascii="Arial" w:cs="Arial" w:eastAsia="Arial" w:hAnsi="Arial"/>
          <w:sz w:val="12"/>
          <w:szCs w:val="12"/>
          <w:color w:val="auto"/>
        </w:rPr>
        <w:t>Other regulators may pursue separate investigations into the Company’s compliance with applicable laws arising from the allegations in the matters described above and in response to the Counterclaim and other litigation filed by Mr. Okada suggesting improprieties in connection with the Company’s donation to the University of Macau. While the Company believes that it is in full compliance with all applicable laws, any such investigations could result in actions by regulators against the Company.</w:t>
      </w:r>
    </w:p>
    <w:p>
      <w:pPr>
        <w:spacing w:after="0" w:line="148" w:lineRule="exact"/>
        <w:rPr>
          <w:sz w:val="20"/>
          <w:szCs w:val="20"/>
          <w:color w:val="auto"/>
        </w:rPr>
      </w:pPr>
    </w:p>
    <w:p>
      <w:pPr>
        <w:ind w:left="220"/>
        <w:spacing w:after="0"/>
        <w:rPr>
          <w:sz w:val="20"/>
          <w:szCs w:val="20"/>
          <w:color w:val="auto"/>
        </w:rPr>
      </w:pPr>
      <w:r>
        <w:rPr>
          <w:rFonts w:ascii="Arial" w:cs="Arial" w:eastAsia="Arial" w:hAnsi="Arial"/>
          <w:sz w:val="12"/>
          <w:szCs w:val="12"/>
          <w:u w:val="single" w:color="auto"/>
          <w:color w:val="auto"/>
        </w:rPr>
        <w:t>Derivative Claims:</w:t>
      </w:r>
    </w:p>
    <w:p>
      <w:pPr>
        <w:spacing w:after="0" w:line="60" w:lineRule="exact"/>
        <w:rPr>
          <w:sz w:val="20"/>
          <w:szCs w:val="20"/>
          <w:color w:val="auto"/>
        </w:rPr>
      </w:pPr>
    </w:p>
    <w:p>
      <w:pPr>
        <w:ind w:left="460"/>
        <w:spacing w:after="0"/>
        <w:rPr>
          <w:sz w:val="20"/>
          <w:szCs w:val="20"/>
          <w:color w:val="auto"/>
        </w:rPr>
      </w:pPr>
      <w:r>
        <w:rPr>
          <w:rFonts w:ascii="Arial" w:cs="Arial" w:eastAsia="Arial" w:hAnsi="Arial"/>
          <w:sz w:val="11"/>
          <w:szCs w:val="11"/>
          <w:color w:val="auto"/>
        </w:rPr>
        <w:t>Six derivative actions were commenced against the Company and all members of its Board of Directors: four in the United States District Court, District of Nevada, and two in the Eighth Judicial District Court of Clark County,</w:t>
      </w:r>
    </w:p>
    <w:p>
      <w:pPr>
        <w:spacing w:after="0" w:line="22" w:lineRule="exact"/>
        <w:rPr>
          <w:sz w:val="20"/>
          <w:szCs w:val="20"/>
          <w:color w:val="auto"/>
        </w:rPr>
      </w:pPr>
    </w:p>
    <w:p>
      <w:pPr>
        <w:spacing w:after="0"/>
        <w:rPr>
          <w:sz w:val="20"/>
          <w:szCs w:val="20"/>
          <w:color w:val="auto"/>
        </w:rPr>
      </w:pPr>
      <w:r>
        <w:rPr>
          <w:rFonts w:ascii="Arial" w:cs="Arial" w:eastAsia="Arial" w:hAnsi="Arial"/>
          <w:sz w:val="12"/>
          <w:szCs w:val="12"/>
          <w:color w:val="auto"/>
        </w:rPr>
        <w:t>Nevada.</w:t>
      </w:r>
    </w:p>
    <w:p>
      <w:pPr>
        <w:spacing w:after="0" w:line="110" w:lineRule="exact"/>
        <w:rPr>
          <w:sz w:val="20"/>
          <w:szCs w:val="20"/>
          <w:color w:val="auto"/>
        </w:rPr>
      </w:pPr>
    </w:p>
    <w:p>
      <w:pPr>
        <w:ind w:right="420" w:firstLine="459"/>
        <w:spacing w:after="0" w:line="268" w:lineRule="auto"/>
        <w:rPr>
          <w:sz w:val="20"/>
          <w:szCs w:val="20"/>
          <w:color w:val="auto"/>
        </w:rPr>
      </w:pPr>
      <w:r>
        <w:rPr>
          <w:rFonts w:ascii="Arial" w:cs="Arial" w:eastAsia="Arial" w:hAnsi="Arial"/>
          <w:sz w:val="12"/>
          <w:szCs w:val="12"/>
          <w:color w:val="auto"/>
        </w:rPr>
        <w:t>The four federal actions brought by the following plaintiffs have been consolidated: (1) The Louisiana Municipal Police Employees’ Retirement System, (2) Maryanne Solak, (3) Excavators Union Local 731 Welfare Fund, and (4) Boilermakers Lodge No. 154 Retirement Fund (collectively, the “Federal Plaintiffs”).</w:t>
      </w:r>
    </w:p>
    <w:p>
      <w:pPr>
        <w:spacing w:after="0" w:line="88" w:lineRule="exact"/>
        <w:rPr>
          <w:sz w:val="20"/>
          <w:szCs w:val="20"/>
          <w:color w:val="auto"/>
        </w:rPr>
      </w:pPr>
    </w:p>
    <w:p>
      <w:pPr>
        <w:ind w:right="180" w:firstLine="459"/>
        <w:spacing w:after="0" w:line="294" w:lineRule="auto"/>
        <w:rPr>
          <w:sz w:val="20"/>
          <w:szCs w:val="20"/>
          <w:color w:val="auto"/>
        </w:rPr>
      </w:pPr>
      <w:r>
        <w:rPr>
          <w:rFonts w:ascii="Arial" w:cs="Arial" w:eastAsia="Arial" w:hAnsi="Arial"/>
          <w:sz w:val="11"/>
          <w:szCs w:val="11"/>
          <w:color w:val="auto"/>
        </w:rPr>
        <w:t>The Federal Plaintiffs filed a consolidated complaint on August 6, 2012, asserting claims for: (1) breach of fiduciary duty; (2) waste of corporate assets; (3) injunctive relief; and (4) unjust enrichment. The claims are against the Company and all Company directors, including Mr. Okada, however, the plaintiffs voluntarily dismissed Mr. Okada as a defendant in this consolidated action on September 27, 2012. The Federal Plaintiffs claim that the individual defendants breached their fiduciary duties and wasted assets by: (a) failing to ensure the Company’s officers and directors complied with federal and state laws and the Company’s Code of Conduct;</w:t>
      </w:r>
    </w:p>
    <w:p>
      <w:pPr>
        <w:spacing w:after="0" w:line="67"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28</w:t>
      </w:r>
    </w:p>
    <w:p>
      <w:pPr>
        <w:sectPr>
          <w:pgSz w:w="11900" w:h="16838" w:orient="portrait"/>
          <w:cols w:equalWidth="0" w:num="1">
            <w:col w:w="11460"/>
          </w:cols>
          <w:pgMar w:left="220" w:top="354" w:right="219" w:bottom="1440" w:gutter="0" w:footer="0" w:header="0"/>
        </w:sectPr>
      </w:pPr>
    </w:p>
    <w:bookmarkStart w:id="28" w:name="page29"/>
    <w:bookmarkEnd w:id="28"/>
    <w:p>
      <w:pPr>
        <w:ind w:left="8"/>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121920</wp:posOffset>
            </wp:positionH>
            <wp:positionV relativeFrom="page">
              <wp:posOffset>88900</wp:posOffset>
            </wp:positionV>
            <wp:extent cx="7329170" cy="298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329170" cy="29845"/>
                    </a:xfrm>
                    <a:prstGeom prst="rect">
                      <a:avLst/>
                    </a:prstGeom>
                    <a:noFill/>
                  </pic:spPr>
                </pic:pic>
              </a:graphicData>
            </a:graphic>
          </wp:anchor>
        </w:drawing>
      </w:r>
      <w:hyperlink w:anchor="page2">
        <w:r>
          <w:rPr>
            <w:rFonts w:ascii="Arial" w:cs="Arial" w:eastAsia="Arial" w:hAnsi="Arial"/>
            <w:sz w:val="12"/>
            <w:szCs w:val="12"/>
            <w:b w:val="1"/>
            <w:bCs w:val="1"/>
            <w:u w:val="single" w:color="auto"/>
            <w:color w:val="0000EE"/>
          </w:rPr>
          <w:t>Table of Contents</w:t>
        </w:r>
      </w:hyperlink>
    </w:p>
    <w:p>
      <w:pPr>
        <w:spacing w:after="0" w:line="209" w:lineRule="exact"/>
        <w:rPr>
          <w:sz w:val="20"/>
          <w:szCs w:val="20"/>
          <w:color w:val="auto"/>
        </w:rPr>
      </w:pPr>
    </w:p>
    <w:p>
      <w:pPr>
        <w:ind w:left="8" w:right="60" w:hanging="8"/>
        <w:spacing w:after="0" w:line="254" w:lineRule="auto"/>
        <w:tabs>
          <w:tab w:leader="none" w:pos="174" w:val="left"/>
        </w:tabs>
        <w:numPr>
          <w:ilvl w:val="0"/>
          <w:numId w:val="13"/>
        </w:numPr>
        <w:rPr>
          <w:rFonts w:ascii="Arial" w:cs="Arial" w:eastAsia="Arial" w:hAnsi="Arial"/>
          <w:sz w:val="12"/>
          <w:szCs w:val="12"/>
          <w:color w:val="auto"/>
        </w:rPr>
      </w:pPr>
      <w:r>
        <w:rPr>
          <w:rFonts w:ascii="Arial" w:cs="Arial" w:eastAsia="Arial" w:hAnsi="Arial"/>
          <w:sz w:val="12"/>
          <w:szCs w:val="12"/>
          <w:color w:val="auto"/>
        </w:rPr>
        <w:t>voting to allow the Company’s subsidiary to make the donation to the University of Macau; and (c) redeeming Aruze USA, Inc.’s stock such that the Company incurs the debt associated with the redemption. The Federal Plaintiffs seek unspecified compensatory damages, restitution in the form of disgorgement, reformation of corporate governance procedures, an injunction against all future payments related to the donation/pledge, and all fees (attorneys, accountants, and experts) and costs. The directors responded to the consolidated complaint by filing a motion to dismiss on September 14, 2012. On February 1, 2013, the federal court dismissed the complaint for failure to plead adequately the futility of a pre-suit demand on the Board. The dismissal was without prejudice to the Federal Plaintiffs’ ability to file a motion within 30 days seeking leave to file an amended complaint. On April 9, 2013, the Federal Plaintiff’s filed their amended complaint. The Company and the directors filed their motion to dismiss on May 23, 2013. The Federal Plaintiffs filed their opposition on July 8, 2013, and the Company and directors filed their reply on August 8, 2013. The court has not yet ruled on this motion.</w:t>
      </w:r>
    </w:p>
    <w:p>
      <w:pPr>
        <w:spacing w:after="0" w:line="97" w:lineRule="exact"/>
        <w:rPr>
          <w:sz w:val="20"/>
          <w:szCs w:val="20"/>
          <w:color w:val="auto"/>
        </w:rPr>
      </w:pPr>
    </w:p>
    <w:p>
      <w:pPr>
        <w:ind w:left="8" w:right="40" w:firstLine="459"/>
        <w:spacing w:after="0" w:line="278" w:lineRule="auto"/>
        <w:rPr>
          <w:sz w:val="20"/>
          <w:szCs w:val="20"/>
          <w:color w:val="auto"/>
        </w:rPr>
      </w:pPr>
      <w:r>
        <w:rPr>
          <w:rFonts w:ascii="Arial" w:cs="Arial" w:eastAsia="Arial" w:hAnsi="Arial"/>
          <w:sz w:val="11"/>
          <w:szCs w:val="11"/>
          <w:color w:val="auto"/>
        </w:rPr>
        <w:t>The two state court actions brought by the following plaintiffs have also been consolidated: (1) IBEW Local 98 Pension Fund and (2) Danny Hinson (collectively, the “State Plaintiffs”). Through a coordination of efforts by all parties, the directors and the Company (a nominal defendant) have been served in all of the actions. The State Plaintiffs filed a consolidated complaint on July 20, 2012 asserting claims for (1) breach of fiduciary duty; (2) abuse of control; (3) gross mismanagement; and (4) unjust enrichment. The claims are against the Company and all Company directors, including Mr. Okada, as well as the Company’s Chief Financial Officer, who signs financial disclosures filed with the SEC. The State Plaintiffs claim that the individual defendants failed to disclose to the Company’s stockholders the investigation into, and the dispute with director Okada as well as the alleged potential violations of the FCPA related to, the University of Macau Development Foundation donation. The State Plaintiffs seek unspecified monetary damages (compensatory and punitive), disgorgement, reformation of corporate governance procedures, an order directing the Company to internally investigate the donation, as well as attorneys’ fees and costs. On October 13, 2012, the court entered the parties’ stipulation providing for a stay of the state derivative action for 90 days, subject to the parties’ obligation to monitor the progress of the pending litigation, discussed above, between Wynn Resorts (among others) and Mr. Okada (among others). Per the stipulation, Wynn Resorts and the individual defendants were not required to respond to the consolidated complaint while the stay remained in effect. Following the expiration of the stay, the State plaintiffs advised the Company and the individual defendants that they intended to resume the action by filing an amended complaint, which they did, on April 26, 2013. The Company and directors filed their motion to dismiss on June 10, 2013. However, on July 31, 2013, the parties agreed to a stipulation that was submitted to, and approved by the court. The stipulation contemplates a stay of the consolidated state court derivative action of equal duration as the Stay entered by the court in the Redemption Action.</w:t>
      </w:r>
    </w:p>
    <w:p>
      <w:pPr>
        <w:spacing w:after="0" w:line="84" w:lineRule="exact"/>
        <w:rPr>
          <w:sz w:val="20"/>
          <w:szCs w:val="20"/>
          <w:color w:val="auto"/>
        </w:rPr>
      </w:pPr>
    </w:p>
    <w:p>
      <w:pPr>
        <w:ind w:left="468"/>
        <w:spacing w:after="0"/>
        <w:rPr>
          <w:sz w:val="20"/>
          <w:szCs w:val="20"/>
          <w:color w:val="auto"/>
        </w:rPr>
      </w:pPr>
      <w:r>
        <w:rPr>
          <w:rFonts w:ascii="Arial" w:cs="Arial" w:eastAsia="Arial" w:hAnsi="Arial"/>
          <w:sz w:val="12"/>
          <w:szCs w:val="12"/>
          <w:color w:val="auto"/>
        </w:rPr>
        <w:t>The individual defendants are vigorously defending against the claims pleaded against them in these derivative actions. We are unable to predict the outcome of these litigations at this time.</w:t>
      </w:r>
    </w:p>
    <w:p>
      <w:pPr>
        <w:spacing w:after="0" w:line="193" w:lineRule="exact"/>
        <w:rPr>
          <w:sz w:val="20"/>
          <w:szCs w:val="20"/>
          <w:color w:val="auto"/>
        </w:rPr>
      </w:pPr>
    </w:p>
    <w:p>
      <w:pPr>
        <w:ind w:left="8"/>
        <w:spacing w:after="0"/>
        <w:rPr>
          <w:sz w:val="20"/>
          <w:szCs w:val="20"/>
          <w:color w:val="auto"/>
        </w:rPr>
      </w:pPr>
      <w:r>
        <w:rPr>
          <w:rFonts w:ascii="Arial" w:cs="Arial" w:eastAsia="Arial" w:hAnsi="Arial"/>
          <w:sz w:val="12"/>
          <w:szCs w:val="12"/>
          <w:b w:val="1"/>
          <w:bCs w:val="1"/>
          <w:color w:val="auto"/>
        </w:rPr>
        <w:t>16. Income Taxes</w:t>
      </w:r>
    </w:p>
    <w:p>
      <w:pPr>
        <w:spacing w:after="0" w:line="62" w:lineRule="exact"/>
        <w:rPr>
          <w:sz w:val="20"/>
          <w:szCs w:val="20"/>
          <w:color w:val="auto"/>
        </w:rPr>
      </w:pPr>
    </w:p>
    <w:p>
      <w:pPr>
        <w:ind w:left="8" w:firstLine="459"/>
        <w:spacing w:after="0" w:line="281" w:lineRule="auto"/>
        <w:rPr>
          <w:sz w:val="20"/>
          <w:szCs w:val="20"/>
          <w:color w:val="auto"/>
        </w:rPr>
      </w:pPr>
      <w:r>
        <w:rPr>
          <w:rFonts w:ascii="Arial" w:cs="Arial" w:eastAsia="Arial" w:hAnsi="Arial"/>
          <w:sz w:val="11"/>
          <w:szCs w:val="11"/>
          <w:color w:val="auto"/>
        </w:rPr>
        <w:t>For the three months ended September 30, 2013 and 2012, the Company recorded a tax benefit of $7.3 million and $7.6 million, respectively. For the nine months ended September 30, 2013 and 2012, the Company recorded a tax benefit of $11.3 million and $12.5 million, respectively. The Company’s income tax benefit in each period is primarily related to a decrease in deferred tax liabilities reduced by foreign taxes assessable on the dividends of Wynn Macau, S.A. and foreign tax provisions related to international marketing offices. Since June 30, 2010, the Company no longer considers its portion of the tax earnings and profits of Wynn Macau, Limited to be permanently invested. No additional U.S. tax provision has been made with respect to amounts not considered permanently invested as the Company anticipates that U.S. foreign tax credits should be sufficient to eliminate any U.S. tax provision relating to such repatriation. The Company has not provided deferred U.S. income taxes or foreign withholding taxes on temporary differences as these amounts are permanently reinvested. For the nine months ended September 30, 2013 and 2012, the Company recognized income tax benefits related to excess tax deductions associated with stock compensation costs of $10.8 million and $1.8 million, respectively.</w:t>
      </w:r>
    </w:p>
    <w:p>
      <w:pPr>
        <w:spacing w:after="0" w:line="75" w:lineRule="exact"/>
        <w:rPr>
          <w:sz w:val="20"/>
          <w:szCs w:val="20"/>
          <w:color w:val="auto"/>
        </w:rPr>
      </w:pPr>
    </w:p>
    <w:p>
      <w:pPr>
        <w:jc w:val="center"/>
        <w:ind w:right="-27"/>
        <w:spacing w:after="0"/>
        <w:rPr>
          <w:sz w:val="20"/>
          <w:szCs w:val="20"/>
          <w:color w:val="auto"/>
        </w:rPr>
      </w:pPr>
      <w:r>
        <w:rPr>
          <w:rFonts w:ascii="Arial" w:cs="Arial" w:eastAsia="Arial" w:hAnsi="Arial"/>
          <w:sz w:val="12"/>
          <w:szCs w:val="12"/>
          <w:color w:val="auto"/>
        </w:rPr>
        <w:t>29</w:t>
      </w:r>
    </w:p>
    <w:p>
      <w:pPr>
        <w:sectPr>
          <w:pgSz w:w="11900" w:h="16838" w:orient="portrait"/>
          <w:cols w:equalWidth="0" w:num="1">
            <w:col w:w="11448"/>
          </w:cols>
          <w:pgMar w:left="212" w:top="354" w:right="239" w:bottom="1440" w:gutter="0" w:footer="0" w:header="0"/>
        </w:sectPr>
      </w:pPr>
    </w:p>
    <w:bookmarkStart w:id="29" w:name="page30"/>
    <w:bookmarkEnd w:id="29"/>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121920</wp:posOffset>
            </wp:positionH>
            <wp:positionV relativeFrom="page">
              <wp:posOffset>88900</wp:posOffset>
            </wp:positionV>
            <wp:extent cx="7329170" cy="298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329170" cy="29845"/>
                    </a:xfrm>
                    <a:prstGeom prst="rect">
                      <a:avLst/>
                    </a:prstGeom>
                    <a:noFill/>
                  </pic:spPr>
                </pic:pic>
              </a:graphicData>
            </a:graphic>
          </wp:anchor>
        </w:drawing>
      </w:r>
      <w:hyperlink w:anchor="page2">
        <w:r>
          <w:rPr>
            <w:rFonts w:ascii="Arial" w:cs="Arial" w:eastAsia="Arial" w:hAnsi="Arial"/>
            <w:sz w:val="12"/>
            <w:szCs w:val="12"/>
            <w:b w:val="1"/>
            <w:bCs w:val="1"/>
            <w:u w:val="single" w:color="auto"/>
            <w:color w:val="0000EE"/>
          </w:rPr>
          <w:t>Table of Contents</w:t>
        </w:r>
      </w:hyperlink>
    </w:p>
    <w:p>
      <w:pPr>
        <w:spacing w:after="0" w:line="209" w:lineRule="exact"/>
        <w:rPr>
          <w:sz w:val="20"/>
          <w:szCs w:val="20"/>
          <w:color w:val="auto"/>
        </w:rPr>
      </w:pPr>
    </w:p>
    <w:p>
      <w:pPr>
        <w:ind w:right="40" w:firstLine="459"/>
        <w:spacing w:after="0" w:line="256" w:lineRule="auto"/>
        <w:rPr>
          <w:sz w:val="20"/>
          <w:szCs w:val="20"/>
          <w:color w:val="auto"/>
        </w:rPr>
      </w:pPr>
      <w:r>
        <w:rPr>
          <w:rFonts w:ascii="Arial" w:cs="Arial" w:eastAsia="Arial" w:hAnsi="Arial"/>
          <w:sz w:val="12"/>
          <w:szCs w:val="12"/>
          <w:color w:val="auto"/>
        </w:rPr>
        <w:t>Wynn Macau, S.A. has received a 5-year exemption from Macau’s 12% Complementary Tax on casino gaming profits through December 31, 2015. Accordingly, the Company was exempted from the payment of $26 million and $20.3 million in such taxes during each of the three months ended September 30, 2013 and 2012. For the nine months ended September 30, 2013 and 2012, the Company was exempted from the payment of such taxes totaling $76.7 million and $66.9 million, respectively. The Company’s non-gaming profits remain subject to the Macau Complementary Tax and casino winnings remain subject to the Macau Special Gaming tax and other levies together totaling 39% in accordance with its concession agreement.</w:t>
      </w:r>
    </w:p>
    <w:p>
      <w:pPr>
        <w:spacing w:after="0" w:line="96" w:lineRule="exact"/>
        <w:rPr>
          <w:sz w:val="20"/>
          <w:szCs w:val="20"/>
          <w:color w:val="auto"/>
        </w:rPr>
      </w:pPr>
    </w:p>
    <w:p>
      <w:pPr>
        <w:jc w:val="both"/>
        <w:ind w:right="80" w:firstLine="459"/>
        <w:spacing w:after="0" w:line="256" w:lineRule="auto"/>
        <w:rPr>
          <w:sz w:val="20"/>
          <w:szCs w:val="20"/>
          <w:color w:val="auto"/>
        </w:rPr>
      </w:pPr>
      <w:r>
        <w:rPr>
          <w:rFonts w:ascii="Arial" w:cs="Arial" w:eastAsia="Arial" w:hAnsi="Arial"/>
          <w:sz w:val="12"/>
          <w:szCs w:val="12"/>
          <w:color w:val="auto"/>
        </w:rPr>
        <w:t>In February 2013, the Company received notification that it had been accepted into the Internal Revenue Service (“IRS”) Compliance Assurance Program (“CAP”), which accelerates IRS examination of key transactions with the goal of resolving any issues before the taxpayer files its return, for the 2013 tax year. In March 2013, the Company received additional notification that it had been selected for the Compliance Maintenance phase of CAP for the 2013 tax year. In the Compliance Maintenance phase, the IRS, at its discretion, may reduce the level of review of the taxpayer’s tax positions based on the complexity and number of issues, and the taxpayer’s history of compliance, cooperation and transparency in the CAP.</w:t>
      </w:r>
    </w:p>
    <w:p>
      <w:pPr>
        <w:spacing w:after="0" w:line="96" w:lineRule="exact"/>
        <w:rPr>
          <w:sz w:val="20"/>
          <w:szCs w:val="20"/>
          <w:color w:val="auto"/>
        </w:rPr>
      </w:pPr>
    </w:p>
    <w:p>
      <w:pPr>
        <w:ind w:firstLine="459"/>
        <w:spacing w:after="0" w:line="268" w:lineRule="auto"/>
        <w:rPr>
          <w:sz w:val="20"/>
          <w:szCs w:val="20"/>
          <w:color w:val="auto"/>
        </w:rPr>
      </w:pPr>
      <w:r>
        <w:rPr>
          <w:rFonts w:ascii="Arial" w:cs="Arial" w:eastAsia="Arial" w:hAnsi="Arial"/>
          <w:sz w:val="12"/>
          <w:szCs w:val="12"/>
          <w:color w:val="auto"/>
        </w:rPr>
        <w:t>In January 2013, the Financial Services Bureau of the Government of the Macau Special Administrative Region (the “Financial Services Bureau”) examined the 2009 and 2010 Macau income tax returns of Palo, which is a co-holder of the land concession for Wynn Palace. The exam resulted in no change to the tax returns.</w:t>
      </w:r>
    </w:p>
    <w:p>
      <w:pPr>
        <w:spacing w:after="0" w:line="88" w:lineRule="exact"/>
        <w:rPr>
          <w:sz w:val="20"/>
          <w:szCs w:val="20"/>
          <w:color w:val="auto"/>
        </w:rPr>
      </w:pPr>
    </w:p>
    <w:p>
      <w:pPr>
        <w:ind w:right="40" w:firstLine="459"/>
        <w:spacing w:after="0" w:line="268" w:lineRule="auto"/>
        <w:rPr>
          <w:sz w:val="20"/>
          <w:szCs w:val="20"/>
          <w:color w:val="auto"/>
        </w:rPr>
      </w:pPr>
      <w:r>
        <w:rPr>
          <w:rFonts w:ascii="Arial" w:cs="Arial" w:eastAsia="Arial" w:hAnsi="Arial"/>
          <w:sz w:val="12"/>
          <w:szCs w:val="12"/>
          <w:color w:val="auto"/>
        </w:rPr>
        <w:t>In March 2013, the Financial Services Bureau commenced an examination of the 2009, 2010, and 2011 Macau income tax returns of Wynn Macau, S.A. Since the examination is in its initial stages, the Company is unable to determine if it will conclude within the next 12 months. The Company believes that its liability for uncertain tax positions is adequate with respect to these years.</w:t>
      </w:r>
    </w:p>
    <w:p>
      <w:pPr>
        <w:spacing w:after="0" w:line="88" w:lineRule="exact"/>
        <w:rPr>
          <w:sz w:val="20"/>
          <w:szCs w:val="20"/>
          <w:color w:val="auto"/>
        </w:rPr>
      </w:pPr>
    </w:p>
    <w:p>
      <w:pPr>
        <w:ind w:left="460"/>
        <w:spacing w:after="0"/>
        <w:rPr>
          <w:sz w:val="20"/>
          <w:szCs w:val="20"/>
          <w:color w:val="auto"/>
        </w:rPr>
      </w:pPr>
      <w:r>
        <w:rPr>
          <w:rFonts w:ascii="Arial" w:cs="Arial" w:eastAsia="Arial" w:hAnsi="Arial"/>
          <w:sz w:val="12"/>
          <w:szCs w:val="12"/>
          <w:color w:val="auto"/>
        </w:rPr>
        <w:t>In May 2013, the Company received notification that the IRS completed its examination of the Company’s 2011 U.S. income tax return and had no changes.</w:t>
      </w:r>
    </w:p>
    <w:p>
      <w:pPr>
        <w:spacing w:after="0" w:line="193"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17. Segment Information</w:t>
      </w:r>
    </w:p>
    <w:p>
      <w:pPr>
        <w:spacing w:after="0" w:line="62" w:lineRule="exact"/>
        <w:rPr>
          <w:sz w:val="20"/>
          <w:szCs w:val="20"/>
          <w:color w:val="auto"/>
        </w:rPr>
      </w:pPr>
    </w:p>
    <w:p>
      <w:pPr>
        <w:ind w:left="460"/>
        <w:spacing w:after="0"/>
        <w:rPr>
          <w:sz w:val="20"/>
          <w:szCs w:val="20"/>
          <w:color w:val="auto"/>
        </w:rPr>
      </w:pPr>
      <w:r>
        <w:rPr>
          <w:rFonts w:ascii="Arial" w:cs="Arial" w:eastAsia="Arial" w:hAnsi="Arial"/>
          <w:sz w:val="9"/>
          <w:szCs w:val="9"/>
          <w:color w:val="auto"/>
        </w:rPr>
        <w:t>The Company monitors its operations and evaluates earnings by reviewing the assets and operations of its Macau Operations and its Las Vegas Operations. The Company’s total assets by segment are as follows (amounts in thousands):</w:t>
      </w:r>
    </w:p>
    <w:p>
      <w:pPr>
        <w:spacing w:after="0" w:line="168" w:lineRule="exact"/>
        <w:rPr>
          <w:sz w:val="20"/>
          <w:szCs w:val="20"/>
          <w:color w:val="auto"/>
        </w:rPr>
      </w:pPr>
    </w:p>
    <w:tbl>
      <w:tblPr>
        <w:tblLayout w:type="fixed"/>
        <w:tblInd w:w="1380" w:type="dxa"/>
        <w:tblCellMar>
          <w:top w:w="0" w:type="dxa"/>
          <w:left w:w="0" w:type="dxa"/>
          <w:bottom w:w="0" w:type="dxa"/>
          <w:right w:w="0" w:type="dxa"/>
        </w:tblCellMar>
      </w:tblPr>
      <w:tr>
        <w:trPr>
          <w:trHeight w:val="103"/>
        </w:trPr>
        <w:tc>
          <w:tcPr>
            <w:tcW w:w="2800" w:type="dxa"/>
            <w:vAlign w:val="bottom"/>
          </w:tcPr>
          <w:p>
            <w:pPr>
              <w:spacing w:after="0"/>
              <w:rPr>
                <w:sz w:val="8"/>
                <w:szCs w:val="8"/>
                <w:color w:val="auto"/>
              </w:rPr>
            </w:pPr>
          </w:p>
        </w:tc>
        <w:tc>
          <w:tcPr>
            <w:tcW w:w="3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80" w:type="dxa"/>
            <w:vAlign w:val="bottom"/>
            <w:gridSpan w:val="2"/>
          </w:tcPr>
          <w:p>
            <w:pPr>
              <w:ind w:left="60"/>
              <w:spacing w:after="0"/>
              <w:rPr>
                <w:sz w:val="20"/>
                <w:szCs w:val="20"/>
                <w:color w:val="auto"/>
              </w:rPr>
            </w:pPr>
            <w:r>
              <w:rPr>
                <w:rFonts w:ascii="Arial" w:cs="Arial" w:eastAsia="Arial" w:hAnsi="Arial"/>
                <w:sz w:val="9"/>
                <w:szCs w:val="9"/>
                <w:b w:val="1"/>
                <w:bCs w:val="1"/>
                <w:color w:val="auto"/>
              </w:rPr>
              <w:t>September 30,</w:t>
            </w:r>
          </w:p>
        </w:tc>
        <w:tc>
          <w:tcPr>
            <w:tcW w:w="100" w:type="dxa"/>
            <w:vAlign w:val="bottom"/>
          </w:tcPr>
          <w:p>
            <w:pPr>
              <w:spacing w:after="0"/>
              <w:rPr>
                <w:sz w:val="8"/>
                <w:szCs w:val="8"/>
                <w:color w:val="auto"/>
              </w:rPr>
            </w:pPr>
          </w:p>
        </w:tc>
        <w:tc>
          <w:tcPr>
            <w:tcW w:w="860" w:type="dxa"/>
            <w:vAlign w:val="bottom"/>
            <w:gridSpan w:val="2"/>
          </w:tcPr>
          <w:p>
            <w:pPr>
              <w:jc w:val="center"/>
              <w:ind w:right="220"/>
              <w:spacing w:after="0"/>
              <w:rPr>
                <w:sz w:val="20"/>
                <w:szCs w:val="20"/>
                <w:color w:val="auto"/>
              </w:rPr>
            </w:pPr>
            <w:r>
              <w:rPr>
                <w:rFonts w:ascii="Arial" w:cs="Arial" w:eastAsia="Arial" w:hAnsi="Arial"/>
                <w:sz w:val="9"/>
                <w:szCs w:val="9"/>
                <w:b w:val="1"/>
                <w:bCs w:val="1"/>
                <w:color w:val="auto"/>
                <w:w w:val="88"/>
              </w:rPr>
              <w:t>December 31,</w:t>
            </w:r>
          </w:p>
        </w:tc>
      </w:tr>
      <w:tr>
        <w:trPr>
          <w:trHeight w:val="108"/>
        </w:trPr>
        <w:tc>
          <w:tcPr>
            <w:tcW w:w="2800" w:type="dxa"/>
            <w:vAlign w:val="bottom"/>
            <w:tcBorders>
              <w:bottom w:val="single" w:sz="8" w:color="CCEEFF"/>
            </w:tcBorders>
          </w:tcPr>
          <w:p>
            <w:pPr>
              <w:spacing w:after="0"/>
              <w:rPr>
                <w:sz w:val="9"/>
                <w:szCs w:val="9"/>
                <w:color w:val="auto"/>
              </w:rPr>
            </w:pPr>
          </w:p>
        </w:tc>
        <w:tc>
          <w:tcPr>
            <w:tcW w:w="3380" w:type="dxa"/>
            <w:vAlign w:val="bottom"/>
            <w:tcBorders>
              <w:bottom w:val="single" w:sz="8" w:color="CCEEFF"/>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jc w:val="right"/>
              <w:ind w:right="306"/>
              <w:spacing w:after="0"/>
              <w:rPr>
                <w:sz w:val="20"/>
                <w:szCs w:val="20"/>
                <w:color w:val="auto"/>
              </w:rPr>
            </w:pPr>
            <w:r>
              <w:rPr>
                <w:rFonts w:ascii="Arial" w:cs="Arial" w:eastAsia="Arial" w:hAnsi="Arial"/>
                <w:sz w:val="9"/>
                <w:szCs w:val="9"/>
                <w:b w:val="1"/>
                <w:bCs w:val="1"/>
                <w:color w:val="auto"/>
              </w:rPr>
              <w:t>2013</w:t>
            </w:r>
          </w:p>
        </w:tc>
        <w:tc>
          <w:tcPr>
            <w:tcW w:w="700" w:type="dxa"/>
            <w:vAlign w:val="bottom"/>
            <w:tcBorders>
              <w:bottom w:val="single" w:sz="8" w:color="CCEEFF"/>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40" w:type="dxa"/>
            <w:vAlign w:val="bottom"/>
            <w:tcBorders>
              <w:bottom w:val="single" w:sz="8" w:color="auto"/>
            </w:tcBorders>
          </w:tcPr>
          <w:p>
            <w:pPr>
              <w:jc w:val="right"/>
              <w:ind w:right="266"/>
              <w:spacing w:after="0"/>
              <w:rPr>
                <w:sz w:val="20"/>
                <w:szCs w:val="20"/>
                <w:color w:val="auto"/>
              </w:rPr>
            </w:pPr>
            <w:r>
              <w:rPr>
                <w:rFonts w:ascii="Arial" w:cs="Arial" w:eastAsia="Arial" w:hAnsi="Arial"/>
                <w:sz w:val="9"/>
                <w:szCs w:val="9"/>
                <w:b w:val="1"/>
                <w:bCs w:val="1"/>
                <w:color w:val="auto"/>
              </w:rPr>
              <w:t>2012</w:t>
            </w:r>
          </w:p>
        </w:tc>
        <w:tc>
          <w:tcPr>
            <w:tcW w:w="120" w:type="dxa"/>
            <w:vAlign w:val="bottom"/>
            <w:tcBorders>
              <w:bottom w:val="single" w:sz="8" w:color="CCEEFF"/>
            </w:tcBorders>
          </w:tcPr>
          <w:p>
            <w:pPr>
              <w:spacing w:after="0"/>
              <w:rPr>
                <w:sz w:val="9"/>
                <w:szCs w:val="9"/>
                <w:color w:val="auto"/>
              </w:rPr>
            </w:pPr>
          </w:p>
        </w:tc>
      </w:tr>
      <w:tr>
        <w:trPr>
          <w:trHeight w:val="124"/>
        </w:trPr>
        <w:tc>
          <w:tcPr>
            <w:tcW w:w="2800" w:type="dxa"/>
            <w:vAlign w:val="bottom"/>
            <w:shd w:val="clear" w:color="auto" w:fill="CCEEFF"/>
          </w:tcPr>
          <w:p>
            <w:pPr>
              <w:spacing w:after="0" w:line="124" w:lineRule="exact"/>
              <w:rPr>
                <w:sz w:val="20"/>
                <w:szCs w:val="20"/>
                <w:color w:val="auto"/>
              </w:rPr>
            </w:pPr>
            <w:r>
              <w:rPr>
                <w:rFonts w:ascii="Arial" w:cs="Arial" w:eastAsia="Arial" w:hAnsi="Arial"/>
                <w:sz w:val="12"/>
                <w:szCs w:val="12"/>
                <w:b w:val="1"/>
                <w:bCs w:val="1"/>
                <w:color w:val="auto"/>
              </w:rPr>
              <w:t>Assets</w:t>
            </w:r>
          </w:p>
        </w:tc>
        <w:tc>
          <w:tcPr>
            <w:tcW w:w="33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r>
      <w:tr>
        <w:trPr>
          <w:trHeight w:val="144"/>
        </w:trPr>
        <w:tc>
          <w:tcPr>
            <w:tcW w:w="2800" w:type="dxa"/>
            <w:vAlign w:val="bottom"/>
          </w:tcPr>
          <w:p>
            <w:pPr>
              <w:ind w:left="280"/>
              <w:spacing w:after="0"/>
              <w:rPr>
                <w:sz w:val="20"/>
                <w:szCs w:val="20"/>
                <w:color w:val="auto"/>
              </w:rPr>
            </w:pPr>
            <w:r>
              <w:rPr>
                <w:rFonts w:ascii="Arial" w:cs="Arial" w:eastAsia="Arial" w:hAnsi="Arial"/>
                <w:sz w:val="12"/>
                <w:szCs w:val="12"/>
                <w:color w:val="auto"/>
              </w:rPr>
              <w:t>Macau Operations</w:t>
            </w:r>
          </w:p>
        </w:tc>
        <w:tc>
          <w:tcPr>
            <w:tcW w:w="3480" w:type="dxa"/>
            <w:vAlign w:val="bottom"/>
            <w:gridSpan w:val="2"/>
          </w:tcPr>
          <w:p>
            <w:pPr>
              <w:jc w:val="right"/>
              <w:ind w:right="40"/>
              <w:spacing w:after="0"/>
              <w:rPr>
                <w:sz w:val="20"/>
                <w:szCs w:val="20"/>
                <w:color w:val="auto"/>
              </w:rPr>
            </w:pPr>
            <w:r>
              <w:rPr>
                <w:rFonts w:ascii="Arial" w:cs="Arial" w:eastAsia="Arial" w:hAnsi="Arial"/>
                <w:sz w:val="12"/>
                <w:szCs w:val="12"/>
                <w:color w:val="auto"/>
              </w:rPr>
              <w:t>$</w:t>
            </w:r>
          </w:p>
        </w:tc>
        <w:tc>
          <w:tcPr>
            <w:tcW w:w="1480" w:type="dxa"/>
            <w:vAlign w:val="bottom"/>
            <w:gridSpan w:val="2"/>
          </w:tcPr>
          <w:p>
            <w:pPr>
              <w:jc w:val="right"/>
              <w:ind w:right="700"/>
              <w:spacing w:after="0"/>
              <w:rPr>
                <w:sz w:val="20"/>
                <w:szCs w:val="20"/>
                <w:color w:val="auto"/>
              </w:rPr>
            </w:pPr>
            <w:r>
              <w:rPr>
                <w:rFonts w:ascii="Arial" w:cs="Arial" w:eastAsia="Arial" w:hAnsi="Arial"/>
                <w:sz w:val="12"/>
                <w:szCs w:val="12"/>
                <w:color w:val="auto"/>
              </w:rPr>
              <w:t>3,022,863</w:t>
            </w:r>
          </w:p>
        </w:tc>
        <w:tc>
          <w:tcPr>
            <w:tcW w:w="100" w:type="dxa"/>
            <w:vAlign w:val="bottom"/>
          </w:tcPr>
          <w:p>
            <w:pPr>
              <w:jc w:val="right"/>
              <w:spacing w:after="0"/>
              <w:rPr>
                <w:sz w:val="20"/>
                <w:szCs w:val="20"/>
                <w:color w:val="auto"/>
              </w:rPr>
            </w:pPr>
            <w:r>
              <w:rPr>
                <w:rFonts w:ascii="Arial" w:cs="Arial" w:eastAsia="Arial" w:hAnsi="Arial"/>
                <w:sz w:val="9"/>
                <w:szCs w:val="9"/>
                <w:color w:val="auto"/>
                <w:w w:val="78"/>
              </w:rPr>
              <w:t>$</w:t>
            </w:r>
          </w:p>
        </w:tc>
        <w:tc>
          <w:tcPr>
            <w:tcW w:w="860" w:type="dxa"/>
            <w:vAlign w:val="bottom"/>
            <w:gridSpan w:val="2"/>
          </w:tcPr>
          <w:p>
            <w:pPr>
              <w:jc w:val="right"/>
              <w:ind w:right="120"/>
              <w:spacing w:after="0"/>
              <w:rPr>
                <w:sz w:val="20"/>
                <w:szCs w:val="20"/>
                <w:color w:val="auto"/>
              </w:rPr>
            </w:pPr>
            <w:r>
              <w:rPr>
                <w:rFonts w:ascii="Arial" w:cs="Arial" w:eastAsia="Arial" w:hAnsi="Arial"/>
                <w:sz w:val="12"/>
                <w:szCs w:val="12"/>
                <w:color w:val="auto"/>
              </w:rPr>
              <w:t>3,004,658</w:t>
            </w:r>
          </w:p>
        </w:tc>
      </w:tr>
      <w:tr>
        <w:trPr>
          <w:trHeight w:val="144"/>
        </w:trPr>
        <w:tc>
          <w:tcPr>
            <w:tcW w:w="2800" w:type="dxa"/>
            <w:vAlign w:val="bottom"/>
            <w:shd w:val="clear" w:color="auto" w:fill="CCEEFF"/>
          </w:tcPr>
          <w:p>
            <w:pPr>
              <w:ind w:left="280"/>
              <w:spacing w:after="0"/>
              <w:rPr>
                <w:sz w:val="20"/>
                <w:szCs w:val="20"/>
                <w:color w:val="auto"/>
              </w:rPr>
            </w:pPr>
            <w:r>
              <w:rPr>
                <w:rFonts w:ascii="Arial" w:cs="Arial" w:eastAsia="Arial" w:hAnsi="Arial"/>
                <w:sz w:val="12"/>
                <w:szCs w:val="12"/>
                <w:color w:val="auto"/>
              </w:rPr>
              <w:t>Las Vegas Operations</w:t>
            </w:r>
          </w:p>
        </w:tc>
        <w:tc>
          <w:tcPr>
            <w:tcW w:w="33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80" w:type="dxa"/>
            <w:vAlign w:val="bottom"/>
            <w:gridSpan w:val="2"/>
            <w:shd w:val="clear" w:color="auto" w:fill="CCEEFF"/>
          </w:tcPr>
          <w:p>
            <w:pPr>
              <w:jc w:val="right"/>
              <w:ind w:right="700"/>
              <w:spacing w:after="0"/>
              <w:rPr>
                <w:sz w:val="20"/>
                <w:szCs w:val="20"/>
                <w:color w:val="auto"/>
              </w:rPr>
            </w:pPr>
            <w:r>
              <w:rPr>
                <w:rFonts w:ascii="Arial" w:cs="Arial" w:eastAsia="Arial" w:hAnsi="Arial"/>
                <w:sz w:val="12"/>
                <w:szCs w:val="12"/>
                <w:color w:val="auto"/>
              </w:rPr>
              <w:t>3,824,517</w:t>
            </w:r>
          </w:p>
        </w:tc>
        <w:tc>
          <w:tcPr>
            <w:tcW w:w="10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3,669,881</w:t>
            </w:r>
          </w:p>
        </w:tc>
      </w:tr>
      <w:tr>
        <w:trPr>
          <w:trHeight w:val="144"/>
        </w:trPr>
        <w:tc>
          <w:tcPr>
            <w:tcW w:w="2800" w:type="dxa"/>
            <w:vAlign w:val="bottom"/>
          </w:tcPr>
          <w:p>
            <w:pPr>
              <w:ind w:left="280"/>
              <w:spacing w:after="0"/>
              <w:rPr>
                <w:sz w:val="20"/>
                <w:szCs w:val="20"/>
                <w:color w:val="auto"/>
              </w:rPr>
            </w:pPr>
            <w:r>
              <w:rPr>
                <w:rFonts w:ascii="Arial" w:cs="Arial" w:eastAsia="Arial" w:hAnsi="Arial"/>
                <w:sz w:val="12"/>
                <w:szCs w:val="12"/>
                <w:color w:val="auto"/>
              </w:rPr>
              <w:t>Corporate and other</w:t>
            </w:r>
          </w:p>
        </w:tc>
        <w:tc>
          <w:tcPr>
            <w:tcW w:w="3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jc w:val="right"/>
              <w:spacing w:after="0"/>
              <w:rPr>
                <w:sz w:val="20"/>
                <w:szCs w:val="20"/>
                <w:color w:val="auto"/>
              </w:rPr>
            </w:pPr>
            <w:r>
              <w:rPr>
                <w:rFonts w:ascii="Arial" w:cs="Arial" w:eastAsia="Arial" w:hAnsi="Arial"/>
                <w:sz w:val="12"/>
                <w:szCs w:val="12"/>
                <w:color w:val="auto"/>
              </w:rPr>
              <w:t>1,222,248</w:t>
            </w: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2"/>
                <w:szCs w:val="12"/>
                <w:color w:val="auto"/>
              </w:rPr>
              <w:t>602,055</w:t>
            </w:r>
          </w:p>
        </w:tc>
      </w:tr>
      <w:tr>
        <w:trPr>
          <w:trHeight w:val="20"/>
        </w:trPr>
        <w:tc>
          <w:tcPr>
            <w:tcW w:w="2800" w:type="dxa"/>
            <w:vAlign w:val="bottom"/>
          </w:tcPr>
          <w:p>
            <w:pPr>
              <w:spacing w:after="0" w:line="20" w:lineRule="exact"/>
              <w:rPr>
                <w:sz w:val="1"/>
                <w:szCs w:val="1"/>
                <w:color w:val="auto"/>
              </w:rPr>
            </w:pPr>
          </w:p>
        </w:tc>
        <w:tc>
          <w:tcPr>
            <w:tcW w:w="33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49"/>
        </w:trPr>
        <w:tc>
          <w:tcPr>
            <w:tcW w:w="2800" w:type="dxa"/>
            <w:vAlign w:val="bottom"/>
            <w:shd w:val="clear" w:color="auto" w:fill="CCEEFF"/>
          </w:tcPr>
          <w:p>
            <w:pPr>
              <w:spacing w:after="0"/>
              <w:rPr>
                <w:sz w:val="12"/>
                <w:szCs w:val="12"/>
                <w:color w:val="auto"/>
              </w:rPr>
            </w:pPr>
          </w:p>
        </w:tc>
        <w:tc>
          <w:tcPr>
            <w:tcW w:w="348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w:t>
            </w:r>
          </w:p>
        </w:tc>
        <w:tc>
          <w:tcPr>
            <w:tcW w:w="1480" w:type="dxa"/>
            <w:vAlign w:val="bottom"/>
            <w:gridSpan w:val="2"/>
            <w:shd w:val="clear" w:color="auto" w:fill="CCEEFF"/>
          </w:tcPr>
          <w:p>
            <w:pPr>
              <w:jc w:val="right"/>
              <w:ind w:right="700"/>
              <w:spacing w:after="0"/>
              <w:rPr>
                <w:sz w:val="20"/>
                <w:szCs w:val="20"/>
                <w:color w:val="auto"/>
              </w:rPr>
            </w:pPr>
            <w:r>
              <w:rPr>
                <w:rFonts w:ascii="Arial" w:cs="Arial" w:eastAsia="Arial" w:hAnsi="Arial"/>
                <w:sz w:val="12"/>
                <w:szCs w:val="12"/>
                <w:color w:val="auto"/>
              </w:rPr>
              <w:t>8,069,628</w:t>
            </w:r>
          </w:p>
        </w:tc>
        <w:tc>
          <w:tcPr>
            <w:tcW w:w="100" w:type="dxa"/>
            <w:vAlign w:val="bottom"/>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7,276,594</w:t>
            </w:r>
          </w:p>
        </w:tc>
      </w:tr>
      <w:tr>
        <w:trPr>
          <w:trHeight w:val="250"/>
        </w:trPr>
        <w:tc>
          <w:tcPr>
            <w:tcW w:w="2800" w:type="dxa"/>
            <w:vAlign w:val="bottom"/>
          </w:tcPr>
          <w:p>
            <w:pPr>
              <w:spacing w:after="0"/>
              <w:rPr>
                <w:sz w:val="21"/>
                <w:szCs w:val="21"/>
                <w:color w:val="auto"/>
              </w:rPr>
            </w:pPr>
          </w:p>
        </w:tc>
        <w:tc>
          <w:tcPr>
            <w:tcW w:w="3380" w:type="dxa"/>
            <w:vAlign w:val="bottom"/>
          </w:tcPr>
          <w:p>
            <w:pPr>
              <w:jc w:val="right"/>
              <w:ind w:right="1701"/>
              <w:spacing w:after="0"/>
              <w:rPr>
                <w:sz w:val="20"/>
                <w:szCs w:val="20"/>
                <w:color w:val="auto"/>
              </w:rPr>
            </w:pPr>
            <w:r>
              <w:rPr>
                <w:rFonts w:ascii="Arial" w:cs="Arial" w:eastAsia="Arial" w:hAnsi="Arial"/>
                <w:sz w:val="12"/>
                <w:szCs w:val="12"/>
                <w:color w:val="auto"/>
              </w:rPr>
              <w:t>30</w:t>
            </w:r>
          </w:p>
        </w:tc>
        <w:tc>
          <w:tcPr>
            <w:tcW w:w="100" w:type="dxa"/>
            <w:vAlign w:val="bottom"/>
            <w:tcBorders>
              <w:top w:val="single" w:sz="8" w:color="auto"/>
            </w:tcBorders>
          </w:tcPr>
          <w:p>
            <w:pPr>
              <w:spacing w:after="0"/>
              <w:rPr>
                <w:sz w:val="21"/>
                <w:szCs w:val="21"/>
                <w:color w:val="auto"/>
              </w:rPr>
            </w:pPr>
          </w:p>
        </w:tc>
        <w:tc>
          <w:tcPr>
            <w:tcW w:w="780" w:type="dxa"/>
            <w:vAlign w:val="bottom"/>
            <w:tcBorders>
              <w:top w:val="single" w:sz="8" w:color="auto"/>
            </w:tcBorders>
          </w:tcPr>
          <w:p>
            <w:pPr>
              <w:spacing w:after="0"/>
              <w:rPr>
                <w:sz w:val="21"/>
                <w:szCs w:val="21"/>
                <w:color w:val="auto"/>
              </w:rPr>
            </w:pPr>
          </w:p>
        </w:tc>
        <w:tc>
          <w:tcPr>
            <w:tcW w:w="700" w:type="dxa"/>
            <w:vAlign w:val="bottom"/>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74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r>
    </w:tbl>
    <w:p>
      <w:pPr>
        <w:sectPr>
          <w:pgSz w:w="11900" w:h="16838" w:orient="portrait"/>
          <w:cols w:equalWidth="0" w:num="1">
            <w:col w:w="11440"/>
          </w:cols>
          <w:pgMar w:left="220" w:top="354" w:right="239" w:bottom="1440" w:gutter="0" w:footer="0" w:header="0"/>
        </w:sectPr>
      </w:pPr>
    </w:p>
    <w:bookmarkStart w:id="30" w:name="page31"/>
    <w:bookmarkEnd w:id="30"/>
    <w:p>
      <w:pPr>
        <w:ind w:left="8"/>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121920</wp:posOffset>
            </wp:positionH>
            <wp:positionV relativeFrom="page">
              <wp:posOffset>88900</wp:posOffset>
            </wp:positionV>
            <wp:extent cx="7329170" cy="298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329170" cy="29845"/>
                    </a:xfrm>
                    <a:prstGeom prst="rect">
                      <a:avLst/>
                    </a:prstGeom>
                    <a:noFill/>
                  </pic:spPr>
                </pic:pic>
              </a:graphicData>
            </a:graphic>
          </wp:anchor>
        </w:drawing>
      </w:r>
      <w:hyperlink w:anchor="page2">
        <w:r>
          <w:rPr>
            <w:rFonts w:ascii="Arial" w:cs="Arial" w:eastAsia="Arial" w:hAnsi="Arial"/>
            <w:sz w:val="12"/>
            <w:szCs w:val="12"/>
            <w:b w:val="1"/>
            <w:bCs w:val="1"/>
            <w:u w:val="single" w:color="auto"/>
            <w:color w:val="0000EE"/>
          </w:rPr>
          <w:t>Table of Contents</w:t>
        </w:r>
      </w:hyperlink>
    </w:p>
    <w:p>
      <w:pPr>
        <w:spacing w:after="0" w:line="209" w:lineRule="exact"/>
        <w:rPr>
          <w:sz w:val="20"/>
          <w:szCs w:val="20"/>
          <w:color w:val="auto"/>
        </w:rPr>
      </w:pPr>
    </w:p>
    <w:p>
      <w:pPr>
        <w:ind w:left="468"/>
        <w:spacing w:after="0"/>
        <w:rPr>
          <w:sz w:val="20"/>
          <w:szCs w:val="20"/>
          <w:color w:val="auto"/>
        </w:rPr>
      </w:pPr>
      <w:r>
        <w:rPr>
          <w:rFonts w:ascii="Arial" w:cs="Arial" w:eastAsia="Arial" w:hAnsi="Arial"/>
          <w:sz w:val="12"/>
          <w:szCs w:val="12"/>
          <w:color w:val="auto"/>
        </w:rPr>
        <w:t>The Company’s segment information for its results of operations are as follows (amounts in thousands):</w:t>
      </w:r>
    </w:p>
    <w:p>
      <w:pPr>
        <w:spacing w:after="0" w:line="134" w:lineRule="exact"/>
        <w:rPr>
          <w:sz w:val="20"/>
          <w:szCs w:val="20"/>
          <w:color w:val="auto"/>
        </w:rPr>
      </w:pPr>
    </w:p>
    <w:tbl>
      <w:tblPr>
        <w:tblLayout w:type="fixed"/>
        <w:tblInd w:w="8" w:type="dxa"/>
        <w:tblCellMar>
          <w:top w:w="0" w:type="dxa"/>
          <w:left w:w="0" w:type="dxa"/>
          <w:bottom w:w="0" w:type="dxa"/>
          <w:right w:w="0" w:type="dxa"/>
        </w:tblCellMar>
      </w:tblPr>
      <w:tr>
        <w:trPr>
          <w:trHeight w:val="103"/>
        </w:trPr>
        <w:tc>
          <w:tcPr>
            <w:tcW w:w="4640" w:type="dxa"/>
            <w:vAlign w:val="bottom"/>
          </w:tcPr>
          <w:p>
            <w:pPr>
              <w:spacing w:after="0"/>
              <w:rPr>
                <w:sz w:val="8"/>
                <w:szCs w:val="8"/>
                <w:color w:val="auto"/>
              </w:rPr>
            </w:pPr>
          </w:p>
        </w:tc>
        <w:tc>
          <w:tcPr>
            <w:tcW w:w="21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320" w:type="dxa"/>
            <w:vAlign w:val="bottom"/>
            <w:gridSpan w:val="4"/>
          </w:tcPr>
          <w:p>
            <w:pPr>
              <w:jc w:val="right"/>
              <w:ind w:right="60"/>
              <w:spacing w:after="0"/>
              <w:rPr>
                <w:sz w:val="20"/>
                <w:szCs w:val="20"/>
                <w:color w:val="auto"/>
              </w:rPr>
            </w:pPr>
            <w:r>
              <w:rPr>
                <w:rFonts w:ascii="Arial" w:cs="Arial" w:eastAsia="Arial" w:hAnsi="Arial"/>
                <w:sz w:val="9"/>
                <w:szCs w:val="9"/>
                <w:b w:val="1"/>
                <w:bCs w:val="1"/>
                <w:color w:val="auto"/>
              </w:rPr>
              <w:t>Three Months Ended</w:t>
            </w:r>
          </w:p>
        </w:tc>
        <w:tc>
          <w:tcPr>
            <w:tcW w:w="560" w:type="dxa"/>
            <w:vAlign w:val="bottom"/>
          </w:tcPr>
          <w:p>
            <w:pPr>
              <w:spacing w:after="0"/>
              <w:rPr>
                <w:sz w:val="8"/>
                <w:szCs w:val="8"/>
                <w:color w:val="auto"/>
              </w:rPr>
            </w:pPr>
          </w:p>
        </w:tc>
        <w:tc>
          <w:tcPr>
            <w:tcW w:w="24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0" w:type="dxa"/>
            <w:vAlign w:val="bottom"/>
          </w:tcPr>
          <w:p>
            <w:pPr>
              <w:spacing w:after="0"/>
              <w:rPr>
                <w:sz w:val="8"/>
                <w:szCs w:val="8"/>
                <w:color w:val="auto"/>
              </w:rPr>
            </w:pPr>
          </w:p>
        </w:tc>
        <w:tc>
          <w:tcPr>
            <w:tcW w:w="1320" w:type="dxa"/>
            <w:vAlign w:val="bottom"/>
            <w:gridSpan w:val="4"/>
          </w:tcPr>
          <w:p>
            <w:pPr>
              <w:jc w:val="right"/>
              <w:ind w:right="80"/>
              <w:spacing w:after="0"/>
              <w:rPr>
                <w:sz w:val="20"/>
                <w:szCs w:val="20"/>
                <w:color w:val="auto"/>
              </w:rPr>
            </w:pPr>
            <w:r>
              <w:rPr>
                <w:rFonts w:ascii="Arial" w:cs="Arial" w:eastAsia="Arial" w:hAnsi="Arial"/>
                <w:sz w:val="9"/>
                <w:szCs w:val="9"/>
                <w:b w:val="1"/>
                <w:bCs w:val="1"/>
                <w:color w:val="auto"/>
              </w:rPr>
              <w:t>Nine Months Ended</w:t>
            </w:r>
          </w:p>
        </w:tc>
        <w:tc>
          <w:tcPr>
            <w:tcW w:w="580" w:type="dxa"/>
            <w:vAlign w:val="bottom"/>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8"/>
        </w:trPr>
        <w:tc>
          <w:tcPr>
            <w:tcW w:w="4640" w:type="dxa"/>
            <w:vAlign w:val="bottom"/>
          </w:tcPr>
          <w:p>
            <w:pPr>
              <w:spacing w:after="0"/>
              <w:rPr>
                <w:sz w:val="9"/>
                <w:szCs w:val="9"/>
                <w:color w:val="auto"/>
              </w:rPr>
            </w:pPr>
          </w:p>
        </w:tc>
        <w:tc>
          <w:tcPr>
            <w:tcW w:w="2120" w:type="dxa"/>
            <w:vAlign w:val="bottom"/>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1320" w:type="dxa"/>
            <w:vAlign w:val="bottom"/>
            <w:tcBorders>
              <w:bottom w:val="single" w:sz="8" w:color="auto"/>
            </w:tcBorders>
            <w:gridSpan w:val="4"/>
          </w:tcPr>
          <w:p>
            <w:pPr>
              <w:jc w:val="right"/>
              <w:ind w:right="200"/>
              <w:spacing w:after="0"/>
              <w:rPr>
                <w:sz w:val="20"/>
                <w:szCs w:val="20"/>
                <w:color w:val="auto"/>
              </w:rPr>
            </w:pPr>
            <w:r>
              <w:rPr>
                <w:rFonts w:ascii="Arial" w:cs="Arial" w:eastAsia="Arial" w:hAnsi="Arial"/>
                <w:sz w:val="9"/>
                <w:szCs w:val="9"/>
                <w:b w:val="1"/>
                <w:bCs w:val="1"/>
                <w:color w:val="auto"/>
              </w:rPr>
              <w:t>September 30,</w:t>
            </w:r>
          </w:p>
        </w:tc>
        <w:tc>
          <w:tcPr>
            <w:tcW w:w="560" w:type="dxa"/>
            <w:vAlign w:val="bottom"/>
            <w:tcBorders>
              <w:bottom w:val="single" w:sz="8" w:color="auto"/>
            </w:tcBorders>
          </w:tcPr>
          <w:p>
            <w:pPr>
              <w:spacing w:after="0"/>
              <w:rPr>
                <w:sz w:val="9"/>
                <w:szCs w:val="9"/>
                <w:color w:val="auto"/>
              </w:rPr>
            </w:pPr>
          </w:p>
        </w:tc>
        <w:tc>
          <w:tcPr>
            <w:tcW w:w="240" w:type="dxa"/>
            <w:vAlign w:val="bottom"/>
          </w:tcPr>
          <w:p>
            <w:pPr>
              <w:spacing w:after="0"/>
              <w:rPr>
                <w:sz w:val="9"/>
                <w:szCs w:val="9"/>
                <w:color w:val="auto"/>
              </w:rPr>
            </w:pPr>
          </w:p>
        </w:tc>
        <w:tc>
          <w:tcPr>
            <w:tcW w:w="200" w:type="dxa"/>
            <w:vAlign w:val="bottom"/>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1320" w:type="dxa"/>
            <w:vAlign w:val="bottom"/>
            <w:tcBorders>
              <w:bottom w:val="single" w:sz="8" w:color="auto"/>
            </w:tcBorders>
            <w:gridSpan w:val="4"/>
          </w:tcPr>
          <w:p>
            <w:pPr>
              <w:jc w:val="right"/>
              <w:ind w:right="200"/>
              <w:spacing w:after="0"/>
              <w:rPr>
                <w:sz w:val="20"/>
                <w:szCs w:val="20"/>
                <w:color w:val="auto"/>
              </w:rPr>
            </w:pPr>
            <w:r>
              <w:rPr>
                <w:rFonts w:ascii="Arial" w:cs="Arial" w:eastAsia="Arial" w:hAnsi="Arial"/>
                <w:sz w:val="9"/>
                <w:szCs w:val="9"/>
                <w:b w:val="1"/>
                <w:bCs w:val="1"/>
                <w:color w:val="auto"/>
              </w:rPr>
              <w:t>September 30,</w:t>
            </w:r>
          </w:p>
        </w:tc>
        <w:tc>
          <w:tcPr>
            <w:tcW w:w="580" w:type="dxa"/>
            <w:vAlign w:val="bottom"/>
            <w:tcBorders>
              <w:bottom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88"/>
        </w:trPr>
        <w:tc>
          <w:tcPr>
            <w:tcW w:w="4640" w:type="dxa"/>
            <w:vAlign w:val="bottom"/>
            <w:tcBorders>
              <w:bottom w:val="single" w:sz="8" w:color="CCEEFF"/>
            </w:tcBorders>
          </w:tcPr>
          <w:p>
            <w:pPr>
              <w:spacing w:after="0"/>
              <w:rPr>
                <w:sz w:val="7"/>
                <w:szCs w:val="7"/>
                <w:color w:val="auto"/>
              </w:rPr>
            </w:pPr>
          </w:p>
        </w:tc>
        <w:tc>
          <w:tcPr>
            <w:tcW w:w="2120" w:type="dxa"/>
            <w:vAlign w:val="bottom"/>
            <w:tcBorders>
              <w:bottom w:val="single" w:sz="8" w:color="CCEEFF"/>
            </w:tcBorders>
          </w:tcPr>
          <w:p>
            <w:pPr>
              <w:spacing w:after="0"/>
              <w:rPr>
                <w:sz w:val="7"/>
                <w:szCs w:val="7"/>
                <w:color w:val="auto"/>
              </w:rPr>
            </w:pPr>
          </w:p>
        </w:tc>
        <w:tc>
          <w:tcPr>
            <w:tcW w:w="180" w:type="dxa"/>
            <w:vAlign w:val="bottom"/>
            <w:tcBorders>
              <w:bottom w:val="single" w:sz="8" w:color="auto"/>
            </w:tcBorders>
          </w:tcPr>
          <w:p>
            <w:pPr>
              <w:spacing w:after="0"/>
              <w:rPr>
                <w:sz w:val="7"/>
                <w:szCs w:val="7"/>
                <w:color w:val="auto"/>
              </w:rPr>
            </w:pPr>
          </w:p>
        </w:tc>
        <w:tc>
          <w:tcPr>
            <w:tcW w:w="620" w:type="dxa"/>
            <w:vAlign w:val="bottom"/>
            <w:tcBorders>
              <w:bottom w:val="single" w:sz="8" w:color="auto"/>
            </w:tcBorders>
          </w:tcPr>
          <w:p>
            <w:pPr>
              <w:jc w:val="right"/>
              <w:ind w:right="243"/>
              <w:spacing w:after="0" w:line="88" w:lineRule="exact"/>
              <w:rPr>
                <w:sz w:val="20"/>
                <w:szCs w:val="20"/>
                <w:color w:val="auto"/>
              </w:rPr>
            </w:pPr>
            <w:r>
              <w:rPr>
                <w:rFonts w:ascii="Arial" w:cs="Arial" w:eastAsia="Arial" w:hAnsi="Arial"/>
                <w:sz w:val="9"/>
                <w:szCs w:val="9"/>
                <w:b w:val="1"/>
                <w:bCs w:val="1"/>
                <w:color w:val="auto"/>
              </w:rPr>
              <w:t>2013</w:t>
            </w:r>
          </w:p>
        </w:tc>
        <w:tc>
          <w:tcPr>
            <w:tcW w:w="260" w:type="dxa"/>
            <w:vAlign w:val="bottom"/>
            <w:tcBorders>
              <w:bottom w:val="single" w:sz="8" w:color="CCEEFF"/>
            </w:tcBorders>
          </w:tcPr>
          <w:p>
            <w:pPr>
              <w:spacing w:after="0"/>
              <w:rPr>
                <w:sz w:val="7"/>
                <w:szCs w:val="7"/>
                <w:color w:val="auto"/>
              </w:rPr>
            </w:pPr>
          </w:p>
        </w:tc>
        <w:tc>
          <w:tcPr>
            <w:tcW w:w="200" w:type="dxa"/>
            <w:vAlign w:val="bottom"/>
            <w:tcBorders>
              <w:bottom w:val="single" w:sz="8" w:color="CCEEFF"/>
            </w:tcBorders>
          </w:tcPr>
          <w:p>
            <w:pPr>
              <w:spacing w:after="0"/>
              <w:rPr>
                <w:sz w:val="7"/>
                <w:szCs w:val="7"/>
                <w:color w:val="auto"/>
              </w:rPr>
            </w:pPr>
          </w:p>
        </w:tc>
        <w:tc>
          <w:tcPr>
            <w:tcW w:w="240" w:type="dxa"/>
            <w:vAlign w:val="bottom"/>
            <w:tcBorders>
              <w:bottom w:val="single" w:sz="8" w:color="auto"/>
            </w:tcBorders>
          </w:tcPr>
          <w:p>
            <w:pPr>
              <w:spacing w:after="0"/>
              <w:rPr>
                <w:sz w:val="7"/>
                <w:szCs w:val="7"/>
                <w:color w:val="auto"/>
              </w:rPr>
            </w:pPr>
          </w:p>
        </w:tc>
        <w:tc>
          <w:tcPr>
            <w:tcW w:w="560" w:type="dxa"/>
            <w:vAlign w:val="bottom"/>
            <w:tcBorders>
              <w:bottom w:val="single" w:sz="8" w:color="auto"/>
            </w:tcBorders>
          </w:tcPr>
          <w:p>
            <w:pPr>
              <w:jc w:val="right"/>
              <w:ind w:right="262"/>
              <w:spacing w:after="0" w:line="88" w:lineRule="exact"/>
              <w:rPr>
                <w:sz w:val="20"/>
                <w:szCs w:val="20"/>
                <w:color w:val="auto"/>
              </w:rPr>
            </w:pPr>
            <w:r>
              <w:rPr>
                <w:rFonts w:ascii="Arial" w:cs="Arial" w:eastAsia="Arial" w:hAnsi="Arial"/>
                <w:sz w:val="9"/>
                <w:szCs w:val="9"/>
                <w:b w:val="1"/>
                <w:bCs w:val="1"/>
                <w:color w:val="auto"/>
              </w:rPr>
              <w:t>2012</w:t>
            </w:r>
          </w:p>
        </w:tc>
        <w:tc>
          <w:tcPr>
            <w:tcW w:w="240" w:type="dxa"/>
            <w:vAlign w:val="bottom"/>
            <w:tcBorders>
              <w:bottom w:val="single" w:sz="8" w:color="CCEEFF"/>
            </w:tcBorders>
          </w:tcPr>
          <w:p>
            <w:pPr>
              <w:spacing w:after="0"/>
              <w:rPr>
                <w:sz w:val="7"/>
                <w:szCs w:val="7"/>
                <w:color w:val="auto"/>
              </w:rPr>
            </w:pPr>
          </w:p>
        </w:tc>
        <w:tc>
          <w:tcPr>
            <w:tcW w:w="200" w:type="dxa"/>
            <w:vAlign w:val="bottom"/>
            <w:tcBorders>
              <w:bottom w:val="single" w:sz="8" w:color="CCEEFF"/>
            </w:tcBorders>
          </w:tcPr>
          <w:p>
            <w:pPr>
              <w:spacing w:after="0"/>
              <w:rPr>
                <w:sz w:val="7"/>
                <w:szCs w:val="7"/>
                <w:color w:val="auto"/>
              </w:rPr>
            </w:pPr>
          </w:p>
        </w:tc>
        <w:tc>
          <w:tcPr>
            <w:tcW w:w="200" w:type="dxa"/>
            <w:vAlign w:val="bottom"/>
            <w:tcBorders>
              <w:bottom w:val="single" w:sz="8" w:color="auto"/>
            </w:tcBorders>
          </w:tcPr>
          <w:p>
            <w:pPr>
              <w:spacing w:after="0"/>
              <w:rPr>
                <w:sz w:val="7"/>
                <w:szCs w:val="7"/>
                <w:color w:val="auto"/>
              </w:rPr>
            </w:pPr>
          </w:p>
        </w:tc>
        <w:tc>
          <w:tcPr>
            <w:tcW w:w="620" w:type="dxa"/>
            <w:vAlign w:val="bottom"/>
            <w:tcBorders>
              <w:bottom w:val="single" w:sz="8" w:color="auto"/>
            </w:tcBorders>
          </w:tcPr>
          <w:p>
            <w:pPr>
              <w:jc w:val="right"/>
              <w:ind w:right="263"/>
              <w:spacing w:after="0" w:line="88" w:lineRule="exact"/>
              <w:rPr>
                <w:sz w:val="20"/>
                <w:szCs w:val="20"/>
                <w:color w:val="auto"/>
              </w:rPr>
            </w:pPr>
            <w:r>
              <w:rPr>
                <w:rFonts w:ascii="Arial" w:cs="Arial" w:eastAsia="Arial" w:hAnsi="Arial"/>
                <w:sz w:val="9"/>
                <w:szCs w:val="9"/>
                <w:b w:val="1"/>
                <w:bCs w:val="1"/>
                <w:color w:val="auto"/>
              </w:rPr>
              <w:t>2013</w:t>
            </w:r>
          </w:p>
        </w:tc>
        <w:tc>
          <w:tcPr>
            <w:tcW w:w="240" w:type="dxa"/>
            <w:vAlign w:val="bottom"/>
            <w:tcBorders>
              <w:bottom w:val="single" w:sz="8" w:color="CCEEFF"/>
            </w:tcBorders>
          </w:tcPr>
          <w:p>
            <w:pPr>
              <w:spacing w:after="0"/>
              <w:rPr>
                <w:sz w:val="7"/>
                <w:szCs w:val="7"/>
                <w:color w:val="auto"/>
              </w:rPr>
            </w:pPr>
          </w:p>
        </w:tc>
        <w:tc>
          <w:tcPr>
            <w:tcW w:w="220" w:type="dxa"/>
            <w:vAlign w:val="bottom"/>
            <w:tcBorders>
              <w:bottom w:val="single" w:sz="8" w:color="CCEEFF"/>
            </w:tcBorders>
          </w:tcPr>
          <w:p>
            <w:pPr>
              <w:spacing w:after="0"/>
              <w:rPr>
                <w:sz w:val="7"/>
                <w:szCs w:val="7"/>
                <w:color w:val="auto"/>
              </w:rPr>
            </w:pPr>
          </w:p>
        </w:tc>
        <w:tc>
          <w:tcPr>
            <w:tcW w:w="240" w:type="dxa"/>
            <w:vAlign w:val="bottom"/>
            <w:tcBorders>
              <w:bottom w:val="single" w:sz="8" w:color="auto"/>
            </w:tcBorders>
          </w:tcPr>
          <w:p>
            <w:pPr>
              <w:spacing w:after="0"/>
              <w:rPr>
                <w:sz w:val="7"/>
                <w:szCs w:val="7"/>
                <w:color w:val="auto"/>
              </w:rPr>
            </w:pPr>
          </w:p>
        </w:tc>
        <w:tc>
          <w:tcPr>
            <w:tcW w:w="580" w:type="dxa"/>
            <w:vAlign w:val="bottom"/>
            <w:tcBorders>
              <w:bottom w:val="single" w:sz="8" w:color="auto"/>
            </w:tcBorders>
          </w:tcPr>
          <w:p>
            <w:pPr>
              <w:jc w:val="right"/>
              <w:ind w:right="262"/>
              <w:spacing w:after="0" w:line="88" w:lineRule="exact"/>
              <w:rPr>
                <w:sz w:val="20"/>
                <w:szCs w:val="20"/>
                <w:color w:val="auto"/>
              </w:rPr>
            </w:pPr>
            <w:r>
              <w:rPr>
                <w:rFonts w:ascii="Arial" w:cs="Arial" w:eastAsia="Arial" w:hAnsi="Arial"/>
                <w:sz w:val="9"/>
                <w:szCs w:val="9"/>
                <w:b w:val="1"/>
                <w:bCs w:val="1"/>
                <w:color w:val="auto"/>
              </w:rPr>
              <w:t>2012</w:t>
            </w:r>
          </w:p>
        </w:tc>
        <w:tc>
          <w:tcPr>
            <w:tcW w:w="120" w:type="dxa"/>
            <w:vAlign w:val="bottom"/>
            <w:tcBorders>
              <w:bottom w:val="single" w:sz="8" w:color="CCEEFF"/>
            </w:tcBorders>
          </w:tcPr>
          <w:p>
            <w:pPr>
              <w:spacing w:after="0"/>
              <w:rPr>
                <w:sz w:val="7"/>
                <w:szCs w:val="7"/>
                <w:color w:val="auto"/>
              </w:rPr>
            </w:pPr>
          </w:p>
        </w:tc>
        <w:tc>
          <w:tcPr>
            <w:tcW w:w="0" w:type="dxa"/>
            <w:vAlign w:val="bottom"/>
          </w:tcPr>
          <w:p>
            <w:pPr>
              <w:spacing w:after="0"/>
              <w:rPr>
                <w:sz w:val="1"/>
                <w:szCs w:val="1"/>
                <w:color w:val="auto"/>
              </w:rPr>
            </w:pPr>
          </w:p>
        </w:tc>
      </w:tr>
      <w:tr>
        <w:trPr>
          <w:trHeight w:val="124"/>
        </w:trPr>
        <w:tc>
          <w:tcPr>
            <w:tcW w:w="4640" w:type="dxa"/>
            <w:vAlign w:val="bottom"/>
            <w:shd w:val="clear" w:color="auto" w:fill="CCEEFF"/>
          </w:tcPr>
          <w:p>
            <w:pPr>
              <w:spacing w:after="0" w:line="124" w:lineRule="exact"/>
              <w:rPr>
                <w:sz w:val="20"/>
                <w:szCs w:val="20"/>
                <w:color w:val="auto"/>
              </w:rPr>
            </w:pPr>
            <w:r>
              <w:rPr>
                <w:rFonts w:ascii="Arial" w:cs="Arial" w:eastAsia="Arial" w:hAnsi="Arial"/>
                <w:sz w:val="12"/>
                <w:szCs w:val="12"/>
                <w:b w:val="1"/>
                <w:bCs w:val="1"/>
                <w:color w:val="auto"/>
              </w:rPr>
              <w:t>Net revenues</w:t>
            </w:r>
          </w:p>
        </w:tc>
        <w:tc>
          <w:tcPr>
            <w:tcW w:w="212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4"/>
        </w:trPr>
        <w:tc>
          <w:tcPr>
            <w:tcW w:w="4640" w:type="dxa"/>
            <w:vAlign w:val="bottom"/>
          </w:tcPr>
          <w:p>
            <w:pPr>
              <w:ind w:left="280"/>
              <w:spacing w:after="0"/>
              <w:rPr>
                <w:sz w:val="20"/>
                <w:szCs w:val="20"/>
                <w:color w:val="auto"/>
              </w:rPr>
            </w:pPr>
            <w:r>
              <w:rPr>
                <w:rFonts w:ascii="Arial" w:cs="Arial" w:eastAsia="Arial" w:hAnsi="Arial"/>
                <w:sz w:val="12"/>
                <w:szCs w:val="12"/>
                <w:color w:val="auto"/>
              </w:rPr>
              <w:t>Macau Operations</w:t>
            </w:r>
          </w:p>
        </w:tc>
        <w:tc>
          <w:tcPr>
            <w:tcW w:w="2300" w:type="dxa"/>
            <w:vAlign w:val="bottom"/>
            <w:gridSpan w:val="2"/>
          </w:tcPr>
          <w:p>
            <w:pPr>
              <w:jc w:val="right"/>
              <w:ind w:right="73"/>
              <w:spacing w:after="0"/>
              <w:rPr>
                <w:sz w:val="20"/>
                <w:szCs w:val="20"/>
                <w:color w:val="auto"/>
              </w:rPr>
            </w:pPr>
            <w:r>
              <w:rPr>
                <w:rFonts w:ascii="Arial" w:cs="Arial" w:eastAsia="Arial" w:hAnsi="Arial"/>
                <w:sz w:val="12"/>
                <w:szCs w:val="12"/>
                <w:color w:val="auto"/>
              </w:rPr>
              <w:t>$</w:t>
            </w:r>
          </w:p>
        </w:tc>
        <w:tc>
          <w:tcPr>
            <w:tcW w:w="880" w:type="dxa"/>
            <w:vAlign w:val="bottom"/>
            <w:gridSpan w:val="2"/>
          </w:tcPr>
          <w:p>
            <w:pPr>
              <w:jc w:val="right"/>
              <w:ind w:right="260"/>
              <w:spacing w:after="0"/>
              <w:rPr>
                <w:sz w:val="20"/>
                <w:szCs w:val="20"/>
                <w:color w:val="auto"/>
              </w:rPr>
            </w:pPr>
            <w:r>
              <w:rPr>
                <w:rFonts w:ascii="Arial" w:cs="Arial" w:eastAsia="Arial" w:hAnsi="Arial"/>
                <w:sz w:val="12"/>
                <w:szCs w:val="12"/>
                <w:color w:val="auto"/>
              </w:rPr>
              <w:t>997,635</w:t>
            </w:r>
          </w:p>
        </w:tc>
        <w:tc>
          <w:tcPr>
            <w:tcW w:w="440" w:type="dxa"/>
            <w:vAlign w:val="bottom"/>
            <w:gridSpan w:val="2"/>
          </w:tcPr>
          <w:p>
            <w:pPr>
              <w:jc w:val="right"/>
              <w:ind w:right="180"/>
              <w:spacing w:after="0"/>
              <w:rPr>
                <w:sz w:val="20"/>
                <w:szCs w:val="20"/>
                <w:color w:val="auto"/>
              </w:rPr>
            </w:pPr>
            <w:r>
              <w:rPr>
                <w:rFonts w:ascii="Arial" w:cs="Arial" w:eastAsia="Arial" w:hAnsi="Arial"/>
                <w:sz w:val="12"/>
                <w:szCs w:val="12"/>
                <w:color w:val="auto"/>
              </w:rPr>
              <w:t>$</w:t>
            </w:r>
          </w:p>
        </w:tc>
        <w:tc>
          <w:tcPr>
            <w:tcW w:w="560" w:type="dxa"/>
            <w:vAlign w:val="bottom"/>
          </w:tcPr>
          <w:p>
            <w:pPr>
              <w:jc w:val="right"/>
              <w:spacing w:after="0"/>
              <w:rPr>
                <w:sz w:val="20"/>
                <w:szCs w:val="20"/>
                <w:color w:val="auto"/>
              </w:rPr>
            </w:pPr>
            <w:r>
              <w:rPr>
                <w:rFonts w:ascii="Arial" w:cs="Arial" w:eastAsia="Arial" w:hAnsi="Arial"/>
                <w:sz w:val="12"/>
                <w:szCs w:val="12"/>
                <w:color w:val="auto"/>
              </w:rPr>
              <w:t>910,451</w:t>
            </w:r>
          </w:p>
        </w:tc>
        <w:tc>
          <w:tcPr>
            <w:tcW w:w="240" w:type="dxa"/>
            <w:vAlign w:val="bottom"/>
          </w:tcPr>
          <w:p>
            <w:pPr>
              <w:spacing w:after="0"/>
              <w:rPr>
                <w:sz w:val="12"/>
                <w:szCs w:val="12"/>
                <w:color w:val="auto"/>
              </w:rPr>
            </w:pPr>
          </w:p>
        </w:tc>
        <w:tc>
          <w:tcPr>
            <w:tcW w:w="40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620" w:type="dxa"/>
            <w:vAlign w:val="bottom"/>
          </w:tcPr>
          <w:p>
            <w:pPr>
              <w:jc w:val="right"/>
              <w:spacing w:after="0"/>
              <w:rPr>
                <w:sz w:val="20"/>
                <w:szCs w:val="20"/>
                <w:color w:val="auto"/>
              </w:rPr>
            </w:pPr>
            <w:r>
              <w:rPr>
                <w:rFonts w:ascii="Arial" w:cs="Arial" w:eastAsia="Arial" w:hAnsi="Arial"/>
                <w:sz w:val="12"/>
                <w:szCs w:val="12"/>
                <w:color w:val="auto"/>
              </w:rPr>
              <w:t>2,920,591</w:t>
            </w:r>
          </w:p>
        </w:tc>
        <w:tc>
          <w:tcPr>
            <w:tcW w:w="240" w:type="dxa"/>
            <w:vAlign w:val="bottom"/>
          </w:tcPr>
          <w:p>
            <w:pPr>
              <w:spacing w:after="0"/>
              <w:rPr>
                <w:sz w:val="12"/>
                <w:szCs w:val="12"/>
                <w:color w:val="auto"/>
              </w:rPr>
            </w:pPr>
          </w:p>
        </w:tc>
        <w:tc>
          <w:tcPr>
            <w:tcW w:w="460" w:type="dxa"/>
            <w:vAlign w:val="bottom"/>
            <w:gridSpan w:val="2"/>
          </w:tcPr>
          <w:p>
            <w:pPr>
              <w:jc w:val="right"/>
              <w:ind w:right="200"/>
              <w:spacing w:after="0"/>
              <w:rPr>
                <w:sz w:val="20"/>
                <w:szCs w:val="20"/>
                <w:color w:val="auto"/>
              </w:rPr>
            </w:pPr>
            <w:r>
              <w:rPr>
                <w:rFonts w:ascii="Arial" w:cs="Arial" w:eastAsia="Arial" w:hAnsi="Arial"/>
                <w:sz w:val="12"/>
                <w:szCs w:val="12"/>
                <w:color w:val="auto"/>
              </w:rPr>
              <w:t>$</w:t>
            </w:r>
          </w:p>
        </w:tc>
        <w:tc>
          <w:tcPr>
            <w:tcW w:w="580" w:type="dxa"/>
            <w:vAlign w:val="bottom"/>
          </w:tcPr>
          <w:p>
            <w:pPr>
              <w:jc w:val="right"/>
              <w:spacing w:after="0"/>
              <w:rPr>
                <w:sz w:val="20"/>
                <w:szCs w:val="20"/>
                <w:color w:val="auto"/>
              </w:rPr>
            </w:pPr>
            <w:r>
              <w:rPr>
                <w:rFonts w:ascii="Arial" w:cs="Arial" w:eastAsia="Arial" w:hAnsi="Arial"/>
                <w:sz w:val="12"/>
                <w:szCs w:val="12"/>
                <w:color w:val="auto"/>
              </w:rPr>
              <w:t>2,768,795</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4640" w:type="dxa"/>
            <w:vAlign w:val="bottom"/>
            <w:shd w:val="clear" w:color="auto" w:fill="CCEEFF"/>
          </w:tcPr>
          <w:p>
            <w:pPr>
              <w:ind w:left="280"/>
              <w:spacing w:after="0"/>
              <w:rPr>
                <w:sz w:val="20"/>
                <w:szCs w:val="20"/>
                <w:color w:val="auto"/>
              </w:rPr>
            </w:pPr>
            <w:r>
              <w:rPr>
                <w:rFonts w:ascii="Arial" w:cs="Arial" w:eastAsia="Arial" w:hAnsi="Arial"/>
                <w:sz w:val="12"/>
                <w:szCs w:val="12"/>
                <w:color w:val="auto"/>
              </w:rPr>
              <w:t>Las Vegas Operations</w:t>
            </w:r>
          </w:p>
        </w:tc>
        <w:tc>
          <w:tcPr>
            <w:tcW w:w="2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260"/>
              <w:spacing w:after="0"/>
              <w:rPr>
                <w:sz w:val="20"/>
                <w:szCs w:val="20"/>
                <w:color w:val="auto"/>
              </w:rPr>
            </w:pPr>
            <w:r>
              <w:rPr>
                <w:rFonts w:ascii="Arial" w:cs="Arial" w:eastAsia="Arial" w:hAnsi="Arial"/>
                <w:sz w:val="12"/>
                <w:szCs w:val="12"/>
                <w:color w:val="auto"/>
              </w:rPr>
              <w:t>392,477</w:t>
            </w:r>
          </w:p>
        </w:tc>
        <w:tc>
          <w:tcPr>
            <w:tcW w:w="2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388,044</w:t>
            </w:r>
          </w:p>
        </w:tc>
        <w:tc>
          <w:tcPr>
            <w:tcW w:w="2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1,180,448</w:t>
            </w:r>
          </w:p>
        </w:tc>
        <w:tc>
          <w:tcPr>
            <w:tcW w:w="2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1,096,405</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4640" w:type="dxa"/>
            <w:vAlign w:val="bottom"/>
            <w:vMerge w:val="restart"/>
          </w:tcPr>
          <w:p>
            <w:pPr>
              <w:ind w:left="560"/>
              <w:spacing w:after="0"/>
              <w:rPr>
                <w:sz w:val="20"/>
                <w:szCs w:val="20"/>
                <w:color w:val="auto"/>
              </w:rPr>
            </w:pPr>
            <w:r>
              <w:rPr>
                <w:rFonts w:ascii="Arial" w:cs="Arial" w:eastAsia="Arial" w:hAnsi="Arial"/>
                <w:sz w:val="12"/>
                <w:szCs w:val="12"/>
                <w:b w:val="1"/>
                <w:bCs w:val="1"/>
                <w:color w:val="auto"/>
              </w:rPr>
              <w:t>Total</w:t>
            </w:r>
          </w:p>
        </w:tc>
        <w:tc>
          <w:tcPr>
            <w:tcW w:w="21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9"/>
        </w:trPr>
        <w:tc>
          <w:tcPr>
            <w:tcW w:w="4640" w:type="dxa"/>
            <w:vAlign w:val="bottom"/>
            <w:vMerge w:val="continue"/>
          </w:tcPr>
          <w:p>
            <w:pPr>
              <w:spacing w:after="0"/>
              <w:rPr>
                <w:sz w:val="12"/>
                <w:szCs w:val="12"/>
                <w:color w:val="auto"/>
              </w:rPr>
            </w:pPr>
          </w:p>
        </w:tc>
        <w:tc>
          <w:tcPr>
            <w:tcW w:w="2120" w:type="dxa"/>
            <w:vAlign w:val="bottom"/>
          </w:tcPr>
          <w:p>
            <w:pPr>
              <w:spacing w:after="0"/>
              <w:rPr>
                <w:sz w:val="12"/>
                <w:szCs w:val="12"/>
                <w:color w:val="auto"/>
              </w:rPr>
            </w:pPr>
          </w:p>
        </w:tc>
        <w:tc>
          <w:tcPr>
            <w:tcW w:w="180" w:type="dxa"/>
            <w:vAlign w:val="bottom"/>
          </w:tcPr>
          <w:p>
            <w:pPr>
              <w:jc w:val="right"/>
              <w:ind w:right="73"/>
              <w:spacing w:after="0"/>
              <w:rPr>
                <w:sz w:val="20"/>
                <w:szCs w:val="20"/>
                <w:color w:val="auto"/>
              </w:rPr>
            </w:pPr>
            <w:r>
              <w:rPr>
                <w:rFonts w:ascii="Arial" w:cs="Arial" w:eastAsia="Arial" w:hAnsi="Arial"/>
                <w:sz w:val="9"/>
                <w:szCs w:val="9"/>
                <w:color w:val="auto"/>
                <w:w w:val="78"/>
              </w:rPr>
              <w:t>$</w:t>
            </w:r>
          </w:p>
        </w:tc>
        <w:tc>
          <w:tcPr>
            <w:tcW w:w="880" w:type="dxa"/>
            <w:vAlign w:val="bottom"/>
            <w:gridSpan w:val="2"/>
          </w:tcPr>
          <w:p>
            <w:pPr>
              <w:jc w:val="right"/>
              <w:ind w:right="260"/>
              <w:spacing w:after="0"/>
              <w:rPr>
                <w:sz w:val="20"/>
                <w:szCs w:val="20"/>
                <w:color w:val="auto"/>
              </w:rPr>
            </w:pPr>
            <w:r>
              <w:rPr>
                <w:rFonts w:ascii="Arial" w:cs="Arial" w:eastAsia="Arial" w:hAnsi="Arial"/>
                <w:sz w:val="12"/>
                <w:szCs w:val="12"/>
                <w:color w:val="auto"/>
              </w:rPr>
              <w:t>1,390,112</w:t>
            </w:r>
          </w:p>
        </w:tc>
        <w:tc>
          <w:tcPr>
            <w:tcW w:w="440" w:type="dxa"/>
            <w:vAlign w:val="bottom"/>
            <w:gridSpan w:val="2"/>
          </w:tcPr>
          <w:p>
            <w:pPr>
              <w:jc w:val="right"/>
              <w:ind w:right="180"/>
              <w:spacing w:after="0"/>
              <w:rPr>
                <w:sz w:val="20"/>
                <w:szCs w:val="20"/>
                <w:color w:val="auto"/>
              </w:rPr>
            </w:pPr>
            <w:r>
              <w:rPr>
                <w:rFonts w:ascii="Arial" w:cs="Arial" w:eastAsia="Arial" w:hAnsi="Arial"/>
                <w:sz w:val="12"/>
                <w:szCs w:val="12"/>
                <w:color w:val="auto"/>
              </w:rPr>
              <w:t>$</w:t>
            </w:r>
          </w:p>
        </w:tc>
        <w:tc>
          <w:tcPr>
            <w:tcW w:w="560" w:type="dxa"/>
            <w:vAlign w:val="bottom"/>
          </w:tcPr>
          <w:p>
            <w:pPr>
              <w:jc w:val="right"/>
              <w:spacing w:after="0"/>
              <w:rPr>
                <w:sz w:val="20"/>
                <w:szCs w:val="20"/>
                <w:color w:val="auto"/>
              </w:rPr>
            </w:pPr>
            <w:r>
              <w:rPr>
                <w:rFonts w:ascii="Arial" w:cs="Arial" w:eastAsia="Arial" w:hAnsi="Arial"/>
                <w:sz w:val="12"/>
                <w:szCs w:val="12"/>
                <w:color w:val="auto"/>
              </w:rPr>
              <w:t>1,298,495</w:t>
            </w:r>
          </w:p>
        </w:tc>
        <w:tc>
          <w:tcPr>
            <w:tcW w:w="240" w:type="dxa"/>
            <w:vAlign w:val="bottom"/>
          </w:tcPr>
          <w:p>
            <w:pPr>
              <w:spacing w:after="0"/>
              <w:rPr>
                <w:sz w:val="12"/>
                <w:szCs w:val="12"/>
                <w:color w:val="auto"/>
              </w:rPr>
            </w:pPr>
          </w:p>
        </w:tc>
        <w:tc>
          <w:tcPr>
            <w:tcW w:w="40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620" w:type="dxa"/>
            <w:vAlign w:val="bottom"/>
          </w:tcPr>
          <w:p>
            <w:pPr>
              <w:jc w:val="right"/>
              <w:spacing w:after="0"/>
              <w:rPr>
                <w:sz w:val="20"/>
                <w:szCs w:val="20"/>
                <w:color w:val="auto"/>
              </w:rPr>
            </w:pPr>
            <w:r>
              <w:rPr>
                <w:rFonts w:ascii="Arial" w:cs="Arial" w:eastAsia="Arial" w:hAnsi="Arial"/>
                <w:sz w:val="12"/>
                <w:szCs w:val="12"/>
                <w:color w:val="auto"/>
              </w:rPr>
              <w:t>4,101,039</w:t>
            </w:r>
          </w:p>
        </w:tc>
        <w:tc>
          <w:tcPr>
            <w:tcW w:w="240" w:type="dxa"/>
            <w:vAlign w:val="bottom"/>
          </w:tcPr>
          <w:p>
            <w:pPr>
              <w:spacing w:after="0"/>
              <w:rPr>
                <w:sz w:val="12"/>
                <w:szCs w:val="12"/>
                <w:color w:val="auto"/>
              </w:rPr>
            </w:pPr>
          </w:p>
        </w:tc>
        <w:tc>
          <w:tcPr>
            <w:tcW w:w="460" w:type="dxa"/>
            <w:vAlign w:val="bottom"/>
            <w:gridSpan w:val="2"/>
          </w:tcPr>
          <w:p>
            <w:pPr>
              <w:jc w:val="right"/>
              <w:ind w:right="200"/>
              <w:spacing w:after="0"/>
              <w:rPr>
                <w:sz w:val="20"/>
                <w:szCs w:val="20"/>
                <w:color w:val="auto"/>
              </w:rPr>
            </w:pPr>
            <w:r>
              <w:rPr>
                <w:rFonts w:ascii="Arial" w:cs="Arial" w:eastAsia="Arial" w:hAnsi="Arial"/>
                <w:sz w:val="12"/>
                <w:szCs w:val="12"/>
                <w:color w:val="auto"/>
              </w:rPr>
              <w:t>$</w:t>
            </w:r>
          </w:p>
        </w:tc>
        <w:tc>
          <w:tcPr>
            <w:tcW w:w="580" w:type="dxa"/>
            <w:vAlign w:val="bottom"/>
          </w:tcPr>
          <w:p>
            <w:pPr>
              <w:jc w:val="right"/>
              <w:spacing w:after="0"/>
              <w:rPr>
                <w:sz w:val="20"/>
                <w:szCs w:val="20"/>
                <w:color w:val="auto"/>
              </w:rPr>
            </w:pPr>
            <w:r>
              <w:rPr>
                <w:rFonts w:ascii="Arial" w:cs="Arial" w:eastAsia="Arial" w:hAnsi="Arial"/>
                <w:sz w:val="12"/>
                <w:szCs w:val="12"/>
                <w:color w:val="auto"/>
              </w:rPr>
              <w:t>3,865,200</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4640" w:type="dxa"/>
            <w:vAlign w:val="bottom"/>
            <w:shd w:val="clear" w:color="auto" w:fill="CCEEFF"/>
          </w:tcPr>
          <w:p>
            <w:pPr>
              <w:spacing w:after="0"/>
              <w:rPr>
                <w:sz w:val="20"/>
                <w:szCs w:val="20"/>
                <w:color w:val="auto"/>
              </w:rPr>
            </w:pPr>
            <w:r>
              <w:rPr>
                <w:rFonts w:ascii="Arial" w:cs="Arial" w:eastAsia="Arial" w:hAnsi="Arial"/>
                <w:sz w:val="12"/>
                <w:szCs w:val="12"/>
                <w:b w:val="1"/>
                <w:bCs w:val="1"/>
                <w:color w:val="auto"/>
              </w:rPr>
              <w:t>Adjusted Property EBITDA (1)</w:t>
            </w:r>
          </w:p>
        </w:tc>
        <w:tc>
          <w:tcPr>
            <w:tcW w:w="2120" w:type="dxa"/>
            <w:vAlign w:val="bottom"/>
            <w:shd w:val="clear" w:color="auto" w:fill="CCEEFF"/>
          </w:tcPr>
          <w:p>
            <w:pPr>
              <w:spacing w:after="0"/>
              <w:rPr>
                <w:sz w:val="13"/>
                <w:szCs w:val="13"/>
                <w:color w:val="auto"/>
              </w:rPr>
            </w:pPr>
          </w:p>
        </w:tc>
        <w:tc>
          <w:tcPr>
            <w:tcW w:w="180" w:type="dxa"/>
            <w:vAlign w:val="bottom"/>
            <w:tcBorders>
              <w:top w:val="single" w:sz="8" w:color="auto"/>
            </w:tcBorders>
            <w:shd w:val="clear" w:color="auto" w:fill="CCEEFF"/>
          </w:tcPr>
          <w:p>
            <w:pPr>
              <w:spacing w:after="0"/>
              <w:rPr>
                <w:sz w:val="13"/>
                <w:szCs w:val="13"/>
                <w:color w:val="auto"/>
              </w:rPr>
            </w:pPr>
          </w:p>
        </w:tc>
        <w:tc>
          <w:tcPr>
            <w:tcW w:w="620" w:type="dxa"/>
            <w:vAlign w:val="bottom"/>
            <w:tcBorders>
              <w:top w:val="single" w:sz="8" w:color="auto"/>
            </w:tcBorders>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240" w:type="dxa"/>
            <w:vAlign w:val="bottom"/>
            <w:tcBorders>
              <w:top w:val="single" w:sz="8" w:color="auto"/>
            </w:tcBorders>
            <w:shd w:val="clear" w:color="auto" w:fill="CCEEFF"/>
          </w:tcPr>
          <w:p>
            <w:pPr>
              <w:spacing w:after="0"/>
              <w:rPr>
                <w:sz w:val="13"/>
                <w:szCs w:val="13"/>
                <w:color w:val="auto"/>
              </w:rPr>
            </w:pPr>
          </w:p>
        </w:tc>
        <w:tc>
          <w:tcPr>
            <w:tcW w:w="560" w:type="dxa"/>
            <w:vAlign w:val="bottom"/>
            <w:tcBorders>
              <w:top w:val="single" w:sz="8" w:color="auto"/>
            </w:tcBorders>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200" w:type="dxa"/>
            <w:vAlign w:val="bottom"/>
            <w:tcBorders>
              <w:top w:val="single" w:sz="8" w:color="auto"/>
            </w:tcBorders>
            <w:shd w:val="clear" w:color="auto" w:fill="CCEEFF"/>
          </w:tcPr>
          <w:p>
            <w:pPr>
              <w:spacing w:after="0"/>
              <w:rPr>
                <w:sz w:val="13"/>
                <w:szCs w:val="13"/>
                <w:color w:val="auto"/>
              </w:rPr>
            </w:pPr>
          </w:p>
        </w:tc>
        <w:tc>
          <w:tcPr>
            <w:tcW w:w="620" w:type="dxa"/>
            <w:vAlign w:val="bottom"/>
            <w:tcBorders>
              <w:top w:val="single" w:sz="8" w:color="auto"/>
            </w:tcBorders>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240" w:type="dxa"/>
            <w:vAlign w:val="bottom"/>
            <w:tcBorders>
              <w:top w:val="single" w:sz="8" w:color="auto"/>
            </w:tcBorders>
            <w:shd w:val="clear" w:color="auto" w:fill="CCEEFF"/>
          </w:tcPr>
          <w:p>
            <w:pPr>
              <w:spacing w:after="0"/>
              <w:rPr>
                <w:sz w:val="13"/>
                <w:szCs w:val="13"/>
                <w:color w:val="auto"/>
              </w:rPr>
            </w:pPr>
          </w:p>
        </w:tc>
        <w:tc>
          <w:tcPr>
            <w:tcW w:w="580" w:type="dxa"/>
            <w:vAlign w:val="bottom"/>
            <w:tcBorders>
              <w:top w:val="single" w:sz="8" w:color="auto"/>
            </w:tcBorders>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4640" w:type="dxa"/>
            <w:vAlign w:val="bottom"/>
          </w:tcPr>
          <w:p>
            <w:pPr>
              <w:ind w:left="280"/>
              <w:spacing w:after="0"/>
              <w:rPr>
                <w:sz w:val="20"/>
                <w:szCs w:val="20"/>
                <w:color w:val="auto"/>
              </w:rPr>
            </w:pPr>
            <w:r>
              <w:rPr>
                <w:rFonts w:ascii="Arial" w:cs="Arial" w:eastAsia="Arial" w:hAnsi="Arial"/>
                <w:sz w:val="12"/>
                <w:szCs w:val="12"/>
                <w:color w:val="auto"/>
              </w:rPr>
              <w:t>Macau Operations</w:t>
            </w:r>
          </w:p>
        </w:tc>
        <w:tc>
          <w:tcPr>
            <w:tcW w:w="2300" w:type="dxa"/>
            <w:vAlign w:val="bottom"/>
            <w:gridSpan w:val="2"/>
          </w:tcPr>
          <w:p>
            <w:pPr>
              <w:jc w:val="right"/>
              <w:ind w:right="73"/>
              <w:spacing w:after="0"/>
              <w:rPr>
                <w:sz w:val="20"/>
                <w:szCs w:val="20"/>
                <w:color w:val="auto"/>
              </w:rPr>
            </w:pPr>
            <w:r>
              <w:rPr>
                <w:rFonts w:ascii="Arial" w:cs="Arial" w:eastAsia="Arial" w:hAnsi="Arial"/>
                <w:sz w:val="12"/>
                <w:szCs w:val="12"/>
                <w:color w:val="auto"/>
              </w:rPr>
              <w:t>$</w:t>
            </w:r>
          </w:p>
        </w:tc>
        <w:tc>
          <w:tcPr>
            <w:tcW w:w="880" w:type="dxa"/>
            <w:vAlign w:val="bottom"/>
            <w:gridSpan w:val="2"/>
          </w:tcPr>
          <w:p>
            <w:pPr>
              <w:jc w:val="right"/>
              <w:ind w:right="260"/>
              <w:spacing w:after="0"/>
              <w:rPr>
                <w:sz w:val="20"/>
                <w:szCs w:val="20"/>
                <w:color w:val="auto"/>
              </w:rPr>
            </w:pPr>
            <w:r>
              <w:rPr>
                <w:rFonts w:ascii="Arial" w:cs="Arial" w:eastAsia="Arial" w:hAnsi="Arial"/>
                <w:sz w:val="12"/>
                <w:szCs w:val="12"/>
                <w:color w:val="auto"/>
              </w:rPr>
              <w:t>329,106</w:t>
            </w:r>
          </w:p>
        </w:tc>
        <w:tc>
          <w:tcPr>
            <w:tcW w:w="440" w:type="dxa"/>
            <w:vAlign w:val="bottom"/>
            <w:gridSpan w:val="2"/>
          </w:tcPr>
          <w:p>
            <w:pPr>
              <w:jc w:val="right"/>
              <w:ind w:right="180"/>
              <w:spacing w:after="0"/>
              <w:rPr>
                <w:sz w:val="20"/>
                <w:szCs w:val="20"/>
                <w:color w:val="auto"/>
              </w:rPr>
            </w:pPr>
            <w:r>
              <w:rPr>
                <w:rFonts w:ascii="Arial" w:cs="Arial" w:eastAsia="Arial" w:hAnsi="Arial"/>
                <w:sz w:val="12"/>
                <w:szCs w:val="12"/>
                <w:color w:val="auto"/>
              </w:rPr>
              <w:t>$</w:t>
            </w:r>
          </w:p>
        </w:tc>
        <w:tc>
          <w:tcPr>
            <w:tcW w:w="560" w:type="dxa"/>
            <w:vAlign w:val="bottom"/>
          </w:tcPr>
          <w:p>
            <w:pPr>
              <w:jc w:val="right"/>
              <w:spacing w:after="0"/>
              <w:rPr>
                <w:sz w:val="20"/>
                <w:szCs w:val="20"/>
                <w:color w:val="auto"/>
              </w:rPr>
            </w:pPr>
            <w:r>
              <w:rPr>
                <w:rFonts w:ascii="Arial" w:cs="Arial" w:eastAsia="Arial" w:hAnsi="Arial"/>
                <w:sz w:val="12"/>
                <w:szCs w:val="12"/>
                <w:color w:val="auto"/>
              </w:rPr>
              <w:t>292,161</w:t>
            </w:r>
          </w:p>
        </w:tc>
        <w:tc>
          <w:tcPr>
            <w:tcW w:w="240" w:type="dxa"/>
            <w:vAlign w:val="bottom"/>
          </w:tcPr>
          <w:p>
            <w:pPr>
              <w:spacing w:after="0"/>
              <w:rPr>
                <w:sz w:val="12"/>
                <w:szCs w:val="12"/>
                <w:color w:val="auto"/>
              </w:rPr>
            </w:pPr>
          </w:p>
        </w:tc>
        <w:tc>
          <w:tcPr>
            <w:tcW w:w="40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620" w:type="dxa"/>
            <w:vAlign w:val="bottom"/>
          </w:tcPr>
          <w:p>
            <w:pPr>
              <w:jc w:val="right"/>
              <w:spacing w:after="0"/>
              <w:rPr>
                <w:sz w:val="20"/>
                <w:szCs w:val="20"/>
                <w:color w:val="auto"/>
              </w:rPr>
            </w:pPr>
            <w:r>
              <w:rPr>
                <w:rFonts w:ascii="Arial" w:cs="Arial" w:eastAsia="Arial" w:hAnsi="Arial"/>
                <w:sz w:val="12"/>
                <w:szCs w:val="12"/>
                <w:color w:val="auto"/>
              </w:rPr>
              <w:t>949,905</w:t>
            </w:r>
          </w:p>
        </w:tc>
        <w:tc>
          <w:tcPr>
            <w:tcW w:w="240" w:type="dxa"/>
            <w:vAlign w:val="bottom"/>
          </w:tcPr>
          <w:p>
            <w:pPr>
              <w:spacing w:after="0"/>
              <w:rPr>
                <w:sz w:val="12"/>
                <w:szCs w:val="12"/>
                <w:color w:val="auto"/>
              </w:rPr>
            </w:pPr>
          </w:p>
        </w:tc>
        <w:tc>
          <w:tcPr>
            <w:tcW w:w="460" w:type="dxa"/>
            <w:vAlign w:val="bottom"/>
            <w:gridSpan w:val="2"/>
          </w:tcPr>
          <w:p>
            <w:pPr>
              <w:jc w:val="right"/>
              <w:ind w:right="200"/>
              <w:spacing w:after="0"/>
              <w:rPr>
                <w:sz w:val="20"/>
                <w:szCs w:val="20"/>
                <w:color w:val="auto"/>
              </w:rPr>
            </w:pPr>
            <w:r>
              <w:rPr>
                <w:rFonts w:ascii="Arial" w:cs="Arial" w:eastAsia="Arial" w:hAnsi="Arial"/>
                <w:sz w:val="12"/>
                <w:szCs w:val="12"/>
                <w:color w:val="auto"/>
              </w:rPr>
              <w:t>$</w:t>
            </w:r>
          </w:p>
        </w:tc>
        <w:tc>
          <w:tcPr>
            <w:tcW w:w="580" w:type="dxa"/>
            <w:vAlign w:val="bottom"/>
          </w:tcPr>
          <w:p>
            <w:pPr>
              <w:jc w:val="right"/>
              <w:spacing w:after="0"/>
              <w:rPr>
                <w:sz w:val="20"/>
                <w:szCs w:val="20"/>
                <w:color w:val="auto"/>
              </w:rPr>
            </w:pPr>
            <w:r>
              <w:rPr>
                <w:rFonts w:ascii="Arial" w:cs="Arial" w:eastAsia="Arial" w:hAnsi="Arial"/>
                <w:sz w:val="12"/>
                <w:szCs w:val="12"/>
                <w:color w:val="auto"/>
              </w:rPr>
              <w:t>884,144</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4640" w:type="dxa"/>
            <w:vAlign w:val="bottom"/>
            <w:shd w:val="clear" w:color="auto" w:fill="CCEEFF"/>
          </w:tcPr>
          <w:p>
            <w:pPr>
              <w:ind w:left="280"/>
              <w:spacing w:after="0"/>
              <w:rPr>
                <w:sz w:val="20"/>
                <w:szCs w:val="20"/>
                <w:color w:val="auto"/>
              </w:rPr>
            </w:pPr>
            <w:r>
              <w:rPr>
                <w:rFonts w:ascii="Arial" w:cs="Arial" w:eastAsia="Arial" w:hAnsi="Arial"/>
                <w:sz w:val="12"/>
                <w:szCs w:val="12"/>
                <w:color w:val="auto"/>
              </w:rPr>
              <w:t>Las Vegas Operations</w:t>
            </w:r>
          </w:p>
        </w:tc>
        <w:tc>
          <w:tcPr>
            <w:tcW w:w="2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260"/>
              <w:spacing w:after="0"/>
              <w:rPr>
                <w:sz w:val="20"/>
                <w:szCs w:val="20"/>
                <w:color w:val="auto"/>
              </w:rPr>
            </w:pPr>
            <w:r>
              <w:rPr>
                <w:rFonts w:ascii="Arial" w:cs="Arial" w:eastAsia="Arial" w:hAnsi="Arial"/>
                <w:sz w:val="12"/>
                <w:szCs w:val="12"/>
                <w:color w:val="auto"/>
              </w:rPr>
              <w:t>106,515</w:t>
            </w:r>
          </w:p>
        </w:tc>
        <w:tc>
          <w:tcPr>
            <w:tcW w:w="2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110,390</w:t>
            </w:r>
          </w:p>
        </w:tc>
        <w:tc>
          <w:tcPr>
            <w:tcW w:w="2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362,529</w:t>
            </w:r>
          </w:p>
        </w:tc>
        <w:tc>
          <w:tcPr>
            <w:tcW w:w="2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293,193</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4640" w:type="dxa"/>
            <w:vAlign w:val="bottom"/>
            <w:vMerge w:val="restart"/>
          </w:tcPr>
          <w:p>
            <w:pPr>
              <w:ind w:left="560"/>
              <w:spacing w:after="0"/>
              <w:rPr>
                <w:sz w:val="20"/>
                <w:szCs w:val="20"/>
                <w:color w:val="auto"/>
              </w:rPr>
            </w:pPr>
            <w:r>
              <w:rPr>
                <w:rFonts w:ascii="Arial" w:cs="Arial" w:eastAsia="Arial" w:hAnsi="Arial"/>
                <w:sz w:val="12"/>
                <w:szCs w:val="12"/>
                <w:b w:val="1"/>
                <w:bCs w:val="1"/>
                <w:color w:val="auto"/>
              </w:rPr>
              <w:t>Total</w:t>
            </w:r>
          </w:p>
        </w:tc>
        <w:tc>
          <w:tcPr>
            <w:tcW w:w="21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1"/>
        </w:trPr>
        <w:tc>
          <w:tcPr>
            <w:tcW w:w="4640" w:type="dxa"/>
            <w:vAlign w:val="bottom"/>
            <w:vMerge w:val="continue"/>
          </w:tcPr>
          <w:p>
            <w:pPr>
              <w:spacing w:after="0"/>
              <w:rPr>
                <w:sz w:val="12"/>
                <w:szCs w:val="12"/>
                <w:color w:val="auto"/>
              </w:rPr>
            </w:pPr>
          </w:p>
        </w:tc>
        <w:tc>
          <w:tcPr>
            <w:tcW w:w="2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80" w:type="dxa"/>
            <w:vAlign w:val="bottom"/>
            <w:gridSpan w:val="2"/>
          </w:tcPr>
          <w:p>
            <w:pPr>
              <w:jc w:val="right"/>
              <w:ind w:right="260"/>
              <w:spacing w:after="0"/>
              <w:rPr>
                <w:sz w:val="20"/>
                <w:szCs w:val="20"/>
                <w:color w:val="auto"/>
              </w:rPr>
            </w:pPr>
            <w:r>
              <w:rPr>
                <w:rFonts w:ascii="Arial" w:cs="Arial" w:eastAsia="Arial" w:hAnsi="Arial"/>
                <w:sz w:val="12"/>
                <w:szCs w:val="12"/>
                <w:color w:val="auto"/>
              </w:rPr>
              <w:t>435,621</w:t>
            </w:r>
          </w:p>
        </w:tc>
        <w:tc>
          <w:tcPr>
            <w:tcW w:w="2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Arial" w:cs="Arial" w:eastAsia="Arial" w:hAnsi="Arial"/>
                <w:sz w:val="12"/>
                <w:szCs w:val="12"/>
                <w:color w:val="auto"/>
              </w:rPr>
              <w:t>402,551</w:t>
            </w: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1,312,434</w:t>
            </w: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2"/>
                <w:szCs w:val="12"/>
                <w:color w:val="auto"/>
              </w:rPr>
              <w:t>1,177,337</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4640" w:type="dxa"/>
            <w:vAlign w:val="bottom"/>
            <w:shd w:val="clear" w:color="auto" w:fill="CCEEFF"/>
          </w:tcPr>
          <w:p>
            <w:pPr>
              <w:spacing w:after="0"/>
              <w:rPr>
                <w:sz w:val="20"/>
                <w:szCs w:val="20"/>
                <w:color w:val="auto"/>
              </w:rPr>
            </w:pPr>
            <w:r>
              <w:rPr>
                <w:rFonts w:ascii="Arial" w:cs="Arial" w:eastAsia="Arial" w:hAnsi="Arial"/>
                <w:sz w:val="12"/>
                <w:szCs w:val="12"/>
                <w:b w:val="1"/>
                <w:bCs w:val="1"/>
                <w:color w:val="auto"/>
              </w:rPr>
              <w:t>Other operating costs and expenses</w:t>
            </w:r>
          </w:p>
        </w:tc>
        <w:tc>
          <w:tcPr>
            <w:tcW w:w="2120" w:type="dxa"/>
            <w:vAlign w:val="bottom"/>
            <w:shd w:val="clear" w:color="auto" w:fill="CCEEFF"/>
          </w:tcPr>
          <w:p>
            <w:pPr>
              <w:spacing w:after="0"/>
              <w:rPr>
                <w:sz w:val="12"/>
                <w:szCs w:val="12"/>
                <w:color w:val="auto"/>
              </w:rPr>
            </w:pPr>
          </w:p>
        </w:tc>
        <w:tc>
          <w:tcPr>
            <w:tcW w:w="180" w:type="dxa"/>
            <w:vAlign w:val="bottom"/>
            <w:tcBorders>
              <w:top w:val="single" w:sz="8" w:color="auto"/>
            </w:tcBorders>
            <w:shd w:val="clear" w:color="auto" w:fill="CCEEFF"/>
          </w:tcPr>
          <w:p>
            <w:pPr>
              <w:spacing w:after="0"/>
              <w:rPr>
                <w:sz w:val="12"/>
                <w:szCs w:val="12"/>
                <w:color w:val="auto"/>
              </w:rPr>
            </w:pPr>
          </w:p>
        </w:tc>
        <w:tc>
          <w:tcPr>
            <w:tcW w:w="620" w:type="dxa"/>
            <w:vAlign w:val="bottom"/>
            <w:tcBorders>
              <w:top w:val="single" w:sz="8" w:color="auto"/>
            </w:tcBorders>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40" w:type="dxa"/>
            <w:vAlign w:val="bottom"/>
            <w:tcBorders>
              <w:top w:val="single" w:sz="8" w:color="auto"/>
            </w:tcBorders>
            <w:shd w:val="clear" w:color="auto" w:fill="CCEEFF"/>
          </w:tcPr>
          <w:p>
            <w:pPr>
              <w:spacing w:after="0"/>
              <w:rPr>
                <w:sz w:val="12"/>
                <w:szCs w:val="12"/>
                <w:color w:val="auto"/>
              </w:rPr>
            </w:pPr>
          </w:p>
        </w:tc>
        <w:tc>
          <w:tcPr>
            <w:tcW w:w="560" w:type="dxa"/>
            <w:vAlign w:val="bottom"/>
            <w:tcBorders>
              <w:top w:val="single" w:sz="8" w:color="auto"/>
            </w:tcBorders>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00" w:type="dxa"/>
            <w:vAlign w:val="bottom"/>
            <w:tcBorders>
              <w:top w:val="single" w:sz="8" w:color="auto"/>
            </w:tcBorders>
            <w:shd w:val="clear" w:color="auto" w:fill="CCEEFF"/>
          </w:tcPr>
          <w:p>
            <w:pPr>
              <w:spacing w:after="0"/>
              <w:rPr>
                <w:sz w:val="12"/>
                <w:szCs w:val="12"/>
                <w:color w:val="auto"/>
              </w:rPr>
            </w:pPr>
          </w:p>
        </w:tc>
        <w:tc>
          <w:tcPr>
            <w:tcW w:w="620" w:type="dxa"/>
            <w:vAlign w:val="bottom"/>
            <w:tcBorders>
              <w:top w:val="single" w:sz="8" w:color="auto"/>
            </w:tcBorders>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40" w:type="dxa"/>
            <w:vAlign w:val="bottom"/>
            <w:tcBorders>
              <w:top w:val="single" w:sz="8" w:color="auto"/>
            </w:tcBorders>
            <w:shd w:val="clear" w:color="auto" w:fill="CCEEFF"/>
          </w:tcPr>
          <w:p>
            <w:pPr>
              <w:spacing w:after="0"/>
              <w:rPr>
                <w:sz w:val="12"/>
                <w:szCs w:val="12"/>
                <w:color w:val="auto"/>
              </w:rPr>
            </w:pPr>
          </w:p>
        </w:tc>
        <w:tc>
          <w:tcPr>
            <w:tcW w:w="580" w:type="dxa"/>
            <w:vAlign w:val="bottom"/>
            <w:tcBorders>
              <w:top w:val="single" w:sz="8" w:color="auto"/>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4640" w:type="dxa"/>
            <w:vAlign w:val="bottom"/>
          </w:tcPr>
          <w:p>
            <w:pPr>
              <w:ind w:left="280"/>
              <w:spacing w:after="0"/>
              <w:rPr>
                <w:sz w:val="20"/>
                <w:szCs w:val="20"/>
                <w:color w:val="auto"/>
              </w:rPr>
            </w:pPr>
            <w:r>
              <w:rPr>
                <w:rFonts w:ascii="Arial" w:cs="Arial" w:eastAsia="Arial" w:hAnsi="Arial"/>
                <w:sz w:val="12"/>
                <w:szCs w:val="12"/>
                <w:color w:val="auto"/>
              </w:rPr>
              <w:t>Pre-opening costs</w:t>
            </w:r>
          </w:p>
        </w:tc>
        <w:tc>
          <w:tcPr>
            <w:tcW w:w="2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80" w:type="dxa"/>
            <w:vAlign w:val="bottom"/>
            <w:gridSpan w:val="2"/>
          </w:tcPr>
          <w:p>
            <w:pPr>
              <w:jc w:val="right"/>
              <w:ind w:right="260"/>
              <w:spacing w:after="0"/>
              <w:rPr>
                <w:sz w:val="20"/>
                <w:szCs w:val="20"/>
                <w:color w:val="auto"/>
              </w:rPr>
            </w:pPr>
            <w:r>
              <w:rPr>
                <w:rFonts w:ascii="Arial" w:cs="Arial" w:eastAsia="Arial" w:hAnsi="Arial"/>
                <w:sz w:val="12"/>
                <w:szCs w:val="12"/>
                <w:color w:val="auto"/>
              </w:rPr>
              <w:t>706</w:t>
            </w:r>
          </w:p>
        </w:tc>
        <w:tc>
          <w:tcPr>
            <w:tcW w:w="2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0" w:type="dxa"/>
            <w:vAlign w:val="bottom"/>
            <w:gridSpan w:val="2"/>
          </w:tcPr>
          <w:p>
            <w:pPr>
              <w:jc w:val="right"/>
              <w:ind w:right="300"/>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1,592</w:t>
            </w: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00" w:type="dxa"/>
            <w:vAlign w:val="bottom"/>
            <w:gridSpan w:val="2"/>
          </w:tcPr>
          <w:p>
            <w:pPr>
              <w:jc w:val="right"/>
              <w:ind w:right="18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44"/>
        </w:trPr>
        <w:tc>
          <w:tcPr>
            <w:tcW w:w="4640" w:type="dxa"/>
            <w:vAlign w:val="bottom"/>
            <w:shd w:val="clear" w:color="auto" w:fill="CCEEFF"/>
          </w:tcPr>
          <w:p>
            <w:pPr>
              <w:ind w:left="280"/>
              <w:spacing w:after="0"/>
              <w:rPr>
                <w:sz w:val="20"/>
                <w:szCs w:val="20"/>
                <w:color w:val="auto"/>
              </w:rPr>
            </w:pPr>
            <w:r>
              <w:rPr>
                <w:rFonts w:ascii="Arial" w:cs="Arial" w:eastAsia="Arial" w:hAnsi="Arial"/>
                <w:sz w:val="12"/>
                <w:szCs w:val="12"/>
                <w:color w:val="auto"/>
              </w:rPr>
              <w:t>Depreciation and amortization</w:t>
            </w:r>
          </w:p>
        </w:tc>
        <w:tc>
          <w:tcPr>
            <w:tcW w:w="2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260"/>
              <w:spacing w:after="0"/>
              <w:rPr>
                <w:sz w:val="20"/>
                <w:szCs w:val="20"/>
                <w:color w:val="auto"/>
              </w:rPr>
            </w:pPr>
            <w:r>
              <w:rPr>
                <w:rFonts w:ascii="Arial" w:cs="Arial" w:eastAsia="Arial" w:hAnsi="Arial"/>
                <w:sz w:val="12"/>
                <w:szCs w:val="12"/>
                <w:color w:val="auto"/>
              </w:rPr>
              <w:t>93,325</w:t>
            </w:r>
          </w:p>
        </w:tc>
        <w:tc>
          <w:tcPr>
            <w:tcW w:w="2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94,274</w:t>
            </w:r>
          </w:p>
        </w:tc>
        <w:tc>
          <w:tcPr>
            <w:tcW w:w="2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279,061</w:t>
            </w:r>
          </w:p>
        </w:tc>
        <w:tc>
          <w:tcPr>
            <w:tcW w:w="2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280,142</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4640" w:type="dxa"/>
            <w:vAlign w:val="bottom"/>
          </w:tcPr>
          <w:p>
            <w:pPr>
              <w:ind w:left="280"/>
              <w:spacing w:after="0"/>
              <w:rPr>
                <w:sz w:val="20"/>
                <w:szCs w:val="20"/>
                <w:color w:val="auto"/>
              </w:rPr>
            </w:pPr>
            <w:r>
              <w:rPr>
                <w:rFonts w:ascii="Arial" w:cs="Arial" w:eastAsia="Arial" w:hAnsi="Arial"/>
                <w:sz w:val="12"/>
                <w:szCs w:val="12"/>
                <w:color w:val="auto"/>
              </w:rPr>
              <w:t>Property charges and other</w:t>
            </w:r>
          </w:p>
        </w:tc>
        <w:tc>
          <w:tcPr>
            <w:tcW w:w="2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80" w:type="dxa"/>
            <w:vAlign w:val="bottom"/>
            <w:gridSpan w:val="2"/>
          </w:tcPr>
          <w:p>
            <w:pPr>
              <w:jc w:val="right"/>
              <w:ind w:right="260"/>
              <w:spacing w:after="0"/>
              <w:rPr>
                <w:sz w:val="20"/>
                <w:szCs w:val="20"/>
                <w:color w:val="auto"/>
              </w:rPr>
            </w:pPr>
            <w:r>
              <w:rPr>
                <w:rFonts w:ascii="Arial" w:cs="Arial" w:eastAsia="Arial" w:hAnsi="Arial"/>
                <w:sz w:val="12"/>
                <w:szCs w:val="12"/>
                <w:color w:val="auto"/>
              </w:rPr>
              <w:t>2,613</w:t>
            </w:r>
          </w:p>
        </w:tc>
        <w:tc>
          <w:tcPr>
            <w:tcW w:w="2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Arial" w:cs="Arial" w:eastAsia="Arial" w:hAnsi="Arial"/>
                <w:sz w:val="12"/>
                <w:szCs w:val="12"/>
                <w:color w:val="auto"/>
              </w:rPr>
              <w:t>22,721</w:t>
            </w: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13,571</w:t>
            </w: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2"/>
                <w:szCs w:val="12"/>
                <w:color w:val="auto"/>
              </w:rPr>
              <w:t>36,547</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4640" w:type="dxa"/>
            <w:vAlign w:val="bottom"/>
            <w:shd w:val="clear" w:color="auto" w:fill="CCEEFF"/>
          </w:tcPr>
          <w:p>
            <w:pPr>
              <w:ind w:left="280"/>
              <w:spacing w:after="0"/>
              <w:rPr>
                <w:sz w:val="20"/>
                <w:szCs w:val="20"/>
                <w:color w:val="auto"/>
              </w:rPr>
            </w:pPr>
            <w:r>
              <w:rPr>
                <w:rFonts w:ascii="Arial" w:cs="Arial" w:eastAsia="Arial" w:hAnsi="Arial"/>
                <w:sz w:val="12"/>
                <w:szCs w:val="12"/>
                <w:color w:val="auto"/>
              </w:rPr>
              <w:t>Corporate expenses and other</w:t>
            </w:r>
          </w:p>
        </w:tc>
        <w:tc>
          <w:tcPr>
            <w:tcW w:w="2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260"/>
              <w:spacing w:after="0"/>
              <w:rPr>
                <w:sz w:val="20"/>
                <w:szCs w:val="20"/>
                <w:color w:val="auto"/>
              </w:rPr>
            </w:pPr>
            <w:r>
              <w:rPr>
                <w:rFonts w:ascii="Arial" w:cs="Arial" w:eastAsia="Arial" w:hAnsi="Arial"/>
                <w:sz w:val="12"/>
                <w:szCs w:val="12"/>
                <w:color w:val="auto"/>
              </w:rPr>
              <w:t>24,711</w:t>
            </w:r>
          </w:p>
        </w:tc>
        <w:tc>
          <w:tcPr>
            <w:tcW w:w="2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38,274</w:t>
            </w:r>
          </w:p>
        </w:tc>
        <w:tc>
          <w:tcPr>
            <w:tcW w:w="2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95,681</w:t>
            </w:r>
          </w:p>
        </w:tc>
        <w:tc>
          <w:tcPr>
            <w:tcW w:w="2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88,423</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4640" w:type="dxa"/>
            <w:vAlign w:val="bottom"/>
          </w:tcPr>
          <w:p>
            <w:pPr>
              <w:ind w:left="280"/>
              <w:spacing w:after="0"/>
              <w:rPr>
                <w:sz w:val="20"/>
                <w:szCs w:val="20"/>
                <w:color w:val="auto"/>
              </w:rPr>
            </w:pPr>
            <w:r>
              <w:rPr>
                <w:rFonts w:ascii="Arial" w:cs="Arial" w:eastAsia="Arial" w:hAnsi="Arial"/>
                <w:sz w:val="12"/>
                <w:szCs w:val="12"/>
                <w:color w:val="auto"/>
              </w:rPr>
              <w:t>Equity in income from unconsolidated affiliates</w:t>
            </w:r>
          </w:p>
        </w:tc>
        <w:tc>
          <w:tcPr>
            <w:tcW w:w="2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80" w:type="dxa"/>
            <w:vAlign w:val="bottom"/>
            <w:gridSpan w:val="2"/>
          </w:tcPr>
          <w:p>
            <w:pPr>
              <w:jc w:val="right"/>
              <w:ind w:right="260"/>
              <w:spacing w:after="0"/>
              <w:rPr>
                <w:sz w:val="20"/>
                <w:szCs w:val="20"/>
                <w:color w:val="auto"/>
              </w:rPr>
            </w:pPr>
            <w:r>
              <w:rPr>
                <w:rFonts w:ascii="Arial" w:cs="Arial" w:eastAsia="Arial" w:hAnsi="Arial"/>
                <w:sz w:val="12"/>
                <w:szCs w:val="12"/>
                <w:color w:val="auto"/>
              </w:rPr>
              <w:t>288</w:t>
            </w:r>
          </w:p>
        </w:tc>
        <w:tc>
          <w:tcPr>
            <w:tcW w:w="2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Arial" w:cs="Arial" w:eastAsia="Arial" w:hAnsi="Arial"/>
                <w:sz w:val="12"/>
                <w:szCs w:val="12"/>
                <w:color w:val="auto"/>
              </w:rPr>
              <w:t>190</w:t>
            </w: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879</w:t>
            </w: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2"/>
                <w:szCs w:val="12"/>
                <w:color w:val="auto"/>
              </w:rPr>
              <w:t>911</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464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4640" w:type="dxa"/>
            <w:vAlign w:val="bottom"/>
            <w:shd w:val="clear" w:color="auto" w:fill="CCEEFF"/>
          </w:tcPr>
          <w:p>
            <w:pPr>
              <w:ind w:left="560"/>
              <w:spacing w:after="0"/>
              <w:rPr>
                <w:sz w:val="20"/>
                <w:szCs w:val="20"/>
                <w:color w:val="auto"/>
              </w:rPr>
            </w:pPr>
            <w:r>
              <w:rPr>
                <w:rFonts w:ascii="Arial" w:cs="Arial" w:eastAsia="Arial" w:hAnsi="Arial"/>
                <w:sz w:val="12"/>
                <w:szCs w:val="12"/>
                <w:b w:val="1"/>
                <w:bCs w:val="1"/>
                <w:color w:val="auto"/>
              </w:rPr>
              <w:t>Total</w:t>
            </w:r>
          </w:p>
        </w:tc>
        <w:tc>
          <w:tcPr>
            <w:tcW w:w="2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260"/>
              <w:spacing w:after="0"/>
              <w:rPr>
                <w:sz w:val="20"/>
                <w:szCs w:val="20"/>
                <w:color w:val="auto"/>
              </w:rPr>
            </w:pPr>
            <w:r>
              <w:rPr>
                <w:rFonts w:ascii="Arial" w:cs="Arial" w:eastAsia="Arial" w:hAnsi="Arial"/>
                <w:sz w:val="12"/>
                <w:szCs w:val="12"/>
                <w:color w:val="auto"/>
              </w:rPr>
              <w:t>121,643</w:t>
            </w:r>
          </w:p>
        </w:tc>
        <w:tc>
          <w:tcPr>
            <w:tcW w:w="2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155,459</w:t>
            </w:r>
          </w:p>
        </w:tc>
        <w:tc>
          <w:tcPr>
            <w:tcW w:w="2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390,784</w:t>
            </w:r>
          </w:p>
        </w:tc>
        <w:tc>
          <w:tcPr>
            <w:tcW w:w="2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406,023</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4640" w:type="dxa"/>
            <w:vAlign w:val="bottom"/>
            <w:vMerge w:val="restart"/>
          </w:tcPr>
          <w:p>
            <w:pPr>
              <w:spacing w:after="0"/>
              <w:rPr>
                <w:sz w:val="20"/>
                <w:szCs w:val="20"/>
                <w:color w:val="auto"/>
              </w:rPr>
            </w:pPr>
            <w:r>
              <w:rPr>
                <w:rFonts w:ascii="Arial" w:cs="Arial" w:eastAsia="Arial" w:hAnsi="Arial"/>
                <w:sz w:val="12"/>
                <w:szCs w:val="12"/>
                <w:b w:val="1"/>
                <w:bCs w:val="1"/>
                <w:color w:val="auto"/>
              </w:rPr>
              <w:t>Operating income</w:t>
            </w:r>
          </w:p>
        </w:tc>
        <w:tc>
          <w:tcPr>
            <w:tcW w:w="21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1"/>
        </w:trPr>
        <w:tc>
          <w:tcPr>
            <w:tcW w:w="4640" w:type="dxa"/>
            <w:vAlign w:val="bottom"/>
            <w:vMerge w:val="continue"/>
          </w:tcPr>
          <w:p>
            <w:pPr>
              <w:spacing w:after="0"/>
              <w:rPr>
                <w:sz w:val="12"/>
                <w:szCs w:val="12"/>
                <w:color w:val="auto"/>
              </w:rPr>
            </w:pPr>
          </w:p>
        </w:tc>
        <w:tc>
          <w:tcPr>
            <w:tcW w:w="2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80" w:type="dxa"/>
            <w:vAlign w:val="bottom"/>
            <w:gridSpan w:val="2"/>
          </w:tcPr>
          <w:p>
            <w:pPr>
              <w:jc w:val="right"/>
              <w:ind w:right="260"/>
              <w:spacing w:after="0"/>
              <w:rPr>
                <w:sz w:val="20"/>
                <w:szCs w:val="20"/>
                <w:color w:val="auto"/>
              </w:rPr>
            </w:pPr>
            <w:r>
              <w:rPr>
                <w:rFonts w:ascii="Arial" w:cs="Arial" w:eastAsia="Arial" w:hAnsi="Arial"/>
                <w:sz w:val="12"/>
                <w:szCs w:val="12"/>
                <w:color w:val="auto"/>
              </w:rPr>
              <w:t>313,978</w:t>
            </w:r>
          </w:p>
        </w:tc>
        <w:tc>
          <w:tcPr>
            <w:tcW w:w="2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Arial" w:cs="Arial" w:eastAsia="Arial" w:hAnsi="Arial"/>
                <w:sz w:val="12"/>
                <w:szCs w:val="12"/>
                <w:color w:val="auto"/>
              </w:rPr>
              <w:t>247,092</w:t>
            </w: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921,650</w:t>
            </w: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2"/>
                <w:szCs w:val="12"/>
                <w:color w:val="auto"/>
              </w:rPr>
              <w:t>771,314</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4640" w:type="dxa"/>
            <w:vAlign w:val="bottom"/>
            <w:shd w:val="clear" w:color="auto" w:fill="CCEEFF"/>
          </w:tcPr>
          <w:p>
            <w:pPr>
              <w:spacing w:after="0"/>
              <w:rPr>
                <w:sz w:val="20"/>
                <w:szCs w:val="20"/>
                <w:color w:val="auto"/>
              </w:rPr>
            </w:pPr>
            <w:r>
              <w:rPr>
                <w:rFonts w:ascii="Arial" w:cs="Arial" w:eastAsia="Arial" w:hAnsi="Arial"/>
                <w:sz w:val="12"/>
                <w:szCs w:val="12"/>
                <w:b w:val="1"/>
                <w:bCs w:val="1"/>
                <w:color w:val="auto"/>
              </w:rPr>
              <w:t>Non-operating costs and expenses</w:t>
            </w:r>
          </w:p>
        </w:tc>
        <w:tc>
          <w:tcPr>
            <w:tcW w:w="2120" w:type="dxa"/>
            <w:vAlign w:val="bottom"/>
            <w:shd w:val="clear" w:color="auto" w:fill="CCEEFF"/>
          </w:tcPr>
          <w:p>
            <w:pPr>
              <w:spacing w:after="0"/>
              <w:rPr>
                <w:sz w:val="12"/>
                <w:szCs w:val="12"/>
                <w:color w:val="auto"/>
              </w:rPr>
            </w:pPr>
          </w:p>
        </w:tc>
        <w:tc>
          <w:tcPr>
            <w:tcW w:w="180" w:type="dxa"/>
            <w:vAlign w:val="bottom"/>
            <w:tcBorders>
              <w:top w:val="single" w:sz="8" w:color="auto"/>
            </w:tcBorders>
            <w:shd w:val="clear" w:color="auto" w:fill="CCEEFF"/>
          </w:tcPr>
          <w:p>
            <w:pPr>
              <w:spacing w:after="0"/>
              <w:rPr>
                <w:sz w:val="12"/>
                <w:szCs w:val="12"/>
                <w:color w:val="auto"/>
              </w:rPr>
            </w:pPr>
          </w:p>
        </w:tc>
        <w:tc>
          <w:tcPr>
            <w:tcW w:w="620" w:type="dxa"/>
            <w:vAlign w:val="bottom"/>
            <w:tcBorders>
              <w:top w:val="single" w:sz="8" w:color="auto"/>
            </w:tcBorders>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40" w:type="dxa"/>
            <w:vAlign w:val="bottom"/>
            <w:tcBorders>
              <w:top w:val="single" w:sz="8" w:color="auto"/>
            </w:tcBorders>
            <w:shd w:val="clear" w:color="auto" w:fill="CCEEFF"/>
          </w:tcPr>
          <w:p>
            <w:pPr>
              <w:spacing w:after="0"/>
              <w:rPr>
                <w:sz w:val="12"/>
                <w:szCs w:val="12"/>
                <w:color w:val="auto"/>
              </w:rPr>
            </w:pPr>
          </w:p>
        </w:tc>
        <w:tc>
          <w:tcPr>
            <w:tcW w:w="560" w:type="dxa"/>
            <w:vAlign w:val="bottom"/>
            <w:tcBorders>
              <w:top w:val="single" w:sz="8" w:color="auto"/>
            </w:tcBorders>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00" w:type="dxa"/>
            <w:vAlign w:val="bottom"/>
            <w:tcBorders>
              <w:top w:val="single" w:sz="8" w:color="auto"/>
            </w:tcBorders>
            <w:shd w:val="clear" w:color="auto" w:fill="CCEEFF"/>
          </w:tcPr>
          <w:p>
            <w:pPr>
              <w:spacing w:after="0"/>
              <w:rPr>
                <w:sz w:val="12"/>
                <w:szCs w:val="12"/>
                <w:color w:val="auto"/>
              </w:rPr>
            </w:pPr>
          </w:p>
        </w:tc>
        <w:tc>
          <w:tcPr>
            <w:tcW w:w="620" w:type="dxa"/>
            <w:vAlign w:val="bottom"/>
            <w:tcBorders>
              <w:top w:val="single" w:sz="8" w:color="auto"/>
            </w:tcBorders>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40" w:type="dxa"/>
            <w:vAlign w:val="bottom"/>
            <w:tcBorders>
              <w:top w:val="single" w:sz="8" w:color="auto"/>
            </w:tcBorders>
            <w:shd w:val="clear" w:color="auto" w:fill="CCEEFF"/>
          </w:tcPr>
          <w:p>
            <w:pPr>
              <w:spacing w:after="0"/>
              <w:rPr>
                <w:sz w:val="12"/>
                <w:szCs w:val="12"/>
                <w:color w:val="auto"/>
              </w:rPr>
            </w:pPr>
          </w:p>
        </w:tc>
        <w:tc>
          <w:tcPr>
            <w:tcW w:w="580" w:type="dxa"/>
            <w:vAlign w:val="bottom"/>
            <w:tcBorders>
              <w:top w:val="single" w:sz="8" w:color="auto"/>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4640" w:type="dxa"/>
            <w:vAlign w:val="bottom"/>
          </w:tcPr>
          <w:p>
            <w:pPr>
              <w:ind w:left="280"/>
              <w:spacing w:after="0"/>
              <w:rPr>
                <w:sz w:val="20"/>
                <w:szCs w:val="20"/>
                <w:color w:val="auto"/>
              </w:rPr>
            </w:pPr>
            <w:r>
              <w:rPr>
                <w:rFonts w:ascii="Arial" w:cs="Arial" w:eastAsia="Arial" w:hAnsi="Arial"/>
                <w:sz w:val="12"/>
                <w:szCs w:val="12"/>
                <w:color w:val="auto"/>
              </w:rPr>
              <w:t>Interest income</w:t>
            </w:r>
          </w:p>
        </w:tc>
        <w:tc>
          <w:tcPr>
            <w:tcW w:w="2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80" w:type="dxa"/>
            <w:vAlign w:val="bottom"/>
            <w:gridSpan w:val="2"/>
          </w:tcPr>
          <w:p>
            <w:pPr>
              <w:jc w:val="right"/>
              <w:ind w:right="260"/>
              <w:spacing w:after="0"/>
              <w:rPr>
                <w:sz w:val="20"/>
                <w:szCs w:val="20"/>
                <w:color w:val="auto"/>
              </w:rPr>
            </w:pPr>
            <w:r>
              <w:rPr>
                <w:rFonts w:ascii="Arial" w:cs="Arial" w:eastAsia="Arial" w:hAnsi="Arial"/>
                <w:sz w:val="12"/>
                <w:szCs w:val="12"/>
                <w:color w:val="auto"/>
              </w:rPr>
              <w:t>3,215</w:t>
            </w:r>
          </w:p>
        </w:tc>
        <w:tc>
          <w:tcPr>
            <w:tcW w:w="2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Arial" w:cs="Arial" w:eastAsia="Arial" w:hAnsi="Arial"/>
                <w:sz w:val="12"/>
                <w:szCs w:val="12"/>
                <w:color w:val="auto"/>
              </w:rPr>
              <w:t>3,759</w:t>
            </w: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11,595</w:t>
            </w: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2"/>
                <w:szCs w:val="12"/>
                <w:color w:val="auto"/>
              </w:rPr>
              <w:t>7,807</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4640" w:type="dxa"/>
            <w:vAlign w:val="bottom"/>
            <w:shd w:val="clear" w:color="auto" w:fill="CCEEFF"/>
          </w:tcPr>
          <w:p>
            <w:pPr>
              <w:ind w:left="280"/>
              <w:spacing w:after="0"/>
              <w:rPr>
                <w:sz w:val="20"/>
                <w:szCs w:val="20"/>
                <w:color w:val="auto"/>
              </w:rPr>
            </w:pPr>
            <w:r>
              <w:rPr>
                <w:rFonts w:ascii="Arial" w:cs="Arial" w:eastAsia="Arial" w:hAnsi="Arial"/>
                <w:sz w:val="12"/>
                <w:szCs w:val="12"/>
                <w:color w:val="auto"/>
              </w:rPr>
              <w:t>Interest expense, net of capitalized interest</w:t>
            </w:r>
          </w:p>
        </w:tc>
        <w:tc>
          <w:tcPr>
            <w:tcW w:w="2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(73,549)</w:t>
            </w:r>
          </w:p>
        </w:tc>
        <w:tc>
          <w:tcPr>
            <w:tcW w:w="2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(75,082)</w:t>
            </w:r>
          </w:p>
        </w:tc>
        <w:tc>
          <w:tcPr>
            <w:tcW w:w="2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(222,690)</w:t>
            </w:r>
          </w:p>
        </w:tc>
        <w:tc>
          <w:tcPr>
            <w:tcW w:w="2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(211,017)</w:t>
            </w:r>
          </w:p>
        </w:tc>
        <w:tc>
          <w:tcPr>
            <w:tcW w:w="0" w:type="dxa"/>
            <w:vAlign w:val="bottom"/>
          </w:tcPr>
          <w:p>
            <w:pPr>
              <w:spacing w:after="0"/>
              <w:rPr>
                <w:sz w:val="1"/>
                <w:szCs w:val="1"/>
                <w:color w:val="auto"/>
              </w:rPr>
            </w:pPr>
          </w:p>
        </w:tc>
      </w:tr>
      <w:tr>
        <w:trPr>
          <w:trHeight w:val="144"/>
        </w:trPr>
        <w:tc>
          <w:tcPr>
            <w:tcW w:w="4640" w:type="dxa"/>
            <w:vAlign w:val="bottom"/>
          </w:tcPr>
          <w:p>
            <w:pPr>
              <w:ind w:left="280"/>
              <w:spacing w:after="0"/>
              <w:rPr>
                <w:sz w:val="20"/>
                <w:szCs w:val="20"/>
                <w:color w:val="auto"/>
              </w:rPr>
            </w:pPr>
            <w:r>
              <w:rPr>
                <w:rFonts w:ascii="Arial" w:cs="Arial" w:eastAsia="Arial" w:hAnsi="Arial"/>
                <w:sz w:val="12"/>
                <w:szCs w:val="12"/>
                <w:color w:val="auto"/>
              </w:rPr>
              <w:t>(Decrease) increase in swap fair value</w:t>
            </w:r>
          </w:p>
        </w:tc>
        <w:tc>
          <w:tcPr>
            <w:tcW w:w="2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2"/>
                <w:szCs w:val="12"/>
                <w:color w:val="auto"/>
              </w:rPr>
              <w:t>(3,525)</w:t>
            </w:r>
          </w:p>
        </w:tc>
        <w:tc>
          <w:tcPr>
            <w:tcW w:w="2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0" w:type="dxa"/>
            <w:vAlign w:val="bottom"/>
            <w:gridSpan w:val="2"/>
          </w:tcPr>
          <w:p>
            <w:pPr>
              <w:jc w:val="right"/>
              <w:ind w:right="300"/>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13,131</w:t>
            </w: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2"/>
                <w:szCs w:val="12"/>
                <w:color w:val="auto"/>
              </w:rPr>
              <w:t>4,930</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4640" w:type="dxa"/>
            <w:vAlign w:val="bottom"/>
            <w:shd w:val="clear" w:color="auto" w:fill="CCEEFF"/>
          </w:tcPr>
          <w:p>
            <w:pPr>
              <w:ind w:left="280"/>
              <w:spacing w:after="0"/>
              <w:rPr>
                <w:sz w:val="20"/>
                <w:szCs w:val="20"/>
                <w:color w:val="auto"/>
              </w:rPr>
            </w:pPr>
            <w:r>
              <w:rPr>
                <w:rFonts w:ascii="Arial" w:cs="Arial" w:eastAsia="Arial" w:hAnsi="Arial"/>
                <w:sz w:val="12"/>
                <w:szCs w:val="12"/>
                <w:color w:val="auto"/>
              </w:rPr>
              <w:t>Loss on extinguishment of debt</w:t>
            </w:r>
          </w:p>
        </w:tc>
        <w:tc>
          <w:tcPr>
            <w:tcW w:w="2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320"/>
              <w:spacing w:after="0"/>
              <w:rPr>
                <w:sz w:val="20"/>
                <w:szCs w:val="20"/>
                <w:color w:val="auto"/>
              </w:rPr>
            </w:pPr>
            <w:r>
              <w:rPr>
                <w:rFonts w:ascii="Arial" w:cs="Arial" w:eastAsia="Arial" w:hAnsi="Arial"/>
                <w:sz w:val="12"/>
                <w:szCs w:val="12"/>
                <w:color w:val="auto"/>
              </w:rPr>
              <w:t>—</w:t>
            </w:r>
          </w:p>
        </w:tc>
        <w:tc>
          <w:tcPr>
            <w:tcW w:w="2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(19,663)</w:t>
            </w:r>
          </w:p>
        </w:tc>
        <w:tc>
          <w:tcPr>
            <w:tcW w:w="2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(26,578)</w:t>
            </w:r>
          </w:p>
        </w:tc>
        <w:tc>
          <w:tcPr>
            <w:tcW w:w="2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(24,491)</w:t>
            </w:r>
          </w:p>
        </w:tc>
        <w:tc>
          <w:tcPr>
            <w:tcW w:w="0" w:type="dxa"/>
            <w:vAlign w:val="bottom"/>
          </w:tcPr>
          <w:p>
            <w:pPr>
              <w:spacing w:after="0"/>
              <w:rPr>
                <w:sz w:val="1"/>
                <w:szCs w:val="1"/>
                <w:color w:val="auto"/>
              </w:rPr>
            </w:pPr>
          </w:p>
        </w:tc>
      </w:tr>
      <w:tr>
        <w:trPr>
          <w:trHeight w:val="144"/>
        </w:trPr>
        <w:tc>
          <w:tcPr>
            <w:tcW w:w="4640" w:type="dxa"/>
            <w:vAlign w:val="bottom"/>
          </w:tcPr>
          <w:p>
            <w:pPr>
              <w:ind w:left="280"/>
              <w:spacing w:after="0"/>
              <w:rPr>
                <w:sz w:val="20"/>
                <w:szCs w:val="20"/>
                <w:color w:val="auto"/>
              </w:rPr>
            </w:pPr>
            <w:r>
              <w:rPr>
                <w:rFonts w:ascii="Arial" w:cs="Arial" w:eastAsia="Arial" w:hAnsi="Arial"/>
                <w:sz w:val="12"/>
                <w:szCs w:val="12"/>
                <w:color w:val="auto"/>
              </w:rPr>
              <w:t>Equity in income from unconsolidated affiliates</w:t>
            </w:r>
          </w:p>
        </w:tc>
        <w:tc>
          <w:tcPr>
            <w:tcW w:w="2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80" w:type="dxa"/>
            <w:vAlign w:val="bottom"/>
            <w:gridSpan w:val="2"/>
          </w:tcPr>
          <w:p>
            <w:pPr>
              <w:jc w:val="right"/>
              <w:ind w:right="260"/>
              <w:spacing w:after="0"/>
              <w:rPr>
                <w:sz w:val="20"/>
                <w:szCs w:val="20"/>
                <w:color w:val="auto"/>
              </w:rPr>
            </w:pPr>
            <w:r>
              <w:rPr>
                <w:rFonts w:ascii="Arial" w:cs="Arial" w:eastAsia="Arial" w:hAnsi="Arial"/>
                <w:sz w:val="12"/>
                <w:szCs w:val="12"/>
                <w:color w:val="auto"/>
              </w:rPr>
              <w:t>288</w:t>
            </w:r>
          </w:p>
        </w:tc>
        <w:tc>
          <w:tcPr>
            <w:tcW w:w="2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Arial" w:cs="Arial" w:eastAsia="Arial" w:hAnsi="Arial"/>
                <w:sz w:val="12"/>
                <w:szCs w:val="12"/>
                <w:color w:val="auto"/>
              </w:rPr>
              <w:t>190</w:t>
            </w: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879</w:t>
            </w: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2"/>
                <w:szCs w:val="12"/>
                <w:color w:val="auto"/>
              </w:rPr>
              <w:t>911</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4640" w:type="dxa"/>
            <w:vAlign w:val="bottom"/>
            <w:shd w:val="clear" w:color="auto" w:fill="CCEEFF"/>
          </w:tcPr>
          <w:p>
            <w:pPr>
              <w:ind w:left="280"/>
              <w:spacing w:after="0"/>
              <w:rPr>
                <w:sz w:val="20"/>
                <w:szCs w:val="20"/>
                <w:color w:val="auto"/>
              </w:rPr>
            </w:pPr>
            <w:r>
              <w:rPr>
                <w:rFonts w:ascii="Arial" w:cs="Arial" w:eastAsia="Arial" w:hAnsi="Arial"/>
                <w:sz w:val="12"/>
                <w:szCs w:val="12"/>
                <w:color w:val="auto"/>
              </w:rPr>
              <w:t>Other</w:t>
            </w:r>
          </w:p>
        </w:tc>
        <w:tc>
          <w:tcPr>
            <w:tcW w:w="2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260"/>
              <w:spacing w:after="0"/>
              <w:rPr>
                <w:sz w:val="20"/>
                <w:szCs w:val="20"/>
                <w:color w:val="auto"/>
              </w:rPr>
            </w:pPr>
            <w:r>
              <w:rPr>
                <w:rFonts w:ascii="Arial" w:cs="Arial" w:eastAsia="Arial" w:hAnsi="Arial"/>
                <w:sz w:val="12"/>
                <w:szCs w:val="12"/>
                <w:color w:val="auto"/>
              </w:rPr>
              <w:t>1,123</w:t>
            </w:r>
          </w:p>
        </w:tc>
        <w:tc>
          <w:tcPr>
            <w:tcW w:w="2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1,249</w:t>
            </w:r>
          </w:p>
        </w:tc>
        <w:tc>
          <w:tcPr>
            <w:tcW w:w="2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4,385</w:t>
            </w:r>
          </w:p>
        </w:tc>
        <w:tc>
          <w:tcPr>
            <w:tcW w:w="2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936</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4640" w:type="dxa"/>
            <w:vAlign w:val="bottom"/>
            <w:vMerge w:val="restart"/>
          </w:tcPr>
          <w:p>
            <w:pPr>
              <w:ind w:left="560"/>
              <w:spacing w:after="0"/>
              <w:rPr>
                <w:sz w:val="20"/>
                <w:szCs w:val="20"/>
                <w:color w:val="auto"/>
              </w:rPr>
            </w:pPr>
            <w:r>
              <w:rPr>
                <w:rFonts w:ascii="Arial" w:cs="Arial" w:eastAsia="Arial" w:hAnsi="Arial"/>
                <w:sz w:val="12"/>
                <w:szCs w:val="12"/>
                <w:b w:val="1"/>
                <w:bCs w:val="1"/>
                <w:color w:val="auto"/>
              </w:rPr>
              <w:t>Total</w:t>
            </w:r>
          </w:p>
        </w:tc>
        <w:tc>
          <w:tcPr>
            <w:tcW w:w="21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1"/>
        </w:trPr>
        <w:tc>
          <w:tcPr>
            <w:tcW w:w="4640" w:type="dxa"/>
            <w:vAlign w:val="bottom"/>
            <w:vMerge w:val="continue"/>
          </w:tcPr>
          <w:p>
            <w:pPr>
              <w:spacing w:after="0"/>
              <w:rPr>
                <w:sz w:val="12"/>
                <w:szCs w:val="12"/>
                <w:color w:val="auto"/>
              </w:rPr>
            </w:pPr>
          </w:p>
        </w:tc>
        <w:tc>
          <w:tcPr>
            <w:tcW w:w="2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2"/>
                <w:szCs w:val="12"/>
                <w:color w:val="auto"/>
              </w:rPr>
              <w:t>(72,448)</w:t>
            </w:r>
          </w:p>
        </w:tc>
        <w:tc>
          <w:tcPr>
            <w:tcW w:w="2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2"/>
                <w:szCs w:val="12"/>
                <w:color w:val="auto"/>
              </w:rPr>
              <w:t>(89,547)</w:t>
            </w: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2"/>
                <w:szCs w:val="12"/>
                <w:color w:val="auto"/>
              </w:rPr>
              <w:t>(219,278)</w:t>
            </w: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00" w:type="dxa"/>
            <w:vAlign w:val="bottom"/>
            <w:gridSpan w:val="2"/>
          </w:tcPr>
          <w:p>
            <w:pPr>
              <w:jc w:val="right"/>
              <w:ind w:right="80"/>
              <w:spacing w:after="0"/>
              <w:rPr>
                <w:sz w:val="20"/>
                <w:szCs w:val="20"/>
                <w:color w:val="auto"/>
              </w:rPr>
            </w:pPr>
            <w:r>
              <w:rPr>
                <w:rFonts w:ascii="Arial" w:cs="Arial" w:eastAsia="Arial" w:hAnsi="Arial"/>
                <w:sz w:val="12"/>
                <w:szCs w:val="12"/>
                <w:color w:val="auto"/>
              </w:rPr>
              <w:t>(220,924)</w:t>
            </w:r>
          </w:p>
        </w:tc>
        <w:tc>
          <w:tcPr>
            <w:tcW w:w="0" w:type="dxa"/>
            <w:vAlign w:val="bottom"/>
          </w:tcPr>
          <w:p>
            <w:pPr>
              <w:spacing w:after="0"/>
              <w:rPr>
                <w:sz w:val="1"/>
                <w:szCs w:val="1"/>
                <w:color w:val="auto"/>
              </w:rPr>
            </w:pPr>
          </w:p>
        </w:tc>
      </w:tr>
      <w:tr>
        <w:trPr>
          <w:trHeight w:val="20"/>
        </w:trPr>
        <w:tc>
          <w:tcPr>
            <w:tcW w:w="464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4640" w:type="dxa"/>
            <w:vAlign w:val="bottom"/>
            <w:shd w:val="clear" w:color="auto" w:fill="CCEEFF"/>
          </w:tcPr>
          <w:p>
            <w:pPr>
              <w:spacing w:after="0"/>
              <w:rPr>
                <w:sz w:val="20"/>
                <w:szCs w:val="20"/>
                <w:color w:val="auto"/>
              </w:rPr>
            </w:pPr>
            <w:r>
              <w:rPr>
                <w:rFonts w:ascii="Arial" w:cs="Arial" w:eastAsia="Arial" w:hAnsi="Arial"/>
                <w:sz w:val="12"/>
                <w:szCs w:val="12"/>
                <w:b w:val="1"/>
                <w:bCs w:val="1"/>
                <w:color w:val="auto"/>
              </w:rPr>
              <w:t>Income before income taxes</w:t>
            </w:r>
          </w:p>
        </w:tc>
        <w:tc>
          <w:tcPr>
            <w:tcW w:w="2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260"/>
              <w:spacing w:after="0"/>
              <w:rPr>
                <w:sz w:val="20"/>
                <w:szCs w:val="20"/>
                <w:color w:val="auto"/>
              </w:rPr>
            </w:pPr>
            <w:r>
              <w:rPr>
                <w:rFonts w:ascii="Arial" w:cs="Arial" w:eastAsia="Arial" w:hAnsi="Arial"/>
                <w:sz w:val="12"/>
                <w:szCs w:val="12"/>
                <w:color w:val="auto"/>
              </w:rPr>
              <w:t>241,530</w:t>
            </w:r>
          </w:p>
        </w:tc>
        <w:tc>
          <w:tcPr>
            <w:tcW w:w="2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157,545</w:t>
            </w:r>
          </w:p>
        </w:tc>
        <w:tc>
          <w:tcPr>
            <w:tcW w:w="2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702,372</w:t>
            </w:r>
          </w:p>
        </w:tc>
        <w:tc>
          <w:tcPr>
            <w:tcW w:w="2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550,390</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4640" w:type="dxa"/>
            <w:vAlign w:val="bottom"/>
          </w:tcPr>
          <w:p>
            <w:pPr>
              <w:ind w:left="280"/>
              <w:spacing w:after="0"/>
              <w:rPr>
                <w:sz w:val="20"/>
                <w:szCs w:val="20"/>
                <w:color w:val="auto"/>
              </w:rPr>
            </w:pPr>
            <w:r>
              <w:rPr>
                <w:rFonts w:ascii="Arial" w:cs="Arial" w:eastAsia="Arial" w:hAnsi="Arial"/>
                <w:sz w:val="12"/>
                <w:szCs w:val="12"/>
                <w:color w:val="auto"/>
              </w:rPr>
              <w:t>Benefit for income taxes</w:t>
            </w:r>
          </w:p>
        </w:tc>
        <w:tc>
          <w:tcPr>
            <w:tcW w:w="2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80" w:type="dxa"/>
            <w:vAlign w:val="bottom"/>
            <w:gridSpan w:val="2"/>
          </w:tcPr>
          <w:p>
            <w:pPr>
              <w:jc w:val="right"/>
              <w:ind w:right="260"/>
              <w:spacing w:after="0"/>
              <w:rPr>
                <w:sz w:val="20"/>
                <w:szCs w:val="20"/>
                <w:color w:val="auto"/>
              </w:rPr>
            </w:pPr>
            <w:r>
              <w:rPr>
                <w:rFonts w:ascii="Arial" w:cs="Arial" w:eastAsia="Arial" w:hAnsi="Arial"/>
                <w:sz w:val="12"/>
                <w:szCs w:val="12"/>
                <w:color w:val="auto"/>
              </w:rPr>
              <w:t>7,281</w:t>
            </w:r>
          </w:p>
        </w:tc>
        <w:tc>
          <w:tcPr>
            <w:tcW w:w="2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Arial" w:cs="Arial" w:eastAsia="Arial" w:hAnsi="Arial"/>
                <w:sz w:val="12"/>
                <w:szCs w:val="12"/>
                <w:color w:val="auto"/>
              </w:rPr>
              <w:t>7,626</w:t>
            </w: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11,299</w:t>
            </w: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2"/>
                <w:szCs w:val="12"/>
                <w:color w:val="auto"/>
              </w:rPr>
              <w:t>12,483</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464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4640" w:type="dxa"/>
            <w:vAlign w:val="bottom"/>
            <w:shd w:val="clear" w:color="auto" w:fill="CCEEFF"/>
          </w:tcPr>
          <w:p>
            <w:pPr>
              <w:spacing w:after="0"/>
              <w:rPr>
                <w:sz w:val="20"/>
                <w:szCs w:val="20"/>
                <w:color w:val="auto"/>
              </w:rPr>
            </w:pPr>
            <w:r>
              <w:rPr>
                <w:rFonts w:ascii="Arial" w:cs="Arial" w:eastAsia="Arial" w:hAnsi="Arial"/>
                <w:sz w:val="12"/>
                <w:szCs w:val="12"/>
                <w:b w:val="1"/>
                <w:bCs w:val="1"/>
                <w:color w:val="auto"/>
              </w:rPr>
              <w:t>Net income</w:t>
            </w:r>
          </w:p>
        </w:tc>
        <w:tc>
          <w:tcPr>
            <w:tcW w:w="2120" w:type="dxa"/>
            <w:vAlign w:val="bottom"/>
            <w:shd w:val="clear" w:color="auto" w:fill="CCEEFF"/>
          </w:tcPr>
          <w:p>
            <w:pPr>
              <w:spacing w:after="0"/>
              <w:rPr>
                <w:sz w:val="12"/>
                <w:szCs w:val="12"/>
                <w:color w:val="auto"/>
              </w:rPr>
            </w:pPr>
          </w:p>
        </w:tc>
        <w:tc>
          <w:tcPr>
            <w:tcW w:w="180" w:type="dxa"/>
            <w:vAlign w:val="bottom"/>
            <w:shd w:val="clear" w:color="auto" w:fill="CCEEFF"/>
          </w:tcPr>
          <w:p>
            <w:pPr>
              <w:jc w:val="right"/>
              <w:ind w:right="73"/>
              <w:spacing w:after="0"/>
              <w:rPr>
                <w:sz w:val="20"/>
                <w:szCs w:val="20"/>
                <w:color w:val="auto"/>
              </w:rPr>
            </w:pPr>
            <w:r>
              <w:rPr>
                <w:rFonts w:ascii="Arial" w:cs="Arial" w:eastAsia="Arial" w:hAnsi="Arial"/>
                <w:sz w:val="9"/>
                <w:szCs w:val="9"/>
                <w:color w:val="auto"/>
                <w:w w:val="78"/>
              </w:rPr>
              <w:t>$</w:t>
            </w:r>
          </w:p>
        </w:tc>
        <w:tc>
          <w:tcPr>
            <w:tcW w:w="880" w:type="dxa"/>
            <w:vAlign w:val="bottom"/>
            <w:gridSpan w:val="2"/>
            <w:shd w:val="clear" w:color="auto" w:fill="CCEEFF"/>
          </w:tcPr>
          <w:p>
            <w:pPr>
              <w:jc w:val="right"/>
              <w:ind w:right="260"/>
              <w:spacing w:after="0"/>
              <w:rPr>
                <w:sz w:val="20"/>
                <w:szCs w:val="20"/>
                <w:color w:val="auto"/>
              </w:rPr>
            </w:pPr>
            <w:r>
              <w:rPr>
                <w:rFonts w:ascii="Arial" w:cs="Arial" w:eastAsia="Arial" w:hAnsi="Arial"/>
                <w:sz w:val="12"/>
                <w:szCs w:val="12"/>
                <w:color w:val="auto"/>
              </w:rPr>
              <w:t>248,811</w:t>
            </w:r>
          </w:p>
        </w:tc>
        <w:tc>
          <w:tcPr>
            <w:tcW w:w="44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165,171</w:t>
            </w:r>
          </w:p>
        </w:tc>
        <w:tc>
          <w:tcPr>
            <w:tcW w:w="240" w:type="dxa"/>
            <w:vAlign w:val="bottom"/>
            <w:shd w:val="clear" w:color="auto" w:fill="CCEEFF"/>
          </w:tcPr>
          <w:p>
            <w:pPr>
              <w:spacing w:after="0"/>
              <w:rPr>
                <w:sz w:val="12"/>
                <w:szCs w:val="12"/>
                <w:color w:val="auto"/>
              </w:rPr>
            </w:pPr>
          </w:p>
        </w:tc>
        <w:tc>
          <w:tcPr>
            <w:tcW w:w="40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713,671</w:t>
            </w:r>
          </w:p>
        </w:tc>
        <w:tc>
          <w:tcPr>
            <w:tcW w:w="240" w:type="dxa"/>
            <w:vAlign w:val="bottom"/>
            <w:shd w:val="clear" w:color="auto" w:fill="CCEEFF"/>
          </w:tcPr>
          <w:p>
            <w:pPr>
              <w:spacing w:after="0"/>
              <w:rPr>
                <w:sz w:val="12"/>
                <w:szCs w:val="12"/>
                <w:color w:val="auto"/>
              </w:rPr>
            </w:pPr>
          </w:p>
        </w:tc>
        <w:tc>
          <w:tcPr>
            <w:tcW w:w="46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562,873</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7"/>
        </w:trPr>
        <w:tc>
          <w:tcPr>
            <w:tcW w:w="4640" w:type="dxa"/>
            <w:vAlign w:val="bottom"/>
          </w:tcPr>
          <w:p>
            <w:pPr>
              <w:spacing w:after="0"/>
              <w:rPr>
                <w:sz w:val="2"/>
                <w:szCs w:val="2"/>
                <w:color w:val="auto"/>
              </w:rPr>
            </w:pPr>
          </w:p>
        </w:tc>
        <w:tc>
          <w:tcPr>
            <w:tcW w:w="21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38" w:lineRule="exact"/>
        <w:rPr>
          <w:sz w:val="20"/>
          <w:szCs w:val="20"/>
          <w:color w:val="auto"/>
        </w:rPr>
      </w:pPr>
    </w:p>
    <w:p>
      <w:pPr>
        <w:ind w:left="468" w:right="60" w:hanging="468"/>
        <w:spacing w:after="0" w:line="354" w:lineRule="auto"/>
        <w:tabs>
          <w:tab w:leader="none" w:pos="468" w:val="left"/>
        </w:tabs>
        <w:numPr>
          <w:ilvl w:val="0"/>
          <w:numId w:val="14"/>
        </w:numPr>
        <w:rPr>
          <w:rFonts w:ascii="Arial" w:cs="Arial" w:eastAsia="Arial" w:hAnsi="Arial"/>
          <w:sz w:val="9"/>
          <w:szCs w:val="9"/>
          <w:color w:val="auto"/>
        </w:rPr>
      </w:pPr>
      <w:r>
        <w:rPr>
          <w:rFonts w:ascii="Arial" w:cs="Arial" w:eastAsia="Arial" w:hAnsi="Arial"/>
          <w:sz w:val="9"/>
          <w:szCs w:val="9"/>
          <w:color w:val="auto"/>
        </w:rPr>
        <w:t>“Adjusted Property EBITDA” is earnings before interest, taxes, depreciation, amortization, pre-opening costs, property charges and other, corporate expenses, intercompany golf course and water rights leases, stock-based compensation, and other non-operating income and expenses and includes equity in income from unconsolidated affiliates. Adjusted Property EBITDA is presented exclusively as a supplemental disclosure because management believes that it is widely used to measure the performance, and as a basis for valuation, of gaming companies. Management uses Adjusted Property EBITDA as a measure of the operating performance of its segments and to compare the operating performance of its properties with those of its competitors. The Company also presents Adjusted Property EBITDA because it is used by some investors as a way to measure a company’s ability to incur and service debt, make capital expenditures and meet working capital requirements. Gaming companies have historically reported EBITDA as a supplement to financial measures in accordance with U.S. generally accepted accounting principles (“GAAP”). In order to view the operations of their casinos on a more stand-alone basis, gaming companies, including Wynn Resorts, Limited, have historically excluded from their EBITDA calculations pre-opening expenses, property charges, corporate expenses and stock-based compensation that do not relate to the management of specific casino properties. However, Adjusted Property EBITDA should not be considered as an alternative</w:t>
      </w:r>
    </w:p>
    <w:p>
      <w:pPr>
        <w:spacing w:after="0" w:line="192" w:lineRule="exact"/>
        <w:rPr>
          <w:sz w:val="20"/>
          <w:szCs w:val="20"/>
          <w:color w:val="auto"/>
        </w:rPr>
      </w:pPr>
    </w:p>
    <w:p>
      <w:pPr>
        <w:jc w:val="center"/>
        <w:ind w:right="-7"/>
        <w:spacing w:after="0"/>
        <w:rPr>
          <w:sz w:val="20"/>
          <w:szCs w:val="20"/>
          <w:color w:val="auto"/>
        </w:rPr>
      </w:pPr>
      <w:r>
        <w:rPr>
          <w:rFonts w:ascii="Arial" w:cs="Arial" w:eastAsia="Arial" w:hAnsi="Arial"/>
          <w:sz w:val="12"/>
          <w:szCs w:val="12"/>
          <w:color w:val="auto"/>
        </w:rPr>
        <w:t>31</w:t>
      </w:r>
    </w:p>
    <w:p>
      <w:pPr>
        <w:sectPr>
          <w:pgSz w:w="11900" w:h="16838" w:orient="portrait"/>
          <w:cols w:equalWidth="0" w:num="1">
            <w:col w:w="11488"/>
          </w:cols>
          <w:pgMar w:left="212" w:top="354" w:right="199" w:bottom="1440" w:gutter="0" w:footer="0" w:header="0"/>
        </w:sectPr>
      </w:pPr>
    </w:p>
    <w:bookmarkStart w:id="31" w:name="page32"/>
    <w:bookmarkEnd w:id="31"/>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121920</wp:posOffset>
            </wp:positionH>
            <wp:positionV relativeFrom="page">
              <wp:posOffset>88900</wp:posOffset>
            </wp:positionV>
            <wp:extent cx="7329170" cy="298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329170" cy="29845"/>
                    </a:xfrm>
                    <a:prstGeom prst="rect">
                      <a:avLst/>
                    </a:prstGeom>
                    <a:noFill/>
                  </pic:spPr>
                </pic:pic>
              </a:graphicData>
            </a:graphic>
          </wp:anchor>
        </w:drawing>
      </w:r>
      <w:hyperlink w:anchor="page2">
        <w:r>
          <w:rPr>
            <w:rFonts w:ascii="Arial" w:cs="Arial" w:eastAsia="Arial" w:hAnsi="Arial"/>
            <w:sz w:val="12"/>
            <w:szCs w:val="12"/>
            <w:b w:val="1"/>
            <w:bCs w:val="1"/>
            <w:u w:val="single" w:color="auto"/>
            <w:color w:val="0000EE"/>
          </w:rPr>
          <w:t>Table of Contents</w:t>
        </w:r>
      </w:hyperlink>
    </w:p>
    <w:p>
      <w:pPr>
        <w:spacing w:after="0" w:line="209" w:lineRule="exact"/>
        <w:rPr>
          <w:sz w:val="20"/>
          <w:szCs w:val="20"/>
          <w:color w:val="auto"/>
        </w:rPr>
      </w:pPr>
    </w:p>
    <w:p>
      <w:pPr>
        <w:ind w:left="460"/>
        <w:spacing w:after="0" w:line="287" w:lineRule="auto"/>
        <w:rPr>
          <w:sz w:val="20"/>
          <w:szCs w:val="20"/>
          <w:color w:val="auto"/>
        </w:rPr>
      </w:pPr>
      <w:r>
        <w:rPr>
          <w:rFonts w:ascii="Arial" w:cs="Arial" w:eastAsia="Arial" w:hAnsi="Arial"/>
          <w:sz w:val="11"/>
          <w:szCs w:val="11"/>
          <w:color w:val="auto"/>
        </w:rPr>
        <w:t>to operating income as an indicator of the Company’s performance, as an alternative to cash flows from operating activities as a measure of liquidity, or as an alternative to any other measure determined in accordance with GAAP. Unlike net income, Adjusted Property EBITDA does not include depreciation or interest expense and therefore does not reflect current or future capital expenditures or the cost of capital. The Company has significant uses of cash flows, including capital expenditures, interest payments, debt principal repayments, taxes and other non-recurring charges, which are not reflected in Adjusted Property EBITDA. Also, Wynn Resorts’ calculation of Adjusted Property EBITDA may be different from the calculation methods used by other companies and, therefore, comparability may be limited.</w:t>
      </w:r>
    </w:p>
    <w:p>
      <w:pPr>
        <w:spacing w:after="0" w:line="159"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18. Subsequent Events</w:t>
      </w:r>
    </w:p>
    <w:p>
      <w:pPr>
        <w:spacing w:after="0" w:line="62" w:lineRule="exact"/>
        <w:rPr>
          <w:sz w:val="20"/>
          <w:szCs w:val="20"/>
          <w:color w:val="auto"/>
        </w:rPr>
      </w:pPr>
    </w:p>
    <w:p>
      <w:pPr>
        <w:ind w:firstLine="459"/>
        <w:spacing w:after="0" w:line="268" w:lineRule="auto"/>
        <w:rPr>
          <w:sz w:val="20"/>
          <w:szCs w:val="20"/>
          <w:color w:val="auto"/>
        </w:rPr>
      </w:pPr>
      <w:r>
        <w:rPr>
          <w:rFonts w:ascii="Arial" w:cs="Arial" w:eastAsia="Arial" w:hAnsi="Arial"/>
          <w:sz w:val="12"/>
          <w:szCs w:val="12"/>
          <w:color w:val="auto"/>
        </w:rPr>
        <w:t>On October 24, 2013 the Company announced a cash dividend of $1.00 per share, payable on November 21, 2013 to stockholders of record as of November 7, 2013. On November 5, 2013 the Company announced a cash dividend of $3.00 per share payable on December 6, 2013 to stockholders of record on November 20, 2013.</w:t>
      </w:r>
    </w:p>
    <w:p>
      <w:pPr>
        <w:spacing w:after="0" w:line="79" w:lineRule="exact"/>
        <w:rPr>
          <w:sz w:val="20"/>
          <w:szCs w:val="20"/>
          <w:color w:val="auto"/>
        </w:rPr>
      </w:pPr>
    </w:p>
    <w:p>
      <w:pPr>
        <w:jc w:val="center"/>
        <w:ind w:right="-119"/>
        <w:spacing w:after="0"/>
        <w:rPr>
          <w:sz w:val="20"/>
          <w:szCs w:val="20"/>
          <w:color w:val="auto"/>
        </w:rPr>
      </w:pPr>
      <w:r>
        <w:rPr>
          <w:rFonts w:ascii="Arial" w:cs="Arial" w:eastAsia="Arial" w:hAnsi="Arial"/>
          <w:sz w:val="12"/>
          <w:szCs w:val="12"/>
          <w:color w:val="auto"/>
        </w:rPr>
        <w:t>32</w:t>
      </w:r>
    </w:p>
    <w:p>
      <w:pPr>
        <w:sectPr>
          <w:pgSz w:w="11900" w:h="16838" w:orient="portrait"/>
          <w:cols w:equalWidth="0" w:num="1">
            <w:col w:w="11340"/>
          </w:cols>
          <w:pgMar w:left="220" w:top="354" w:right="339" w:bottom="1440" w:gutter="0" w:footer="0" w:header="0"/>
        </w:sectPr>
      </w:pPr>
    </w:p>
    <w:bookmarkStart w:id="32" w:name="page33"/>
    <w:bookmarkEnd w:id="32"/>
    <w:p>
      <w:pPr>
        <w:ind w:left="8"/>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121920</wp:posOffset>
            </wp:positionH>
            <wp:positionV relativeFrom="page">
              <wp:posOffset>88900</wp:posOffset>
            </wp:positionV>
            <wp:extent cx="7329170" cy="298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329170" cy="29845"/>
                    </a:xfrm>
                    <a:prstGeom prst="rect">
                      <a:avLst/>
                    </a:prstGeom>
                    <a:noFill/>
                  </pic:spPr>
                </pic:pic>
              </a:graphicData>
            </a:graphic>
          </wp:anchor>
        </w:drawing>
      </w:r>
      <w:hyperlink w:anchor="page2">
        <w:r>
          <w:rPr>
            <w:rFonts w:ascii="Arial" w:cs="Arial" w:eastAsia="Arial" w:hAnsi="Arial"/>
            <w:sz w:val="12"/>
            <w:szCs w:val="12"/>
            <w:b w:val="1"/>
            <w:bCs w:val="1"/>
            <w:u w:val="single" w:color="auto"/>
            <w:color w:val="0000EE"/>
          </w:rPr>
          <w:t>Table of Contents</w:t>
        </w:r>
      </w:hyperlink>
    </w:p>
    <w:p>
      <w:pPr>
        <w:spacing w:after="0" w:line="207" w:lineRule="exact"/>
        <w:rPr>
          <w:sz w:val="20"/>
          <w:szCs w:val="20"/>
          <w:color w:val="auto"/>
        </w:rPr>
      </w:pPr>
    </w:p>
    <w:p>
      <w:pPr>
        <w:ind w:left="8"/>
        <w:spacing w:after="0"/>
        <w:rPr>
          <w:sz w:val="20"/>
          <w:szCs w:val="20"/>
          <w:color w:val="auto"/>
        </w:rPr>
      </w:pPr>
      <w:r>
        <w:rPr>
          <w:rFonts w:ascii="Arial" w:cs="Arial" w:eastAsia="Arial" w:hAnsi="Arial"/>
          <w:sz w:val="12"/>
          <w:szCs w:val="12"/>
          <w:b w:val="1"/>
          <w:bCs w:val="1"/>
          <w:color w:val="auto"/>
        </w:rPr>
        <w:t>Item 2. Management’s Discussion and Analysis of Financial Condition and Results of Operations</w:t>
      </w:r>
    </w:p>
    <w:p>
      <w:pPr>
        <w:spacing w:after="0" w:line="62" w:lineRule="exact"/>
        <w:rPr>
          <w:sz w:val="20"/>
          <w:szCs w:val="20"/>
          <w:color w:val="auto"/>
        </w:rPr>
      </w:pPr>
    </w:p>
    <w:p>
      <w:pPr>
        <w:ind w:left="8" w:firstLine="459"/>
        <w:spacing w:after="0" w:line="314" w:lineRule="auto"/>
        <w:rPr>
          <w:sz w:val="20"/>
          <w:szCs w:val="20"/>
          <w:color w:val="auto"/>
        </w:rPr>
      </w:pPr>
      <w:r>
        <w:rPr>
          <w:rFonts w:ascii="Arial" w:cs="Arial" w:eastAsia="Arial" w:hAnsi="Arial"/>
          <w:sz w:val="11"/>
          <w:szCs w:val="11"/>
          <w:color w:val="auto"/>
        </w:rPr>
        <w:t>The following discussion should be read in conjunction with, and is qualified in its entirety by, the condensed consolidated financial statements and the notes thereto included elsewhere in this Quarterly Report on Form 10-Q. Unless the context otherwise requires, all references herein to the “Company,” “we,” “us” or “our,” or similar terms, refer to Wynn Resorts, Limited, a Nevada corporation, and its consolidated subsidiaries.</w:t>
      </w:r>
    </w:p>
    <w:p>
      <w:pPr>
        <w:spacing w:after="0" w:line="117" w:lineRule="exact"/>
        <w:rPr>
          <w:sz w:val="20"/>
          <w:szCs w:val="20"/>
          <w:color w:val="auto"/>
        </w:rPr>
      </w:pPr>
    </w:p>
    <w:p>
      <w:pPr>
        <w:ind w:left="8"/>
        <w:spacing w:after="0"/>
        <w:rPr>
          <w:sz w:val="20"/>
          <w:szCs w:val="20"/>
          <w:color w:val="auto"/>
        </w:rPr>
      </w:pPr>
      <w:r>
        <w:rPr>
          <w:rFonts w:ascii="Arial" w:cs="Arial" w:eastAsia="Arial" w:hAnsi="Arial"/>
          <w:sz w:val="12"/>
          <w:szCs w:val="12"/>
          <w:b w:val="1"/>
          <w:bCs w:val="1"/>
          <w:color w:val="auto"/>
        </w:rPr>
        <w:t>Forward-Looking Statements</w:t>
      </w:r>
    </w:p>
    <w:p>
      <w:pPr>
        <w:spacing w:after="0" w:line="62" w:lineRule="exact"/>
        <w:rPr>
          <w:sz w:val="20"/>
          <w:szCs w:val="20"/>
          <w:color w:val="auto"/>
        </w:rPr>
      </w:pPr>
    </w:p>
    <w:p>
      <w:pPr>
        <w:ind w:left="8" w:right="60" w:firstLine="459"/>
        <w:spacing w:after="0" w:line="259" w:lineRule="auto"/>
        <w:rPr>
          <w:sz w:val="20"/>
          <w:szCs w:val="20"/>
          <w:color w:val="auto"/>
        </w:rPr>
      </w:pPr>
      <w:r>
        <w:rPr>
          <w:rFonts w:ascii="Arial" w:cs="Arial" w:eastAsia="Arial" w:hAnsi="Arial"/>
          <w:sz w:val="12"/>
          <w:szCs w:val="12"/>
          <w:color w:val="auto"/>
        </w:rPr>
        <w:t>We make forward-looking statements in this Quarterly Report on Form 10-Q based upon the beliefs and assumptions of our management and on information currently available to us. Forward-looking statements include, but are not limited to, information about our business strategy, development activities, competition and possible or assumed future results of operations, throughout this report and are often preceded by, followed by or include the words “may,” “will,” “should,” “would,” “could,” “believe,” “expect,” “anticipate,” “estimate,” “intend,” “plan,” “continue” or the negative of these terms or similar expressions.</w:t>
      </w:r>
    </w:p>
    <w:p>
      <w:pPr>
        <w:spacing w:after="0" w:line="94" w:lineRule="exact"/>
        <w:rPr>
          <w:sz w:val="20"/>
          <w:szCs w:val="20"/>
          <w:color w:val="auto"/>
        </w:rPr>
      </w:pPr>
    </w:p>
    <w:p>
      <w:pPr>
        <w:ind w:left="468"/>
        <w:spacing w:after="0"/>
        <w:rPr>
          <w:sz w:val="20"/>
          <w:szCs w:val="20"/>
          <w:color w:val="auto"/>
        </w:rPr>
      </w:pPr>
      <w:r>
        <w:rPr>
          <w:rFonts w:ascii="Arial" w:cs="Arial" w:eastAsia="Arial" w:hAnsi="Arial"/>
          <w:sz w:val="9"/>
          <w:szCs w:val="9"/>
          <w:color w:val="auto"/>
        </w:rPr>
        <w:t>Forward-looking statements are subject to a number of risks and uncertainties that could cause actual results to differ materially from those we express in these forward-looking statements. These include the risks and uncertainties in</w:t>
      </w:r>
    </w:p>
    <w:p>
      <w:pPr>
        <w:spacing w:after="0" w:line="45" w:lineRule="exact"/>
        <w:rPr>
          <w:sz w:val="20"/>
          <w:szCs w:val="20"/>
          <w:color w:val="auto"/>
        </w:rPr>
      </w:pPr>
    </w:p>
    <w:p>
      <w:pPr>
        <w:ind w:left="8"/>
        <w:spacing w:after="0"/>
        <w:rPr>
          <w:sz w:val="20"/>
          <w:szCs w:val="20"/>
          <w:color w:val="auto"/>
        </w:rPr>
      </w:pPr>
      <w:r>
        <w:rPr>
          <w:rFonts w:ascii="Arial" w:cs="Arial" w:eastAsia="Arial" w:hAnsi="Arial"/>
          <w:sz w:val="12"/>
          <w:szCs w:val="12"/>
          <w:color w:val="auto"/>
        </w:rPr>
        <w:t>Item 1A – Risk Factors and other risk factors we describe from time to time in our periodic filings with the SEC as well as the following:</w:t>
      </w:r>
    </w:p>
    <w:p>
      <w:pPr>
        <w:spacing w:after="0" w:line="56" w:lineRule="exact"/>
        <w:rPr>
          <w:sz w:val="20"/>
          <w:szCs w:val="20"/>
          <w:color w:val="auto"/>
        </w:rPr>
      </w:pPr>
    </w:p>
    <w:p>
      <w:pPr>
        <w:ind w:left="448" w:hanging="448"/>
        <w:spacing w:after="0"/>
        <w:tabs>
          <w:tab w:leader="none" w:pos="448" w:val="left"/>
        </w:tabs>
        <w:numPr>
          <w:ilvl w:val="0"/>
          <w:numId w:val="15"/>
        </w:numPr>
        <w:rPr>
          <w:rFonts w:ascii="Arial" w:cs="Arial" w:eastAsia="Arial" w:hAnsi="Arial"/>
          <w:sz w:val="12"/>
          <w:szCs w:val="12"/>
          <w:color w:val="auto"/>
        </w:rPr>
      </w:pPr>
      <w:r>
        <w:rPr>
          <w:rFonts w:ascii="Arial" w:cs="Arial" w:eastAsia="Arial" w:hAnsi="Arial"/>
          <w:sz w:val="12"/>
          <w:szCs w:val="12"/>
          <w:color w:val="auto"/>
        </w:rPr>
        <w:t>our dependence on Stephen A. Wynn and existing management;</w:t>
      </w:r>
    </w:p>
    <w:p>
      <w:pPr>
        <w:spacing w:after="0" w:line="60" w:lineRule="exact"/>
        <w:rPr>
          <w:rFonts w:ascii="Arial" w:cs="Arial" w:eastAsia="Arial" w:hAnsi="Arial"/>
          <w:sz w:val="12"/>
          <w:szCs w:val="12"/>
          <w:color w:val="auto"/>
        </w:rPr>
      </w:pPr>
    </w:p>
    <w:p>
      <w:pPr>
        <w:ind w:left="448" w:hanging="448"/>
        <w:spacing w:after="0"/>
        <w:tabs>
          <w:tab w:leader="none" w:pos="448" w:val="left"/>
        </w:tabs>
        <w:numPr>
          <w:ilvl w:val="0"/>
          <w:numId w:val="15"/>
        </w:numPr>
        <w:rPr>
          <w:rFonts w:ascii="Arial" w:cs="Arial" w:eastAsia="Arial" w:hAnsi="Arial"/>
          <w:sz w:val="12"/>
          <w:szCs w:val="12"/>
          <w:color w:val="auto"/>
        </w:rPr>
      </w:pPr>
      <w:r>
        <w:rPr>
          <w:rFonts w:ascii="Arial" w:cs="Arial" w:eastAsia="Arial" w:hAnsi="Arial"/>
          <w:sz w:val="12"/>
          <w:szCs w:val="12"/>
          <w:color w:val="auto"/>
        </w:rPr>
        <w:t>regulatory or enforcement actions and probity investigations;</w:t>
      </w:r>
    </w:p>
    <w:p>
      <w:pPr>
        <w:spacing w:after="0" w:line="60" w:lineRule="exact"/>
        <w:rPr>
          <w:rFonts w:ascii="Arial" w:cs="Arial" w:eastAsia="Arial" w:hAnsi="Arial"/>
          <w:sz w:val="12"/>
          <w:szCs w:val="12"/>
          <w:color w:val="auto"/>
        </w:rPr>
      </w:pPr>
    </w:p>
    <w:p>
      <w:pPr>
        <w:ind w:left="448" w:hanging="448"/>
        <w:spacing w:after="0"/>
        <w:tabs>
          <w:tab w:leader="none" w:pos="448" w:val="left"/>
        </w:tabs>
        <w:numPr>
          <w:ilvl w:val="0"/>
          <w:numId w:val="15"/>
        </w:numPr>
        <w:rPr>
          <w:rFonts w:ascii="Arial" w:cs="Arial" w:eastAsia="Arial" w:hAnsi="Arial"/>
          <w:sz w:val="12"/>
          <w:szCs w:val="12"/>
          <w:color w:val="auto"/>
        </w:rPr>
      </w:pPr>
      <w:r>
        <w:rPr>
          <w:rFonts w:ascii="Arial" w:cs="Arial" w:eastAsia="Arial" w:hAnsi="Arial"/>
          <w:sz w:val="12"/>
          <w:szCs w:val="12"/>
          <w:color w:val="auto"/>
        </w:rPr>
        <w:t>pending or future legal proceedings;</w:t>
      </w:r>
    </w:p>
    <w:p>
      <w:pPr>
        <w:spacing w:after="0" w:line="60" w:lineRule="exact"/>
        <w:rPr>
          <w:rFonts w:ascii="Arial" w:cs="Arial" w:eastAsia="Arial" w:hAnsi="Arial"/>
          <w:sz w:val="12"/>
          <w:szCs w:val="12"/>
          <w:color w:val="auto"/>
        </w:rPr>
      </w:pPr>
    </w:p>
    <w:p>
      <w:pPr>
        <w:ind w:left="448" w:hanging="448"/>
        <w:spacing w:after="0"/>
        <w:tabs>
          <w:tab w:leader="none" w:pos="448" w:val="left"/>
        </w:tabs>
        <w:numPr>
          <w:ilvl w:val="0"/>
          <w:numId w:val="15"/>
        </w:numPr>
        <w:rPr>
          <w:rFonts w:ascii="Arial" w:cs="Arial" w:eastAsia="Arial" w:hAnsi="Arial"/>
          <w:sz w:val="12"/>
          <w:szCs w:val="12"/>
          <w:color w:val="auto"/>
        </w:rPr>
      </w:pPr>
      <w:r>
        <w:rPr>
          <w:rFonts w:ascii="Arial" w:cs="Arial" w:eastAsia="Arial" w:hAnsi="Arial"/>
          <w:sz w:val="12"/>
          <w:szCs w:val="12"/>
          <w:color w:val="auto"/>
        </w:rPr>
        <w:t>decreases in levels of travel, leisure and consumer spending;</w:t>
      </w:r>
    </w:p>
    <w:p>
      <w:pPr>
        <w:spacing w:after="0" w:line="60" w:lineRule="exact"/>
        <w:rPr>
          <w:rFonts w:ascii="Arial" w:cs="Arial" w:eastAsia="Arial" w:hAnsi="Arial"/>
          <w:sz w:val="12"/>
          <w:szCs w:val="12"/>
          <w:color w:val="auto"/>
        </w:rPr>
      </w:pPr>
    </w:p>
    <w:p>
      <w:pPr>
        <w:ind w:left="448" w:hanging="448"/>
        <w:spacing w:after="0"/>
        <w:tabs>
          <w:tab w:leader="none" w:pos="448" w:val="left"/>
        </w:tabs>
        <w:numPr>
          <w:ilvl w:val="0"/>
          <w:numId w:val="15"/>
        </w:numPr>
        <w:rPr>
          <w:rFonts w:ascii="Arial" w:cs="Arial" w:eastAsia="Arial" w:hAnsi="Arial"/>
          <w:sz w:val="12"/>
          <w:szCs w:val="12"/>
          <w:color w:val="auto"/>
        </w:rPr>
      </w:pPr>
      <w:r>
        <w:rPr>
          <w:rFonts w:ascii="Arial" w:cs="Arial" w:eastAsia="Arial" w:hAnsi="Arial"/>
          <w:sz w:val="12"/>
          <w:szCs w:val="12"/>
          <w:color w:val="auto"/>
        </w:rPr>
        <w:t>continued high unemployment;</w:t>
      </w:r>
    </w:p>
    <w:p>
      <w:pPr>
        <w:spacing w:after="0" w:line="60" w:lineRule="exact"/>
        <w:rPr>
          <w:rFonts w:ascii="Arial" w:cs="Arial" w:eastAsia="Arial" w:hAnsi="Arial"/>
          <w:sz w:val="12"/>
          <w:szCs w:val="12"/>
          <w:color w:val="auto"/>
        </w:rPr>
      </w:pPr>
    </w:p>
    <w:p>
      <w:pPr>
        <w:ind w:left="448" w:hanging="448"/>
        <w:spacing w:after="0"/>
        <w:tabs>
          <w:tab w:leader="none" w:pos="448" w:val="left"/>
        </w:tabs>
        <w:numPr>
          <w:ilvl w:val="0"/>
          <w:numId w:val="15"/>
        </w:numPr>
        <w:rPr>
          <w:rFonts w:ascii="Arial" w:cs="Arial" w:eastAsia="Arial" w:hAnsi="Arial"/>
          <w:sz w:val="12"/>
          <w:szCs w:val="12"/>
          <w:color w:val="auto"/>
        </w:rPr>
      </w:pPr>
      <w:r>
        <w:rPr>
          <w:rFonts w:ascii="Arial" w:cs="Arial" w:eastAsia="Arial" w:hAnsi="Arial"/>
          <w:sz w:val="12"/>
          <w:szCs w:val="12"/>
          <w:color w:val="auto"/>
        </w:rPr>
        <w:t>fluctuations in occupancy rates and average daily room rates;</w:t>
      </w:r>
    </w:p>
    <w:p>
      <w:pPr>
        <w:spacing w:after="0" w:line="60" w:lineRule="exact"/>
        <w:rPr>
          <w:rFonts w:ascii="Arial" w:cs="Arial" w:eastAsia="Arial" w:hAnsi="Arial"/>
          <w:sz w:val="12"/>
          <w:szCs w:val="12"/>
          <w:color w:val="auto"/>
        </w:rPr>
      </w:pPr>
    </w:p>
    <w:p>
      <w:pPr>
        <w:ind w:left="448" w:hanging="448"/>
        <w:spacing w:after="0"/>
        <w:tabs>
          <w:tab w:leader="none" w:pos="448" w:val="left"/>
        </w:tabs>
        <w:numPr>
          <w:ilvl w:val="0"/>
          <w:numId w:val="15"/>
        </w:numPr>
        <w:rPr>
          <w:rFonts w:ascii="Arial" w:cs="Arial" w:eastAsia="Arial" w:hAnsi="Arial"/>
          <w:sz w:val="12"/>
          <w:szCs w:val="12"/>
          <w:color w:val="auto"/>
        </w:rPr>
      </w:pPr>
      <w:r>
        <w:rPr>
          <w:rFonts w:ascii="Arial" w:cs="Arial" w:eastAsia="Arial" w:hAnsi="Arial"/>
          <w:sz w:val="12"/>
          <w:szCs w:val="12"/>
          <w:color w:val="auto"/>
        </w:rPr>
        <w:t>competition in the casino/hotel and resort industries and actions taken by our competitors;</w:t>
      </w:r>
    </w:p>
    <w:p>
      <w:pPr>
        <w:spacing w:after="0" w:line="60" w:lineRule="exact"/>
        <w:rPr>
          <w:rFonts w:ascii="Arial" w:cs="Arial" w:eastAsia="Arial" w:hAnsi="Arial"/>
          <w:sz w:val="12"/>
          <w:szCs w:val="12"/>
          <w:color w:val="auto"/>
        </w:rPr>
      </w:pPr>
    </w:p>
    <w:p>
      <w:pPr>
        <w:ind w:left="448" w:hanging="448"/>
        <w:spacing w:after="0"/>
        <w:tabs>
          <w:tab w:leader="none" w:pos="448" w:val="left"/>
        </w:tabs>
        <w:numPr>
          <w:ilvl w:val="0"/>
          <w:numId w:val="15"/>
        </w:numPr>
        <w:rPr>
          <w:rFonts w:ascii="Arial" w:cs="Arial" w:eastAsia="Arial" w:hAnsi="Arial"/>
          <w:sz w:val="12"/>
          <w:szCs w:val="12"/>
          <w:color w:val="auto"/>
        </w:rPr>
      </w:pPr>
      <w:r>
        <w:rPr>
          <w:rFonts w:ascii="Arial" w:cs="Arial" w:eastAsia="Arial" w:hAnsi="Arial"/>
          <w:sz w:val="12"/>
          <w:szCs w:val="12"/>
          <w:color w:val="auto"/>
        </w:rPr>
        <w:t>uncertainties over the development and success of new gaming and resort properties;</w:t>
      </w:r>
    </w:p>
    <w:p>
      <w:pPr>
        <w:spacing w:after="0" w:line="60" w:lineRule="exact"/>
        <w:rPr>
          <w:rFonts w:ascii="Arial" w:cs="Arial" w:eastAsia="Arial" w:hAnsi="Arial"/>
          <w:sz w:val="12"/>
          <w:szCs w:val="12"/>
          <w:color w:val="auto"/>
        </w:rPr>
      </w:pPr>
    </w:p>
    <w:p>
      <w:pPr>
        <w:ind w:left="448" w:hanging="448"/>
        <w:spacing w:after="0"/>
        <w:tabs>
          <w:tab w:leader="none" w:pos="448" w:val="left"/>
        </w:tabs>
        <w:numPr>
          <w:ilvl w:val="0"/>
          <w:numId w:val="15"/>
        </w:numPr>
        <w:rPr>
          <w:rFonts w:ascii="Arial" w:cs="Arial" w:eastAsia="Arial" w:hAnsi="Arial"/>
          <w:sz w:val="12"/>
          <w:szCs w:val="12"/>
          <w:color w:val="auto"/>
        </w:rPr>
      </w:pPr>
      <w:r>
        <w:rPr>
          <w:rFonts w:ascii="Arial" w:cs="Arial" w:eastAsia="Arial" w:hAnsi="Arial"/>
          <w:sz w:val="12"/>
          <w:szCs w:val="12"/>
          <w:color w:val="auto"/>
        </w:rPr>
        <w:t>new development and construction activities of competitors;</w:t>
      </w:r>
    </w:p>
    <w:p>
      <w:pPr>
        <w:spacing w:after="0" w:line="60" w:lineRule="exact"/>
        <w:rPr>
          <w:rFonts w:ascii="Arial" w:cs="Arial" w:eastAsia="Arial" w:hAnsi="Arial"/>
          <w:sz w:val="12"/>
          <w:szCs w:val="12"/>
          <w:color w:val="auto"/>
        </w:rPr>
      </w:pPr>
    </w:p>
    <w:p>
      <w:pPr>
        <w:ind w:left="448" w:hanging="448"/>
        <w:spacing w:after="0"/>
        <w:tabs>
          <w:tab w:leader="none" w:pos="448" w:val="left"/>
        </w:tabs>
        <w:numPr>
          <w:ilvl w:val="0"/>
          <w:numId w:val="15"/>
        </w:numPr>
        <w:rPr>
          <w:rFonts w:ascii="Arial" w:cs="Arial" w:eastAsia="Arial" w:hAnsi="Arial"/>
          <w:sz w:val="12"/>
          <w:szCs w:val="12"/>
          <w:color w:val="auto"/>
        </w:rPr>
      </w:pPr>
      <w:r>
        <w:rPr>
          <w:rFonts w:ascii="Arial" w:cs="Arial" w:eastAsia="Arial" w:hAnsi="Arial"/>
          <w:sz w:val="12"/>
          <w:szCs w:val="12"/>
          <w:color w:val="auto"/>
        </w:rPr>
        <w:t>our dependence on a limited number of resorts and locations for all of our cash flow;</w:t>
      </w:r>
    </w:p>
    <w:p>
      <w:pPr>
        <w:spacing w:after="0" w:line="60" w:lineRule="exact"/>
        <w:rPr>
          <w:rFonts w:ascii="Arial" w:cs="Arial" w:eastAsia="Arial" w:hAnsi="Arial"/>
          <w:sz w:val="12"/>
          <w:szCs w:val="12"/>
          <w:color w:val="auto"/>
        </w:rPr>
      </w:pPr>
    </w:p>
    <w:p>
      <w:pPr>
        <w:ind w:left="448" w:hanging="448"/>
        <w:spacing w:after="0"/>
        <w:tabs>
          <w:tab w:leader="none" w:pos="448" w:val="left"/>
        </w:tabs>
        <w:numPr>
          <w:ilvl w:val="0"/>
          <w:numId w:val="15"/>
        </w:numPr>
        <w:rPr>
          <w:rFonts w:ascii="Arial" w:cs="Arial" w:eastAsia="Arial" w:hAnsi="Arial"/>
          <w:sz w:val="12"/>
          <w:szCs w:val="12"/>
          <w:color w:val="auto"/>
        </w:rPr>
      </w:pPr>
      <w:r>
        <w:rPr>
          <w:rFonts w:ascii="Arial" w:cs="Arial" w:eastAsia="Arial" w:hAnsi="Arial"/>
          <w:sz w:val="12"/>
          <w:szCs w:val="12"/>
          <w:color w:val="auto"/>
        </w:rPr>
        <w:t>adverse tourism and trends reflecting current domestic and international economic conditions;</w:t>
      </w:r>
    </w:p>
    <w:p>
      <w:pPr>
        <w:spacing w:after="0" w:line="60" w:lineRule="exact"/>
        <w:rPr>
          <w:rFonts w:ascii="Arial" w:cs="Arial" w:eastAsia="Arial" w:hAnsi="Arial"/>
          <w:sz w:val="12"/>
          <w:szCs w:val="12"/>
          <w:color w:val="auto"/>
        </w:rPr>
      </w:pPr>
    </w:p>
    <w:p>
      <w:pPr>
        <w:ind w:left="448" w:hanging="448"/>
        <w:spacing w:after="0"/>
        <w:tabs>
          <w:tab w:leader="none" w:pos="448" w:val="left"/>
        </w:tabs>
        <w:numPr>
          <w:ilvl w:val="0"/>
          <w:numId w:val="15"/>
        </w:numPr>
        <w:rPr>
          <w:rFonts w:ascii="Arial" w:cs="Arial" w:eastAsia="Arial" w:hAnsi="Arial"/>
          <w:sz w:val="12"/>
          <w:szCs w:val="12"/>
          <w:color w:val="auto"/>
        </w:rPr>
      </w:pPr>
      <w:r>
        <w:rPr>
          <w:rFonts w:ascii="Arial" w:cs="Arial" w:eastAsia="Arial" w:hAnsi="Arial"/>
          <w:sz w:val="12"/>
          <w:szCs w:val="12"/>
          <w:color w:val="auto"/>
        </w:rPr>
        <w:t>general global macroeconomic conditions;</w:t>
      </w:r>
    </w:p>
    <w:p>
      <w:pPr>
        <w:spacing w:after="0" w:line="60" w:lineRule="exact"/>
        <w:rPr>
          <w:rFonts w:ascii="Arial" w:cs="Arial" w:eastAsia="Arial" w:hAnsi="Arial"/>
          <w:sz w:val="12"/>
          <w:szCs w:val="12"/>
          <w:color w:val="auto"/>
        </w:rPr>
      </w:pPr>
    </w:p>
    <w:p>
      <w:pPr>
        <w:ind w:left="448" w:hanging="448"/>
        <w:spacing w:after="0"/>
        <w:tabs>
          <w:tab w:leader="none" w:pos="448" w:val="left"/>
        </w:tabs>
        <w:numPr>
          <w:ilvl w:val="0"/>
          <w:numId w:val="15"/>
        </w:numPr>
        <w:rPr>
          <w:rFonts w:ascii="Arial" w:cs="Arial" w:eastAsia="Arial" w:hAnsi="Arial"/>
          <w:sz w:val="12"/>
          <w:szCs w:val="12"/>
          <w:color w:val="auto"/>
        </w:rPr>
      </w:pPr>
      <w:r>
        <w:rPr>
          <w:rFonts w:ascii="Arial" w:cs="Arial" w:eastAsia="Arial" w:hAnsi="Arial"/>
          <w:sz w:val="12"/>
          <w:szCs w:val="12"/>
          <w:color w:val="auto"/>
        </w:rPr>
        <w:t>doing business in foreign locations such as Macau (including the risks associated with developing gaming regulatory frameworks);</w:t>
      </w:r>
    </w:p>
    <w:p>
      <w:pPr>
        <w:spacing w:after="0" w:line="60" w:lineRule="exact"/>
        <w:rPr>
          <w:rFonts w:ascii="Arial" w:cs="Arial" w:eastAsia="Arial" w:hAnsi="Arial"/>
          <w:sz w:val="12"/>
          <w:szCs w:val="12"/>
          <w:color w:val="auto"/>
        </w:rPr>
      </w:pPr>
    </w:p>
    <w:p>
      <w:pPr>
        <w:ind w:left="448" w:hanging="448"/>
        <w:spacing w:after="0"/>
        <w:tabs>
          <w:tab w:leader="none" w:pos="448" w:val="left"/>
        </w:tabs>
        <w:numPr>
          <w:ilvl w:val="0"/>
          <w:numId w:val="15"/>
        </w:numPr>
        <w:rPr>
          <w:rFonts w:ascii="Arial" w:cs="Arial" w:eastAsia="Arial" w:hAnsi="Arial"/>
          <w:sz w:val="12"/>
          <w:szCs w:val="12"/>
          <w:color w:val="auto"/>
        </w:rPr>
      </w:pPr>
      <w:r>
        <w:rPr>
          <w:rFonts w:ascii="Arial" w:cs="Arial" w:eastAsia="Arial" w:hAnsi="Arial"/>
          <w:sz w:val="12"/>
          <w:szCs w:val="12"/>
          <w:color w:val="auto"/>
        </w:rPr>
        <w:t>changes in gaming laws or regulations (including the legalization of gaming in certain jurisdictions);</w:t>
      </w:r>
    </w:p>
    <w:p>
      <w:pPr>
        <w:spacing w:after="0" w:line="60" w:lineRule="exact"/>
        <w:rPr>
          <w:rFonts w:ascii="Arial" w:cs="Arial" w:eastAsia="Arial" w:hAnsi="Arial"/>
          <w:sz w:val="12"/>
          <w:szCs w:val="12"/>
          <w:color w:val="auto"/>
        </w:rPr>
      </w:pPr>
    </w:p>
    <w:p>
      <w:pPr>
        <w:ind w:left="448" w:hanging="448"/>
        <w:spacing w:after="0"/>
        <w:tabs>
          <w:tab w:leader="none" w:pos="448" w:val="left"/>
        </w:tabs>
        <w:numPr>
          <w:ilvl w:val="0"/>
          <w:numId w:val="15"/>
        </w:numPr>
        <w:rPr>
          <w:rFonts w:ascii="Arial" w:cs="Arial" w:eastAsia="Arial" w:hAnsi="Arial"/>
          <w:sz w:val="12"/>
          <w:szCs w:val="12"/>
          <w:color w:val="auto"/>
        </w:rPr>
      </w:pPr>
      <w:r>
        <w:rPr>
          <w:rFonts w:ascii="Arial" w:cs="Arial" w:eastAsia="Arial" w:hAnsi="Arial"/>
          <w:sz w:val="12"/>
          <w:szCs w:val="12"/>
          <w:color w:val="auto"/>
        </w:rPr>
        <w:t>cyber security risk including misappropriation of customer information or other breaches of information security;</w:t>
      </w:r>
    </w:p>
    <w:p>
      <w:pPr>
        <w:spacing w:after="0" w:line="60" w:lineRule="exact"/>
        <w:rPr>
          <w:rFonts w:ascii="Arial" w:cs="Arial" w:eastAsia="Arial" w:hAnsi="Arial"/>
          <w:sz w:val="12"/>
          <w:szCs w:val="12"/>
          <w:color w:val="auto"/>
        </w:rPr>
      </w:pPr>
    </w:p>
    <w:p>
      <w:pPr>
        <w:ind w:left="448" w:hanging="448"/>
        <w:spacing w:after="0"/>
        <w:tabs>
          <w:tab w:leader="none" w:pos="448" w:val="left"/>
        </w:tabs>
        <w:numPr>
          <w:ilvl w:val="0"/>
          <w:numId w:val="15"/>
        </w:numPr>
        <w:rPr>
          <w:rFonts w:ascii="Arial" w:cs="Arial" w:eastAsia="Arial" w:hAnsi="Arial"/>
          <w:sz w:val="12"/>
          <w:szCs w:val="12"/>
          <w:color w:val="auto"/>
        </w:rPr>
      </w:pPr>
      <w:r>
        <w:rPr>
          <w:rFonts w:ascii="Arial" w:cs="Arial" w:eastAsia="Arial" w:hAnsi="Arial"/>
          <w:sz w:val="12"/>
          <w:szCs w:val="12"/>
          <w:color w:val="auto"/>
        </w:rPr>
        <w:t>changes in U.S. laws regarding healthcare;</w:t>
      </w:r>
    </w:p>
    <w:p>
      <w:pPr>
        <w:spacing w:after="0" w:line="60" w:lineRule="exact"/>
        <w:rPr>
          <w:rFonts w:ascii="Arial" w:cs="Arial" w:eastAsia="Arial" w:hAnsi="Arial"/>
          <w:sz w:val="12"/>
          <w:szCs w:val="12"/>
          <w:color w:val="auto"/>
        </w:rPr>
      </w:pPr>
    </w:p>
    <w:p>
      <w:pPr>
        <w:ind w:left="448" w:hanging="448"/>
        <w:spacing w:after="0"/>
        <w:tabs>
          <w:tab w:leader="none" w:pos="448" w:val="left"/>
        </w:tabs>
        <w:numPr>
          <w:ilvl w:val="0"/>
          <w:numId w:val="15"/>
        </w:numPr>
        <w:rPr>
          <w:rFonts w:ascii="Arial" w:cs="Arial" w:eastAsia="Arial" w:hAnsi="Arial"/>
          <w:sz w:val="12"/>
          <w:szCs w:val="12"/>
          <w:color w:val="auto"/>
        </w:rPr>
      </w:pPr>
      <w:r>
        <w:rPr>
          <w:rFonts w:ascii="Arial" w:cs="Arial" w:eastAsia="Arial" w:hAnsi="Arial"/>
          <w:sz w:val="12"/>
          <w:szCs w:val="12"/>
          <w:color w:val="auto"/>
        </w:rPr>
        <w:t>changes in federal, foreign, or state tax laws or the administration of such laws;</w:t>
      </w:r>
    </w:p>
    <w:p>
      <w:pPr>
        <w:spacing w:after="0" w:line="60" w:lineRule="exact"/>
        <w:rPr>
          <w:rFonts w:ascii="Arial" w:cs="Arial" w:eastAsia="Arial" w:hAnsi="Arial"/>
          <w:sz w:val="12"/>
          <w:szCs w:val="12"/>
          <w:color w:val="auto"/>
        </w:rPr>
      </w:pPr>
    </w:p>
    <w:p>
      <w:pPr>
        <w:ind w:left="448" w:hanging="448"/>
        <w:spacing w:after="0"/>
        <w:tabs>
          <w:tab w:leader="none" w:pos="448" w:val="left"/>
        </w:tabs>
        <w:numPr>
          <w:ilvl w:val="0"/>
          <w:numId w:val="15"/>
        </w:numPr>
        <w:rPr>
          <w:rFonts w:ascii="Arial" w:cs="Arial" w:eastAsia="Arial" w:hAnsi="Arial"/>
          <w:sz w:val="12"/>
          <w:szCs w:val="12"/>
          <w:color w:val="auto"/>
        </w:rPr>
      </w:pPr>
      <w:r>
        <w:rPr>
          <w:rFonts w:ascii="Arial" w:cs="Arial" w:eastAsia="Arial" w:hAnsi="Arial"/>
          <w:sz w:val="12"/>
          <w:szCs w:val="12"/>
          <w:color w:val="auto"/>
        </w:rPr>
        <w:t>approvals under applicable jurisdictional laws and regulations (including gaming laws and regulations);</w:t>
      </w:r>
    </w:p>
    <w:p>
      <w:pPr>
        <w:spacing w:after="0" w:line="60" w:lineRule="exact"/>
        <w:rPr>
          <w:rFonts w:ascii="Arial" w:cs="Arial" w:eastAsia="Arial" w:hAnsi="Arial"/>
          <w:sz w:val="12"/>
          <w:szCs w:val="12"/>
          <w:color w:val="auto"/>
        </w:rPr>
      </w:pPr>
    </w:p>
    <w:p>
      <w:pPr>
        <w:ind w:left="448" w:hanging="448"/>
        <w:spacing w:after="0"/>
        <w:tabs>
          <w:tab w:leader="none" w:pos="448" w:val="left"/>
        </w:tabs>
        <w:numPr>
          <w:ilvl w:val="0"/>
          <w:numId w:val="15"/>
        </w:numPr>
        <w:rPr>
          <w:rFonts w:ascii="Arial" w:cs="Arial" w:eastAsia="Arial" w:hAnsi="Arial"/>
          <w:sz w:val="12"/>
          <w:szCs w:val="12"/>
          <w:color w:val="auto"/>
        </w:rPr>
      </w:pPr>
      <w:r>
        <w:rPr>
          <w:rFonts w:ascii="Arial" w:cs="Arial" w:eastAsia="Arial" w:hAnsi="Arial"/>
          <w:sz w:val="12"/>
          <w:szCs w:val="12"/>
          <w:color w:val="auto"/>
        </w:rPr>
        <w:t>volatility and weakness in world-wide credit and financial markets and from governmental intervention in the financial markets;</w:t>
      </w:r>
    </w:p>
    <w:p>
      <w:pPr>
        <w:spacing w:after="0" w:line="105" w:lineRule="exact"/>
        <w:rPr>
          <w:sz w:val="20"/>
          <w:szCs w:val="20"/>
          <w:color w:val="auto"/>
        </w:rPr>
      </w:pPr>
    </w:p>
    <w:p>
      <w:pPr>
        <w:jc w:val="center"/>
        <w:ind w:right="-167"/>
        <w:spacing w:after="0"/>
        <w:rPr>
          <w:sz w:val="20"/>
          <w:szCs w:val="20"/>
          <w:color w:val="auto"/>
        </w:rPr>
      </w:pPr>
      <w:r>
        <w:rPr>
          <w:rFonts w:ascii="Arial" w:cs="Arial" w:eastAsia="Arial" w:hAnsi="Arial"/>
          <w:sz w:val="12"/>
          <w:szCs w:val="12"/>
          <w:color w:val="auto"/>
        </w:rPr>
        <w:t>33</w:t>
      </w:r>
    </w:p>
    <w:p>
      <w:pPr>
        <w:sectPr>
          <w:pgSz w:w="11900" w:h="16838" w:orient="portrait"/>
          <w:cols w:equalWidth="0" w:num="1">
            <w:col w:w="11328"/>
          </w:cols>
          <w:pgMar w:left="212" w:top="354" w:right="359" w:bottom="1440" w:gutter="0" w:footer="0" w:header="0"/>
        </w:sectPr>
      </w:pPr>
    </w:p>
    <w:bookmarkStart w:id="33" w:name="page34"/>
    <w:bookmarkEnd w:id="33"/>
    <w:p>
      <w:pPr>
        <w:ind w:left="8"/>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121920</wp:posOffset>
            </wp:positionH>
            <wp:positionV relativeFrom="page">
              <wp:posOffset>88900</wp:posOffset>
            </wp:positionV>
            <wp:extent cx="7329170" cy="298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329170" cy="29845"/>
                    </a:xfrm>
                    <a:prstGeom prst="rect">
                      <a:avLst/>
                    </a:prstGeom>
                    <a:noFill/>
                  </pic:spPr>
                </pic:pic>
              </a:graphicData>
            </a:graphic>
          </wp:anchor>
        </w:drawing>
      </w:r>
      <w:hyperlink w:anchor="page2">
        <w:r>
          <w:rPr>
            <w:rFonts w:ascii="Arial" w:cs="Arial" w:eastAsia="Arial" w:hAnsi="Arial"/>
            <w:sz w:val="12"/>
            <w:szCs w:val="12"/>
            <w:b w:val="1"/>
            <w:bCs w:val="1"/>
            <w:u w:val="single" w:color="auto"/>
            <w:color w:val="0000EE"/>
          </w:rPr>
          <w:t>Table of Contents</w:t>
        </w:r>
      </w:hyperlink>
    </w:p>
    <w:p>
      <w:pPr>
        <w:spacing w:after="0" w:line="209" w:lineRule="exact"/>
        <w:rPr>
          <w:sz w:val="20"/>
          <w:szCs w:val="20"/>
          <w:color w:val="auto"/>
        </w:rPr>
      </w:pPr>
    </w:p>
    <w:p>
      <w:pPr>
        <w:ind w:left="448" w:hanging="448"/>
        <w:spacing w:after="0"/>
        <w:tabs>
          <w:tab w:leader="none" w:pos="448" w:val="left"/>
        </w:tabs>
        <w:numPr>
          <w:ilvl w:val="0"/>
          <w:numId w:val="16"/>
        </w:numPr>
        <w:rPr>
          <w:rFonts w:ascii="Arial" w:cs="Arial" w:eastAsia="Arial" w:hAnsi="Arial"/>
          <w:sz w:val="12"/>
          <w:szCs w:val="12"/>
          <w:color w:val="auto"/>
        </w:rPr>
      </w:pPr>
      <w:r>
        <w:rPr>
          <w:rFonts w:ascii="Arial" w:cs="Arial" w:eastAsia="Arial" w:hAnsi="Arial"/>
          <w:sz w:val="12"/>
          <w:szCs w:val="12"/>
          <w:color w:val="auto"/>
        </w:rPr>
        <w:t>conditions precedent to funding under our credit facility;</w:t>
      </w:r>
    </w:p>
    <w:p>
      <w:pPr>
        <w:spacing w:after="0" w:line="60" w:lineRule="exact"/>
        <w:rPr>
          <w:rFonts w:ascii="Arial" w:cs="Arial" w:eastAsia="Arial" w:hAnsi="Arial"/>
          <w:sz w:val="12"/>
          <w:szCs w:val="12"/>
          <w:color w:val="auto"/>
        </w:rPr>
      </w:pPr>
    </w:p>
    <w:p>
      <w:pPr>
        <w:ind w:left="448" w:hanging="448"/>
        <w:spacing w:after="0"/>
        <w:tabs>
          <w:tab w:leader="none" w:pos="448" w:val="left"/>
        </w:tabs>
        <w:numPr>
          <w:ilvl w:val="0"/>
          <w:numId w:val="16"/>
        </w:numPr>
        <w:rPr>
          <w:rFonts w:ascii="Arial" w:cs="Arial" w:eastAsia="Arial" w:hAnsi="Arial"/>
          <w:sz w:val="12"/>
          <w:szCs w:val="12"/>
          <w:color w:val="auto"/>
        </w:rPr>
      </w:pPr>
      <w:r>
        <w:rPr>
          <w:rFonts w:ascii="Arial" w:cs="Arial" w:eastAsia="Arial" w:hAnsi="Arial"/>
          <w:sz w:val="12"/>
          <w:szCs w:val="12"/>
          <w:color w:val="auto"/>
        </w:rPr>
        <w:t>continued compliance with all provisions in our credit agreements;</w:t>
      </w:r>
    </w:p>
    <w:p>
      <w:pPr>
        <w:spacing w:after="0" w:line="60" w:lineRule="exact"/>
        <w:rPr>
          <w:rFonts w:ascii="Arial" w:cs="Arial" w:eastAsia="Arial" w:hAnsi="Arial"/>
          <w:sz w:val="12"/>
          <w:szCs w:val="12"/>
          <w:color w:val="auto"/>
        </w:rPr>
      </w:pPr>
    </w:p>
    <w:p>
      <w:pPr>
        <w:ind w:left="448" w:hanging="448"/>
        <w:spacing w:after="0"/>
        <w:tabs>
          <w:tab w:leader="none" w:pos="448" w:val="left"/>
        </w:tabs>
        <w:numPr>
          <w:ilvl w:val="0"/>
          <w:numId w:val="16"/>
        </w:numPr>
        <w:rPr>
          <w:rFonts w:ascii="Arial" w:cs="Arial" w:eastAsia="Arial" w:hAnsi="Arial"/>
          <w:sz w:val="12"/>
          <w:szCs w:val="12"/>
          <w:color w:val="auto"/>
        </w:rPr>
      </w:pPr>
      <w:r>
        <w:rPr>
          <w:rFonts w:ascii="Arial" w:cs="Arial" w:eastAsia="Arial" w:hAnsi="Arial"/>
          <w:sz w:val="12"/>
          <w:szCs w:val="12"/>
          <w:color w:val="auto"/>
        </w:rPr>
        <w:t>leverage and debt service (including sensitivity to fluctuations in interest rates);</w:t>
      </w:r>
    </w:p>
    <w:p>
      <w:pPr>
        <w:spacing w:after="0" w:line="60" w:lineRule="exact"/>
        <w:rPr>
          <w:rFonts w:ascii="Arial" w:cs="Arial" w:eastAsia="Arial" w:hAnsi="Arial"/>
          <w:sz w:val="12"/>
          <w:szCs w:val="12"/>
          <w:color w:val="auto"/>
        </w:rPr>
      </w:pPr>
    </w:p>
    <w:p>
      <w:pPr>
        <w:ind w:left="448" w:hanging="448"/>
        <w:spacing w:after="0"/>
        <w:tabs>
          <w:tab w:leader="none" w:pos="448" w:val="left"/>
        </w:tabs>
        <w:numPr>
          <w:ilvl w:val="0"/>
          <w:numId w:val="16"/>
        </w:numPr>
        <w:rPr>
          <w:rFonts w:ascii="Arial" w:cs="Arial" w:eastAsia="Arial" w:hAnsi="Arial"/>
          <w:sz w:val="12"/>
          <w:szCs w:val="12"/>
          <w:color w:val="auto"/>
        </w:rPr>
      </w:pPr>
      <w:r>
        <w:rPr>
          <w:rFonts w:ascii="Arial" w:cs="Arial" w:eastAsia="Arial" w:hAnsi="Arial"/>
          <w:sz w:val="12"/>
          <w:szCs w:val="12"/>
          <w:color w:val="auto"/>
        </w:rPr>
        <w:t>restrictions or conditions on visitation by citizens of mainland China to Macau;</w:t>
      </w:r>
    </w:p>
    <w:p>
      <w:pPr>
        <w:spacing w:after="0" w:line="60" w:lineRule="exact"/>
        <w:rPr>
          <w:rFonts w:ascii="Arial" w:cs="Arial" w:eastAsia="Arial" w:hAnsi="Arial"/>
          <w:sz w:val="12"/>
          <w:szCs w:val="12"/>
          <w:color w:val="auto"/>
        </w:rPr>
      </w:pPr>
    </w:p>
    <w:p>
      <w:pPr>
        <w:ind w:left="448" w:hanging="448"/>
        <w:spacing w:after="0"/>
        <w:tabs>
          <w:tab w:leader="none" w:pos="448" w:val="left"/>
        </w:tabs>
        <w:numPr>
          <w:ilvl w:val="0"/>
          <w:numId w:val="16"/>
        </w:numPr>
        <w:rPr>
          <w:rFonts w:ascii="Arial" w:cs="Arial" w:eastAsia="Arial" w:hAnsi="Arial"/>
          <w:sz w:val="12"/>
          <w:szCs w:val="12"/>
          <w:color w:val="auto"/>
        </w:rPr>
      </w:pPr>
      <w:r>
        <w:rPr>
          <w:rFonts w:ascii="Arial" w:cs="Arial" w:eastAsia="Arial" w:hAnsi="Arial"/>
          <w:sz w:val="12"/>
          <w:szCs w:val="12"/>
          <w:color w:val="auto"/>
        </w:rPr>
        <w:t>the impact that an outbreak of an infectious disease or the impact of a natural disaster may have on the travel and leisure industry; and</w:t>
      </w:r>
    </w:p>
    <w:p>
      <w:pPr>
        <w:spacing w:after="0" w:line="60" w:lineRule="exact"/>
        <w:rPr>
          <w:rFonts w:ascii="Arial" w:cs="Arial" w:eastAsia="Arial" w:hAnsi="Arial"/>
          <w:sz w:val="12"/>
          <w:szCs w:val="12"/>
          <w:color w:val="auto"/>
        </w:rPr>
      </w:pPr>
    </w:p>
    <w:p>
      <w:pPr>
        <w:ind w:left="448" w:hanging="448"/>
        <w:spacing w:after="0"/>
        <w:tabs>
          <w:tab w:leader="none" w:pos="448" w:val="left"/>
        </w:tabs>
        <w:numPr>
          <w:ilvl w:val="0"/>
          <w:numId w:val="16"/>
        </w:numPr>
        <w:rPr>
          <w:rFonts w:ascii="Arial" w:cs="Arial" w:eastAsia="Arial" w:hAnsi="Arial"/>
          <w:sz w:val="12"/>
          <w:szCs w:val="12"/>
          <w:color w:val="auto"/>
        </w:rPr>
      </w:pPr>
      <w:r>
        <w:rPr>
          <w:rFonts w:ascii="Arial" w:cs="Arial" w:eastAsia="Arial" w:hAnsi="Arial"/>
          <w:sz w:val="12"/>
          <w:szCs w:val="12"/>
          <w:color w:val="auto"/>
        </w:rPr>
        <w:t>the consequences of military conflicts and any future security alerts and/or terrorist attacks.</w:t>
      </w:r>
    </w:p>
    <w:p>
      <w:pPr>
        <w:spacing w:after="0" w:line="114" w:lineRule="exact"/>
        <w:rPr>
          <w:sz w:val="20"/>
          <w:szCs w:val="20"/>
          <w:color w:val="auto"/>
        </w:rPr>
      </w:pPr>
    </w:p>
    <w:p>
      <w:pPr>
        <w:ind w:left="8" w:right="100" w:firstLine="459"/>
        <w:spacing w:after="0" w:line="259" w:lineRule="auto"/>
        <w:rPr>
          <w:sz w:val="20"/>
          <w:szCs w:val="20"/>
          <w:color w:val="auto"/>
        </w:rPr>
      </w:pPr>
      <w:r>
        <w:rPr>
          <w:rFonts w:ascii="Arial" w:cs="Arial" w:eastAsia="Arial" w:hAnsi="Arial"/>
          <w:sz w:val="12"/>
          <w:szCs w:val="12"/>
          <w:color w:val="auto"/>
        </w:rPr>
        <w:t>Further information on potential factors that could affect our financial condition, results of operations and business are included in this report and our other filings with the SEC. You should not place undue reliance on any forward-looking statements, which are based only on information available to us at the time this statement is made. We undertake no obligation to update or revise any forward-looking statement, whether as a result of new information, future developments or otherwise.</w:t>
      </w:r>
    </w:p>
    <w:p>
      <w:pPr>
        <w:spacing w:after="0" w:line="146" w:lineRule="exact"/>
        <w:rPr>
          <w:sz w:val="20"/>
          <w:szCs w:val="20"/>
          <w:color w:val="auto"/>
        </w:rPr>
      </w:pPr>
    </w:p>
    <w:p>
      <w:pPr>
        <w:ind w:left="8"/>
        <w:spacing w:after="0"/>
        <w:rPr>
          <w:sz w:val="20"/>
          <w:szCs w:val="20"/>
          <w:color w:val="auto"/>
        </w:rPr>
      </w:pPr>
      <w:r>
        <w:rPr>
          <w:rFonts w:ascii="Arial" w:cs="Arial" w:eastAsia="Arial" w:hAnsi="Arial"/>
          <w:sz w:val="12"/>
          <w:szCs w:val="12"/>
          <w:b w:val="1"/>
          <w:bCs w:val="1"/>
          <w:color w:val="auto"/>
        </w:rPr>
        <w:t>Overview</w:t>
      </w:r>
    </w:p>
    <w:p>
      <w:pPr>
        <w:spacing w:after="0" w:line="62" w:lineRule="exact"/>
        <w:rPr>
          <w:sz w:val="20"/>
          <w:szCs w:val="20"/>
          <w:color w:val="auto"/>
        </w:rPr>
      </w:pPr>
    </w:p>
    <w:p>
      <w:pPr>
        <w:ind w:left="8" w:firstLine="459"/>
        <w:spacing w:after="0" w:line="314" w:lineRule="auto"/>
        <w:rPr>
          <w:sz w:val="20"/>
          <w:szCs w:val="20"/>
          <w:color w:val="auto"/>
        </w:rPr>
      </w:pPr>
      <w:r>
        <w:rPr>
          <w:rFonts w:ascii="Arial" w:cs="Arial" w:eastAsia="Arial" w:hAnsi="Arial"/>
          <w:sz w:val="11"/>
          <w:szCs w:val="11"/>
          <w:color w:val="auto"/>
        </w:rPr>
        <w:t>We are a developer, owner and operator of destination casino resorts. We currently own and operate two casino resort complexes. In the Macau Special Administrative Region of the People’s Republic of China (“Macau”), we operate and own 72.3% of Wynn Macau | Encore, which we refer to as our “Macau Operations.” In Las Vegas, Nevada, we own and operate Wynn Las Vegas | Encore, which we refer to as our “Las Vegas Operations.”</w:t>
      </w:r>
    </w:p>
    <w:p>
      <w:pPr>
        <w:spacing w:after="0" w:line="119" w:lineRule="exact"/>
        <w:rPr>
          <w:sz w:val="20"/>
          <w:szCs w:val="20"/>
          <w:color w:val="auto"/>
        </w:rPr>
      </w:pPr>
    </w:p>
    <w:p>
      <w:pPr>
        <w:ind w:left="8"/>
        <w:spacing w:after="0"/>
        <w:rPr>
          <w:sz w:val="20"/>
          <w:szCs w:val="20"/>
          <w:color w:val="auto"/>
        </w:rPr>
      </w:pPr>
      <w:r>
        <w:rPr>
          <w:rFonts w:ascii="Arial" w:cs="Arial" w:eastAsia="Arial" w:hAnsi="Arial"/>
          <w:sz w:val="12"/>
          <w:szCs w:val="12"/>
          <w:color w:val="auto"/>
        </w:rPr>
        <w:t>Our Resorts</w:t>
      </w:r>
    </w:p>
    <w:p>
      <w:pPr>
        <w:spacing w:after="0" w:line="60" w:lineRule="exact"/>
        <w:rPr>
          <w:sz w:val="20"/>
          <w:szCs w:val="20"/>
          <w:color w:val="auto"/>
        </w:rPr>
      </w:pPr>
    </w:p>
    <w:p>
      <w:pPr>
        <w:ind w:left="468"/>
        <w:spacing w:after="0"/>
        <w:rPr>
          <w:sz w:val="20"/>
          <w:szCs w:val="20"/>
          <w:color w:val="auto"/>
        </w:rPr>
      </w:pPr>
      <w:r>
        <w:rPr>
          <w:rFonts w:ascii="Arial" w:cs="Arial" w:eastAsia="Arial" w:hAnsi="Arial"/>
          <w:sz w:val="12"/>
          <w:szCs w:val="12"/>
          <w:color w:val="auto"/>
        </w:rPr>
        <w:t>The following table sets forth information about our resorts as of October 2013:</w:t>
      </w:r>
    </w:p>
    <w:p>
      <w:pPr>
        <w:spacing w:after="0" w:line="53" w:lineRule="exact"/>
        <w:rPr>
          <w:sz w:val="20"/>
          <w:szCs w:val="20"/>
          <w:color w:val="auto"/>
        </w:rPr>
      </w:pPr>
    </w:p>
    <w:tbl>
      <w:tblPr>
        <w:tblLayout w:type="fixed"/>
        <w:tblInd w:w="468" w:type="dxa"/>
        <w:tblCellMar>
          <w:top w:w="0" w:type="dxa"/>
          <w:left w:w="0" w:type="dxa"/>
          <w:bottom w:w="0" w:type="dxa"/>
          <w:right w:w="0" w:type="dxa"/>
        </w:tblCellMar>
      </w:tblPr>
      <w:tr>
        <w:trPr>
          <w:trHeight w:val="103"/>
        </w:trPr>
        <w:tc>
          <w:tcPr>
            <w:tcW w:w="5160" w:type="dxa"/>
            <w:vAlign w:val="bottom"/>
          </w:tcPr>
          <w:p>
            <w:pPr>
              <w:spacing w:after="0"/>
              <w:rPr>
                <w:sz w:val="8"/>
                <w:szCs w:val="8"/>
                <w:color w:val="auto"/>
              </w:rPr>
            </w:pPr>
          </w:p>
        </w:tc>
        <w:tc>
          <w:tcPr>
            <w:tcW w:w="50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600" w:type="dxa"/>
            <w:vAlign w:val="bottom"/>
            <w:gridSpan w:val="2"/>
          </w:tcPr>
          <w:p>
            <w:pPr>
              <w:spacing w:after="0"/>
              <w:rPr>
                <w:sz w:val="20"/>
                <w:szCs w:val="20"/>
                <w:color w:val="auto"/>
              </w:rPr>
            </w:pPr>
            <w:r>
              <w:rPr>
                <w:rFonts w:ascii="Arial" w:cs="Arial" w:eastAsia="Arial" w:hAnsi="Arial"/>
                <w:sz w:val="9"/>
                <w:szCs w:val="9"/>
                <w:b w:val="1"/>
                <w:bCs w:val="1"/>
                <w:color w:val="auto"/>
              </w:rPr>
              <w:t>Approximate</w:t>
            </w:r>
          </w:p>
        </w:tc>
        <w:tc>
          <w:tcPr>
            <w:tcW w:w="1620" w:type="dxa"/>
            <w:vAlign w:val="bottom"/>
            <w:gridSpan w:val="2"/>
          </w:tcPr>
          <w:p>
            <w:pPr>
              <w:jc w:val="center"/>
              <w:ind w:right="1080"/>
              <w:spacing w:after="0"/>
              <w:rPr>
                <w:sz w:val="20"/>
                <w:szCs w:val="20"/>
                <w:color w:val="auto"/>
              </w:rPr>
            </w:pPr>
            <w:r>
              <w:rPr>
                <w:rFonts w:ascii="Arial" w:cs="Arial" w:eastAsia="Arial" w:hAnsi="Arial"/>
                <w:sz w:val="9"/>
                <w:szCs w:val="9"/>
                <w:b w:val="1"/>
                <w:bCs w:val="1"/>
                <w:color w:val="auto"/>
                <w:w w:val="90"/>
              </w:rPr>
              <w:t>Approximate</w:t>
            </w:r>
          </w:p>
        </w:tc>
        <w:tc>
          <w:tcPr>
            <w:tcW w:w="520" w:type="dxa"/>
            <w:vAlign w:val="bottom"/>
          </w:tcPr>
          <w:p>
            <w:pPr>
              <w:spacing w:after="0"/>
              <w:rPr>
                <w:sz w:val="8"/>
                <w:szCs w:val="8"/>
                <w:color w:val="auto"/>
              </w:rPr>
            </w:pPr>
          </w:p>
        </w:tc>
        <w:tc>
          <w:tcPr>
            <w:tcW w:w="60" w:type="dxa"/>
            <w:vAlign w:val="bottom"/>
          </w:tcPr>
          <w:p>
            <w:pPr>
              <w:spacing w:after="0"/>
              <w:rPr>
                <w:sz w:val="8"/>
                <w:szCs w:val="8"/>
                <w:color w:val="auto"/>
              </w:rPr>
            </w:pPr>
          </w:p>
        </w:tc>
      </w:tr>
      <w:tr>
        <w:trPr>
          <w:trHeight w:val="99"/>
        </w:trPr>
        <w:tc>
          <w:tcPr>
            <w:tcW w:w="5160" w:type="dxa"/>
            <w:vAlign w:val="bottom"/>
          </w:tcPr>
          <w:p>
            <w:pPr>
              <w:spacing w:after="0"/>
              <w:rPr>
                <w:sz w:val="8"/>
                <w:szCs w:val="8"/>
                <w:color w:val="auto"/>
              </w:rPr>
            </w:pPr>
          </w:p>
        </w:tc>
        <w:tc>
          <w:tcPr>
            <w:tcW w:w="1600" w:type="dxa"/>
            <w:vAlign w:val="bottom"/>
            <w:gridSpan w:val="2"/>
          </w:tcPr>
          <w:p>
            <w:pPr>
              <w:jc w:val="right"/>
              <w:ind w:right="1100"/>
              <w:spacing w:after="0" w:line="99" w:lineRule="exact"/>
              <w:rPr>
                <w:sz w:val="20"/>
                <w:szCs w:val="20"/>
                <w:color w:val="auto"/>
              </w:rPr>
            </w:pPr>
            <w:r>
              <w:rPr>
                <w:rFonts w:ascii="Arial" w:cs="Arial" w:eastAsia="Arial" w:hAnsi="Arial"/>
                <w:sz w:val="9"/>
                <w:szCs w:val="9"/>
                <w:b w:val="1"/>
                <w:bCs w:val="1"/>
                <w:color w:val="auto"/>
                <w:w w:val="86"/>
              </w:rPr>
              <w:t>Hotel Rooms</w:t>
            </w:r>
          </w:p>
        </w:tc>
        <w:tc>
          <w:tcPr>
            <w:tcW w:w="1600" w:type="dxa"/>
            <w:vAlign w:val="bottom"/>
            <w:gridSpan w:val="2"/>
          </w:tcPr>
          <w:p>
            <w:pPr>
              <w:ind w:left="120"/>
              <w:spacing w:after="0" w:line="99" w:lineRule="exact"/>
              <w:rPr>
                <w:sz w:val="20"/>
                <w:szCs w:val="20"/>
                <w:color w:val="auto"/>
              </w:rPr>
            </w:pPr>
            <w:r>
              <w:rPr>
                <w:rFonts w:ascii="Arial" w:cs="Arial" w:eastAsia="Arial" w:hAnsi="Arial"/>
                <w:sz w:val="9"/>
                <w:szCs w:val="9"/>
                <w:b w:val="1"/>
                <w:bCs w:val="1"/>
                <w:color w:val="auto"/>
              </w:rPr>
              <w:t>Casino</w:t>
            </w:r>
          </w:p>
        </w:tc>
        <w:tc>
          <w:tcPr>
            <w:tcW w:w="1620" w:type="dxa"/>
            <w:vAlign w:val="bottom"/>
            <w:gridSpan w:val="2"/>
          </w:tcPr>
          <w:p>
            <w:pPr>
              <w:jc w:val="center"/>
              <w:ind w:right="1120"/>
              <w:spacing w:after="0" w:line="99" w:lineRule="exact"/>
              <w:rPr>
                <w:sz w:val="20"/>
                <w:szCs w:val="20"/>
                <w:color w:val="auto"/>
              </w:rPr>
            </w:pPr>
            <w:r>
              <w:rPr>
                <w:rFonts w:ascii="Arial" w:cs="Arial" w:eastAsia="Arial" w:hAnsi="Arial"/>
                <w:sz w:val="9"/>
                <w:szCs w:val="9"/>
                <w:b w:val="1"/>
                <w:bCs w:val="1"/>
                <w:color w:val="auto"/>
                <w:w w:val="93"/>
              </w:rPr>
              <w:t>Number of</w:t>
            </w:r>
          </w:p>
        </w:tc>
        <w:tc>
          <w:tcPr>
            <w:tcW w:w="580" w:type="dxa"/>
            <w:vAlign w:val="bottom"/>
            <w:gridSpan w:val="2"/>
          </w:tcPr>
          <w:p>
            <w:pPr>
              <w:jc w:val="center"/>
              <w:ind w:right="60"/>
              <w:spacing w:after="0" w:line="99" w:lineRule="exact"/>
              <w:rPr>
                <w:sz w:val="20"/>
                <w:szCs w:val="20"/>
                <w:color w:val="auto"/>
              </w:rPr>
            </w:pPr>
            <w:r>
              <w:rPr>
                <w:rFonts w:ascii="Arial" w:cs="Arial" w:eastAsia="Arial" w:hAnsi="Arial"/>
                <w:sz w:val="9"/>
                <w:szCs w:val="9"/>
                <w:b w:val="1"/>
                <w:bCs w:val="1"/>
                <w:color w:val="auto"/>
                <w:w w:val="94"/>
              </w:rPr>
              <w:t>Approximate</w:t>
            </w:r>
          </w:p>
        </w:tc>
      </w:tr>
      <w:tr>
        <w:trPr>
          <w:trHeight w:val="99"/>
        </w:trPr>
        <w:tc>
          <w:tcPr>
            <w:tcW w:w="5160" w:type="dxa"/>
            <w:vAlign w:val="bottom"/>
          </w:tcPr>
          <w:p>
            <w:pPr>
              <w:spacing w:after="0"/>
              <w:rPr>
                <w:sz w:val="8"/>
                <w:szCs w:val="8"/>
                <w:color w:val="auto"/>
              </w:rPr>
            </w:pPr>
          </w:p>
        </w:tc>
        <w:tc>
          <w:tcPr>
            <w:tcW w:w="500" w:type="dxa"/>
            <w:vAlign w:val="bottom"/>
          </w:tcPr>
          <w:p>
            <w:pPr>
              <w:jc w:val="right"/>
              <w:ind w:right="170"/>
              <w:spacing w:after="0" w:line="99" w:lineRule="exact"/>
              <w:rPr>
                <w:sz w:val="20"/>
                <w:szCs w:val="20"/>
                <w:color w:val="auto"/>
              </w:rPr>
            </w:pPr>
            <w:r>
              <w:rPr>
                <w:rFonts w:ascii="Arial" w:cs="Arial" w:eastAsia="Arial" w:hAnsi="Arial"/>
                <w:sz w:val="9"/>
                <w:szCs w:val="9"/>
                <w:b w:val="1"/>
                <w:bCs w:val="1"/>
                <w:color w:val="auto"/>
              </w:rPr>
              <w:t>&amp;</w:t>
            </w:r>
          </w:p>
        </w:tc>
        <w:tc>
          <w:tcPr>
            <w:tcW w:w="1100" w:type="dxa"/>
            <w:vAlign w:val="bottom"/>
          </w:tcPr>
          <w:p>
            <w:pPr>
              <w:spacing w:after="0"/>
              <w:rPr>
                <w:sz w:val="8"/>
                <w:szCs w:val="8"/>
                <w:color w:val="auto"/>
              </w:rPr>
            </w:pPr>
          </w:p>
        </w:tc>
        <w:tc>
          <w:tcPr>
            <w:tcW w:w="1600" w:type="dxa"/>
            <w:vAlign w:val="bottom"/>
            <w:gridSpan w:val="2"/>
          </w:tcPr>
          <w:p>
            <w:pPr>
              <w:ind w:left="120"/>
              <w:spacing w:after="0" w:line="99" w:lineRule="exact"/>
              <w:rPr>
                <w:sz w:val="20"/>
                <w:szCs w:val="20"/>
                <w:color w:val="auto"/>
              </w:rPr>
            </w:pPr>
            <w:r>
              <w:rPr>
                <w:rFonts w:ascii="Arial" w:cs="Arial" w:eastAsia="Arial" w:hAnsi="Arial"/>
                <w:sz w:val="9"/>
                <w:szCs w:val="9"/>
                <w:b w:val="1"/>
                <w:bCs w:val="1"/>
                <w:color w:val="auto"/>
              </w:rPr>
              <w:t>Square</w:t>
            </w:r>
          </w:p>
        </w:tc>
        <w:tc>
          <w:tcPr>
            <w:tcW w:w="1620" w:type="dxa"/>
            <w:vAlign w:val="bottom"/>
            <w:gridSpan w:val="2"/>
          </w:tcPr>
          <w:p>
            <w:pPr>
              <w:jc w:val="center"/>
              <w:ind w:right="1080"/>
              <w:spacing w:after="0" w:line="99" w:lineRule="exact"/>
              <w:rPr>
                <w:sz w:val="20"/>
                <w:szCs w:val="20"/>
                <w:color w:val="auto"/>
              </w:rPr>
            </w:pPr>
            <w:r>
              <w:rPr>
                <w:rFonts w:ascii="Arial" w:cs="Arial" w:eastAsia="Arial" w:hAnsi="Arial"/>
                <w:sz w:val="9"/>
                <w:szCs w:val="9"/>
                <w:b w:val="1"/>
                <w:bCs w:val="1"/>
                <w:color w:val="auto"/>
                <w:w w:val="93"/>
              </w:rPr>
              <w:t>Table</w:t>
            </w:r>
          </w:p>
        </w:tc>
        <w:tc>
          <w:tcPr>
            <w:tcW w:w="580" w:type="dxa"/>
            <w:vAlign w:val="bottom"/>
            <w:gridSpan w:val="2"/>
          </w:tcPr>
          <w:p>
            <w:pPr>
              <w:jc w:val="center"/>
              <w:ind w:right="80"/>
              <w:spacing w:after="0" w:line="99" w:lineRule="exact"/>
              <w:rPr>
                <w:sz w:val="20"/>
                <w:szCs w:val="20"/>
                <w:color w:val="auto"/>
              </w:rPr>
            </w:pPr>
            <w:r>
              <w:rPr>
                <w:rFonts w:ascii="Arial" w:cs="Arial" w:eastAsia="Arial" w:hAnsi="Arial"/>
                <w:sz w:val="9"/>
                <w:szCs w:val="9"/>
                <w:b w:val="1"/>
                <w:bCs w:val="1"/>
                <w:color w:val="auto"/>
                <w:w w:val="93"/>
              </w:rPr>
              <w:t>Number of</w:t>
            </w:r>
          </w:p>
        </w:tc>
      </w:tr>
      <w:tr>
        <w:trPr>
          <w:trHeight w:val="108"/>
        </w:trPr>
        <w:tc>
          <w:tcPr>
            <w:tcW w:w="5160" w:type="dxa"/>
            <w:vAlign w:val="bottom"/>
          </w:tcPr>
          <w:p>
            <w:pPr>
              <w:spacing w:after="0"/>
              <w:rPr>
                <w:sz w:val="9"/>
                <w:szCs w:val="9"/>
                <w:color w:val="auto"/>
              </w:rPr>
            </w:pPr>
          </w:p>
        </w:tc>
        <w:tc>
          <w:tcPr>
            <w:tcW w:w="1600" w:type="dxa"/>
            <w:vAlign w:val="bottom"/>
            <w:gridSpan w:val="2"/>
          </w:tcPr>
          <w:p>
            <w:pPr>
              <w:ind w:left="120"/>
              <w:spacing w:after="0"/>
              <w:rPr>
                <w:sz w:val="20"/>
                <w:szCs w:val="20"/>
                <w:color w:val="auto"/>
              </w:rPr>
            </w:pPr>
            <w:r>
              <w:rPr>
                <w:rFonts w:ascii="Arial" w:cs="Arial" w:eastAsia="Arial" w:hAnsi="Arial"/>
                <w:sz w:val="9"/>
                <w:szCs w:val="9"/>
                <w:b w:val="1"/>
                <w:bCs w:val="1"/>
                <w:color w:val="auto"/>
              </w:rPr>
              <w:t>Suites</w:t>
            </w:r>
          </w:p>
        </w:tc>
        <w:tc>
          <w:tcPr>
            <w:tcW w:w="1600" w:type="dxa"/>
            <w:vAlign w:val="bottom"/>
            <w:gridSpan w:val="2"/>
          </w:tcPr>
          <w:p>
            <w:pPr>
              <w:ind w:left="100"/>
              <w:spacing w:after="0"/>
              <w:rPr>
                <w:sz w:val="20"/>
                <w:szCs w:val="20"/>
                <w:color w:val="auto"/>
              </w:rPr>
            </w:pPr>
            <w:r>
              <w:rPr>
                <w:rFonts w:ascii="Arial" w:cs="Arial" w:eastAsia="Arial" w:hAnsi="Arial"/>
                <w:sz w:val="9"/>
                <w:szCs w:val="9"/>
                <w:b w:val="1"/>
                <w:bCs w:val="1"/>
                <w:color w:val="auto"/>
              </w:rPr>
              <w:t>Footage</w:t>
            </w:r>
          </w:p>
        </w:tc>
        <w:tc>
          <w:tcPr>
            <w:tcW w:w="1620" w:type="dxa"/>
            <w:vAlign w:val="bottom"/>
            <w:gridSpan w:val="2"/>
          </w:tcPr>
          <w:p>
            <w:pPr>
              <w:jc w:val="center"/>
              <w:ind w:right="1080"/>
              <w:spacing w:after="0"/>
              <w:rPr>
                <w:sz w:val="20"/>
                <w:szCs w:val="20"/>
                <w:color w:val="auto"/>
              </w:rPr>
            </w:pPr>
            <w:r>
              <w:rPr>
                <w:rFonts w:ascii="Arial" w:cs="Arial" w:eastAsia="Arial" w:hAnsi="Arial"/>
                <w:sz w:val="9"/>
                <w:szCs w:val="9"/>
                <w:b w:val="1"/>
                <w:bCs w:val="1"/>
                <w:color w:val="auto"/>
                <w:w w:val="86"/>
              </w:rPr>
              <w:t>Games</w:t>
            </w:r>
          </w:p>
        </w:tc>
        <w:tc>
          <w:tcPr>
            <w:tcW w:w="580" w:type="dxa"/>
            <w:vAlign w:val="bottom"/>
            <w:gridSpan w:val="2"/>
          </w:tcPr>
          <w:p>
            <w:pPr>
              <w:jc w:val="center"/>
              <w:ind w:right="80"/>
              <w:spacing w:after="0"/>
              <w:rPr>
                <w:sz w:val="20"/>
                <w:szCs w:val="20"/>
                <w:color w:val="auto"/>
              </w:rPr>
            </w:pPr>
            <w:r>
              <w:rPr>
                <w:rFonts w:ascii="Arial" w:cs="Arial" w:eastAsia="Arial" w:hAnsi="Arial"/>
                <w:sz w:val="9"/>
                <w:szCs w:val="9"/>
                <w:b w:val="1"/>
                <w:bCs w:val="1"/>
                <w:color w:val="auto"/>
                <w:w w:val="81"/>
              </w:rPr>
              <w:t>Slots</w:t>
            </w:r>
          </w:p>
        </w:tc>
      </w:tr>
      <w:tr>
        <w:trPr>
          <w:trHeight w:val="133"/>
        </w:trPr>
        <w:tc>
          <w:tcPr>
            <w:tcW w:w="5160" w:type="dxa"/>
            <w:vAlign w:val="bottom"/>
            <w:tcBorders>
              <w:top w:val="single" w:sz="8" w:color="CCEEFF"/>
            </w:tcBorders>
            <w:shd w:val="clear" w:color="auto" w:fill="CCEEFF"/>
          </w:tcPr>
          <w:p>
            <w:pPr>
              <w:spacing w:after="0" w:line="129" w:lineRule="exact"/>
              <w:rPr>
                <w:sz w:val="20"/>
                <w:szCs w:val="20"/>
                <w:color w:val="auto"/>
              </w:rPr>
            </w:pPr>
            <w:r>
              <w:rPr>
                <w:rFonts w:ascii="Arial" w:cs="Arial" w:eastAsia="Arial" w:hAnsi="Arial"/>
                <w:sz w:val="12"/>
                <w:szCs w:val="12"/>
                <w:color w:val="auto"/>
              </w:rPr>
              <w:t>Macau Operations</w:t>
            </w:r>
          </w:p>
        </w:tc>
        <w:tc>
          <w:tcPr>
            <w:tcW w:w="500" w:type="dxa"/>
            <w:vAlign w:val="bottom"/>
            <w:tcBorders>
              <w:top w:val="single" w:sz="8" w:color="auto"/>
            </w:tcBorders>
            <w:shd w:val="clear" w:color="auto" w:fill="CCEEFF"/>
          </w:tcPr>
          <w:p>
            <w:pPr>
              <w:jc w:val="right"/>
              <w:spacing w:after="0" w:line="133" w:lineRule="exact"/>
              <w:rPr>
                <w:sz w:val="20"/>
                <w:szCs w:val="20"/>
                <w:color w:val="auto"/>
              </w:rPr>
            </w:pPr>
            <w:r>
              <w:rPr>
                <w:rFonts w:ascii="Arial" w:cs="Arial" w:eastAsia="Arial" w:hAnsi="Arial"/>
                <w:sz w:val="12"/>
                <w:szCs w:val="12"/>
                <w:color w:val="auto"/>
              </w:rPr>
              <w:t>1,008</w:t>
            </w:r>
          </w:p>
        </w:tc>
        <w:tc>
          <w:tcPr>
            <w:tcW w:w="1100" w:type="dxa"/>
            <w:vAlign w:val="bottom"/>
            <w:tcBorders>
              <w:top w:val="single" w:sz="8" w:color="CCEEFF"/>
            </w:tcBorders>
            <w:shd w:val="clear" w:color="auto" w:fill="CCEEFF"/>
          </w:tcPr>
          <w:p>
            <w:pPr>
              <w:spacing w:after="0"/>
              <w:rPr>
                <w:sz w:val="11"/>
                <w:szCs w:val="11"/>
                <w:color w:val="auto"/>
              </w:rPr>
            </w:pPr>
          </w:p>
        </w:tc>
        <w:tc>
          <w:tcPr>
            <w:tcW w:w="500" w:type="dxa"/>
            <w:vAlign w:val="bottom"/>
            <w:tcBorders>
              <w:top w:val="single" w:sz="8" w:color="auto"/>
            </w:tcBorders>
            <w:shd w:val="clear" w:color="auto" w:fill="CCEEFF"/>
          </w:tcPr>
          <w:p>
            <w:pPr>
              <w:ind w:left="120"/>
              <w:spacing w:after="0" w:line="133" w:lineRule="exact"/>
              <w:rPr>
                <w:sz w:val="20"/>
                <w:szCs w:val="20"/>
                <w:color w:val="auto"/>
              </w:rPr>
            </w:pPr>
            <w:r>
              <w:rPr>
                <w:rFonts w:ascii="Arial" w:cs="Arial" w:eastAsia="Arial" w:hAnsi="Arial"/>
                <w:sz w:val="12"/>
                <w:szCs w:val="12"/>
                <w:color w:val="auto"/>
                <w:w w:val="82"/>
              </w:rPr>
              <w:t>275,000</w:t>
            </w:r>
          </w:p>
        </w:tc>
        <w:tc>
          <w:tcPr>
            <w:tcW w:w="1100" w:type="dxa"/>
            <w:vAlign w:val="bottom"/>
            <w:tcBorders>
              <w:top w:val="single" w:sz="8" w:color="CCEEFF"/>
            </w:tcBorders>
            <w:shd w:val="clear" w:color="auto" w:fill="CCEEFF"/>
          </w:tcPr>
          <w:p>
            <w:pPr>
              <w:spacing w:after="0"/>
              <w:rPr>
                <w:sz w:val="11"/>
                <w:szCs w:val="11"/>
                <w:color w:val="auto"/>
              </w:rPr>
            </w:pPr>
          </w:p>
        </w:tc>
        <w:tc>
          <w:tcPr>
            <w:tcW w:w="520" w:type="dxa"/>
            <w:vAlign w:val="bottom"/>
            <w:tcBorders>
              <w:top w:val="single" w:sz="8" w:color="auto"/>
            </w:tcBorders>
            <w:shd w:val="clear" w:color="auto" w:fill="CCEEFF"/>
          </w:tcPr>
          <w:p>
            <w:pPr>
              <w:jc w:val="right"/>
              <w:spacing w:after="0" w:line="133" w:lineRule="exact"/>
              <w:rPr>
                <w:sz w:val="20"/>
                <w:szCs w:val="20"/>
                <w:color w:val="auto"/>
              </w:rPr>
            </w:pPr>
            <w:r>
              <w:rPr>
                <w:rFonts w:ascii="Arial" w:cs="Arial" w:eastAsia="Arial" w:hAnsi="Arial"/>
                <w:sz w:val="12"/>
                <w:szCs w:val="12"/>
                <w:color w:val="auto"/>
              </w:rPr>
              <w:t>490</w:t>
            </w:r>
          </w:p>
        </w:tc>
        <w:tc>
          <w:tcPr>
            <w:tcW w:w="1100" w:type="dxa"/>
            <w:vAlign w:val="bottom"/>
            <w:tcBorders>
              <w:top w:val="single" w:sz="8" w:color="CCEEFF"/>
            </w:tcBorders>
            <w:shd w:val="clear" w:color="auto" w:fill="CCEEFF"/>
          </w:tcPr>
          <w:p>
            <w:pPr>
              <w:spacing w:after="0"/>
              <w:rPr>
                <w:sz w:val="11"/>
                <w:szCs w:val="11"/>
                <w:color w:val="auto"/>
              </w:rPr>
            </w:pPr>
          </w:p>
        </w:tc>
        <w:tc>
          <w:tcPr>
            <w:tcW w:w="520" w:type="dxa"/>
            <w:vAlign w:val="bottom"/>
            <w:tcBorders>
              <w:top w:val="single" w:sz="8" w:color="auto"/>
            </w:tcBorders>
            <w:shd w:val="clear" w:color="auto" w:fill="CCEEFF"/>
          </w:tcPr>
          <w:p>
            <w:pPr>
              <w:jc w:val="right"/>
              <w:spacing w:after="0" w:line="133" w:lineRule="exact"/>
              <w:rPr>
                <w:sz w:val="20"/>
                <w:szCs w:val="20"/>
                <w:color w:val="auto"/>
              </w:rPr>
            </w:pPr>
            <w:r>
              <w:rPr>
                <w:rFonts w:ascii="Arial" w:cs="Arial" w:eastAsia="Arial" w:hAnsi="Arial"/>
                <w:sz w:val="12"/>
                <w:szCs w:val="12"/>
                <w:color w:val="auto"/>
              </w:rPr>
              <w:t>880</w:t>
            </w:r>
          </w:p>
        </w:tc>
        <w:tc>
          <w:tcPr>
            <w:tcW w:w="60" w:type="dxa"/>
            <w:vAlign w:val="bottom"/>
            <w:tcBorders>
              <w:top w:val="single" w:sz="8" w:color="CCEEFF"/>
            </w:tcBorders>
            <w:shd w:val="clear" w:color="auto" w:fill="CCEEFF"/>
          </w:tcPr>
          <w:p>
            <w:pPr>
              <w:spacing w:after="0"/>
              <w:rPr>
                <w:sz w:val="11"/>
                <w:szCs w:val="11"/>
                <w:color w:val="auto"/>
              </w:rPr>
            </w:pPr>
          </w:p>
        </w:tc>
      </w:tr>
      <w:tr>
        <w:trPr>
          <w:trHeight w:val="148"/>
        </w:trPr>
        <w:tc>
          <w:tcPr>
            <w:tcW w:w="5160" w:type="dxa"/>
            <w:vAlign w:val="bottom"/>
          </w:tcPr>
          <w:p>
            <w:pPr>
              <w:spacing w:after="0"/>
              <w:rPr>
                <w:sz w:val="20"/>
                <w:szCs w:val="20"/>
                <w:color w:val="auto"/>
              </w:rPr>
            </w:pPr>
            <w:r>
              <w:rPr>
                <w:rFonts w:ascii="Arial" w:cs="Arial" w:eastAsia="Arial" w:hAnsi="Arial"/>
                <w:sz w:val="12"/>
                <w:szCs w:val="12"/>
                <w:color w:val="auto"/>
              </w:rPr>
              <w:t>Las Vegas Operations</w:t>
            </w:r>
          </w:p>
        </w:tc>
        <w:tc>
          <w:tcPr>
            <w:tcW w:w="1600" w:type="dxa"/>
            <w:vAlign w:val="bottom"/>
            <w:gridSpan w:val="2"/>
          </w:tcPr>
          <w:p>
            <w:pPr>
              <w:jc w:val="right"/>
              <w:ind w:right="1100"/>
              <w:spacing w:after="0"/>
              <w:rPr>
                <w:sz w:val="20"/>
                <w:szCs w:val="20"/>
                <w:color w:val="auto"/>
              </w:rPr>
            </w:pPr>
            <w:r>
              <w:rPr>
                <w:rFonts w:ascii="Arial" w:cs="Arial" w:eastAsia="Arial" w:hAnsi="Arial"/>
                <w:sz w:val="12"/>
                <w:szCs w:val="12"/>
                <w:color w:val="auto"/>
              </w:rPr>
              <w:t>4,748</w:t>
            </w:r>
          </w:p>
        </w:tc>
        <w:tc>
          <w:tcPr>
            <w:tcW w:w="500" w:type="dxa"/>
            <w:vAlign w:val="bottom"/>
          </w:tcPr>
          <w:p>
            <w:pPr>
              <w:ind w:left="120"/>
              <w:spacing w:after="0"/>
              <w:rPr>
                <w:sz w:val="20"/>
                <w:szCs w:val="20"/>
                <w:color w:val="auto"/>
              </w:rPr>
            </w:pPr>
            <w:r>
              <w:rPr>
                <w:rFonts w:ascii="Arial" w:cs="Arial" w:eastAsia="Arial" w:hAnsi="Arial"/>
                <w:sz w:val="12"/>
                <w:szCs w:val="12"/>
                <w:color w:val="auto"/>
                <w:w w:val="82"/>
              </w:rPr>
              <w:t>186,000</w:t>
            </w:r>
          </w:p>
        </w:tc>
        <w:tc>
          <w:tcPr>
            <w:tcW w:w="110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Arial" w:cs="Arial" w:eastAsia="Arial" w:hAnsi="Arial"/>
                <w:sz w:val="12"/>
                <w:szCs w:val="12"/>
                <w:color w:val="auto"/>
              </w:rPr>
              <w:t>235</w:t>
            </w:r>
          </w:p>
        </w:tc>
        <w:tc>
          <w:tcPr>
            <w:tcW w:w="1100" w:type="dxa"/>
            <w:vAlign w:val="bottom"/>
          </w:tcPr>
          <w:p>
            <w:pPr>
              <w:spacing w:after="0"/>
              <w:rPr>
                <w:sz w:val="12"/>
                <w:szCs w:val="12"/>
                <w:color w:val="auto"/>
              </w:rPr>
            </w:pPr>
          </w:p>
        </w:tc>
        <w:tc>
          <w:tcPr>
            <w:tcW w:w="580" w:type="dxa"/>
            <w:vAlign w:val="bottom"/>
            <w:gridSpan w:val="2"/>
          </w:tcPr>
          <w:p>
            <w:pPr>
              <w:jc w:val="right"/>
              <w:ind w:right="60"/>
              <w:spacing w:after="0"/>
              <w:rPr>
                <w:sz w:val="20"/>
                <w:szCs w:val="20"/>
                <w:color w:val="auto"/>
              </w:rPr>
            </w:pPr>
            <w:r>
              <w:rPr>
                <w:rFonts w:ascii="Arial" w:cs="Arial" w:eastAsia="Arial" w:hAnsi="Arial"/>
                <w:sz w:val="12"/>
                <w:szCs w:val="12"/>
                <w:color w:val="auto"/>
              </w:rPr>
              <w:t>1,870</w:t>
            </w:r>
          </w:p>
        </w:tc>
      </w:tr>
    </w:tbl>
    <w:p>
      <w:pPr>
        <w:spacing w:after="0" w:line="152" w:lineRule="exact"/>
        <w:rPr>
          <w:sz w:val="20"/>
          <w:szCs w:val="20"/>
          <w:color w:val="auto"/>
        </w:rPr>
      </w:pPr>
    </w:p>
    <w:p>
      <w:pPr>
        <w:ind w:left="8"/>
        <w:spacing w:after="0"/>
        <w:rPr>
          <w:sz w:val="20"/>
          <w:szCs w:val="20"/>
          <w:color w:val="auto"/>
        </w:rPr>
      </w:pPr>
      <w:r>
        <w:rPr>
          <w:rFonts w:ascii="Arial" w:cs="Arial" w:eastAsia="Arial" w:hAnsi="Arial"/>
          <w:sz w:val="12"/>
          <w:szCs w:val="12"/>
          <w:i w:val="1"/>
          <w:iCs w:val="1"/>
          <w:color w:val="auto"/>
        </w:rPr>
        <w:t>Macau Operations</w:t>
      </w:r>
    </w:p>
    <w:p>
      <w:pPr>
        <w:spacing w:after="0" w:line="60" w:lineRule="exact"/>
        <w:rPr>
          <w:sz w:val="20"/>
          <w:szCs w:val="20"/>
          <w:color w:val="auto"/>
        </w:rPr>
      </w:pPr>
    </w:p>
    <w:p>
      <w:pPr>
        <w:ind w:left="468"/>
        <w:spacing w:after="0"/>
        <w:rPr>
          <w:sz w:val="20"/>
          <w:szCs w:val="20"/>
          <w:color w:val="auto"/>
        </w:rPr>
      </w:pPr>
      <w:r>
        <w:rPr>
          <w:rFonts w:ascii="Arial" w:cs="Arial" w:eastAsia="Arial" w:hAnsi="Arial"/>
          <w:sz w:val="12"/>
          <w:szCs w:val="12"/>
          <w:color w:val="auto"/>
        </w:rPr>
        <w:t>We operate Wynn Macau | Encore under a 20-year casino concession agreement granted by the Macau government in June 2002.</w:t>
      </w:r>
    </w:p>
    <w:p>
      <w:pPr>
        <w:spacing w:after="0" w:line="114" w:lineRule="exact"/>
        <w:rPr>
          <w:sz w:val="20"/>
          <w:szCs w:val="20"/>
          <w:color w:val="auto"/>
        </w:rPr>
      </w:pPr>
    </w:p>
    <w:p>
      <w:pPr>
        <w:ind w:left="468"/>
        <w:spacing w:after="0"/>
        <w:rPr>
          <w:sz w:val="20"/>
          <w:szCs w:val="20"/>
          <w:color w:val="auto"/>
        </w:rPr>
      </w:pPr>
      <w:r>
        <w:rPr>
          <w:rFonts w:ascii="Arial" w:cs="Arial" w:eastAsia="Arial" w:hAnsi="Arial"/>
          <w:sz w:val="12"/>
          <w:szCs w:val="12"/>
          <w:color w:val="auto"/>
        </w:rPr>
        <w:t>Our Macau resort complex features:</w:t>
      </w:r>
    </w:p>
    <w:p>
      <w:pPr>
        <w:spacing w:after="0" w:line="60" w:lineRule="exact"/>
        <w:rPr>
          <w:sz w:val="20"/>
          <w:szCs w:val="20"/>
          <w:color w:val="auto"/>
        </w:rPr>
      </w:pPr>
    </w:p>
    <w:p>
      <w:pPr>
        <w:ind w:left="908" w:hanging="341"/>
        <w:spacing w:after="0"/>
        <w:tabs>
          <w:tab w:leader="none" w:pos="908" w:val="left"/>
        </w:tabs>
        <w:numPr>
          <w:ilvl w:val="0"/>
          <w:numId w:val="17"/>
        </w:numPr>
        <w:rPr>
          <w:rFonts w:ascii="Arial" w:cs="Arial" w:eastAsia="Arial" w:hAnsi="Arial"/>
          <w:sz w:val="12"/>
          <w:szCs w:val="12"/>
          <w:color w:val="auto"/>
        </w:rPr>
      </w:pPr>
      <w:r>
        <w:rPr>
          <w:rFonts w:ascii="Arial" w:cs="Arial" w:eastAsia="Arial" w:hAnsi="Arial"/>
          <w:sz w:val="12"/>
          <w:szCs w:val="12"/>
          <w:color w:val="auto"/>
        </w:rPr>
        <w:t>Approximately 275,000 square feet of casino space, offering 24-hour gaming and a full range of games, including private gaming salons, sky casinos and a poker pit;</w:t>
      </w:r>
    </w:p>
    <w:p>
      <w:pPr>
        <w:spacing w:after="0" w:line="60" w:lineRule="exact"/>
        <w:rPr>
          <w:rFonts w:ascii="Arial" w:cs="Arial" w:eastAsia="Arial" w:hAnsi="Arial"/>
          <w:sz w:val="12"/>
          <w:szCs w:val="12"/>
          <w:color w:val="auto"/>
        </w:rPr>
      </w:pPr>
    </w:p>
    <w:p>
      <w:pPr>
        <w:ind w:left="908" w:hanging="341"/>
        <w:spacing w:after="0"/>
        <w:tabs>
          <w:tab w:leader="none" w:pos="908" w:val="left"/>
        </w:tabs>
        <w:numPr>
          <w:ilvl w:val="0"/>
          <w:numId w:val="17"/>
        </w:numPr>
        <w:rPr>
          <w:rFonts w:ascii="Arial" w:cs="Arial" w:eastAsia="Arial" w:hAnsi="Arial"/>
          <w:sz w:val="12"/>
          <w:szCs w:val="12"/>
          <w:color w:val="auto"/>
        </w:rPr>
      </w:pPr>
      <w:r>
        <w:rPr>
          <w:rFonts w:ascii="Arial" w:cs="Arial" w:eastAsia="Arial" w:hAnsi="Arial"/>
          <w:sz w:val="12"/>
          <w:szCs w:val="12"/>
          <w:color w:val="auto"/>
        </w:rPr>
        <w:t>Two luxury hotel towers with a total of 1,008 spacious guest rooms and suites;</w:t>
      </w:r>
    </w:p>
    <w:p>
      <w:pPr>
        <w:spacing w:after="0" w:line="60" w:lineRule="exact"/>
        <w:rPr>
          <w:rFonts w:ascii="Arial" w:cs="Arial" w:eastAsia="Arial" w:hAnsi="Arial"/>
          <w:sz w:val="12"/>
          <w:szCs w:val="12"/>
          <w:color w:val="auto"/>
        </w:rPr>
      </w:pPr>
    </w:p>
    <w:p>
      <w:pPr>
        <w:ind w:left="908" w:hanging="341"/>
        <w:spacing w:after="0"/>
        <w:tabs>
          <w:tab w:leader="none" w:pos="908" w:val="left"/>
        </w:tabs>
        <w:numPr>
          <w:ilvl w:val="0"/>
          <w:numId w:val="17"/>
        </w:numPr>
        <w:rPr>
          <w:rFonts w:ascii="Arial" w:cs="Arial" w:eastAsia="Arial" w:hAnsi="Arial"/>
          <w:sz w:val="12"/>
          <w:szCs w:val="12"/>
          <w:color w:val="auto"/>
        </w:rPr>
      </w:pPr>
      <w:r>
        <w:rPr>
          <w:rFonts w:ascii="Arial" w:cs="Arial" w:eastAsia="Arial" w:hAnsi="Arial"/>
          <w:sz w:val="12"/>
          <w:szCs w:val="12"/>
          <w:color w:val="auto"/>
        </w:rPr>
        <w:t>Casual and fine dining in eight restaurants;</w:t>
      </w:r>
    </w:p>
    <w:p>
      <w:pPr>
        <w:spacing w:after="0" w:line="60" w:lineRule="exact"/>
        <w:rPr>
          <w:rFonts w:ascii="Arial" w:cs="Arial" w:eastAsia="Arial" w:hAnsi="Arial"/>
          <w:sz w:val="12"/>
          <w:szCs w:val="12"/>
          <w:color w:val="auto"/>
        </w:rPr>
      </w:pPr>
    </w:p>
    <w:p>
      <w:pPr>
        <w:ind w:left="908" w:right="240" w:hanging="341"/>
        <w:spacing w:after="0" w:line="314" w:lineRule="auto"/>
        <w:tabs>
          <w:tab w:leader="none" w:pos="908" w:val="left"/>
        </w:tabs>
        <w:numPr>
          <w:ilvl w:val="0"/>
          <w:numId w:val="17"/>
        </w:numPr>
        <w:rPr>
          <w:rFonts w:ascii="Arial" w:cs="Arial" w:eastAsia="Arial" w:hAnsi="Arial"/>
          <w:sz w:val="11"/>
          <w:szCs w:val="11"/>
          <w:color w:val="auto"/>
        </w:rPr>
      </w:pPr>
      <w:r>
        <w:rPr>
          <w:rFonts w:ascii="Arial" w:cs="Arial" w:eastAsia="Arial" w:hAnsi="Arial"/>
          <w:sz w:val="11"/>
          <w:szCs w:val="11"/>
          <w:color w:val="auto"/>
        </w:rPr>
        <w:t>Approximately 57,000 square feet of high-end, brand-name retail shopping, including stores and boutiques by Bvlgari, Cartier, Chanel, Dior, Dunhill, Ferrari, Giorgio Armani, Graff, Gucci, Hermes, Hugo Boss, Jaeger-LeCoultre, Loro Piana, Louis Vuitton, Miu Miu, Piaget, Prada, Roger Dubuis, Rolex, Tiffany, Tudor, Vacheron Constantin, Van Cleef &amp; Arpels, Versace, Vertu, Ermenegildo Zegna and others;</w:t>
      </w:r>
    </w:p>
    <w:p>
      <w:pPr>
        <w:spacing w:after="0" w:line="11" w:lineRule="exact"/>
        <w:rPr>
          <w:rFonts w:ascii="Arial" w:cs="Arial" w:eastAsia="Arial" w:hAnsi="Arial"/>
          <w:sz w:val="11"/>
          <w:szCs w:val="11"/>
          <w:color w:val="auto"/>
        </w:rPr>
      </w:pPr>
    </w:p>
    <w:p>
      <w:pPr>
        <w:ind w:left="908" w:hanging="341"/>
        <w:spacing w:after="0"/>
        <w:tabs>
          <w:tab w:leader="none" w:pos="908" w:val="left"/>
        </w:tabs>
        <w:numPr>
          <w:ilvl w:val="0"/>
          <w:numId w:val="17"/>
        </w:numPr>
        <w:rPr>
          <w:rFonts w:ascii="Arial" w:cs="Arial" w:eastAsia="Arial" w:hAnsi="Arial"/>
          <w:sz w:val="12"/>
          <w:szCs w:val="12"/>
          <w:color w:val="auto"/>
        </w:rPr>
      </w:pPr>
      <w:r>
        <w:rPr>
          <w:rFonts w:ascii="Arial" w:cs="Arial" w:eastAsia="Arial" w:hAnsi="Arial"/>
          <w:sz w:val="12"/>
          <w:szCs w:val="12"/>
          <w:color w:val="auto"/>
        </w:rPr>
        <w:t>Recreation and leisure facilities, including two health clubs and spas, a salon and a pool; and</w:t>
      </w:r>
    </w:p>
    <w:p>
      <w:pPr>
        <w:spacing w:after="0" w:line="60" w:lineRule="exact"/>
        <w:rPr>
          <w:rFonts w:ascii="Arial" w:cs="Arial" w:eastAsia="Arial" w:hAnsi="Arial"/>
          <w:sz w:val="12"/>
          <w:szCs w:val="12"/>
          <w:color w:val="auto"/>
        </w:rPr>
      </w:pPr>
    </w:p>
    <w:p>
      <w:pPr>
        <w:ind w:left="908" w:hanging="341"/>
        <w:spacing w:after="0"/>
        <w:tabs>
          <w:tab w:leader="none" w:pos="908" w:val="left"/>
        </w:tabs>
        <w:numPr>
          <w:ilvl w:val="0"/>
          <w:numId w:val="17"/>
        </w:numPr>
        <w:rPr>
          <w:rFonts w:ascii="Arial" w:cs="Arial" w:eastAsia="Arial" w:hAnsi="Arial"/>
          <w:sz w:val="12"/>
          <w:szCs w:val="12"/>
          <w:color w:val="auto"/>
        </w:rPr>
      </w:pPr>
      <w:r>
        <w:rPr>
          <w:rFonts w:ascii="Arial" w:cs="Arial" w:eastAsia="Arial" w:hAnsi="Arial"/>
          <w:sz w:val="12"/>
          <w:szCs w:val="12"/>
          <w:color w:val="auto"/>
        </w:rPr>
        <w:t>Lounges and meeting facilities.</w:t>
      </w:r>
    </w:p>
    <w:p>
      <w:pPr>
        <w:spacing w:after="0" w:line="105" w:lineRule="exact"/>
        <w:rPr>
          <w:sz w:val="20"/>
          <w:szCs w:val="20"/>
          <w:color w:val="auto"/>
        </w:rPr>
      </w:pPr>
    </w:p>
    <w:p>
      <w:pPr>
        <w:jc w:val="center"/>
        <w:ind w:right="-127"/>
        <w:spacing w:after="0"/>
        <w:rPr>
          <w:sz w:val="20"/>
          <w:szCs w:val="20"/>
          <w:color w:val="auto"/>
        </w:rPr>
      </w:pPr>
      <w:r>
        <w:rPr>
          <w:rFonts w:ascii="Arial" w:cs="Arial" w:eastAsia="Arial" w:hAnsi="Arial"/>
          <w:sz w:val="12"/>
          <w:szCs w:val="12"/>
          <w:color w:val="auto"/>
        </w:rPr>
        <w:t>34</w:t>
      </w:r>
    </w:p>
    <w:p>
      <w:pPr>
        <w:sectPr>
          <w:pgSz w:w="11900" w:h="16838" w:orient="portrait"/>
          <w:cols w:equalWidth="0" w:num="1">
            <w:col w:w="11348"/>
          </w:cols>
          <w:pgMar w:left="212" w:top="354" w:right="339" w:bottom="1440" w:gutter="0" w:footer="0" w:header="0"/>
        </w:sectPr>
      </w:pPr>
    </w:p>
    <w:bookmarkStart w:id="34" w:name="page35"/>
    <w:bookmarkEnd w:id="34"/>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121920</wp:posOffset>
            </wp:positionH>
            <wp:positionV relativeFrom="page">
              <wp:posOffset>88900</wp:posOffset>
            </wp:positionV>
            <wp:extent cx="7329170" cy="298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329170" cy="29845"/>
                    </a:xfrm>
                    <a:prstGeom prst="rect">
                      <a:avLst/>
                    </a:prstGeom>
                    <a:noFill/>
                  </pic:spPr>
                </pic:pic>
              </a:graphicData>
            </a:graphic>
          </wp:anchor>
        </w:drawing>
      </w:r>
      <w:hyperlink w:anchor="page2">
        <w:r>
          <w:rPr>
            <w:rFonts w:ascii="Arial" w:cs="Arial" w:eastAsia="Arial" w:hAnsi="Arial"/>
            <w:sz w:val="12"/>
            <w:szCs w:val="12"/>
            <w:b w:val="1"/>
            <w:bCs w:val="1"/>
            <w:u w:val="single" w:color="auto"/>
            <w:color w:val="0000EE"/>
          </w:rPr>
          <w:t>Table of Contents</w:t>
        </w:r>
      </w:hyperlink>
    </w:p>
    <w:p>
      <w:pPr>
        <w:spacing w:after="0" w:line="209" w:lineRule="exact"/>
        <w:rPr>
          <w:sz w:val="20"/>
          <w:szCs w:val="20"/>
          <w:color w:val="auto"/>
        </w:rPr>
      </w:pPr>
    </w:p>
    <w:p>
      <w:pPr>
        <w:ind w:left="460"/>
        <w:spacing w:after="0"/>
        <w:rPr>
          <w:sz w:val="20"/>
          <w:szCs w:val="20"/>
          <w:color w:val="auto"/>
        </w:rPr>
      </w:pPr>
      <w:r>
        <w:rPr>
          <w:rFonts w:ascii="Arial" w:cs="Arial" w:eastAsia="Arial" w:hAnsi="Arial"/>
          <w:sz w:val="12"/>
          <w:szCs w:val="12"/>
          <w:color w:val="auto"/>
        </w:rPr>
        <w:t>In response to our evaluation of our Macau Operations and the reactions of our guests, we have made and expect to continue to make enhancements and refinements to this resort complex.</w:t>
      </w:r>
    </w:p>
    <w:p>
      <w:pPr>
        <w:spacing w:after="0" w:line="168"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Las Vegas Operations</w:t>
      </w:r>
    </w:p>
    <w:p>
      <w:pPr>
        <w:spacing w:after="0" w:line="60" w:lineRule="exact"/>
        <w:rPr>
          <w:sz w:val="20"/>
          <w:szCs w:val="20"/>
          <w:color w:val="auto"/>
        </w:rPr>
      </w:pPr>
    </w:p>
    <w:p>
      <w:pPr>
        <w:ind w:right="140" w:firstLine="459"/>
        <w:spacing w:after="0" w:line="268" w:lineRule="auto"/>
        <w:rPr>
          <w:sz w:val="20"/>
          <w:szCs w:val="20"/>
          <w:color w:val="auto"/>
        </w:rPr>
      </w:pPr>
      <w:r>
        <w:rPr>
          <w:rFonts w:ascii="Arial" w:cs="Arial" w:eastAsia="Arial" w:hAnsi="Arial"/>
          <w:sz w:val="12"/>
          <w:szCs w:val="12"/>
          <w:color w:val="auto"/>
        </w:rPr>
        <w:t>Wynn Las Vegas | Encore is located at the intersection of the Las Vegas Strip and Sands Avenue, and occupies approximately 215 acres of land fronting the Las Vegas Strip. In addition, we own approximately 18 acres across Sands Avenue, a portion of which is utilized for employee parking. We also occupy approximately 5 acres adjacent to the golf course on which an office building is located.</w:t>
      </w:r>
    </w:p>
    <w:p>
      <w:pPr>
        <w:spacing w:after="0" w:line="88" w:lineRule="exact"/>
        <w:rPr>
          <w:sz w:val="20"/>
          <w:szCs w:val="20"/>
          <w:color w:val="auto"/>
        </w:rPr>
      </w:pPr>
    </w:p>
    <w:p>
      <w:pPr>
        <w:ind w:left="460"/>
        <w:spacing w:after="0"/>
        <w:rPr>
          <w:sz w:val="20"/>
          <w:szCs w:val="20"/>
          <w:color w:val="auto"/>
        </w:rPr>
      </w:pPr>
      <w:r>
        <w:rPr>
          <w:rFonts w:ascii="Arial" w:cs="Arial" w:eastAsia="Arial" w:hAnsi="Arial"/>
          <w:sz w:val="12"/>
          <w:szCs w:val="12"/>
          <w:color w:val="auto"/>
        </w:rPr>
        <w:t>Our Las Vegas resort complex features:</w:t>
      </w:r>
    </w:p>
    <w:p>
      <w:pPr>
        <w:spacing w:after="0" w:line="60" w:lineRule="exact"/>
        <w:rPr>
          <w:sz w:val="20"/>
          <w:szCs w:val="20"/>
          <w:color w:val="auto"/>
        </w:rPr>
      </w:pPr>
    </w:p>
    <w:p>
      <w:pPr>
        <w:ind w:left="900" w:hanging="341"/>
        <w:spacing w:after="0"/>
        <w:tabs>
          <w:tab w:leader="none" w:pos="900" w:val="left"/>
        </w:tabs>
        <w:numPr>
          <w:ilvl w:val="0"/>
          <w:numId w:val="18"/>
        </w:numPr>
        <w:rPr>
          <w:rFonts w:ascii="Arial" w:cs="Arial" w:eastAsia="Arial" w:hAnsi="Arial"/>
          <w:sz w:val="12"/>
          <w:szCs w:val="12"/>
          <w:color w:val="auto"/>
        </w:rPr>
      </w:pPr>
      <w:r>
        <w:rPr>
          <w:rFonts w:ascii="Arial" w:cs="Arial" w:eastAsia="Arial" w:hAnsi="Arial"/>
          <w:sz w:val="12"/>
          <w:szCs w:val="12"/>
          <w:color w:val="auto"/>
        </w:rPr>
        <w:t>Approximately 186,000 square feet of casino space, offering 24-hour gaming and a full range of games, including private gaming salons, a sky casino, a poker room, and a race and sports book;</w:t>
      </w:r>
    </w:p>
    <w:p>
      <w:pPr>
        <w:spacing w:after="0" w:line="60" w:lineRule="exact"/>
        <w:rPr>
          <w:rFonts w:ascii="Arial" w:cs="Arial" w:eastAsia="Arial" w:hAnsi="Arial"/>
          <w:sz w:val="12"/>
          <w:szCs w:val="12"/>
          <w:color w:val="auto"/>
        </w:rPr>
      </w:pPr>
    </w:p>
    <w:p>
      <w:pPr>
        <w:ind w:left="900" w:hanging="341"/>
        <w:spacing w:after="0"/>
        <w:tabs>
          <w:tab w:leader="none" w:pos="900" w:val="left"/>
        </w:tabs>
        <w:numPr>
          <w:ilvl w:val="0"/>
          <w:numId w:val="18"/>
        </w:numPr>
        <w:rPr>
          <w:rFonts w:ascii="Arial" w:cs="Arial" w:eastAsia="Arial" w:hAnsi="Arial"/>
          <w:sz w:val="12"/>
          <w:szCs w:val="12"/>
          <w:color w:val="auto"/>
        </w:rPr>
      </w:pPr>
      <w:r>
        <w:rPr>
          <w:rFonts w:ascii="Arial" w:cs="Arial" w:eastAsia="Arial" w:hAnsi="Arial"/>
          <w:sz w:val="12"/>
          <w:szCs w:val="12"/>
          <w:color w:val="auto"/>
        </w:rPr>
        <w:t>Two luxury hotel towers with a total of 4,748 spacious guest rooms, suites and villas;</w:t>
      </w:r>
    </w:p>
    <w:p>
      <w:pPr>
        <w:spacing w:after="0" w:line="60" w:lineRule="exact"/>
        <w:rPr>
          <w:rFonts w:ascii="Arial" w:cs="Arial" w:eastAsia="Arial" w:hAnsi="Arial"/>
          <w:sz w:val="12"/>
          <w:szCs w:val="12"/>
          <w:color w:val="auto"/>
        </w:rPr>
      </w:pPr>
    </w:p>
    <w:p>
      <w:pPr>
        <w:ind w:left="900" w:hanging="341"/>
        <w:spacing w:after="0"/>
        <w:tabs>
          <w:tab w:leader="none" w:pos="900" w:val="left"/>
        </w:tabs>
        <w:numPr>
          <w:ilvl w:val="0"/>
          <w:numId w:val="18"/>
        </w:numPr>
        <w:rPr>
          <w:rFonts w:ascii="Arial" w:cs="Arial" w:eastAsia="Arial" w:hAnsi="Arial"/>
          <w:sz w:val="12"/>
          <w:szCs w:val="12"/>
          <w:color w:val="auto"/>
        </w:rPr>
      </w:pPr>
      <w:r>
        <w:rPr>
          <w:rFonts w:ascii="Arial" w:cs="Arial" w:eastAsia="Arial" w:hAnsi="Arial"/>
          <w:sz w:val="12"/>
          <w:szCs w:val="12"/>
          <w:color w:val="auto"/>
        </w:rPr>
        <w:t>35 food and beverage outlets featuring signature chefs;</w:t>
      </w:r>
    </w:p>
    <w:p>
      <w:pPr>
        <w:spacing w:after="0" w:line="60" w:lineRule="exact"/>
        <w:rPr>
          <w:rFonts w:ascii="Arial" w:cs="Arial" w:eastAsia="Arial" w:hAnsi="Arial"/>
          <w:sz w:val="12"/>
          <w:szCs w:val="12"/>
          <w:color w:val="auto"/>
        </w:rPr>
      </w:pPr>
    </w:p>
    <w:p>
      <w:pPr>
        <w:ind w:left="900" w:hanging="341"/>
        <w:spacing w:after="0"/>
        <w:tabs>
          <w:tab w:leader="none" w:pos="900" w:val="left"/>
        </w:tabs>
        <w:numPr>
          <w:ilvl w:val="0"/>
          <w:numId w:val="18"/>
        </w:numPr>
        <w:rPr>
          <w:rFonts w:ascii="Arial" w:cs="Arial" w:eastAsia="Arial" w:hAnsi="Arial"/>
          <w:sz w:val="12"/>
          <w:szCs w:val="12"/>
          <w:color w:val="auto"/>
        </w:rPr>
      </w:pPr>
      <w:r>
        <w:rPr>
          <w:rFonts w:ascii="Arial" w:cs="Arial" w:eastAsia="Arial" w:hAnsi="Arial"/>
          <w:sz w:val="12"/>
          <w:szCs w:val="12"/>
          <w:color w:val="auto"/>
        </w:rPr>
        <w:t>A Ferrari and Maserati automobile dealership;</w:t>
      </w:r>
    </w:p>
    <w:p>
      <w:pPr>
        <w:spacing w:after="0" w:line="60" w:lineRule="exact"/>
        <w:rPr>
          <w:rFonts w:ascii="Arial" w:cs="Arial" w:eastAsia="Arial" w:hAnsi="Arial"/>
          <w:sz w:val="12"/>
          <w:szCs w:val="12"/>
          <w:color w:val="auto"/>
        </w:rPr>
      </w:pPr>
    </w:p>
    <w:p>
      <w:pPr>
        <w:ind w:left="900" w:hanging="341"/>
        <w:spacing w:after="0"/>
        <w:tabs>
          <w:tab w:leader="none" w:pos="900" w:val="left"/>
        </w:tabs>
        <w:numPr>
          <w:ilvl w:val="0"/>
          <w:numId w:val="18"/>
        </w:numPr>
        <w:rPr>
          <w:rFonts w:ascii="Arial" w:cs="Arial" w:eastAsia="Arial" w:hAnsi="Arial"/>
          <w:sz w:val="12"/>
          <w:szCs w:val="12"/>
          <w:color w:val="auto"/>
        </w:rPr>
      </w:pPr>
      <w:r>
        <w:rPr>
          <w:rFonts w:ascii="Arial" w:cs="Arial" w:eastAsia="Arial" w:hAnsi="Arial"/>
          <w:sz w:val="12"/>
          <w:szCs w:val="12"/>
          <w:color w:val="auto"/>
        </w:rPr>
        <w:t>Approximately 284,000 square feet of meeting and convention space;</w:t>
      </w:r>
    </w:p>
    <w:p>
      <w:pPr>
        <w:spacing w:after="0" w:line="60" w:lineRule="exact"/>
        <w:rPr>
          <w:rFonts w:ascii="Arial" w:cs="Arial" w:eastAsia="Arial" w:hAnsi="Arial"/>
          <w:sz w:val="12"/>
          <w:szCs w:val="12"/>
          <w:color w:val="auto"/>
        </w:rPr>
      </w:pPr>
    </w:p>
    <w:p>
      <w:pPr>
        <w:ind w:left="900" w:right="60" w:hanging="341"/>
        <w:spacing w:after="0" w:line="268" w:lineRule="auto"/>
        <w:tabs>
          <w:tab w:leader="none" w:pos="900" w:val="left"/>
        </w:tabs>
        <w:numPr>
          <w:ilvl w:val="0"/>
          <w:numId w:val="18"/>
        </w:numPr>
        <w:rPr>
          <w:rFonts w:ascii="Arial" w:cs="Arial" w:eastAsia="Arial" w:hAnsi="Arial"/>
          <w:sz w:val="12"/>
          <w:szCs w:val="12"/>
          <w:color w:val="auto"/>
        </w:rPr>
      </w:pPr>
      <w:r>
        <w:rPr>
          <w:rFonts w:ascii="Arial" w:cs="Arial" w:eastAsia="Arial" w:hAnsi="Arial"/>
          <w:sz w:val="12"/>
          <w:szCs w:val="12"/>
          <w:color w:val="auto"/>
        </w:rPr>
        <w:t>Approximately 96,000 square feet of high-end, brand-name retail shopping, including stores and boutiques by Alexander McQueen, Brioni, Cartier, Chanel, Chloé, Chopard, Dior, Graff, Hermes, IWC Schaffhausen, Jaeger-LeCoultre, Loro Piana, Louis Vuitton, Manolo Blahnik, Nicholas Kirkwood, Oscar de la Renta, Piaget, Rolex, Vertu and others;</w:t>
      </w:r>
    </w:p>
    <w:p>
      <w:pPr>
        <w:spacing w:after="0" w:line="34" w:lineRule="exact"/>
        <w:rPr>
          <w:rFonts w:ascii="Arial" w:cs="Arial" w:eastAsia="Arial" w:hAnsi="Arial"/>
          <w:sz w:val="12"/>
          <w:szCs w:val="12"/>
          <w:color w:val="auto"/>
        </w:rPr>
      </w:pPr>
    </w:p>
    <w:p>
      <w:pPr>
        <w:ind w:left="900" w:hanging="341"/>
        <w:spacing w:after="0"/>
        <w:tabs>
          <w:tab w:leader="none" w:pos="900" w:val="left"/>
        </w:tabs>
        <w:numPr>
          <w:ilvl w:val="0"/>
          <w:numId w:val="18"/>
        </w:numPr>
        <w:rPr>
          <w:rFonts w:ascii="Arial" w:cs="Arial" w:eastAsia="Arial" w:hAnsi="Arial"/>
          <w:sz w:val="12"/>
          <w:szCs w:val="12"/>
          <w:color w:val="auto"/>
        </w:rPr>
      </w:pPr>
      <w:r>
        <w:rPr>
          <w:rFonts w:ascii="Arial" w:cs="Arial" w:eastAsia="Arial" w:hAnsi="Arial"/>
          <w:sz w:val="12"/>
          <w:szCs w:val="12"/>
          <w:color w:val="auto"/>
        </w:rPr>
        <w:t>Recreation and leisure facilities, including an 18-hole golf course, swimming pools, private cabanas and two full service spas and salons;</w:t>
      </w:r>
    </w:p>
    <w:p>
      <w:pPr>
        <w:spacing w:after="0" w:line="60" w:lineRule="exact"/>
        <w:rPr>
          <w:rFonts w:ascii="Arial" w:cs="Arial" w:eastAsia="Arial" w:hAnsi="Arial"/>
          <w:sz w:val="12"/>
          <w:szCs w:val="12"/>
          <w:color w:val="auto"/>
        </w:rPr>
      </w:pPr>
    </w:p>
    <w:p>
      <w:pPr>
        <w:ind w:left="900" w:hanging="341"/>
        <w:spacing w:after="0"/>
        <w:tabs>
          <w:tab w:leader="none" w:pos="900" w:val="left"/>
        </w:tabs>
        <w:numPr>
          <w:ilvl w:val="0"/>
          <w:numId w:val="18"/>
        </w:numPr>
        <w:rPr>
          <w:rFonts w:ascii="Arial" w:cs="Arial" w:eastAsia="Arial" w:hAnsi="Arial"/>
          <w:sz w:val="12"/>
          <w:szCs w:val="12"/>
          <w:color w:val="auto"/>
        </w:rPr>
      </w:pPr>
      <w:r>
        <w:rPr>
          <w:rFonts w:ascii="Arial" w:cs="Arial" w:eastAsia="Arial" w:hAnsi="Arial"/>
          <w:sz w:val="12"/>
          <w:szCs w:val="12"/>
          <w:color w:val="auto"/>
        </w:rPr>
        <w:t>Two showrooms; and</w:t>
      </w:r>
    </w:p>
    <w:p>
      <w:pPr>
        <w:spacing w:after="0" w:line="60" w:lineRule="exact"/>
        <w:rPr>
          <w:rFonts w:ascii="Arial" w:cs="Arial" w:eastAsia="Arial" w:hAnsi="Arial"/>
          <w:sz w:val="12"/>
          <w:szCs w:val="12"/>
          <w:color w:val="auto"/>
        </w:rPr>
      </w:pPr>
    </w:p>
    <w:p>
      <w:pPr>
        <w:ind w:left="900" w:hanging="341"/>
        <w:spacing w:after="0"/>
        <w:tabs>
          <w:tab w:leader="none" w:pos="900" w:val="left"/>
        </w:tabs>
        <w:numPr>
          <w:ilvl w:val="0"/>
          <w:numId w:val="18"/>
        </w:numPr>
        <w:rPr>
          <w:rFonts w:ascii="Arial" w:cs="Arial" w:eastAsia="Arial" w:hAnsi="Arial"/>
          <w:sz w:val="12"/>
          <w:szCs w:val="12"/>
          <w:color w:val="auto"/>
        </w:rPr>
      </w:pPr>
      <w:r>
        <w:rPr>
          <w:rFonts w:ascii="Arial" w:cs="Arial" w:eastAsia="Arial" w:hAnsi="Arial"/>
          <w:sz w:val="12"/>
          <w:szCs w:val="12"/>
          <w:color w:val="auto"/>
        </w:rPr>
        <w:t>Three nightclubs and a beach club.</w:t>
      </w:r>
    </w:p>
    <w:p>
      <w:pPr>
        <w:spacing w:after="0" w:line="114" w:lineRule="exact"/>
        <w:rPr>
          <w:sz w:val="20"/>
          <w:szCs w:val="20"/>
          <w:color w:val="auto"/>
        </w:rPr>
      </w:pPr>
    </w:p>
    <w:p>
      <w:pPr>
        <w:ind w:left="460"/>
        <w:spacing w:after="0"/>
        <w:rPr>
          <w:sz w:val="20"/>
          <w:szCs w:val="20"/>
          <w:color w:val="auto"/>
        </w:rPr>
      </w:pPr>
      <w:r>
        <w:rPr>
          <w:rFonts w:ascii="Arial" w:cs="Arial" w:eastAsia="Arial" w:hAnsi="Arial"/>
          <w:sz w:val="12"/>
          <w:szCs w:val="12"/>
          <w:color w:val="auto"/>
        </w:rPr>
        <w:t>In response to our evaluation of our Las Vegas Operations and the reactions of our guests, we have made and expect to continue to make enhancements and refinements to this resort complex.</w:t>
      </w:r>
    </w:p>
    <w:p>
      <w:pPr>
        <w:spacing w:after="0" w:line="168"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Future Development</w:t>
      </w:r>
    </w:p>
    <w:p>
      <w:pPr>
        <w:spacing w:after="0" w:line="60" w:lineRule="exact"/>
        <w:rPr>
          <w:sz w:val="20"/>
          <w:szCs w:val="20"/>
          <w:color w:val="auto"/>
        </w:rPr>
      </w:pPr>
    </w:p>
    <w:p>
      <w:pPr>
        <w:ind w:right="20" w:firstLine="459"/>
        <w:spacing w:after="0" w:line="259" w:lineRule="auto"/>
        <w:rPr>
          <w:sz w:val="20"/>
          <w:szCs w:val="20"/>
          <w:color w:val="auto"/>
        </w:rPr>
      </w:pPr>
      <w:r>
        <w:rPr>
          <w:rFonts w:ascii="Arial" w:cs="Arial" w:eastAsia="Arial" w:hAnsi="Arial"/>
          <w:sz w:val="12"/>
          <w:szCs w:val="12"/>
          <w:color w:val="auto"/>
        </w:rPr>
        <w:t>We are currently constructing Wynn Palace in the Cotai area of Macau, a full-scale integrated resort containing a 1,700-room hotel, performance lake, meeting space, casino, spa, retail and food and beverage outlets. We estimate the project budget to be approximately $4 billion including all project costs, land costs, preopening expenses, capitalized interest, and opening inventories. We have completed the pre-foundation, substantially completed the piling work and started the structural steel erection. We continue to remain on schedule for an opening in the first half of 2016.</w:t>
      </w:r>
    </w:p>
    <w:p>
      <w:pPr>
        <w:spacing w:after="0" w:line="94" w:lineRule="exact"/>
        <w:rPr>
          <w:sz w:val="20"/>
          <w:szCs w:val="20"/>
          <w:color w:val="auto"/>
        </w:rPr>
      </w:pPr>
    </w:p>
    <w:p>
      <w:pPr>
        <w:ind w:firstLine="459"/>
        <w:spacing w:after="0" w:line="283" w:lineRule="auto"/>
        <w:rPr>
          <w:sz w:val="20"/>
          <w:szCs w:val="20"/>
          <w:color w:val="auto"/>
        </w:rPr>
      </w:pPr>
      <w:r>
        <w:rPr>
          <w:rFonts w:ascii="Arial" w:cs="Arial" w:eastAsia="Arial" w:hAnsi="Arial"/>
          <w:sz w:val="11"/>
          <w:szCs w:val="11"/>
          <w:color w:val="auto"/>
        </w:rPr>
        <w:t>On July 29, 2013, Wynn Macau, S.A. and Palo finalized and executed a guaranteed maximum price construction (“GMP”) contract with Leighton Contractors (Asia) Limited, acting as the general contractor. Under the GMP contract, the general contractor is responsible for both the construction and design of the Wynn Palace project. The general contractor is obligated to substantially complete the project in the first half of 2016 for a guaranteed maximum price of HK$20 billion (approximately US$2.57 billion). An early completion bonus for achievement of substantial completion on or before January 25, 2016 will be paid to the general contractor if certain conditions are satisfied under the GMP contract. Both the contract time and guaranteed maximum price are subject to further adjustment under certain specified conditions. The performance of the general contractor is backed by a full completion guarantee given by Leighton Holdings Limited, the parent company of the general contractor, as well as a performance bond for 5% of the guaranteed maximum price.</w:t>
      </w:r>
    </w:p>
    <w:p>
      <w:pPr>
        <w:spacing w:after="0" w:line="74" w:lineRule="exact"/>
        <w:rPr>
          <w:sz w:val="20"/>
          <w:szCs w:val="20"/>
          <w:color w:val="auto"/>
        </w:rPr>
      </w:pPr>
    </w:p>
    <w:p>
      <w:pPr>
        <w:jc w:val="center"/>
        <w:ind w:right="-99"/>
        <w:spacing w:after="0"/>
        <w:rPr>
          <w:sz w:val="20"/>
          <w:szCs w:val="20"/>
          <w:color w:val="auto"/>
        </w:rPr>
      </w:pPr>
      <w:r>
        <w:rPr>
          <w:rFonts w:ascii="Arial" w:cs="Arial" w:eastAsia="Arial" w:hAnsi="Arial"/>
          <w:sz w:val="12"/>
          <w:szCs w:val="12"/>
          <w:color w:val="auto"/>
        </w:rPr>
        <w:t>35</w:t>
      </w:r>
    </w:p>
    <w:p>
      <w:pPr>
        <w:sectPr>
          <w:pgSz w:w="11900" w:h="16838" w:orient="portrait"/>
          <w:cols w:equalWidth="0" w:num="1">
            <w:col w:w="11380"/>
          </w:cols>
          <w:pgMar w:left="220" w:top="354" w:right="299" w:bottom="1440" w:gutter="0" w:footer="0" w:header="0"/>
        </w:sectPr>
      </w:pPr>
    </w:p>
    <w:bookmarkStart w:id="35" w:name="page36"/>
    <w:bookmarkEnd w:id="35"/>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121920</wp:posOffset>
            </wp:positionH>
            <wp:positionV relativeFrom="page">
              <wp:posOffset>88900</wp:posOffset>
            </wp:positionV>
            <wp:extent cx="7329170" cy="298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329170" cy="29845"/>
                    </a:xfrm>
                    <a:prstGeom prst="rect">
                      <a:avLst/>
                    </a:prstGeom>
                    <a:noFill/>
                  </pic:spPr>
                </pic:pic>
              </a:graphicData>
            </a:graphic>
          </wp:anchor>
        </w:drawing>
      </w:r>
      <w:hyperlink w:anchor="page2">
        <w:r>
          <w:rPr>
            <w:rFonts w:ascii="Arial" w:cs="Arial" w:eastAsia="Arial" w:hAnsi="Arial"/>
            <w:sz w:val="12"/>
            <w:szCs w:val="12"/>
            <w:b w:val="1"/>
            <w:bCs w:val="1"/>
            <w:u w:val="single" w:color="auto"/>
            <w:color w:val="0000EE"/>
          </w:rPr>
          <w:t>Table of Contents</w:t>
        </w:r>
      </w:hyperlink>
    </w:p>
    <w:p>
      <w:pPr>
        <w:spacing w:after="0" w:line="209" w:lineRule="exact"/>
        <w:rPr>
          <w:sz w:val="20"/>
          <w:szCs w:val="20"/>
          <w:color w:val="auto"/>
        </w:rPr>
      </w:pPr>
    </w:p>
    <w:p>
      <w:pPr>
        <w:ind w:firstLine="459"/>
        <w:spacing w:after="0" w:line="294" w:lineRule="auto"/>
        <w:rPr>
          <w:sz w:val="20"/>
          <w:szCs w:val="20"/>
          <w:color w:val="auto"/>
        </w:rPr>
      </w:pPr>
      <w:r>
        <w:rPr>
          <w:rFonts w:ascii="Arial" w:cs="Arial" w:eastAsia="Arial" w:hAnsi="Arial"/>
          <w:sz w:val="11"/>
          <w:szCs w:val="11"/>
          <w:color w:val="auto"/>
        </w:rPr>
        <w:t>We continually seek out new opportunities for additional gaming or related businesses, in the United States, and worldwide. On November 11, 2013, we announced that our Board had elected to withdraw the previously-filed application for a gaming license in Pennsylvania. We have made an application for a gaming license in Massachusetts and have announced a potential project in that jurisdiction. The process is competitive and we do not expect to know the outcome until 2014. Proceeding with this project will require significant expenditure of Company funds. In addition, we are exploring various international jurisdictions for expansion opportunities.</w:t>
      </w:r>
    </w:p>
    <w:p>
      <w:pPr>
        <w:spacing w:after="0" w:line="128"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Results of Operations</w:t>
      </w:r>
    </w:p>
    <w:p>
      <w:pPr>
        <w:spacing w:after="0" w:line="62" w:lineRule="exact"/>
        <w:rPr>
          <w:sz w:val="20"/>
          <w:szCs w:val="20"/>
          <w:color w:val="auto"/>
        </w:rPr>
      </w:pPr>
    </w:p>
    <w:p>
      <w:pPr>
        <w:ind w:left="460"/>
        <w:spacing w:after="0"/>
        <w:rPr>
          <w:sz w:val="20"/>
          <w:szCs w:val="20"/>
          <w:color w:val="auto"/>
        </w:rPr>
      </w:pPr>
      <w:r>
        <w:rPr>
          <w:rFonts w:ascii="Arial" w:cs="Arial" w:eastAsia="Arial" w:hAnsi="Arial"/>
          <w:sz w:val="12"/>
          <w:szCs w:val="12"/>
          <w:color w:val="auto"/>
        </w:rPr>
        <w:t>The table below presents our net revenues (amounts in thousands):</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03"/>
        </w:trPr>
        <w:tc>
          <w:tcPr>
            <w:tcW w:w="6760" w:type="dxa"/>
            <w:vAlign w:val="bottom"/>
          </w:tcPr>
          <w:p>
            <w:pPr>
              <w:spacing w:after="0"/>
              <w:rPr>
                <w:sz w:val="8"/>
                <w:szCs w:val="8"/>
                <w:color w:val="auto"/>
              </w:rPr>
            </w:pPr>
          </w:p>
        </w:tc>
        <w:tc>
          <w:tcPr>
            <w:tcW w:w="200" w:type="dxa"/>
            <w:vAlign w:val="bottom"/>
          </w:tcPr>
          <w:p>
            <w:pPr>
              <w:spacing w:after="0"/>
              <w:rPr>
                <w:sz w:val="8"/>
                <w:szCs w:val="8"/>
                <w:color w:val="auto"/>
              </w:rPr>
            </w:pPr>
          </w:p>
        </w:tc>
        <w:tc>
          <w:tcPr>
            <w:tcW w:w="1300" w:type="dxa"/>
            <w:vAlign w:val="bottom"/>
            <w:gridSpan w:val="3"/>
          </w:tcPr>
          <w:p>
            <w:pPr>
              <w:jc w:val="right"/>
              <w:ind w:right="13"/>
              <w:spacing w:after="0"/>
              <w:rPr>
                <w:sz w:val="20"/>
                <w:szCs w:val="20"/>
                <w:color w:val="auto"/>
              </w:rPr>
            </w:pPr>
            <w:r>
              <w:rPr>
                <w:rFonts w:ascii="Arial" w:cs="Arial" w:eastAsia="Arial" w:hAnsi="Arial"/>
                <w:sz w:val="9"/>
                <w:szCs w:val="9"/>
                <w:b w:val="1"/>
                <w:bCs w:val="1"/>
                <w:color w:val="auto"/>
              </w:rPr>
              <w:t>Three Months Ended</w:t>
            </w:r>
          </w:p>
        </w:tc>
        <w:tc>
          <w:tcPr>
            <w:tcW w:w="560" w:type="dxa"/>
            <w:vAlign w:val="bottom"/>
          </w:tcPr>
          <w:p>
            <w:pPr>
              <w:spacing w:after="0"/>
              <w:rPr>
                <w:sz w:val="8"/>
                <w:szCs w:val="8"/>
                <w:color w:val="auto"/>
              </w:rPr>
            </w:pPr>
          </w:p>
        </w:tc>
        <w:tc>
          <w:tcPr>
            <w:tcW w:w="440" w:type="dxa"/>
            <w:vAlign w:val="bottom"/>
          </w:tcPr>
          <w:p>
            <w:pPr>
              <w:spacing w:after="0"/>
              <w:rPr>
                <w:sz w:val="8"/>
                <w:szCs w:val="8"/>
                <w:color w:val="auto"/>
              </w:rPr>
            </w:pPr>
          </w:p>
        </w:tc>
        <w:tc>
          <w:tcPr>
            <w:tcW w:w="200" w:type="dxa"/>
            <w:vAlign w:val="bottom"/>
          </w:tcPr>
          <w:p>
            <w:pPr>
              <w:spacing w:after="0"/>
              <w:rPr>
                <w:sz w:val="8"/>
                <w:szCs w:val="8"/>
                <w:color w:val="auto"/>
              </w:rPr>
            </w:pPr>
          </w:p>
        </w:tc>
        <w:tc>
          <w:tcPr>
            <w:tcW w:w="1320" w:type="dxa"/>
            <w:vAlign w:val="bottom"/>
            <w:gridSpan w:val="3"/>
          </w:tcPr>
          <w:p>
            <w:pPr>
              <w:jc w:val="right"/>
              <w:ind w:right="80"/>
              <w:spacing w:after="0"/>
              <w:rPr>
                <w:sz w:val="20"/>
                <w:szCs w:val="20"/>
                <w:color w:val="auto"/>
              </w:rPr>
            </w:pPr>
            <w:r>
              <w:rPr>
                <w:rFonts w:ascii="Arial" w:cs="Arial" w:eastAsia="Arial" w:hAnsi="Arial"/>
                <w:sz w:val="9"/>
                <w:szCs w:val="9"/>
                <w:b w:val="1"/>
                <w:bCs w:val="1"/>
                <w:color w:val="auto"/>
              </w:rPr>
              <w:t>Nine Months Ended</w:t>
            </w:r>
          </w:p>
        </w:tc>
        <w:tc>
          <w:tcPr>
            <w:tcW w:w="580" w:type="dxa"/>
            <w:vAlign w:val="bottom"/>
          </w:tcPr>
          <w:p>
            <w:pPr>
              <w:spacing w:after="0"/>
              <w:rPr>
                <w:sz w:val="8"/>
                <w:szCs w:val="8"/>
                <w:color w:val="auto"/>
              </w:rPr>
            </w:pPr>
          </w:p>
        </w:tc>
        <w:tc>
          <w:tcPr>
            <w:tcW w:w="120" w:type="dxa"/>
            <w:vAlign w:val="bottom"/>
          </w:tcPr>
          <w:p>
            <w:pPr>
              <w:spacing w:after="0"/>
              <w:rPr>
                <w:sz w:val="8"/>
                <w:szCs w:val="8"/>
                <w:color w:val="auto"/>
              </w:rPr>
            </w:pPr>
          </w:p>
        </w:tc>
      </w:tr>
      <w:tr>
        <w:trPr>
          <w:trHeight w:val="108"/>
        </w:trPr>
        <w:tc>
          <w:tcPr>
            <w:tcW w:w="6760" w:type="dxa"/>
            <w:vAlign w:val="bottom"/>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1300" w:type="dxa"/>
            <w:vAlign w:val="bottom"/>
            <w:tcBorders>
              <w:bottom w:val="single" w:sz="8" w:color="auto"/>
            </w:tcBorders>
            <w:gridSpan w:val="3"/>
          </w:tcPr>
          <w:p>
            <w:pPr>
              <w:jc w:val="right"/>
              <w:ind w:right="133"/>
              <w:spacing w:after="0"/>
              <w:rPr>
                <w:sz w:val="20"/>
                <w:szCs w:val="20"/>
                <w:color w:val="auto"/>
              </w:rPr>
            </w:pPr>
            <w:r>
              <w:rPr>
                <w:rFonts w:ascii="Arial" w:cs="Arial" w:eastAsia="Arial" w:hAnsi="Arial"/>
                <w:sz w:val="9"/>
                <w:szCs w:val="9"/>
                <w:b w:val="1"/>
                <w:bCs w:val="1"/>
                <w:color w:val="auto"/>
              </w:rPr>
              <w:t>September 30,</w:t>
            </w:r>
          </w:p>
        </w:tc>
        <w:tc>
          <w:tcPr>
            <w:tcW w:w="560" w:type="dxa"/>
            <w:vAlign w:val="bottom"/>
            <w:tcBorders>
              <w:bottom w:val="single" w:sz="8" w:color="auto"/>
            </w:tcBorders>
          </w:tcPr>
          <w:p>
            <w:pPr>
              <w:spacing w:after="0"/>
              <w:rPr>
                <w:sz w:val="9"/>
                <w:szCs w:val="9"/>
                <w:color w:val="auto"/>
              </w:rPr>
            </w:pPr>
          </w:p>
        </w:tc>
        <w:tc>
          <w:tcPr>
            <w:tcW w:w="440" w:type="dxa"/>
            <w:vAlign w:val="bottom"/>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1320" w:type="dxa"/>
            <w:vAlign w:val="bottom"/>
            <w:tcBorders>
              <w:bottom w:val="single" w:sz="8" w:color="auto"/>
            </w:tcBorders>
            <w:gridSpan w:val="3"/>
          </w:tcPr>
          <w:p>
            <w:pPr>
              <w:jc w:val="right"/>
              <w:ind w:right="200"/>
              <w:spacing w:after="0"/>
              <w:rPr>
                <w:sz w:val="20"/>
                <w:szCs w:val="20"/>
                <w:color w:val="auto"/>
              </w:rPr>
            </w:pPr>
            <w:r>
              <w:rPr>
                <w:rFonts w:ascii="Arial" w:cs="Arial" w:eastAsia="Arial" w:hAnsi="Arial"/>
                <w:sz w:val="9"/>
                <w:szCs w:val="9"/>
                <w:b w:val="1"/>
                <w:bCs w:val="1"/>
                <w:color w:val="auto"/>
              </w:rPr>
              <w:t>September 30,</w:t>
            </w:r>
          </w:p>
        </w:tc>
        <w:tc>
          <w:tcPr>
            <w:tcW w:w="580" w:type="dxa"/>
            <w:vAlign w:val="bottom"/>
            <w:tcBorders>
              <w:bottom w:val="single" w:sz="8" w:color="auto"/>
            </w:tcBorders>
          </w:tcPr>
          <w:p>
            <w:pPr>
              <w:spacing w:after="0"/>
              <w:rPr>
                <w:sz w:val="9"/>
                <w:szCs w:val="9"/>
                <w:color w:val="auto"/>
              </w:rPr>
            </w:pPr>
          </w:p>
        </w:tc>
        <w:tc>
          <w:tcPr>
            <w:tcW w:w="120" w:type="dxa"/>
            <w:vAlign w:val="bottom"/>
          </w:tcPr>
          <w:p>
            <w:pPr>
              <w:spacing w:after="0"/>
              <w:rPr>
                <w:sz w:val="9"/>
                <w:szCs w:val="9"/>
                <w:color w:val="auto"/>
              </w:rPr>
            </w:pPr>
          </w:p>
        </w:tc>
      </w:tr>
      <w:tr>
        <w:trPr>
          <w:trHeight w:val="88"/>
        </w:trPr>
        <w:tc>
          <w:tcPr>
            <w:tcW w:w="6760" w:type="dxa"/>
            <w:vAlign w:val="bottom"/>
            <w:tcBorders>
              <w:bottom w:val="single" w:sz="8" w:color="CCEEFF"/>
            </w:tcBorders>
          </w:tcPr>
          <w:p>
            <w:pPr>
              <w:spacing w:after="0"/>
              <w:rPr>
                <w:sz w:val="7"/>
                <w:szCs w:val="7"/>
                <w:color w:val="auto"/>
              </w:rPr>
            </w:pPr>
          </w:p>
        </w:tc>
        <w:tc>
          <w:tcPr>
            <w:tcW w:w="200" w:type="dxa"/>
            <w:vAlign w:val="bottom"/>
            <w:tcBorders>
              <w:bottom w:val="single" w:sz="8" w:color="auto"/>
            </w:tcBorders>
          </w:tcPr>
          <w:p>
            <w:pPr>
              <w:spacing w:after="0"/>
              <w:rPr>
                <w:sz w:val="7"/>
                <w:szCs w:val="7"/>
                <w:color w:val="auto"/>
              </w:rPr>
            </w:pPr>
          </w:p>
        </w:tc>
        <w:tc>
          <w:tcPr>
            <w:tcW w:w="620" w:type="dxa"/>
            <w:vAlign w:val="bottom"/>
            <w:tcBorders>
              <w:bottom w:val="single" w:sz="8" w:color="auto"/>
            </w:tcBorders>
          </w:tcPr>
          <w:p>
            <w:pPr>
              <w:jc w:val="right"/>
              <w:ind w:right="268"/>
              <w:spacing w:after="0" w:line="88" w:lineRule="exact"/>
              <w:rPr>
                <w:sz w:val="20"/>
                <w:szCs w:val="20"/>
                <w:color w:val="auto"/>
              </w:rPr>
            </w:pPr>
            <w:r>
              <w:rPr>
                <w:rFonts w:ascii="Arial" w:cs="Arial" w:eastAsia="Arial" w:hAnsi="Arial"/>
                <w:sz w:val="9"/>
                <w:szCs w:val="9"/>
                <w:b w:val="1"/>
                <w:bCs w:val="1"/>
                <w:color w:val="auto"/>
              </w:rPr>
              <w:t>2013</w:t>
            </w:r>
          </w:p>
        </w:tc>
        <w:tc>
          <w:tcPr>
            <w:tcW w:w="420" w:type="dxa"/>
            <w:vAlign w:val="bottom"/>
            <w:tcBorders>
              <w:bottom w:val="single" w:sz="8" w:color="CCEEFF"/>
            </w:tcBorders>
          </w:tcPr>
          <w:p>
            <w:pPr>
              <w:spacing w:after="0"/>
              <w:rPr>
                <w:sz w:val="7"/>
                <w:szCs w:val="7"/>
                <w:color w:val="auto"/>
              </w:rPr>
            </w:pPr>
          </w:p>
        </w:tc>
        <w:tc>
          <w:tcPr>
            <w:tcW w:w="260" w:type="dxa"/>
            <w:vAlign w:val="bottom"/>
            <w:tcBorders>
              <w:bottom w:val="single" w:sz="8" w:color="auto"/>
            </w:tcBorders>
          </w:tcPr>
          <w:p>
            <w:pPr>
              <w:spacing w:after="0"/>
              <w:rPr>
                <w:sz w:val="7"/>
                <w:szCs w:val="7"/>
                <w:color w:val="auto"/>
              </w:rPr>
            </w:pPr>
          </w:p>
        </w:tc>
        <w:tc>
          <w:tcPr>
            <w:tcW w:w="560" w:type="dxa"/>
            <w:vAlign w:val="bottom"/>
            <w:tcBorders>
              <w:bottom w:val="single" w:sz="8" w:color="auto"/>
            </w:tcBorders>
          </w:tcPr>
          <w:p>
            <w:pPr>
              <w:jc w:val="right"/>
              <w:ind w:right="265"/>
              <w:spacing w:after="0" w:line="88" w:lineRule="exact"/>
              <w:rPr>
                <w:sz w:val="20"/>
                <w:szCs w:val="20"/>
                <w:color w:val="auto"/>
              </w:rPr>
            </w:pPr>
            <w:r>
              <w:rPr>
                <w:rFonts w:ascii="Arial" w:cs="Arial" w:eastAsia="Arial" w:hAnsi="Arial"/>
                <w:sz w:val="9"/>
                <w:szCs w:val="9"/>
                <w:b w:val="1"/>
                <w:bCs w:val="1"/>
                <w:color w:val="auto"/>
              </w:rPr>
              <w:t>2012</w:t>
            </w:r>
          </w:p>
        </w:tc>
        <w:tc>
          <w:tcPr>
            <w:tcW w:w="440" w:type="dxa"/>
            <w:vAlign w:val="bottom"/>
            <w:tcBorders>
              <w:bottom w:val="single" w:sz="8" w:color="CCEEFF"/>
            </w:tcBorders>
          </w:tcPr>
          <w:p>
            <w:pPr>
              <w:spacing w:after="0"/>
              <w:rPr>
                <w:sz w:val="7"/>
                <w:szCs w:val="7"/>
                <w:color w:val="auto"/>
              </w:rPr>
            </w:pPr>
          </w:p>
        </w:tc>
        <w:tc>
          <w:tcPr>
            <w:tcW w:w="200" w:type="dxa"/>
            <w:vAlign w:val="bottom"/>
            <w:tcBorders>
              <w:bottom w:val="single" w:sz="8" w:color="auto"/>
            </w:tcBorders>
          </w:tcPr>
          <w:p>
            <w:pPr>
              <w:spacing w:after="0"/>
              <w:rPr>
                <w:sz w:val="7"/>
                <w:szCs w:val="7"/>
                <w:color w:val="auto"/>
              </w:rPr>
            </w:pPr>
          </w:p>
        </w:tc>
        <w:tc>
          <w:tcPr>
            <w:tcW w:w="620" w:type="dxa"/>
            <w:vAlign w:val="bottom"/>
            <w:tcBorders>
              <w:bottom w:val="single" w:sz="8" w:color="auto"/>
            </w:tcBorders>
          </w:tcPr>
          <w:p>
            <w:pPr>
              <w:jc w:val="right"/>
              <w:ind w:right="268"/>
              <w:spacing w:after="0" w:line="88" w:lineRule="exact"/>
              <w:rPr>
                <w:sz w:val="20"/>
                <w:szCs w:val="20"/>
                <w:color w:val="auto"/>
              </w:rPr>
            </w:pPr>
            <w:r>
              <w:rPr>
                <w:rFonts w:ascii="Arial" w:cs="Arial" w:eastAsia="Arial" w:hAnsi="Arial"/>
                <w:sz w:val="9"/>
                <w:szCs w:val="9"/>
                <w:b w:val="1"/>
                <w:bCs w:val="1"/>
                <w:color w:val="auto"/>
              </w:rPr>
              <w:t>2013</w:t>
            </w:r>
          </w:p>
        </w:tc>
        <w:tc>
          <w:tcPr>
            <w:tcW w:w="460" w:type="dxa"/>
            <w:vAlign w:val="bottom"/>
            <w:tcBorders>
              <w:bottom w:val="single" w:sz="8" w:color="CCEEFF"/>
            </w:tcBorders>
          </w:tcPr>
          <w:p>
            <w:pPr>
              <w:spacing w:after="0"/>
              <w:rPr>
                <w:sz w:val="7"/>
                <w:szCs w:val="7"/>
                <w:color w:val="auto"/>
              </w:rPr>
            </w:pPr>
          </w:p>
        </w:tc>
        <w:tc>
          <w:tcPr>
            <w:tcW w:w="240" w:type="dxa"/>
            <w:vAlign w:val="bottom"/>
            <w:tcBorders>
              <w:bottom w:val="single" w:sz="8" w:color="auto"/>
            </w:tcBorders>
          </w:tcPr>
          <w:p>
            <w:pPr>
              <w:spacing w:after="0"/>
              <w:rPr>
                <w:sz w:val="7"/>
                <w:szCs w:val="7"/>
                <w:color w:val="auto"/>
              </w:rPr>
            </w:pPr>
          </w:p>
        </w:tc>
        <w:tc>
          <w:tcPr>
            <w:tcW w:w="580" w:type="dxa"/>
            <w:vAlign w:val="bottom"/>
            <w:tcBorders>
              <w:bottom w:val="single" w:sz="8" w:color="auto"/>
            </w:tcBorders>
          </w:tcPr>
          <w:p>
            <w:pPr>
              <w:jc w:val="right"/>
              <w:ind w:right="265"/>
              <w:spacing w:after="0" w:line="88" w:lineRule="exact"/>
              <w:rPr>
                <w:sz w:val="20"/>
                <w:szCs w:val="20"/>
                <w:color w:val="auto"/>
              </w:rPr>
            </w:pPr>
            <w:r>
              <w:rPr>
                <w:rFonts w:ascii="Arial" w:cs="Arial" w:eastAsia="Arial" w:hAnsi="Arial"/>
                <w:sz w:val="9"/>
                <w:szCs w:val="9"/>
                <w:b w:val="1"/>
                <w:bCs w:val="1"/>
                <w:color w:val="auto"/>
              </w:rPr>
              <w:t>2012</w:t>
            </w:r>
          </w:p>
        </w:tc>
        <w:tc>
          <w:tcPr>
            <w:tcW w:w="120" w:type="dxa"/>
            <w:vAlign w:val="bottom"/>
            <w:tcBorders>
              <w:bottom w:val="single" w:sz="8" w:color="CCEEFF"/>
            </w:tcBorders>
          </w:tcPr>
          <w:p>
            <w:pPr>
              <w:spacing w:after="0"/>
              <w:rPr>
                <w:sz w:val="7"/>
                <w:szCs w:val="7"/>
                <w:color w:val="auto"/>
              </w:rPr>
            </w:pPr>
          </w:p>
        </w:tc>
      </w:tr>
      <w:tr>
        <w:trPr>
          <w:trHeight w:val="124"/>
        </w:trPr>
        <w:tc>
          <w:tcPr>
            <w:tcW w:w="6760" w:type="dxa"/>
            <w:vAlign w:val="bottom"/>
            <w:shd w:val="clear" w:color="auto" w:fill="CCEEFF"/>
          </w:tcPr>
          <w:p>
            <w:pPr>
              <w:spacing w:after="0" w:line="124" w:lineRule="exact"/>
              <w:rPr>
                <w:sz w:val="20"/>
                <w:szCs w:val="20"/>
                <w:color w:val="auto"/>
              </w:rPr>
            </w:pPr>
            <w:r>
              <w:rPr>
                <w:rFonts w:ascii="Arial" w:cs="Arial" w:eastAsia="Arial" w:hAnsi="Arial"/>
                <w:sz w:val="12"/>
                <w:szCs w:val="12"/>
                <w:b w:val="1"/>
                <w:bCs w:val="1"/>
                <w:color w:val="auto"/>
              </w:rPr>
              <w:t>Net revenues</w:t>
            </w:r>
          </w:p>
        </w:tc>
        <w:tc>
          <w:tcPr>
            <w:tcW w:w="20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r>
      <w:tr>
        <w:trPr>
          <w:trHeight w:val="144"/>
        </w:trPr>
        <w:tc>
          <w:tcPr>
            <w:tcW w:w="6760" w:type="dxa"/>
            <w:vAlign w:val="bottom"/>
          </w:tcPr>
          <w:p>
            <w:pPr>
              <w:ind w:left="280"/>
              <w:spacing w:after="0"/>
              <w:rPr>
                <w:sz w:val="20"/>
                <w:szCs w:val="20"/>
                <w:color w:val="auto"/>
              </w:rPr>
            </w:pPr>
            <w:r>
              <w:rPr>
                <w:rFonts w:ascii="Arial" w:cs="Arial" w:eastAsia="Arial" w:hAnsi="Arial"/>
                <w:sz w:val="12"/>
                <w:szCs w:val="12"/>
                <w:color w:val="auto"/>
              </w:rPr>
              <w:t>Macau Operations</w:t>
            </w:r>
          </w:p>
        </w:tc>
        <w:tc>
          <w:tcPr>
            <w:tcW w:w="200" w:type="dxa"/>
            <w:vAlign w:val="bottom"/>
          </w:tcPr>
          <w:p>
            <w:pPr>
              <w:jc w:val="right"/>
              <w:ind w:right="93"/>
              <w:spacing w:after="0"/>
              <w:rPr>
                <w:sz w:val="20"/>
                <w:szCs w:val="20"/>
                <w:color w:val="auto"/>
              </w:rPr>
            </w:pPr>
            <w:r>
              <w:rPr>
                <w:rFonts w:ascii="Arial" w:cs="Arial" w:eastAsia="Arial" w:hAnsi="Arial"/>
                <w:sz w:val="9"/>
                <w:szCs w:val="9"/>
                <w:color w:val="auto"/>
                <w:w w:val="78"/>
              </w:rPr>
              <w:t>$</w:t>
            </w:r>
          </w:p>
        </w:tc>
        <w:tc>
          <w:tcPr>
            <w:tcW w:w="620" w:type="dxa"/>
            <w:vAlign w:val="bottom"/>
          </w:tcPr>
          <w:p>
            <w:pPr>
              <w:jc w:val="right"/>
              <w:spacing w:after="0"/>
              <w:rPr>
                <w:sz w:val="20"/>
                <w:szCs w:val="20"/>
                <w:color w:val="auto"/>
              </w:rPr>
            </w:pPr>
            <w:r>
              <w:rPr>
                <w:rFonts w:ascii="Arial" w:cs="Arial" w:eastAsia="Arial" w:hAnsi="Arial"/>
                <w:sz w:val="12"/>
                <w:szCs w:val="12"/>
                <w:color w:val="auto"/>
              </w:rPr>
              <w:t>997,635</w:t>
            </w:r>
          </w:p>
        </w:tc>
        <w:tc>
          <w:tcPr>
            <w:tcW w:w="680" w:type="dxa"/>
            <w:vAlign w:val="bottom"/>
            <w:gridSpan w:val="2"/>
          </w:tcPr>
          <w:p>
            <w:pPr>
              <w:jc w:val="right"/>
              <w:ind w:right="153"/>
              <w:spacing w:after="0"/>
              <w:rPr>
                <w:sz w:val="20"/>
                <w:szCs w:val="20"/>
                <w:color w:val="auto"/>
              </w:rPr>
            </w:pPr>
            <w:r>
              <w:rPr>
                <w:rFonts w:ascii="Arial" w:cs="Arial" w:eastAsia="Arial" w:hAnsi="Arial"/>
                <w:sz w:val="12"/>
                <w:szCs w:val="12"/>
                <w:color w:val="auto"/>
              </w:rPr>
              <w:t>$</w:t>
            </w:r>
          </w:p>
        </w:tc>
        <w:tc>
          <w:tcPr>
            <w:tcW w:w="560" w:type="dxa"/>
            <w:vAlign w:val="bottom"/>
          </w:tcPr>
          <w:p>
            <w:pPr>
              <w:jc w:val="right"/>
              <w:spacing w:after="0"/>
              <w:rPr>
                <w:sz w:val="20"/>
                <w:szCs w:val="20"/>
                <w:color w:val="auto"/>
              </w:rPr>
            </w:pPr>
            <w:r>
              <w:rPr>
                <w:rFonts w:ascii="Arial" w:cs="Arial" w:eastAsia="Arial" w:hAnsi="Arial"/>
                <w:sz w:val="12"/>
                <w:szCs w:val="12"/>
                <w:color w:val="auto"/>
              </w:rPr>
              <w:t>910,451</w:t>
            </w:r>
          </w:p>
        </w:tc>
        <w:tc>
          <w:tcPr>
            <w:tcW w:w="640" w:type="dxa"/>
            <w:vAlign w:val="bottom"/>
            <w:gridSpan w:val="2"/>
          </w:tcPr>
          <w:p>
            <w:pPr>
              <w:jc w:val="right"/>
              <w:ind w:right="93"/>
              <w:spacing w:after="0"/>
              <w:rPr>
                <w:sz w:val="20"/>
                <w:szCs w:val="20"/>
                <w:color w:val="auto"/>
              </w:rPr>
            </w:pPr>
            <w:r>
              <w:rPr>
                <w:rFonts w:ascii="Arial" w:cs="Arial" w:eastAsia="Arial" w:hAnsi="Arial"/>
                <w:sz w:val="12"/>
                <w:szCs w:val="12"/>
                <w:color w:val="auto"/>
              </w:rPr>
              <w:t>$</w:t>
            </w:r>
          </w:p>
        </w:tc>
        <w:tc>
          <w:tcPr>
            <w:tcW w:w="620" w:type="dxa"/>
            <w:vAlign w:val="bottom"/>
          </w:tcPr>
          <w:p>
            <w:pPr>
              <w:jc w:val="right"/>
              <w:spacing w:after="0"/>
              <w:rPr>
                <w:sz w:val="20"/>
                <w:szCs w:val="20"/>
                <w:color w:val="auto"/>
              </w:rPr>
            </w:pPr>
            <w:r>
              <w:rPr>
                <w:rFonts w:ascii="Arial" w:cs="Arial" w:eastAsia="Arial" w:hAnsi="Arial"/>
                <w:sz w:val="12"/>
                <w:szCs w:val="12"/>
                <w:color w:val="auto"/>
              </w:rPr>
              <w:t>2,920,591</w:t>
            </w:r>
          </w:p>
        </w:tc>
        <w:tc>
          <w:tcPr>
            <w:tcW w:w="700" w:type="dxa"/>
            <w:vAlign w:val="bottom"/>
            <w:gridSpan w:val="2"/>
          </w:tcPr>
          <w:p>
            <w:pPr>
              <w:jc w:val="right"/>
              <w:ind w:right="200"/>
              <w:spacing w:after="0"/>
              <w:rPr>
                <w:sz w:val="20"/>
                <w:szCs w:val="20"/>
                <w:color w:val="auto"/>
              </w:rPr>
            </w:pPr>
            <w:r>
              <w:rPr>
                <w:rFonts w:ascii="Arial" w:cs="Arial" w:eastAsia="Arial" w:hAnsi="Arial"/>
                <w:sz w:val="12"/>
                <w:szCs w:val="12"/>
                <w:color w:val="auto"/>
              </w:rPr>
              <w:t>$</w:t>
            </w:r>
          </w:p>
        </w:tc>
        <w:tc>
          <w:tcPr>
            <w:tcW w:w="580" w:type="dxa"/>
            <w:vAlign w:val="bottom"/>
          </w:tcPr>
          <w:p>
            <w:pPr>
              <w:jc w:val="right"/>
              <w:spacing w:after="0"/>
              <w:rPr>
                <w:sz w:val="20"/>
                <w:szCs w:val="20"/>
                <w:color w:val="auto"/>
              </w:rPr>
            </w:pPr>
            <w:r>
              <w:rPr>
                <w:rFonts w:ascii="Arial" w:cs="Arial" w:eastAsia="Arial" w:hAnsi="Arial"/>
                <w:sz w:val="12"/>
                <w:szCs w:val="12"/>
                <w:color w:val="auto"/>
              </w:rPr>
              <w:t>2,768,795</w:t>
            </w:r>
          </w:p>
        </w:tc>
        <w:tc>
          <w:tcPr>
            <w:tcW w:w="120" w:type="dxa"/>
            <w:vAlign w:val="bottom"/>
          </w:tcPr>
          <w:p>
            <w:pPr>
              <w:spacing w:after="0"/>
              <w:rPr>
                <w:sz w:val="12"/>
                <w:szCs w:val="12"/>
                <w:color w:val="auto"/>
              </w:rPr>
            </w:pPr>
          </w:p>
        </w:tc>
      </w:tr>
      <w:tr>
        <w:trPr>
          <w:trHeight w:val="144"/>
        </w:trPr>
        <w:tc>
          <w:tcPr>
            <w:tcW w:w="6760" w:type="dxa"/>
            <w:vAlign w:val="bottom"/>
            <w:shd w:val="clear" w:color="auto" w:fill="CCEEFF"/>
          </w:tcPr>
          <w:p>
            <w:pPr>
              <w:ind w:left="280"/>
              <w:spacing w:after="0"/>
              <w:rPr>
                <w:sz w:val="20"/>
                <w:szCs w:val="20"/>
                <w:color w:val="auto"/>
              </w:rPr>
            </w:pPr>
            <w:r>
              <w:rPr>
                <w:rFonts w:ascii="Arial" w:cs="Arial" w:eastAsia="Arial" w:hAnsi="Arial"/>
                <w:sz w:val="12"/>
                <w:szCs w:val="12"/>
                <w:color w:val="auto"/>
              </w:rPr>
              <w:t>Las Vegas Operations</w:t>
            </w:r>
          </w:p>
        </w:tc>
        <w:tc>
          <w:tcPr>
            <w:tcW w:w="200" w:type="dxa"/>
            <w:vAlign w:val="bottom"/>
            <w:tcBorders>
              <w:bottom w:val="single" w:sz="8" w:color="auto"/>
            </w:tcBorders>
            <w:shd w:val="clear" w:color="auto" w:fill="CCEEFF"/>
          </w:tcPr>
          <w:p>
            <w:pPr>
              <w:spacing w:after="0"/>
              <w:rPr>
                <w:sz w:val="12"/>
                <w:szCs w:val="12"/>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392,477</w:t>
            </w:r>
          </w:p>
        </w:tc>
        <w:tc>
          <w:tcPr>
            <w:tcW w:w="420" w:type="dxa"/>
            <w:vAlign w:val="bottom"/>
            <w:shd w:val="clear" w:color="auto" w:fill="CCEEFF"/>
          </w:tcPr>
          <w:p>
            <w:pPr>
              <w:spacing w:after="0"/>
              <w:rPr>
                <w:sz w:val="12"/>
                <w:szCs w:val="12"/>
                <w:color w:val="auto"/>
              </w:rPr>
            </w:pPr>
          </w:p>
        </w:tc>
        <w:tc>
          <w:tcPr>
            <w:tcW w:w="260" w:type="dxa"/>
            <w:vAlign w:val="bottom"/>
            <w:tcBorders>
              <w:bottom w:val="single" w:sz="8" w:color="auto"/>
            </w:tcBorders>
            <w:shd w:val="clear" w:color="auto" w:fill="CCEEFF"/>
          </w:tcPr>
          <w:p>
            <w:pPr>
              <w:spacing w:after="0"/>
              <w:rPr>
                <w:sz w:val="12"/>
                <w:szCs w:val="12"/>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388,044</w:t>
            </w:r>
          </w:p>
        </w:tc>
        <w:tc>
          <w:tcPr>
            <w:tcW w:w="440" w:type="dxa"/>
            <w:vAlign w:val="bottom"/>
            <w:shd w:val="clear" w:color="auto" w:fill="CCEEFF"/>
          </w:tcPr>
          <w:p>
            <w:pPr>
              <w:spacing w:after="0"/>
              <w:rPr>
                <w:sz w:val="12"/>
                <w:szCs w:val="12"/>
                <w:color w:val="auto"/>
              </w:rPr>
            </w:pPr>
          </w:p>
        </w:tc>
        <w:tc>
          <w:tcPr>
            <w:tcW w:w="200" w:type="dxa"/>
            <w:vAlign w:val="bottom"/>
            <w:tcBorders>
              <w:bottom w:val="single" w:sz="8" w:color="auto"/>
            </w:tcBorders>
            <w:shd w:val="clear" w:color="auto" w:fill="CCEEFF"/>
          </w:tcPr>
          <w:p>
            <w:pPr>
              <w:spacing w:after="0"/>
              <w:rPr>
                <w:sz w:val="12"/>
                <w:szCs w:val="12"/>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1,180,448</w:t>
            </w:r>
          </w:p>
        </w:tc>
        <w:tc>
          <w:tcPr>
            <w:tcW w:w="460" w:type="dxa"/>
            <w:vAlign w:val="bottom"/>
            <w:shd w:val="clear" w:color="auto" w:fill="CCEEFF"/>
          </w:tcPr>
          <w:p>
            <w:pPr>
              <w:spacing w:after="0"/>
              <w:rPr>
                <w:sz w:val="12"/>
                <w:szCs w:val="12"/>
                <w:color w:val="auto"/>
              </w:rPr>
            </w:pPr>
          </w:p>
        </w:tc>
        <w:tc>
          <w:tcPr>
            <w:tcW w:w="240" w:type="dxa"/>
            <w:vAlign w:val="bottom"/>
            <w:tcBorders>
              <w:bottom w:val="single" w:sz="8" w:color="auto"/>
            </w:tcBorders>
            <w:shd w:val="clear" w:color="auto" w:fill="CCEEFF"/>
          </w:tcPr>
          <w:p>
            <w:pPr>
              <w:spacing w:after="0"/>
              <w:rPr>
                <w:sz w:val="12"/>
                <w:szCs w:val="12"/>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1,096,405</w:t>
            </w:r>
          </w:p>
        </w:tc>
        <w:tc>
          <w:tcPr>
            <w:tcW w:w="120" w:type="dxa"/>
            <w:vAlign w:val="bottom"/>
            <w:shd w:val="clear" w:color="auto" w:fill="CCEEFF"/>
          </w:tcPr>
          <w:p>
            <w:pPr>
              <w:spacing w:after="0"/>
              <w:rPr>
                <w:sz w:val="12"/>
                <w:szCs w:val="12"/>
                <w:color w:val="auto"/>
              </w:rPr>
            </w:pPr>
          </w:p>
        </w:tc>
      </w:tr>
      <w:tr>
        <w:trPr>
          <w:trHeight w:val="141"/>
        </w:trPr>
        <w:tc>
          <w:tcPr>
            <w:tcW w:w="6760" w:type="dxa"/>
            <w:vAlign w:val="bottom"/>
          </w:tcPr>
          <w:p>
            <w:pPr>
              <w:spacing w:after="0"/>
              <w:rPr>
                <w:sz w:val="12"/>
                <w:szCs w:val="12"/>
                <w:color w:val="auto"/>
              </w:rPr>
            </w:pPr>
          </w:p>
        </w:tc>
        <w:tc>
          <w:tcPr>
            <w:tcW w:w="200" w:type="dxa"/>
            <w:vAlign w:val="bottom"/>
          </w:tcPr>
          <w:p>
            <w:pPr>
              <w:jc w:val="right"/>
              <w:ind w:right="93"/>
              <w:spacing w:after="0"/>
              <w:rPr>
                <w:sz w:val="20"/>
                <w:szCs w:val="20"/>
                <w:color w:val="auto"/>
              </w:rPr>
            </w:pPr>
            <w:r>
              <w:rPr>
                <w:rFonts w:ascii="Arial" w:cs="Arial" w:eastAsia="Arial" w:hAnsi="Arial"/>
                <w:sz w:val="9"/>
                <w:szCs w:val="9"/>
                <w:color w:val="auto"/>
                <w:w w:val="78"/>
              </w:rPr>
              <w:t>$</w:t>
            </w:r>
          </w:p>
        </w:tc>
        <w:tc>
          <w:tcPr>
            <w:tcW w:w="620" w:type="dxa"/>
            <w:vAlign w:val="bottom"/>
          </w:tcPr>
          <w:p>
            <w:pPr>
              <w:jc w:val="right"/>
              <w:spacing w:after="0"/>
              <w:rPr>
                <w:sz w:val="20"/>
                <w:szCs w:val="20"/>
                <w:color w:val="auto"/>
              </w:rPr>
            </w:pPr>
            <w:r>
              <w:rPr>
                <w:rFonts w:ascii="Arial" w:cs="Arial" w:eastAsia="Arial" w:hAnsi="Arial"/>
                <w:sz w:val="12"/>
                <w:szCs w:val="12"/>
                <w:color w:val="auto"/>
              </w:rPr>
              <w:t>1,390,112</w:t>
            </w:r>
          </w:p>
        </w:tc>
        <w:tc>
          <w:tcPr>
            <w:tcW w:w="420" w:type="dxa"/>
            <w:vAlign w:val="bottom"/>
          </w:tcPr>
          <w:p>
            <w:pPr>
              <w:spacing w:after="0"/>
              <w:rPr>
                <w:sz w:val="12"/>
                <w:szCs w:val="12"/>
                <w:color w:val="auto"/>
              </w:rPr>
            </w:pPr>
          </w:p>
        </w:tc>
        <w:tc>
          <w:tcPr>
            <w:tcW w:w="260" w:type="dxa"/>
            <w:vAlign w:val="bottom"/>
          </w:tcPr>
          <w:p>
            <w:pPr>
              <w:jc w:val="right"/>
              <w:ind w:right="153"/>
              <w:spacing w:after="0"/>
              <w:rPr>
                <w:sz w:val="20"/>
                <w:szCs w:val="20"/>
                <w:color w:val="auto"/>
              </w:rPr>
            </w:pPr>
            <w:r>
              <w:rPr>
                <w:rFonts w:ascii="Arial" w:cs="Arial" w:eastAsia="Arial" w:hAnsi="Arial"/>
                <w:sz w:val="9"/>
                <w:szCs w:val="9"/>
                <w:color w:val="auto"/>
                <w:w w:val="78"/>
              </w:rPr>
              <w:t>$</w:t>
            </w:r>
          </w:p>
        </w:tc>
        <w:tc>
          <w:tcPr>
            <w:tcW w:w="560" w:type="dxa"/>
            <w:vAlign w:val="bottom"/>
          </w:tcPr>
          <w:p>
            <w:pPr>
              <w:jc w:val="right"/>
              <w:spacing w:after="0"/>
              <w:rPr>
                <w:sz w:val="20"/>
                <w:szCs w:val="20"/>
                <w:color w:val="auto"/>
              </w:rPr>
            </w:pPr>
            <w:r>
              <w:rPr>
                <w:rFonts w:ascii="Arial" w:cs="Arial" w:eastAsia="Arial" w:hAnsi="Arial"/>
                <w:sz w:val="12"/>
                <w:szCs w:val="12"/>
                <w:color w:val="auto"/>
              </w:rPr>
              <w:t>1,298,495</w:t>
            </w:r>
          </w:p>
        </w:tc>
        <w:tc>
          <w:tcPr>
            <w:tcW w:w="440" w:type="dxa"/>
            <w:vAlign w:val="bottom"/>
          </w:tcPr>
          <w:p>
            <w:pPr>
              <w:spacing w:after="0"/>
              <w:rPr>
                <w:sz w:val="12"/>
                <w:szCs w:val="12"/>
                <w:color w:val="auto"/>
              </w:rPr>
            </w:pPr>
          </w:p>
        </w:tc>
        <w:tc>
          <w:tcPr>
            <w:tcW w:w="200" w:type="dxa"/>
            <w:vAlign w:val="bottom"/>
          </w:tcPr>
          <w:p>
            <w:pPr>
              <w:jc w:val="right"/>
              <w:ind w:right="93"/>
              <w:spacing w:after="0"/>
              <w:rPr>
                <w:sz w:val="20"/>
                <w:szCs w:val="20"/>
                <w:color w:val="auto"/>
              </w:rPr>
            </w:pPr>
            <w:r>
              <w:rPr>
                <w:rFonts w:ascii="Arial" w:cs="Arial" w:eastAsia="Arial" w:hAnsi="Arial"/>
                <w:sz w:val="9"/>
                <w:szCs w:val="9"/>
                <w:color w:val="auto"/>
                <w:w w:val="78"/>
              </w:rPr>
              <w:t>$</w:t>
            </w:r>
          </w:p>
        </w:tc>
        <w:tc>
          <w:tcPr>
            <w:tcW w:w="620" w:type="dxa"/>
            <w:vAlign w:val="bottom"/>
          </w:tcPr>
          <w:p>
            <w:pPr>
              <w:jc w:val="right"/>
              <w:spacing w:after="0"/>
              <w:rPr>
                <w:sz w:val="20"/>
                <w:szCs w:val="20"/>
                <w:color w:val="auto"/>
              </w:rPr>
            </w:pPr>
            <w:r>
              <w:rPr>
                <w:rFonts w:ascii="Arial" w:cs="Arial" w:eastAsia="Arial" w:hAnsi="Arial"/>
                <w:sz w:val="12"/>
                <w:szCs w:val="12"/>
                <w:color w:val="auto"/>
              </w:rPr>
              <w:t>4,101,039</w:t>
            </w:r>
          </w:p>
        </w:tc>
        <w:tc>
          <w:tcPr>
            <w:tcW w:w="700" w:type="dxa"/>
            <w:vAlign w:val="bottom"/>
            <w:gridSpan w:val="2"/>
          </w:tcPr>
          <w:p>
            <w:pPr>
              <w:jc w:val="right"/>
              <w:ind w:right="200"/>
              <w:spacing w:after="0"/>
              <w:rPr>
                <w:sz w:val="20"/>
                <w:szCs w:val="20"/>
                <w:color w:val="auto"/>
              </w:rPr>
            </w:pPr>
            <w:r>
              <w:rPr>
                <w:rFonts w:ascii="Arial" w:cs="Arial" w:eastAsia="Arial" w:hAnsi="Arial"/>
                <w:sz w:val="12"/>
                <w:szCs w:val="12"/>
                <w:color w:val="auto"/>
              </w:rPr>
              <w:t>$</w:t>
            </w:r>
          </w:p>
        </w:tc>
        <w:tc>
          <w:tcPr>
            <w:tcW w:w="580" w:type="dxa"/>
            <w:vAlign w:val="bottom"/>
          </w:tcPr>
          <w:p>
            <w:pPr>
              <w:jc w:val="right"/>
              <w:spacing w:after="0"/>
              <w:rPr>
                <w:sz w:val="20"/>
                <w:szCs w:val="20"/>
                <w:color w:val="auto"/>
              </w:rPr>
            </w:pPr>
            <w:r>
              <w:rPr>
                <w:rFonts w:ascii="Arial" w:cs="Arial" w:eastAsia="Arial" w:hAnsi="Arial"/>
                <w:sz w:val="12"/>
                <w:szCs w:val="12"/>
                <w:color w:val="auto"/>
              </w:rPr>
              <w:t>3,865,200</w:t>
            </w:r>
          </w:p>
        </w:tc>
        <w:tc>
          <w:tcPr>
            <w:tcW w:w="120" w:type="dxa"/>
            <w:vAlign w:val="bottom"/>
          </w:tcPr>
          <w:p>
            <w:pPr>
              <w:spacing w:after="0"/>
              <w:rPr>
                <w:sz w:val="12"/>
                <w:szCs w:val="12"/>
                <w:color w:val="auto"/>
              </w:rPr>
            </w:pPr>
          </w:p>
        </w:tc>
      </w:tr>
      <w:tr>
        <w:trPr>
          <w:trHeight w:val="28"/>
        </w:trPr>
        <w:tc>
          <w:tcPr>
            <w:tcW w:w="676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bl>
    <w:p>
      <w:pPr>
        <w:spacing w:after="0" w:line="111" w:lineRule="exact"/>
        <w:rPr>
          <w:sz w:val="20"/>
          <w:szCs w:val="20"/>
          <w:color w:val="auto"/>
        </w:rPr>
      </w:pPr>
    </w:p>
    <w:p>
      <w:pPr>
        <w:jc w:val="both"/>
        <w:ind w:right="420" w:firstLine="459"/>
        <w:spacing w:after="0" w:line="438" w:lineRule="auto"/>
        <w:rPr>
          <w:sz w:val="20"/>
          <w:szCs w:val="20"/>
          <w:color w:val="auto"/>
        </w:rPr>
      </w:pPr>
      <w:r>
        <w:rPr>
          <w:rFonts w:ascii="Arial" w:cs="Arial" w:eastAsia="Arial" w:hAnsi="Arial"/>
          <w:sz w:val="9"/>
          <w:szCs w:val="9"/>
          <w:color w:val="auto"/>
        </w:rPr>
        <w:t>Reliance on only two resort complexes (in two geographic regions) for our operating cash flow exposes us to certain risks that competitors, whose operations are more diversified, may be better able to control. In addition to the concentration of operations in two resort complexes, many of our customers are premium gaming customers who wager on credit, thus exposing us to credit risk. High-end gaming also increases the potential for variability in our results.</w:t>
      </w:r>
    </w:p>
    <w:p>
      <w:pPr>
        <w:spacing w:after="0" w:line="73" w:lineRule="exact"/>
        <w:rPr>
          <w:sz w:val="20"/>
          <w:szCs w:val="20"/>
          <w:color w:val="auto"/>
        </w:rPr>
      </w:pPr>
    </w:p>
    <w:p>
      <w:pPr>
        <w:ind w:left="220"/>
        <w:spacing w:after="0"/>
        <w:rPr>
          <w:sz w:val="20"/>
          <w:szCs w:val="20"/>
          <w:color w:val="auto"/>
        </w:rPr>
      </w:pPr>
      <w:r>
        <w:rPr>
          <w:rFonts w:ascii="Arial" w:cs="Arial" w:eastAsia="Arial" w:hAnsi="Arial"/>
          <w:sz w:val="12"/>
          <w:szCs w:val="12"/>
          <w:i w:val="1"/>
          <w:iCs w:val="1"/>
          <w:color w:val="auto"/>
        </w:rPr>
        <w:t>Operating Measures</w:t>
      </w:r>
    </w:p>
    <w:p>
      <w:pPr>
        <w:spacing w:after="0" w:line="60" w:lineRule="exact"/>
        <w:rPr>
          <w:sz w:val="20"/>
          <w:szCs w:val="20"/>
          <w:color w:val="auto"/>
        </w:rPr>
      </w:pPr>
    </w:p>
    <w:p>
      <w:pPr>
        <w:ind w:right="60" w:firstLine="459"/>
        <w:spacing w:after="0" w:line="268" w:lineRule="auto"/>
        <w:rPr>
          <w:sz w:val="20"/>
          <w:szCs w:val="20"/>
          <w:color w:val="auto"/>
        </w:rPr>
      </w:pPr>
      <w:r>
        <w:rPr>
          <w:rFonts w:ascii="Arial" w:cs="Arial" w:eastAsia="Arial" w:hAnsi="Arial"/>
          <w:sz w:val="12"/>
          <w:szCs w:val="12"/>
          <w:color w:val="auto"/>
        </w:rPr>
        <w:t>Certain key operating statistics specific to the gaming industry are included in our discussion of our operational performance for the periods for which a Condensed Consolidated Statement of Income is presented. Below is a discussion of the methodologies used to calculate win percentage at our resorts.</w:t>
      </w:r>
    </w:p>
    <w:p>
      <w:pPr>
        <w:spacing w:after="0" w:line="142" w:lineRule="exact"/>
        <w:rPr>
          <w:sz w:val="20"/>
          <w:szCs w:val="20"/>
          <w:color w:val="auto"/>
        </w:rPr>
      </w:pPr>
    </w:p>
    <w:p>
      <w:pPr>
        <w:ind w:left="460"/>
        <w:spacing w:after="0"/>
        <w:rPr>
          <w:sz w:val="20"/>
          <w:szCs w:val="20"/>
          <w:color w:val="auto"/>
        </w:rPr>
      </w:pPr>
      <w:r>
        <w:rPr>
          <w:rFonts w:ascii="Arial" w:cs="Arial" w:eastAsia="Arial" w:hAnsi="Arial"/>
          <w:sz w:val="12"/>
          <w:szCs w:val="12"/>
          <w:i w:val="1"/>
          <w:iCs w:val="1"/>
          <w:color w:val="auto"/>
        </w:rPr>
        <w:t>Macau Operations</w:t>
      </w:r>
    </w:p>
    <w:p>
      <w:pPr>
        <w:spacing w:after="0" w:line="60" w:lineRule="exact"/>
        <w:rPr>
          <w:sz w:val="20"/>
          <w:szCs w:val="20"/>
          <w:color w:val="auto"/>
        </w:rPr>
      </w:pPr>
    </w:p>
    <w:p>
      <w:pPr>
        <w:ind w:right="160" w:firstLine="459"/>
        <w:spacing w:after="0" w:line="256" w:lineRule="auto"/>
        <w:rPr>
          <w:sz w:val="20"/>
          <w:szCs w:val="20"/>
          <w:color w:val="auto"/>
        </w:rPr>
      </w:pPr>
      <w:r>
        <w:rPr>
          <w:rFonts w:ascii="Arial" w:cs="Arial" w:eastAsia="Arial" w:hAnsi="Arial"/>
          <w:sz w:val="12"/>
          <w:szCs w:val="12"/>
          <w:color w:val="auto"/>
        </w:rPr>
        <w:t>In our VIP casino in Macau, customers primarily purchase non-negotiable chips, commonly referred to as rolling chips, from the casino cage and there is no deposit into a gaming table drop box from chips purchased from the cage. Non-negotiable chips can only be used to make wagers. Winning wagers are paid in cash chips. The loss of the non-negotiable chips in the VIP casino is recorded as turnover and provides a base for calculating VIP casino win percentage. It is customary in Macau to measure VIP casino play using this rolling chip method. The measurement base used in the general casino is not the same that is used in the VIP casino. We expect our win as a percentage of turnover to be within the range of 2.7% to 3.0%.</w:t>
      </w:r>
    </w:p>
    <w:p>
      <w:pPr>
        <w:spacing w:after="0" w:line="96" w:lineRule="exact"/>
        <w:rPr>
          <w:sz w:val="20"/>
          <w:szCs w:val="20"/>
          <w:color w:val="auto"/>
        </w:rPr>
      </w:pPr>
    </w:p>
    <w:p>
      <w:pPr>
        <w:ind w:right="40" w:firstLine="459"/>
        <w:spacing w:after="0" w:line="386" w:lineRule="auto"/>
        <w:rPr>
          <w:sz w:val="20"/>
          <w:szCs w:val="20"/>
          <w:color w:val="auto"/>
        </w:rPr>
      </w:pPr>
      <w:r>
        <w:rPr>
          <w:rFonts w:ascii="Arial" w:cs="Arial" w:eastAsia="Arial" w:hAnsi="Arial"/>
          <w:sz w:val="9"/>
          <w:szCs w:val="9"/>
          <w:color w:val="auto"/>
        </w:rPr>
        <w:t>In our general casino in Macau, customers may purchase cash chips at either the gaming tables or at the casino cage. The cash and net markers used to purchase the cash chips at the gaming tables are deposited in the gaming table’s drop box. This is the base of measurement that we use for calculating win percentage in our general casino. We do not report an expected range for the win percentage in our general casino as chips purchased at the casino cage are excluded from table games drop and distort our expected win percentage. With increased purchases at the casino cage, we believe the relevant indicator of volumes in the mass market segment should be table games win.</w:t>
      </w:r>
    </w:p>
    <w:p>
      <w:pPr>
        <w:spacing w:after="0" w:line="41" w:lineRule="exact"/>
        <w:rPr>
          <w:sz w:val="20"/>
          <w:szCs w:val="20"/>
          <w:color w:val="auto"/>
        </w:rPr>
      </w:pPr>
    </w:p>
    <w:p>
      <w:pPr>
        <w:jc w:val="both"/>
        <w:ind w:right="60" w:firstLine="459"/>
        <w:spacing w:after="0" w:line="259" w:lineRule="auto"/>
        <w:rPr>
          <w:sz w:val="20"/>
          <w:szCs w:val="20"/>
          <w:color w:val="auto"/>
        </w:rPr>
      </w:pPr>
      <w:r>
        <w:rPr>
          <w:rFonts w:ascii="Arial" w:cs="Arial" w:eastAsia="Arial" w:hAnsi="Arial"/>
          <w:sz w:val="12"/>
          <w:szCs w:val="12"/>
          <w:color w:val="auto"/>
        </w:rPr>
        <w:t>The measurements in our VIP casino and the general casino are not comparable as the general casino tracks the initial purchase of chips at the table while the measurement method in our VIP casino tracks the sum of all losing wagers. Accordingly, the base measurement in the VIP casino is much larger than the base measurement in the general casino. As a result, the expected win percentage with the same amount of gaming win is smaller in the VIP casino when compared to the general casino.</w:t>
      </w:r>
    </w:p>
    <w:p>
      <w:pPr>
        <w:spacing w:after="0" w:line="85"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36</w:t>
      </w:r>
    </w:p>
    <w:p>
      <w:pPr>
        <w:sectPr>
          <w:pgSz w:w="11900" w:h="16838" w:orient="portrait"/>
          <w:cols w:equalWidth="0" w:num="1">
            <w:col w:w="11480"/>
          </w:cols>
          <w:pgMar w:left="220" w:top="354" w:right="199" w:bottom="1440" w:gutter="0" w:footer="0" w:header="0"/>
        </w:sectPr>
      </w:pPr>
    </w:p>
    <w:bookmarkStart w:id="36" w:name="page37"/>
    <w:bookmarkEnd w:id="36"/>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121920</wp:posOffset>
            </wp:positionH>
            <wp:positionV relativeFrom="page">
              <wp:posOffset>88900</wp:posOffset>
            </wp:positionV>
            <wp:extent cx="7329170" cy="298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329170" cy="29845"/>
                    </a:xfrm>
                    <a:prstGeom prst="rect">
                      <a:avLst/>
                    </a:prstGeom>
                    <a:noFill/>
                  </pic:spPr>
                </pic:pic>
              </a:graphicData>
            </a:graphic>
          </wp:anchor>
        </w:drawing>
      </w:r>
      <w:hyperlink w:anchor="page2">
        <w:r>
          <w:rPr>
            <w:rFonts w:ascii="Arial" w:cs="Arial" w:eastAsia="Arial" w:hAnsi="Arial"/>
            <w:sz w:val="12"/>
            <w:szCs w:val="12"/>
            <w:b w:val="1"/>
            <w:bCs w:val="1"/>
            <w:u w:val="single" w:color="auto"/>
            <w:color w:val="0000EE"/>
          </w:rPr>
          <w:t>Table of Contents</w:t>
        </w:r>
      </w:hyperlink>
    </w:p>
    <w:p>
      <w:pPr>
        <w:spacing w:after="0" w:line="209" w:lineRule="exact"/>
        <w:rPr>
          <w:sz w:val="20"/>
          <w:szCs w:val="20"/>
          <w:color w:val="auto"/>
        </w:rPr>
      </w:pPr>
    </w:p>
    <w:p>
      <w:pPr>
        <w:ind w:left="460"/>
        <w:spacing w:after="0"/>
        <w:rPr>
          <w:sz w:val="20"/>
          <w:szCs w:val="20"/>
          <w:color w:val="auto"/>
        </w:rPr>
      </w:pPr>
      <w:r>
        <w:rPr>
          <w:rFonts w:ascii="Arial" w:cs="Arial" w:eastAsia="Arial" w:hAnsi="Arial"/>
          <w:sz w:val="12"/>
          <w:szCs w:val="12"/>
          <w:i w:val="1"/>
          <w:iCs w:val="1"/>
          <w:color w:val="auto"/>
        </w:rPr>
        <w:t>Las Vegas Operations</w:t>
      </w:r>
    </w:p>
    <w:p>
      <w:pPr>
        <w:spacing w:after="0" w:line="60" w:lineRule="exact"/>
        <w:rPr>
          <w:sz w:val="20"/>
          <w:szCs w:val="20"/>
          <w:color w:val="auto"/>
        </w:rPr>
      </w:pPr>
    </w:p>
    <w:p>
      <w:pPr>
        <w:ind w:right="60" w:firstLine="459"/>
        <w:spacing w:after="0" w:line="268" w:lineRule="auto"/>
        <w:rPr>
          <w:sz w:val="20"/>
          <w:szCs w:val="20"/>
          <w:color w:val="auto"/>
        </w:rPr>
      </w:pPr>
      <w:r>
        <w:rPr>
          <w:rFonts w:ascii="Arial" w:cs="Arial" w:eastAsia="Arial" w:hAnsi="Arial"/>
          <w:sz w:val="12"/>
          <w:szCs w:val="12"/>
          <w:color w:val="auto"/>
        </w:rPr>
        <w:t>In Las Vegas, customers purchase chips at the gaming tables. The cash and net markers used to purchase chips are deposited in the gaming table’s drop box. This is the base of measurement that we use for calculating win percentage in Las Vegas. Each type of table game has its own theoretical win percentage. Our expected table games win percentage in Las Vegas is 21% to 24%.</w:t>
      </w:r>
    </w:p>
    <w:p>
      <w:pPr>
        <w:spacing w:after="0" w:line="88" w:lineRule="exact"/>
        <w:rPr>
          <w:sz w:val="20"/>
          <w:szCs w:val="20"/>
          <w:color w:val="auto"/>
        </w:rPr>
      </w:pPr>
    </w:p>
    <w:p>
      <w:pPr>
        <w:ind w:left="460"/>
        <w:spacing w:after="0"/>
        <w:rPr>
          <w:sz w:val="20"/>
          <w:szCs w:val="20"/>
          <w:color w:val="auto"/>
        </w:rPr>
      </w:pPr>
      <w:r>
        <w:rPr>
          <w:rFonts w:ascii="Arial" w:cs="Arial" w:eastAsia="Arial" w:hAnsi="Arial"/>
          <w:sz w:val="12"/>
          <w:szCs w:val="12"/>
          <w:color w:val="auto"/>
        </w:rPr>
        <w:t>Below are definitions of the statistics discussed:</w:t>
      </w:r>
    </w:p>
    <w:p>
      <w:pPr>
        <w:spacing w:after="0" w:line="60" w:lineRule="exact"/>
        <w:rPr>
          <w:sz w:val="20"/>
          <w:szCs w:val="20"/>
          <w:color w:val="auto"/>
        </w:rPr>
      </w:pPr>
    </w:p>
    <w:p>
      <w:pPr>
        <w:ind w:left="900" w:hanging="449"/>
        <w:spacing w:after="0"/>
        <w:tabs>
          <w:tab w:leader="none" w:pos="900" w:val="left"/>
        </w:tabs>
        <w:numPr>
          <w:ilvl w:val="0"/>
          <w:numId w:val="19"/>
        </w:numPr>
        <w:rPr>
          <w:rFonts w:ascii="Arial" w:cs="Arial" w:eastAsia="Arial" w:hAnsi="Arial"/>
          <w:sz w:val="12"/>
          <w:szCs w:val="12"/>
          <w:color w:val="auto"/>
        </w:rPr>
      </w:pPr>
      <w:r>
        <w:rPr>
          <w:rFonts w:ascii="Arial" w:cs="Arial" w:eastAsia="Arial" w:hAnsi="Arial"/>
          <w:sz w:val="12"/>
          <w:szCs w:val="12"/>
          <w:color w:val="auto"/>
        </w:rPr>
        <w:t>Table games win is the amount of drop or turnover that is retained and recorded as casino revenue.</w:t>
      </w:r>
    </w:p>
    <w:p>
      <w:pPr>
        <w:spacing w:after="0" w:line="60" w:lineRule="exact"/>
        <w:rPr>
          <w:rFonts w:ascii="Arial" w:cs="Arial" w:eastAsia="Arial" w:hAnsi="Arial"/>
          <w:sz w:val="12"/>
          <w:szCs w:val="12"/>
          <w:color w:val="auto"/>
        </w:rPr>
      </w:pPr>
    </w:p>
    <w:p>
      <w:pPr>
        <w:ind w:left="900" w:hanging="449"/>
        <w:spacing w:after="0"/>
        <w:tabs>
          <w:tab w:leader="none" w:pos="900" w:val="left"/>
        </w:tabs>
        <w:numPr>
          <w:ilvl w:val="0"/>
          <w:numId w:val="19"/>
        </w:numPr>
        <w:rPr>
          <w:rFonts w:ascii="Arial" w:cs="Arial" w:eastAsia="Arial" w:hAnsi="Arial"/>
          <w:sz w:val="12"/>
          <w:szCs w:val="12"/>
          <w:color w:val="auto"/>
        </w:rPr>
      </w:pPr>
      <w:r>
        <w:rPr>
          <w:rFonts w:ascii="Arial" w:cs="Arial" w:eastAsia="Arial" w:hAnsi="Arial"/>
          <w:sz w:val="12"/>
          <w:szCs w:val="12"/>
          <w:color w:val="auto"/>
        </w:rPr>
        <w:t>Drop is the amount of cash and net markers issued that are deposited in a gaming table’s drop box.</w:t>
      </w:r>
    </w:p>
    <w:p>
      <w:pPr>
        <w:spacing w:after="0" w:line="60" w:lineRule="exact"/>
        <w:rPr>
          <w:rFonts w:ascii="Arial" w:cs="Arial" w:eastAsia="Arial" w:hAnsi="Arial"/>
          <w:sz w:val="12"/>
          <w:szCs w:val="12"/>
          <w:color w:val="auto"/>
        </w:rPr>
      </w:pPr>
    </w:p>
    <w:p>
      <w:pPr>
        <w:ind w:left="900" w:hanging="449"/>
        <w:spacing w:after="0"/>
        <w:tabs>
          <w:tab w:leader="none" w:pos="900" w:val="left"/>
        </w:tabs>
        <w:numPr>
          <w:ilvl w:val="0"/>
          <w:numId w:val="19"/>
        </w:numPr>
        <w:rPr>
          <w:rFonts w:ascii="Arial" w:cs="Arial" w:eastAsia="Arial" w:hAnsi="Arial"/>
          <w:sz w:val="12"/>
          <w:szCs w:val="12"/>
          <w:color w:val="auto"/>
        </w:rPr>
      </w:pPr>
      <w:r>
        <w:rPr>
          <w:rFonts w:ascii="Arial" w:cs="Arial" w:eastAsia="Arial" w:hAnsi="Arial"/>
          <w:sz w:val="12"/>
          <w:szCs w:val="12"/>
          <w:color w:val="auto"/>
        </w:rPr>
        <w:t>Turnover is the sum of all losing rolling chip wagers within our Wynn Macau Operations’ VIP program.</w:t>
      </w:r>
    </w:p>
    <w:p>
      <w:pPr>
        <w:spacing w:after="0" w:line="60" w:lineRule="exact"/>
        <w:rPr>
          <w:rFonts w:ascii="Arial" w:cs="Arial" w:eastAsia="Arial" w:hAnsi="Arial"/>
          <w:sz w:val="12"/>
          <w:szCs w:val="12"/>
          <w:color w:val="auto"/>
        </w:rPr>
      </w:pPr>
    </w:p>
    <w:p>
      <w:pPr>
        <w:ind w:left="900" w:hanging="449"/>
        <w:spacing w:after="0"/>
        <w:tabs>
          <w:tab w:leader="none" w:pos="900" w:val="left"/>
        </w:tabs>
        <w:numPr>
          <w:ilvl w:val="0"/>
          <w:numId w:val="19"/>
        </w:numPr>
        <w:rPr>
          <w:rFonts w:ascii="Arial" w:cs="Arial" w:eastAsia="Arial" w:hAnsi="Arial"/>
          <w:sz w:val="12"/>
          <w:szCs w:val="12"/>
          <w:color w:val="auto"/>
        </w:rPr>
      </w:pPr>
      <w:r>
        <w:rPr>
          <w:rFonts w:ascii="Arial" w:cs="Arial" w:eastAsia="Arial" w:hAnsi="Arial"/>
          <w:sz w:val="12"/>
          <w:szCs w:val="12"/>
          <w:color w:val="auto"/>
        </w:rPr>
        <w:t>Rolling chips are identifiable chips that are used to track turnover for purposes of calculating incentives.</w:t>
      </w:r>
    </w:p>
    <w:p>
      <w:pPr>
        <w:spacing w:after="0" w:line="60" w:lineRule="exact"/>
        <w:rPr>
          <w:rFonts w:ascii="Arial" w:cs="Arial" w:eastAsia="Arial" w:hAnsi="Arial"/>
          <w:sz w:val="12"/>
          <w:szCs w:val="12"/>
          <w:color w:val="auto"/>
        </w:rPr>
      </w:pPr>
    </w:p>
    <w:p>
      <w:pPr>
        <w:ind w:left="900" w:hanging="449"/>
        <w:spacing w:after="0"/>
        <w:tabs>
          <w:tab w:leader="none" w:pos="900" w:val="left"/>
        </w:tabs>
        <w:numPr>
          <w:ilvl w:val="0"/>
          <w:numId w:val="19"/>
        </w:numPr>
        <w:rPr>
          <w:rFonts w:ascii="Arial" w:cs="Arial" w:eastAsia="Arial" w:hAnsi="Arial"/>
          <w:sz w:val="12"/>
          <w:szCs w:val="12"/>
          <w:color w:val="auto"/>
        </w:rPr>
      </w:pPr>
      <w:r>
        <w:rPr>
          <w:rFonts w:ascii="Arial" w:cs="Arial" w:eastAsia="Arial" w:hAnsi="Arial"/>
          <w:sz w:val="12"/>
          <w:szCs w:val="12"/>
          <w:color w:val="auto"/>
        </w:rPr>
        <w:t>Slot win is the amount of handle (representing the total amount wagered) that is retained by us and is recorded as casino revenue.</w:t>
      </w:r>
    </w:p>
    <w:p>
      <w:pPr>
        <w:spacing w:after="0" w:line="60" w:lineRule="exact"/>
        <w:rPr>
          <w:rFonts w:ascii="Arial" w:cs="Arial" w:eastAsia="Arial" w:hAnsi="Arial"/>
          <w:sz w:val="12"/>
          <w:szCs w:val="12"/>
          <w:color w:val="auto"/>
        </w:rPr>
      </w:pPr>
    </w:p>
    <w:p>
      <w:pPr>
        <w:ind w:left="900" w:hanging="449"/>
        <w:spacing w:after="0"/>
        <w:tabs>
          <w:tab w:leader="none" w:pos="900" w:val="left"/>
        </w:tabs>
        <w:numPr>
          <w:ilvl w:val="0"/>
          <w:numId w:val="19"/>
        </w:numPr>
        <w:rPr>
          <w:rFonts w:ascii="Arial" w:cs="Arial" w:eastAsia="Arial" w:hAnsi="Arial"/>
          <w:sz w:val="11"/>
          <w:szCs w:val="11"/>
          <w:color w:val="auto"/>
        </w:rPr>
      </w:pPr>
      <w:r>
        <w:rPr>
          <w:rFonts w:ascii="Arial" w:cs="Arial" w:eastAsia="Arial" w:hAnsi="Arial"/>
          <w:sz w:val="11"/>
          <w:szCs w:val="11"/>
          <w:color w:val="auto"/>
        </w:rPr>
        <w:t>Average Daily Rate (“ADR”) is calculated by dividing total room revenue including the retail value of promotional allowances (less service charges, if any) by total rooms occupied including complimentary rooms.</w:t>
      </w:r>
    </w:p>
    <w:p>
      <w:pPr>
        <w:spacing w:after="0" w:line="71" w:lineRule="exact"/>
        <w:rPr>
          <w:rFonts w:ascii="Arial" w:cs="Arial" w:eastAsia="Arial" w:hAnsi="Arial"/>
          <w:sz w:val="11"/>
          <w:szCs w:val="11"/>
          <w:color w:val="auto"/>
        </w:rPr>
      </w:pPr>
    </w:p>
    <w:p>
      <w:pPr>
        <w:ind w:left="900" w:hanging="449"/>
        <w:spacing w:after="0"/>
        <w:tabs>
          <w:tab w:leader="none" w:pos="900" w:val="left"/>
        </w:tabs>
        <w:numPr>
          <w:ilvl w:val="0"/>
          <w:numId w:val="19"/>
        </w:numPr>
        <w:rPr>
          <w:rFonts w:ascii="Arial" w:cs="Arial" w:eastAsia="Arial" w:hAnsi="Arial"/>
          <w:sz w:val="12"/>
          <w:szCs w:val="12"/>
          <w:color w:val="auto"/>
        </w:rPr>
      </w:pPr>
      <w:r>
        <w:rPr>
          <w:rFonts w:ascii="Arial" w:cs="Arial" w:eastAsia="Arial" w:hAnsi="Arial"/>
          <w:sz w:val="12"/>
          <w:szCs w:val="12"/>
          <w:color w:val="auto"/>
        </w:rPr>
        <w:t>Revenue per Available Room (“REVPAR”) is calculated by dividing total room revenue including the retail value of promotional allowances (less service charges, if any) by total rooms available.</w:t>
      </w:r>
    </w:p>
    <w:p>
      <w:pPr>
        <w:spacing w:after="0" w:line="60" w:lineRule="exact"/>
        <w:rPr>
          <w:rFonts w:ascii="Arial" w:cs="Arial" w:eastAsia="Arial" w:hAnsi="Arial"/>
          <w:sz w:val="12"/>
          <w:szCs w:val="12"/>
          <w:color w:val="auto"/>
        </w:rPr>
      </w:pPr>
    </w:p>
    <w:p>
      <w:pPr>
        <w:ind w:left="900" w:hanging="449"/>
        <w:spacing w:after="0"/>
        <w:tabs>
          <w:tab w:leader="none" w:pos="900" w:val="left"/>
        </w:tabs>
        <w:numPr>
          <w:ilvl w:val="0"/>
          <w:numId w:val="19"/>
        </w:numPr>
        <w:rPr>
          <w:rFonts w:ascii="Arial" w:cs="Arial" w:eastAsia="Arial" w:hAnsi="Arial"/>
          <w:sz w:val="12"/>
          <w:szCs w:val="12"/>
          <w:color w:val="auto"/>
        </w:rPr>
      </w:pPr>
      <w:r>
        <w:rPr>
          <w:rFonts w:ascii="Arial" w:cs="Arial" w:eastAsia="Arial" w:hAnsi="Arial"/>
          <w:sz w:val="12"/>
          <w:szCs w:val="12"/>
          <w:color w:val="auto"/>
        </w:rPr>
        <w:t>Occupancy is calculated by dividing total occupied rooms, including complimentary rooms, by total rooms available.</w:t>
      </w:r>
    </w:p>
    <w:p>
      <w:pPr>
        <w:spacing w:after="0" w:line="168"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Financial results for the three months ended September 30, 2013 compared to the three months ended September 30, 2012.</w:t>
      </w:r>
    </w:p>
    <w:p>
      <w:pPr>
        <w:spacing w:after="0" w:line="60" w:lineRule="exact"/>
        <w:rPr>
          <w:sz w:val="20"/>
          <w:szCs w:val="20"/>
          <w:color w:val="auto"/>
        </w:rPr>
      </w:pPr>
    </w:p>
    <w:p>
      <w:pPr>
        <w:ind w:left="220"/>
        <w:spacing w:after="0"/>
        <w:rPr>
          <w:sz w:val="20"/>
          <w:szCs w:val="20"/>
          <w:color w:val="auto"/>
        </w:rPr>
      </w:pPr>
      <w:r>
        <w:rPr>
          <w:rFonts w:ascii="Arial" w:cs="Arial" w:eastAsia="Arial" w:hAnsi="Arial"/>
          <w:sz w:val="12"/>
          <w:szCs w:val="12"/>
          <w:i w:val="1"/>
          <w:iCs w:val="1"/>
          <w:color w:val="auto"/>
        </w:rPr>
        <w:t>Revenues</w:t>
      </w:r>
    </w:p>
    <w:p>
      <w:pPr>
        <w:spacing w:after="0" w:line="60" w:lineRule="exact"/>
        <w:rPr>
          <w:sz w:val="20"/>
          <w:szCs w:val="20"/>
          <w:color w:val="auto"/>
        </w:rPr>
      </w:pPr>
    </w:p>
    <w:p>
      <w:pPr>
        <w:ind w:right="320" w:firstLine="459"/>
        <w:spacing w:after="0" w:line="438" w:lineRule="auto"/>
        <w:rPr>
          <w:sz w:val="20"/>
          <w:szCs w:val="20"/>
          <w:color w:val="auto"/>
        </w:rPr>
      </w:pPr>
      <w:r>
        <w:rPr>
          <w:rFonts w:ascii="Arial" w:cs="Arial" w:eastAsia="Arial" w:hAnsi="Arial"/>
          <w:sz w:val="9"/>
          <w:szCs w:val="9"/>
          <w:color w:val="auto"/>
        </w:rPr>
        <w:t>Net revenues for the three months ended September 30, 2013, were comprised of $1,105.6 million in casino revenues (79.5% of total net revenues) and $284.5 million of net non-casino revenues (20.5% of total net revenues). Net revenues for the three months ended September 30, 2012, were comprised of $1,012.8 million in casino revenues (78% of total net revenues) and $285.7 million of net non-casino revenues (22% of total net revenues).</w:t>
      </w:r>
    </w:p>
    <w:p>
      <w:pPr>
        <w:spacing w:after="0" w:line="19" w:lineRule="exact"/>
        <w:rPr>
          <w:sz w:val="20"/>
          <w:szCs w:val="20"/>
          <w:color w:val="auto"/>
        </w:rPr>
      </w:pPr>
    </w:p>
    <w:p>
      <w:pPr>
        <w:ind w:firstLine="459"/>
        <w:spacing w:after="0" w:line="268" w:lineRule="auto"/>
        <w:rPr>
          <w:sz w:val="20"/>
          <w:szCs w:val="20"/>
          <w:color w:val="auto"/>
        </w:rPr>
      </w:pPr>
      <w:r>
        <w:rPr>
          <w:rFonts w:ascii="Arial" w:cs="Arial" w:eastAsia="Arial" w:hAnsi="Arial"/>
          <w:sz w:val="12"/>
          <w:szCs w:val="12"/>
          <w:color w:val="auto"/>
        </w:rPr>
        <w:t>Casino revenues are primarily comprised of the net win from our table games and slot machine operations. Casino revenues for the three months ended September 30, 2013, of $1,105.6 million represents a $92.8 million (9.2%) increase from casino revenues of $1,012.8 million for the three months ended September 30, 2012.</w:t>
      </w:r>
    </w:p>
    <w:p>
      <w:pPr>
        <w:spacing w:after="0" w:line="88" w:lineRule="exact"/>
        <w:rPr>
          <w:sz w:val="20"/>
          <w:szCs w:val="20"/>
          <w:color w:val="auto"/>
        </w:rPr>
      </w:pPr>
    </w:p>
    <w:p>
      <w:pPr>
        <w:ind w:right="60" w:firstLine="459"/>
        <w:spacing w:after="0" w:line="259" w:lineRule="auto"/>
        <w:rPr>
          <w:sz w:val="20"/>
          <w:szCs w:val="20"/>
          <w:color w:val="auto"/>
        </w:rPr>
      </w:pPr>
      <w:r>
        <w:rPr>
          <w:rFonts w:ascii="Arial" w:cs="Arial" w:eastAsia="Arial" w:hAnsi="Arial"/>
          <w:sz w:val="12"/>
          <w:szCs w:val="12"/>
          <w:color w:val="auto"/>
        </w:rPr>
        <w:t>For the three months ended September 30, 2013, our Macau Operations experienced an $86.8 million (10.1%) increase in casino revenues to $944 million, compared to the prior year quarter casino revenue of $857.2 million due primarily to stronger table games profits in our general casino and VIP casino. For the three months ended September 30, 2013, our Las Vegas Operations experienced a $6 million (3.9%) increase in casino revenues to $161.6 million, compared to the prior year quarter casino revenue of $155.6 million primarily due to an increase in table games win percentage (before discounts).</w:t>
      </w:r>
    </w:p>
    <w:p>
      <w:pPr>
        <w:spacing w:after="0" w:line="85"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37</w:t>
      </w:r>
    </w:p>
    <w:p>
      <w:pPr>
        <w:sectPr>
          <w:pgSz w:w="11900" w:h="16838" w:orient="portrait"/>
          <w:cols w:equalWidth="0" w:num="1">
            <w:col w:w="11480"/>
          </w:cols>
          <w:pgMar w:left="220" w:top="354" w:right="199" w:bottom="1440" w:gutter="0" w:footer="0" w:header="0"/>
        </w:sectPr>
      </w:pPr>
    </w:p>
    <w:bookmarkStart w:id="37" w:name="page38"/>
    <w:bookmarkEnd w:id="37"/>
    <w:p>
      <w:pPr>
        <w:ind w:left="8"/>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121920</wp:posOffset>
            </wp:positionH>
            <wp:positionV relativeFrom="page">
              <wp:posOffset>88900</wp:posOffset>
            </wp:positionV>
            <wp:extent cx="7329170" cy="298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329170" cy="29845"/>
                    </a:xfrm>
                    <a:prstGeom prst="rect">
                      <a:avLst/>
                    </a:prstGeom>
                    <a:noFill/>
                  </pic:spPr>
                </pic:pic>
              </a:graphicData>
            </a:graphic>
          </wp:anchor>
        </w:drawing>
      </w:r>
      <w:hyperlink w:anchor="page2">
        <w:r>
          <w:rPr>
            <w:rFonts w:ascii="Arial" w:cs="Arial" w:eastAsia="Arial" w:hAnsi="Arial"/>
            <w:sz w:val="12"/>
            <w:szCs w:val="12"/>
            <w:b w:val="1"/>
            <w:bCs w:val="1"/>
            <w:u w:val="single" w:color="auto"/>
            <w:color w:val="0000EE"/>
          </w:rPr>
          <w:t>Table of Contents</w:t>
        </w:r>
      </w:hyperlink>
    </w:p>
    <w:p>
      <w:pPr>
        <w:spacing w:after="0" w:line="209" w:lineRule="exact"/>
        <w:rPr>
          <w:sz w:val="20"/>
          <w:szCs w:val="20"/>
          <w:color w:val="auto"/>
        </w:rPr>
      </w:pPr>
    </w:p>
    <w:p>
      <w:pPr>
        <w:ind w:left="468"/>
        <w:spacing w:after="0"/>
        <w:rPr>
          <w:sz w:val="20"/>
          <w:szCs w:val="20"/>
          <w:color w:val="auto"/>
        </w:rPr>
      </w:pPr>
      <w:r>
        <w:rPr>
          <w:rFonts w:ascii="Arial" w:cs="Arial" w:eastAsia="Arial" w:hAnsi="Arial"/>
          <w:sz w:val="12"/>
          <w:szCs w:val="12"/>
          <w:color w:val="auto"/>
        </w:rPr>
        <w:t>The table below sets forth key gaming statistics related to our Macau and Las Vegas Operations.</w:t>
      </w:r>
    </w:p>
    <w:p>
      <w:pPr>
        <w:spacing w:after="0" w:line="138" w:lineRule="exact"/>
        <w:rPr>
          <w:sz w:val="20"/>
          <w:szCs w:val="20"/>
          <w:color w:val="auto"/>
        </w:rPr>
      </w:pPr>
    </w:p>
    <w:tbl>
      <w:tblPr>
        <w:tblLayout w:type="fixed"/>
        <w:tblInd w:w="8" w:type="dxa"/>
        <w:tblCellMar>
          <w:top w:w="0" w:type="dxa"/>
          <w:left w:w="0" w:type="dxa"/>
          <w:bottom w:w="0" w:type="dxa"/>
          <w:right w:w="0" w:type="dxa"/>
        </w:tblCellMar>
      </w:tblPr>
      <w:tr>
        <w:trPr>
          <w:trHeight w:val="108"/>
        </w:trPr>
        <w:tc>
          <w:tcPr>
            <w:tcW w:w="20" w:type="dxa"/>
            <w:vAlign w:val="bottom"/>
          </w:tcPr>
          <w:p>
            <w:pPr>
              <w:spacing w:after="0"/>
              <w:rPr>
                <w:sz w:val="9"/>
                <w:szCs w:val="9"/>
                <w:color w:val="auto"/>
              </w:rPr>
            </w:pPr>
          </w:p>
        </w:tc>
        <w:tc>
          <w:tcPr>
            <w:tcW w:w="4520" w:type="dxa"/>
            <w:vAlign w:val="bottom"/>
          </w:tcPr>
          <w:p>
            <w:pPr>
              <w:spacing w:after="0"/>
              <w:rPr>
                <w:sz w:val="9"/>
                <w:szCs w:val="9"/>
                <w:color w:val="auto"/>
              </w:rPr>
            </w:pPr>
          </w:p>
        </w:tc>
        <w:tc>
          <w:tcPr>
            <w:tcW w:w="26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2560" w:type="dxa"/>
            <w:vAlign w:val="bottom"/>
            <w:tcBorders>
              <w:bottom w:val="single" w:sz="8" w:color="auto"/>
            </w:tcBorders>
            <w:gridSpan w:val="4"/>
          </w:tcPr>
          <w:p>
            <w:pPr>
              <w:jc w:val="right"/>
              <w:ind w:right="683"/>
              <w:spacing w:after="0"/>
              <w:rPr>
                <w:sz w:val="20"/>
                <w:szCs w:val="20"/>
                <w:color w:val="auto"/>
              </w:rPr>
            </w:pPr>
            <w:r>
              <w:rPr>
                <w:rFonts w:ascii="Arial" w:cs="Arial" w:eastAsia="Arial" w:hAnsi="Arial"/>
                <w:sz w:val="9"/>
                <w:szCs w:val="9"/>
                <w:b w:val="1"/>
                <w:bCs w:val="1"/>
                <w:color w:val="auto"/>
              </w:rPr>
              <w:t>Three Months Ended September 30,</w:t>
            </w:r>
          </w:p>
        </w:tc>
        <w:tc>
          <w:tcPr>
            <w:tcW w:w="580" w:type="dxa"/>
            <w:vAlign w:val="bottom"/>
            <w:tcBorders>
              <w:bottom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4520" w:type="dxa"/>
            <w:vAlign w:val="bottom"/>
          </w:tcPr>
          <w:p>
            <w:pPr>
              <w:spacing w:after="0"/>
              <w:rPr>
                <w:sz w:val="6"/>
                <w:szCs w:val="6"/>
                <w:color w:val="auto"/>
              </w:rPr>
            </w:pPr>
          </w:p>
        </w:tc>
        <w:tc>
          <w:tcPr>
            <w:tcW w:w="2680" w:type="dxa"/>
            <w:vAlign w:val="bottom"/>
          </w:tcPr>
          <w:p>
            <w:pPr>
              <w:spacing w:after="0"/>
              <w:rPr>
                <w:sz w:val="6"/>
                <w:szCs w:val="6"/>
                <w:color w:val="auto"/>
              </w:rPr>
            </w:pPr>
          </w:p>
        </w:tc>
        <w:tc>
          <w:tcPr>
            <w:tcW w:w="100" w:type="dxa"/>
            <w:vAlign w:val="bottom"/>
          </w:tcPr>
          <w:p>
            <w:pPr>
              <w:spacing w:after="0"/>
              <w:rPr>
                <w:sz w:val="6"/>
                <w:szCs w:val="6"/>
                <w:color w:val="auto"/>
              </w:rPr>
            </w:pPr>
          </w:p>
        </w:tc>
        <w:tc>
          <w:tcPr>
            <w:tcW w:w="800" w:type="dxa"/>
            <w:vAlign w:val="bottom"/>
          </w:tcPr>
          <w:p>
            <w:pPr>
              <w:spacing w:after="0"/>
              <w:rPr>
                <w:sz w:val="6"/>
                <w:szCs w:val="6"/>
                <w:color w:val="auto"/>
              </w:rPr>
            </w:pPr>
          </w:p>
        </w:tc>
        <w:tc>
          <w:tcPr>
            <w:tcW w:w="480" w:type="dxa"/>
            <w:vAlign w:val="bottom"/>
          </w:tcPr>
          <w:p>
            <w:pPr>
              <w:spacing w:after="0"/>
              <w:rPr>
                <w:sz w:val="6"/>
                <w:szCs w:val="6"/>
                <w:color w:val="auto"/>
              </w:rPr>
            </w:pPr>
          </w:p>
        </w:tc>
        <w:tc>
          <w:tcPr>
            <w:tcW w:w="920" w:type="dxa"/>
            <w:vAlign w:val="bottom"/>
          </w:tcPr>
          <w:p>
            <w:pPr>
              <w:spacing w:after="0"/>
              <w:rPr>
                <w:sz w:val="6"/>
                <w:szCs w:val="6"/>
                <w:color w:val="auto"/>
              </w:rPr>
            </w:pPr>
          </w:p>
        </w:tc>
        <w:tc>
          <w:tcPr>
            <w:tcW w:w="340" w:type="dxa"/>
            <w:vAlign w:val="bottom"/>
          </w:tcPr>
          <w:p>
            <w:pPr>
              <w:spacing w:after="0"/>
              <w:rPr>
                <w:sz w:val="6"/>
                <w:szCs w:val="6"/>
                <w:color w:val="auto"/>
              </w:rPr>
            </w:pPr>
          </w:p>
        </w:tc>
        <w:tc>
          <w:tcPr>
            <w:tcW w:w="820" w:type="dxa"/>
            <w:vAlign w:val="bottom"/>
          </w:tcPr>
          <w:p>
            <w:pPr>
              <w:jc w:val="right"/>
              <w:ind w:right="363"/>
              <w:spacing w:after="0" w:line="79" w:lineRule="exact"/>
              <w:rPr>
                <w:sz w:val="20"/>
                <w:szCs w:val="20"/>
                <w:color w:val="auto"/>
              </w:rPr>
            </w:pPr>
            <w:r>
              <w:rPr>
                <w:rFonts w:ascii="Arial" w:cs="Arial" w:eastAsia="Arial" w:hAnsi="Arial"/>
                <w:sz w:val="9"/>
                <w:szCs w:val="9"/>
                <w:b w:val="1"/>
                <w:bCs w:val="1"/>
                <w:color w:val="auto"/>
                <w:w w:val="97"/>
              </w:rPr>
              <w:t>Increase/</w:t>
            </w:r>
          </w:p>
        </w:tc>
        <w:tc>
          <w:tcPr>
            <w:tcW w:w="580" w:type="dxa"/>
            <w:vAlign w:val="bottom"/>
          </w:tcPr>
          <w:p>
            <w:pPr>
              <w:jc w:val="right"/>
              <w:spacing w:after="0" w:line="79" w:lineRule="exact"/>
              <w:rPr>
                <w:sz w:val="20"/>
                <w:szCs w:val="20"/>
                <w:color w:val="auto"/>
              </w:rPr>
            </w:pPr>
            <w:r>
              <w:rPr>
                <w:rFonts w:ascii="Arial" w:cs="Arial" w:eastAsia="Arial" w:hAnsi="Arial"/>
                <w:sz w:val="9"/>
                <w:szCs w:val="9"/>
                <w:b w:val="1"/>
                <w:bCs w:val="1"/>
                <w:color w:val="auto"/>
              </w:rPr>
              <w:t>Percent</w:t>
            </w:r>
          </w:p>
        </w:tc>
        <w:tc>
          <w:tcPr>
            <w:tcW w:w="2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520" w:type="dxa"/>
            <w:vAlign w:val="bottom"/>
          </w:tcPr>
          <w:p>
            <w:pPr>
              <w:spacing w:after="0"/>
              <w:rPr>
                <w:sz w:val="9"/>
                <w:szCs w:val="9"/>
                <w:color w:val="auto"/>
              </w:rPr>
            </w:pPr>
          </w:p>
        </w:tc>
        <w:tc>
          <w:tcPr>
            <w:tcW w:w="268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0" w:type="dxa"/>
            <w:vAlign w:val="bottom"/>
          </w:tcPr>
          <w:p>
            <w:pPr>
              <w:jc w:val="right"/>
              <w:ind w:right="422"/>
              <w:spacing w:after="0"/>
              <w:rPr>
                <w:sz w:val="20"/>
                <w:szCs w:val="20"/>
                <w:color w:val="auto"/>
              </w:rPr>
            </w:pPr>
            <w:r>
              <w:rPr>
                <w:rFonts w:ascii="Arial" w:cs="Arial" w:eastAsia="Arial" w:hAnsi="Arial"/>
                <w:sz w:val="9"/>
                <w:szCs w:val="9"/>
                <w:b w:val="1"/>
                <w:bCs w:val="1"/>
                <w:color w:val="auto"/>
              </w:rPr>
              <w:t>2013</w:t>
            </w:r>
          </w:p>
        </w:tc>
        <w:tc>
          <w:tcPr>
            <w:tcW w:w="480" w:type="dxa"/>
            <w:vAlign w:val="bottom"/>
          </w:tcPr>
          <w:p>
            <w:pPr>
              <w:spacing w:after="0"/>
              <w:rPr>
                <w:sz w:val="9"/>
                <w:szCs w:val="9"/>
                <w:color w:val="auto"/>
              </w:rPr>
            </w:pPr>
          </w:p>
        </w:tc>
        <w:tc>
          <w:tcPr>
            <w:tcW w:w="920" w:type="dxa"/>
            <w:vAlign w:val="bottom"/>
          </w:tcPr>
          <w:p>
            <w:pPr>
              <w:jc w:val="right"/>
              <w:ind w:right="542"/>
              <w:spacing w:after="0"/>
              <w:rPr>
                <w:sz w:val="20"/>
                <w:szCs w:val="20"/>
                <w:color w:val="auto"/>
              </w:rPr>
            </w:pPr>
            <w:r>
              <w:rPr>
                <w:rFonts w:ascii="Arial" w:cs="Arial" w:eastAsia="Arial" w:hAnsi="Arial"/>
                <w:sz w:val="9"/>
                <w:szCs w:val="9"/>
                <w:b w:val="1"/>
                <w:bCs w:val="1"/>
                <w:color w:val="auto"/>
              </w:rPr>
              <w:t>2012</w:t>
            </w:r>
          </w:p>
        </w:tc>
        <w:tc>
          <w:tcPr>
            <w:tcW w:w="340" w:type="dxa"/>
            <w:vAlign w:val="bottom"/>
          </w:tcPr>
          <w:p>
            <w:pPr>
              <w:spacing w:after="0"/>
              <w:rPr>
                <w:sz w:val="9"/>
                <w:szCs w:val="9"/>
                <w:color w:val="auto"/>
              </w:rPr>
            </w:pPr>
          </w:p>
        </w:tc>
        <w:tc>
          <w:tcPr>
            <w:tcW w:w="820" w:type="dxa"/>
            <w:vAlign w:val="bottom"/>
          </w:tcPr>
          <w:p>
            <w:pPr>
              <w:jc w:val="right"/>
              <w:ind w:right="343"/>
              <w:spacing w:after="0"/>
              <w:rPr>
                <w:sz w:val="20"/>
                <w:szCs w:val="20"/>
                <w:color w:val="auto"/>
              </w:rPr>
            </w:pPr>
            <w:r>
              <w:rPr>
                <w:rFonts w:ascii="Arial" w:cs="Arial" w:eastAsia="Arial" w:hAnsi="Arial"/>
                <w:sz w:val="9"/>
                <w:szCs w:val="9"/>
                <w:b w:val="1"/>
                <w:bCs w:val="1"/>
                <w:color w:val="auto"/>
                <w:w w:val="86"/>
              </w:rPr>
              <w:t>(Decrease)</w:t>
            </w:r>
          </w:p>
        </w:tc>
        <w:tc>
          <w:tcPr>
            <w:tcW w:w="800" w:type="dxa"/>
            <w:vAlign w:val="bottom"/>
            <w:gridSpan w:val="2"/>
          </w:tcPr>
          <w:p>
            <w:pPr>
              <w:jc w:val="right"/>
              <w:ind w:right="240"/>
              <w:spacing w:after="0"/>
              <w:rPr>
                <w:sz w:val="20"/>
                <w:szCs w:val="20"/>
                <w:color w:val="auto"/>
              </w:rPr>
            </w:pPr>
            <w:r>
              <w:rPr>
                <w:rFonts w:ascii="Arial" w:cs="Arial" w:eastAsia="Arial" w:hAnsi="Arial"/>
                <w:sz w:val="9"/>
                <w:szCs w:val="9"/>
                <w:b w:val="1"/>
                <w:bCs w:val="1"/>
                <w:color w:val="auto"/>
              </w:rPr>
              <w:t>Change</w:t>
            </w: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4520" w:type="dxa"/>
            <w:vAlign w:val="bottom"/>
          </w:tcPr>
          <w:p>
            <w:pPr>
              <w:spacing w:after="0"/>
              <w:rPr>
                <w:sz w:val="7"/>
                <w:szCs w:val="7"/>
                <w:color w:val="auto"/>
              </w:rPr>
            </w:pPr>
          </w:p>
        </w:tc>
        <w:tc>
          <w:tcPr>
            <w:tcW w:w="2680" w:type="dxa"/>
            <w:vAlign w:val="bottom"/>
          </w:tcPr>
          <w:p>
            <w:pPr>
              <w:spacing w:after="0"/>
              <w:rPr>
                <w:sz w:val="7"/>
                <w:szCs w:val="7"/>
                <w:color w:val="auto"/>
              </w:rPr>
            </w:pPr>
          </w:p>
        </w:tc>
        <w:tc>
          <w:tcPr>
            <w:tcW w:w="100" w:type="dxa"/>
            <w:vAlign w:val="bottom"/>
            <w:tcBorders>
              <w:top w:val="single" w:sz="8" w:color="auto"/>
            </w:tcBorders>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2560" w:type="dxa"/>
            <w:vAlign w:val="bottom"/>
            <w:tcBorders>
              <w:top w:val="single" w:sz="8" w:color="auto"/>
            </w:tcBorders>
            <w:gridSpan w:val="4"/>
          </w:tcPr>
          <w:p>
            <w:pPr>
              <w:jc w:val="right"/>
              <w:ind w:right="363"/>
              <w:spacing w:after="0" w:line="88" w:lineRule="exact"/>
              <w:rPr>
                <w:sz w:val="20"/>
                <w:szCs w:val="20"/>
                <w:color w:val="auto"/>
              </w:rPr>
            </w:pPr>
            <w:r>
              <w:rPr>
                <w:rFonts w:ascii="Arial" w:cs="Arial" w:eastAsia="Arial" w:hAnsi="Arial"/>
                <w:sz w:val="9"/>
                <w:szCs w:val="9"/>
                <w:color w:val="auto"/>
                <w:w w:val="94"/>
              </w:rPr>
              <w:t>(amounts in thousands, except for win per day amounts)</w:t>
            </w:r>
          </w:p>
        </w:tc>
        <w:tc>
          <w:tcPr>
            <w:tcW w:w="580" w:type="dxa"/>
            <w:vAlign w:val="bottom"/>
            <w:tcBorders>
              <w:top w:val="single" w:sz="8" w:color="auto"/>
            </w:tcBorders>
          </w:tcPr>
          <w:p>
            <w:pPr>
              <w:spacing w:after="0"/>
              <w:rPr>
                <w:sz w:val="7"/>
                <w:szCs w:val="7"/>
                <w:color w:val="auto"/>
              </w:rPr>
            </w:pPr>
          </w:p>
        </w:tc>
        <w:tc>
          <w:tcPr>
            <w:tcW w:w="2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4520" w:type="dxa"/>
            <w:vAlign w:val="bottom"/>
            <w:shd w:val="clear" w:color="auto" w:fill="CCEEFF"/>
          </w:tcPr>
          <w:p>
            <w:pPr>
              <w:spacing w:after="0"/>
              <w:rPr>
                <w:sz w:val="20"/>
                <w:szCs w:val="20"/>
                <w:color w:val="auto"/>
              </w:rPr>
            </w:pPr>
            <w:r>
              <w:rPr>
                <w:rFonts w:ascii="Arial" w:cs="Arial" w:eastAsia="Arial" w:hAnsi="Arial"/>
                <w:sz w:val="12"/>
                <w:szCs w:val="12"/>
                <w:b w:val="1"/>
                <w:bCs w:val="1"/>
                <w:color w:val="auto"/>
              </w:rPr>
              <w:t>Macau Operations:</w:t>
            </w:r>
          </w:p>
        </w:tc>
        <w:tc>
          <w:tcPr>
            <w:tcW w:w="2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4520" w:type="dxa"/>
            <w:vAlign w:val="bottom"/>
          </w:tcPr>
          <w:p>
            <w:pPr>
              <w:ind w:left="260"/>
              <w:spacing w:after="0"/>
              <w:rPr>
                <w:sz w:val="20"/>
                <w:szCs w:val="20"/>
                <w:color w:val="auto"/>
              </w:rPr>
            </w:pPr>
            <w:r>
              <w:rPr>
                <w:rFonts w:ascii="Arial" w:cs="Arial" w:eastAsia="Arial" w:hAnsi="Arial"/>
                <w:sz w:val="12"/>
                <w:szCs w:val="12"/>
                <w:b w:val="1"/>
                <w:bCs w:val="1"/>
                <w:color w:val="auto"/>
              </w:rPr>
              <w:t>VIP Casino</w:t>
            </w:r>
          </w:p>
        </w:tc>
        <w:tc>
          <w:tcPr>
            <w:tcW w:w="2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4520" w:type="dxa"/>
            <w:vAlign w:val="bottom"/>
            <w:shd w:val="clear" w:color="auto" w:fill="CCEEFF"/>
          </w:tcPr>
          <w:p>
            <w:pPr>
              <w:ind w:left="260"/>
              <w:spacing w:after="0"/>
              <w:rPr>
                <w:sz w:val="20"/>
                <w:szCs w:val="20"/>
                <w:color w:val="auto"/>
              </w:rPr>
            </w:pPr>
            <w:r>
              <w:rPr>
                <w:rFonts w:ascii="Arial" w:cs="Arial" w:eastAsia="Arial" w:hAnsi="Arial"/>
                <w:sz w:val="12"/>
                <w:szCs w:val="12"/>
                <w:color w:val="auto"/>
              </w:rPr>
              <w:t>VIP turnover</w:t>
            </w:r>
          </w:p>
        </w:tc>
        <w:tc>
          <w:tcPr>
            <w:tcW w:w="278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w:t>
            </w:r>
          </w:p>
        </w:tc>
        <w:tc>
          <w:tcPr>
            <w:tcW w:w="800" w:type="dxa"/>
            <w:vAlign w:val="bottom"/>
            <w:shd w:val="clear" w:color="auto" w:fill="CCEEFF"/>
          </w:tcPr>
          <w:p>
            <w:pPr>
              <w:jc w:val="right"/>
              <w:ind w:right="162"/>
              <w:spacing w:after="0"/>
              <w:rPr>
                <w:sz w:val="20"/>
                <w:szCs w:val="20"/>
                <w:color w:val="auto"/>
              </w:rPr>
            </w:pPr>
            <w:r>
              <w:rPr>
                <w:rFonts w:ascii="Arial" w:cs="Arial" w:eastAsia="Arial" w:hAnsi="Arial"/>
                <w:sz w:val="12"/>
                <w:szCs w:val="12"/>
                <w:color w:val="auto"/>
                <w:w w:val="93"/>
              </w:rPr>
              <w:t>30,334,611</w:t>
            </w:r>
          </w:p>
        </w:tc>
        <w:tc>
          <w:tcPr>
            <w:tcW w:w="4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920" w:type="dxa"/>
            <w:vAlign w:val="bottom"/>
            <w:shd w:val="clear" w:color="auto" w:fill="CCEEFF"/>
          </w:tcPr>
          <w:p>
            <w:pPr>
              <w:jc w:val="right"/>
              <w:ind w:right="282"/>
              <w:spacing w:after="0"/>
              <w:rPr>
                <w:sz w:val="20"/>
                <w:szCs w:val="20"/>
                <w:color w:val="auto"/>
              </w:rPr>
            </w:pPr>
            <w:r>
              <w:rPr>
                <w:rFonts w:ascii="Arial" w:cs="Arial" w:eastAsia="Arial" w:hAnsi="Arial"/>
                <w:sz w:val="12"/>
                <w:szCs w:val="12"/>
                <w:color w:val="auto"/>
                <w:w w:val="93"/>
              </w:rPr>
              <w:t>27,622,665</w:t>
            </w:r>
          </w:p>
        </w:tc>
        <w:tc>
          <w:tcPr>
            <w:tcW w:w="3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820" w:type="dxa"/>
            <w:vAlign w:val="bottom"/>
            <w:shd w:val="clear" w:color="auto" w:fill="CCEEFF"/>
          </w:tcPr>
          <w:p>
            <w:pPr>
              <w:jc w:val="right"/>
              <w:ind w:right="243"/>
              <w:spacing w:after="0"/>
              <w:rPr>
                <w:sz w:val="20"/>
                <w:szCs w:val="20"/>
                <w:color w:val="auto"/>
              </w:rPr>
            </w:pPr>
            <w:r>
              <w:rPr>
                <w:rFonts w:ascii="Arial" w:cs="Arial" w:eastAsia="Arial" w:hAnsi="Arial"/>
                <w:sz w:val="12"/>
                <w:szCs w:val="12"/>
                <w:color w:val="auto"/>
                <w:w w:val="93"/>
              </w:rPr>
              <w:t>2,711,946</w:t>
            </w: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9.8%</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520" w:type="dxa"/>
            <w:vAlign w:val="bottom"/>
          </w:tcPr>
          <w:p>
            <w:pPr>
              <w:ind w:left="260"/>
              <w:spacing w:after="0"/>
              <w:rPr>
                <w:sz w:val="20"/>
                <w:szCs w:val="20"/>
                <w:color w:val="auto"/>
              </w:rPr>
            </w:pPr>
            <w:r>
              <w:rPr>
                <w:rFonts w:ascii="Arial" w:cs="Arial" w:eastAsia="Arial" w:hAnsi="Arial"/>
                <w:sz w:val="12"/>
                <w:szCs w:val="12"/>
                <w:color w:val="auto"/>
              </w:rPr>
              <w:t>VIP win as a % of turnover</w:t>
            </w:r>
          </w:p>
        </w:tc>
        <w:tc>
          <w:tcPr>
            <w:tcW w:w="2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jc w:val="right"/>
              <w:ind w:right="82"/>
              <w:spacing w:after="0"/>
              <w:rPr>
                <w:sz w:val="20"/>
                <w:szCs w:val="20"/>
                <w:color w:val="auto"/>
              </w:rPr>
            </w:pPr>
            <w:r>
              <w:rPr>
                <w:rFonts w:ascii="Arial" w:cs="Arial" w:eastAsia="Arial" w:hAnsi="Arial"/>
                <w:sz w:val="12"/>
                <w:szCs w:val="12"/>
                <w:color w:val="auto"/>
              </w:rPr>
              <w:t>3.04%</w:t>
            </w:r>
          </w:p>
        </w:tc>
        <w:tc>
          <w:tcPr>
            <w:tcW w:w="480" w:type="dxa"/>
            <w:vAlign w:val="bottom"/>
          </w:tcPr>
          <w:p>
            <w:pPr>
              <w:spacing w:after="0"/>
              <w:rPr>
                <w:sz w:val="12"/>
                <w:szCs w:val="12"/>
                <w:color w:val="auto"/>
              </w:rPr>
            </w:pPr>
          </w:p>
        </w:tc>
        <w:tc>
          <w:tcPr>
            <w:tcW w:w="920" w:type="dxa"/>
            <w:vAlign w:val="bottom"/>
          </w:tcPr>
          <w:p>
            <w:pPr>
              <w:jc w:val="right"/>
              <w:ind w:right="202"/>
              <w:spacing w:after="0"/>
              <w:rPr>
                <w:sz w:val="20"/>
                <w:szCs w:val="20"/>
                <w:color w:val="auto"/>
              </w:rPr>
            </w:pPr>
            <w:r>
              <w:rPr>
                <w:rFonts w:ascii="Arial" w:cs="Arial" w:eastAsia="Arial" w:hAnsi="Arial"/>
                <w:sz w:val="12"/>
                <w:szCs w:val="12"/>
                <w:color w:val="auto"/>
              </w:rPr>
              <w:t>3.08%</w:t>
            </w:r>
          </w:p>
        </w:tc>
        <w:tc>
          <w:tcPr>
            <w:tcW w:w="340" w:type="dxa"/>
            <w:vAlign w:val="bottom"/>
          </w:tcPr>
          <w:p>
            <w:pPr>
              <w:spacing w:after="0"/>
              <w:rPr>
                <w:sz w:val="12"/>
                <w:szCs w:val="12"/>
                <w:color w:val="auto"/>
              </w:rPr>
            </w:pPr>
          </w:p>
        </w:tc>
        <w:tc>
          <w:tcPr>
            <w:tcW w:w="820" w:type="dxa"/>
            <w:vAlign w:val="bottom"/>
          </w:tcPr>
          <w:p>
            <w:pPr>
              <w:jc w:val="right"/>
              <w:ind w:right="243"/>
              <w:spacing w:after="0"/>
              <w:rPr>
                <w:sz w:val="20"/>
                <w:szCs w:val="20"/>
                <w:color w:val="auto"/>
              </w:rPr>
            </w:pPr>
            <w:r>
              <w:rPr>
                <w:rFonts w:ascii="Arial" w:cs="Arial" w:eastAsia="Arial" w:hAnsi="Arial"/>
                <w:sz w:val="12"/>
                <w:szCs w:val="12"/>
                <w:color w:val="auto"/>
              </w:rPr>
              <w:t>(.04)pts</w:t>
            </w:r>
          </w:p>
        </w:tc>
        <w:tc>
          <w:tcPr>
            <w:tcW w:w="800" w:type="dxa"/>
            <w:vAlign w:val="bottom"/>
            <w:gridSpan w:val="2"/>
          </w:tcPr>
          <w:p>
            <w:pPr>
              <w:jc w:val="right"/>
              <w:ind w:right="26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4520" w:type="dxa"/>
            <w:vAlign w:val="bottom"/>
          </w:tcPr>
          <w:p>
            <w:pPr>
              <w:spacing w:after="0"/>
              <w:rPr>
                <w:sz w:val="5"/>
                <w:szCs w:val="5"/>
                <w:color w:val="auto"/>
              </w:rPr>
            </w:pPr>
          </w:p>
        </w:tc>
        <w:tc>
          <w:tcPr>
            <w:tcW w:w="2680" w:type="dxa"/>
            <w:vAlign w:val="bottom"/>
          </w:tcPr>
          <w:p>
            <w:pPr>
              <w:spacing w:after="0"/>
              <w:rPr>
                <w:sz w:val="5"/>
                <w:szCs w:val="5"/>
                <w:color w:val="auto"/>
              </w:rPr>
            </w:pPr>
          </w:p>
        </w:tc>
        <w:tc>
          <w:tcPr>
            <w:tcW w:w="100" w:type="dxa"/>
            <w:vAlign w:val="bottom"/>
          </w:tcPr>
          <w:p>
            <w:pPr>
              <w:spacing w:after="0"/>
              <w:rPr>
                <w:sz w:val="5"/>
                <w:szCs w:val="5"/>
                <w:color w:val="auto"/>
              </w:rPr>
            </w:pPr>
          </w:p>
        </w:tc>
        <w:tc>
          <w:tcPr>
            <w:tcW w:w="800" w:type="dxa"/>
            <w:vAlign w:val="bottom"/>
          </w:tcPr>
          <w:p>
            <w:pPr>
              <w:spacing w:after="0"/>
              <w:rPr>
                <w:sz w:val="5"/>
                <w:szCs w:val="5"/>
                <w:color w:val="auto"/>
              </w:rPr>
            </w:pPr>
          </w:p>
        </w:tc>
        <w:tc>
          <w:tcPr>
            <w:tcW w:w="480" w:type="dxa"/>
            <w:vAlign w:val="bottom"/>
          </w:tcPr>
          <w:p>
            <w:pPr>
              <w:spacing w:after="0"/>
              <w:rPr>
                <w:sz w:val="5"/>
                <w:szCs w:val="5"/>
                <w:color w:val="auto"/>
              </w:rPr>
            </w:pPr>
          </w:p>
        </w:tc>
        <w:tc>
          <w:tcPr>
            <w:tcW w:w="920" w:type="dxa"/>
            <w:vAlign w:val="bottom"/>
          </w:tcPr>
          <w:p>
            <w:pPr>
              <w:spacing w:after="0"/>
              <w:rPr>
                <w:sz w:val="5"/>
                <w:szCs w:val="5"/>
                <w:color w:val="auto"/>
              </w:rPr>
            </w:pPr>
          </w:p>
        </w:tc>
        <w:tc>
          <w:tcPr>
            <w:tcW w:w="340" w:type="dxa"/>
            <w:vAlign w:val="bottom"/>
          </w:tcPr>
          <w:p>
            <w:pPr>
              <w:spacing w:after="0"/>
              <w:rPr>
                <w:sz w:val="5"/>
                <w:szCs w:val="5"/>
                <w:color w:val="auto"/>
              </w:rPr>
            </w:pPr>
          </w:p>
        </w:tc>
        <w:tc>
          <w:tcPr>
            <w:tcW w:w="820" w:type="dxa"/>
            <w:vAlign w:val="bottom"/>
          </w:tcPr>
          <w:p>
            <w:pPr>
              <w:spacing w:after="0"/>
              <w:rPr>
                <w:sz w:val="5"/>
                <w:szCs w:val="5"/>
                <w:color w:val="auto"/>
              </w:rPr>
            </w:pPr>
          </w:p>
        </w:tc>
        <w:tc>
          <w:tcPr>
            <w:tcW w:w="580" w:type="dxa"/>
            <w:vAlign w:val="bottom"/>
          </w:tcPr>
          <w:p>
            <w:pPr>
              <w:spacing w:after="0"/>
              <w:rPr>
                <w:sz w:val="5"/>
                <w:szCs w:val="5"/>
                <w:color w:val="auto"/>
              </w:rPr>
            </w:pPr>
          </w:p>
        </w:tc>
        <w:tc>
          <w:tcPr>
            <w:tcW w:w="2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4520" w:type="dxa"/>
            <w:vAlign w:val="bottom"/>
            <w:shd w:val="clear" w:color="auto" w:fill="CCEEFF"/>
          </w:tcPr>
          <w:p>
            <w:pPr>
              <w:ind w:left="260"/>
              <w:spacing w:after="0"/>
              <w:rPr>
                <w:sz w:val="20"/>
                <w:szCs w:val="20"/>
                <w:color w:val="auto"/>
              </w:rPr>
            </w:pPr>
            <w:r>
              <w:rPr>
                <w:rFonts w:ascii="Arial" w:cs="Arial" w:eastAsia="Arial" w:hAnsi="Arial"/>
                <w:sz w:val="12"/>
                <w:szCs w:val="12"/>
                <w:b w:val="1"/>
                <w:bCs w:val="1"/>
                <w:color w:val="auto"/>
              </w:rPr>
              <w:t>General Casino</w:t>
            </w:r>
          </w:p>
        </w:tc>
        <w:tc>
          <w:tcPr>
            <w:tcW w:w="2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4520" w:type="dxa"/>
            <w:vAlign w:val="bottom"/>
          </w:tcPr>
          <w:p>
            <w:pPr>
              <w:ind w:left="260"/>
              <w:spacing w:after="0"/>
              <w:rPr>
                <w:sz w:val="20"/>
                <w:szCs w:val="20"/>
                <w:color w:val="auto"/>
              </w:rPr>
            </w:pPr>
            <w:r>
              <w:rPr>
                <w:rFonts w:ascii="Arial" w:cs="Arial" w:eastAsia="Arial" w:hAnsi="Arial"/>
                <w:sz w:val="12"/>
                <w:szCs w:val="12"/>
                <w:color w:val="auto"/>
              </w:rPr>
              <w:t>Drop (1)</w:t>
            </w:r>
          </w:p>
        </w:tc>
        <w:tc>
          <w:tcPr>
            <w:tcW w:w="2780" w:type="dxa"/>
            <w:vAlign w:val="bottom"/>
            <w:gridSpan w:val="2"/>
          </w:tcPr>
          <w:p>
            <w:pPr>
              <w:jc w:val="right"/>
              <w:ind w:right="40"/>
              <w:spacing w:after="0"/>
              <w:rPr>
                <w:sz w:val="20"/>
                <w:szCs w:val="20"/>
                <w:color w:val="auto"/>
              </w:rPr>
            </w:pPr>
            <w:r>
              <w:rPr>
                <w:rFonts w:ascii="Arial" w:cs="Arial" w:eastAsia="Arial" w:hAnsi="Arial"/>
                <w:sz w:val="12"/>
                <w:szCs w:val="12"/>
                <w:color w:val="auto"/>
              </w:rPr>
              <w:t>$</w:t>
            </w:r>
          </w:p>
        </w:tc>
        <w:tc>
          <w:tcPr>
            <w:tcW w:w="800" w:type="dxa"/>
            <w:vAlign w:val="bottom"/>
          </w:tcPr>
          <w:p>
            <w:pPr>
              <w:jc w:val="right"/>
              <w:ind w:right="162"/>
              <w:spacing w:after="0"/>
              <w:rPr>
                <w:sz w:val="20"/>
                <w:szCs w:val="20"/>
                <w:color w:val="auto"/>
              </w:rPr>
            </w:pPr>
            <w:r>
              <w:rPr>
                <w:rFonts w:ascii="Arial" w:cs="Arial" w:eastAsia="Arial" w:hAnsi="Arial"/>
                <w:sz w:val="12"/>
                <w:szCs w:val="12"/>
                <w:color w:val="auto"/>
              </w:rPr>
              <w:t>630,683</w:t>
            </w:r>
          </w:p>
        </w:tc>
        <w:tc>
          <w:tcPr>
            <w:tcW w:w="480" w:type="dxa"/>
            <w:vAlign w:val="bottom"/>
          </w:tcPr>
          <w:p>
            <w:pPr>
              <w:jc w:val="right"/>
              <w:spacing w:after="0"/>
              <w:rPr>
                <w:sz w:val="20"/>
                <w:szCs w:val="20"/>
                <w:color w:val="auto"/>
              </w:rPr>
            </w:pPr>
            <w:r>
              <w:rPr>
                <w:rFonts w:ascii="Arial" w:cs="Arial" w:eastAsia="Arial" w:hAnsi="Arial"/>
                <w:sz w:val="12"/>
                <w:szCs w:val="12"/>
                <w:color w:val="auto"/>
              </w:rPr>
              <w:t>$</w:t>
            </w:r>
          </w:p>
        </w:tc>
        <w:tc>
          <w:tcPr>
            <w:tcW w:w="920" w:type="dxa"/>
            <w:vAlign w:val="bottom"/>
          </w:tcPr>
          <w:p>
            <w:pPr>
              <w:jc w:val="right"/>
              <w:ind w:right="282"/>
              <w:spacing w:after="0"/>
              <w:rPr>
                <w:sz w:val="20"/>
                <w:szCs w:val="20"/>
                <w:color w:val="auto"/>
              </w:rPr>
            </w:pPr>
            <w:r>
              <w:rPr>
                <w:rFonts w:ascii="Arial" w:cs="Arial" w:eastAsia="Arial" w:hAnsi="Arial"/>
                <w:sz w:val="12"/>
                <w:szCs w:val="12"/>
                <w:color w:val="auto"/>
              </w:rPr>
              <w:t>686,122</w:t>
            </w:r>
          </w:p>
        </w:tc>
        <w:tc>
          <w:tcPr>
            <w:tcW w:w="340" w:type="dxa"/>
            <w:vAlign w:val="bottom"/>
          </w:tcPr>
          <w:p>
            <w:pPr>
              <w:jc w:val="right"/>
              <w:spacing w:after="0"/>
              <w:rPr>
                <w:sz w:val="20"/>
                <w:szCs w:val="20"/>
                <w:color w:val="auto"/>
              </w:rPr>
            </w:pPr>
            <w:r>
              <w:rPr>
                <w:rFonts w:ascii="Arial" w:cs="Arial" w:eastAsia="Arial" w:hAnsi="Arial"/>
                <w:sz w:val="12"/>
                <w:szCs w:val="12"/>
                <w:color w:val="auto"/>
              </w:rPr>
              <w:t>$</w:t>
            </w:r>
          </w:p>
        </w:tc>
        <w:tc>
          <w:tcPr>
            <w:tcW w:w="820" w:type="dxa"/>
            <w:vAlign w:val="bottom"/>
          </w:tcPr>
          <w:p>
            <w:pPr>
              <w:jc w:val="right"/>
              <w:ind w:right="203"/>
              <w:spacing w:after="0"/>
              <w:rPr>
                <w:sz w:val="20"/>
                <w:szCs w:val="20"/>
                <w:color w:val="auto"/>
              </w:rPr>
            </w:pPr>
            <w:r>
              <w:rPr>
                <w:rFonts w:ascii="Arial" w:cs="Arial" w:eastAsia="Arial" w:hAnsi="Arial"/>
                <w:sz w:val="12"/>
                <w:szCs w:val="12"/>
                <w:color w:val="auto"/>
              </w:rPr>
              <w:t>(55,439)</w:t>
            </w:r>
          </w:p>
        </w:tc>
        <w:tc>
          <w:tcPr>
            <w:tcW w:w="800" w:type="dxa"/>
            <w:vAlign w:val="bottom"/>
            <w:gridSpan w:val="2"/>
          </w:tcPr>
          <w:p>
            <w:pPr>
              <w:jc w:val="right"/>
              <w:ind w:right="80"/>
              <w:spacing w:after="0"/>
              <w:rPr>
                <w:sz w:val="20"/>
                <w:szCs w:val="20"/>
                <w:color w:val="auto"/>
              </w:rPr>
            </w:pPr>
            <w:r>
              <w:rPr>
                <w:rFonts w:ascii="Arial" w:cs="Arial" w:eastAsia="Arial" w:hAnsi="Arial"/>
                <w:sz w:val="12"/>
                <w:szCs w:val="12"/>
                <w:color w:val="auto"/>
              </w:rPr>
              <w:t>(8.1)%</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4520" w:type="dxa"/>
            <w:vAlign w:val="bottom"/>
            <w:shd w:val="clear" w:color="auto" w:fill="CCEEFF"/>
          </w:tcPr>
          <w:p>
            <w:pPr>
              <w:ind w:left="260"/>
              <w:spacing w:after="0"/>
              <w:rPr>
                <w:sz w:val="20"/>
                <w:szCs w:val="20"/>
                <w:color w:val="auto"/>
              </w:rPr>
            </w:pPr>
            <w:r>
              <w:rPr>
                <w:rFonts w:ascii="Arial" w:cs="Arial" w:eastAsia="Arial" w:hAnsi="Arial"/>
                <w:sz w:val="12"/>
                <w:szCs w:val="12"/>
                <w:color w:val="auto"/>
              </w:rPr>
              <w:t>Table games win</w:t>
            </w:r>
          </w:p>
        </w:tc>
        <w:tc>
          <w:tcPr>
            <w:tcW w:w="278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w:t>
            </w:r>
          </w:p>
        </w:tc>
        <w:tc>
          <w:tcPr>
            <w:tcW w:w="800" w:type="dxa"/>
            <w:vAlign w:val="bottom"/>
            <w:shd w:val="clear" w:color="auto" w:fill="CCEEFF"/>
          </w:tcPr>
          <w:p>
            <w:pPr>
              <w:jc w:val="right"/>
              <w:ind w:right="162"/>
              <w:spacing w:after="0"/>
              <w:rPr>
                <w:sz w:val="20"/>
                <w:szCs w:val="20"/>
                <w:color w:val="auto"/>
              </w:rPr>
            </w:pPr>
            <w:r>
              <w:rPr>
                <w:rFonts w:ascii="Arial" w:cs="Arial" w:eastAsia="Arial" w:hAnsi="Arial"/>
                <w:sz w:val="12"/>
                <w:szCs w:val="12"/>
                <w:color w:val="auto"/>
              </w:rPr>
              <w:t>239,828</w:t>
            </w:r>
          </w:p>
        </w:tc>
        <w:tc>
          <w:tcPr>
            <w:tcW w:w="4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920" w:type="dxa"/>
            <w:vAlign w:val="bottom"/>
            <w:shd w:val="clear" w:color="auto" w:fill="CCEEFF"/>
          </w:tcPr>
          <w:p>
            <w:pPr>
              <w:jc w:val="right"/>
              <w:ind w:right="282"/>
              <w:spacing w:after="0"/>
              <w:rPr>
                <w:sz w:val="20"/>
                <w:szCs w:val="20"/>
                <w:color w:val="auto"/>
              </w:rPr>
            </w:pPr>
            <w:r>
              <w:rPr>
                <w:rFonts w:ascii="Arial" w:cs="Arial" w:eastAsia="Arial" w:hAnsi="Arial"/>
                <w:sz w:val="12"/>
                <w:szCs w:val="12"/>
                <w:color w:val="auto"/>
              </w:rPr>
              <w:t>211,307</w:t>
            </w:r>
          </w:p>
        </w:tc>
        <w:tc>
          <w:tcPr>
            <w:tcW w:w="3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820" w:type="dxa"/>
            <w:vAlign w:val="bottom"/>
            <w:shd w:val="clear" w:color="auto" w:fill="CCEEFF"/>
          </w:tcPr>
          <w:p>
            <w:pPr>
              <w:jc w:val="right"/>
              <w:ind w:right="243"/>
              <w:spacing w:after="0"/>
              <w:rPr>
                <w:sz w:val="20"/>
                <w:szCs w:val="20"/>
                <w:color w:val="auto"/>
              </w:rPr>
            </w:pPr>
            <w:r>
              <w:rPr>
                <w:rFonts w:ascii="Arial" w:cs="Arial" w:eastAsia="Arial" w:hAnsi="Arial"/>
                <w:sz w:val="12"/>
                <w:szCs w:val="12"/>
                <w:color w:val="auto"/>
              </w:rPr>
              <w:t>28,521</w:t>
            </w: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13.5%</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4520" w:type="dxa"/>
            <w:vAlign w:val="bottom"/>
          </w:tcPr>
          <w:p>
            <w:pPr>
              <w:ind w:left="260"/>
              <w:spacing w:after="0"/>
              <w:rPr>
                <w:sz w:val="20"/>
                <w:szCs w:val="20"/>
                <w:color w:val="auto"/>
              </w:rPr>
            </w:pPr>
            <w:r>
              <w:rPr>
                <w:rFonts w:ascii="Arial" w:cs="Arial" w:eastAsia="Arial" w:hAnsi="Arial"/>
                <w:sz w:val="12"/>
                <w:szCs w:val="12"/>
                <w:color w:val="auto"/>
              </w:rPr>
              <w:t>Table games win % (1)</w:t>
            </w:r>
          </w:p>
        </w:tc>
        <w:tc>
          <w:tcPr>
            <w:tcW w:w="2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jc w:val="right"/>
              <w:ind w:right="82"/>
              <w:spacing w:after="0"/>
              <w:rPr>
                <w:sz w:val="20"/>
                <w:szCs w:val="20"/>
                <w:color w:val="auto"/>
              </w:rPr>
            </w:pPr>
            <w:r>
              <w:rPr>
                <w:rFonts w:ascii="Arial" w:cs="Arial" w:eastAsia="Arial" w:hAnsi="Arial"/>
                <w:sz w:val="12"/>
                <w:szCs w:val="12"/>
                <w:color w:val="auto"/>
              </w:rPr>
              <w:t>38.0%</w:t>
            </w:r>
          </w:p>
        </w:tc>
        <w:tc>
          <w:tcPr>
            <w:tcW w:w="480" w:type="dxa"/>
            <w:vAlign w:val="bottom"/>
          </w:tcPr>
          <w:p>
            <w:pPr>
              <w:spacing w:after="0"/>
              <w:rPr>
                <w:sz w:val="12"/>
                <w:szCs w:val="12"/>
                <w:color w:val="auto"/>
              </w:rPr>
            </w:pPr>
          </w:p>
        </w:tc>
        <w:tc>
          <w:tcPr>
            <w:tcW w:w="920" w:type="dxa"/>
            <w:vAlign w:val="bottom"/>
          </w:tcPr>
          <w:p>
            <w:pPr>
              <w:jc w:val="right"/>
              <w:ind w:right="202"/>
              <w:spacing w:after="0"/>
              <w:rPr>
                <w:sz w:val="20"/>
                <w:szCs w:val="20"/>
                <w:color w:val="auto"/>
              </w:rPr>
            </w:pPr>
            <w:r>
              <w:rPr>
                <w:rFonts w:ascii="Arial" w:cs="Arial" w:eastAsia="Arial" w:hAnsi="Arial"/>
                <w:sz w:val="12"/>
                <w:szCs w:val="12"/>
                <w:color w:val="auto"/>
              </w:rPr>
              <w:t>30.8%</w:t>
            </w:r>
          </w:p>
        </w:tc>
        <w:tc>
          <w:tcPr>
            <w:tcW w:w="340" w:type="dxa"/>
            <w:vAlign w:val="bottom"/>
          </w:tcPr>
          <w:p>
            <w:pPr>
              <w:spacing w:after="0"/>
              <w:rPr>
                <w:sz w:val="12"/>
                <w:szCs w:val="12"/>
                <w:color w:val="auto"/>
              </w:rPr>
            </w:pPr>
          </w:p>
        </w:tc>
        <w:tc>
          <w:tcPr>
            <w:tcW w:w="820" w:type="dxa"/>
            <w:vAlign w:val="bottom"/>
          </w:tcPr>
          <w:p>
            <w:pPr>
              <w:jc w:val="right"/>
              <w:ind w:right="243"/>
              <w:spacing w:after="0"/>
              <w:rPr>
                <w:sz w:val="20"/>
                <w:szCs w:val="20"/>
                <w:color w:val="auto"/>
              </w:rPr>
            </w:pPr>
            <w:r>
              <w:rPr>
                <w:rFonts w:ascii="Arial" w:cs="Arial" w:eastAsia="Arial" w:hAnsi="Arial"/>
                <w:sz w:val="12"/>
                <w:szCs w:val="12"/>
                <w:color w:val="auto"/>
              </w:rPr>
              <w:t>7.2pts</w:t>
            </w:r>
          </w:p>
        </w:tc>
        <w:tc>
          <w:tcPr>
            <w:tcW w:w="800" w:type="dxa"/>
            <w:vAlign w:val="bottom"/>
            <w:gridSpan w:val="2"/>
          </w:tcPr>
          <w:p>
            <w:pPr>
              <w:jc w:val="right"/>
              <w:ind w:right="26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4520" w:type="dxa"/>
            <w:vAlign w:val="bottom"/>
            <w:shd w:val="clear" w:color="auto" w:fill="CCEEFF"/>
          </w:tcPr>
          <w:p>
            <w:pPr>
              <w:ind w:left="260"/>
              <w:spacing w:after="0"/>
              <w:rPr>
                <w:sz w:val="20"/>
                <w:szCs w:val="20"/>
                <w:color w:val="auto"/>
              </w:rPr>
            </w:pPr>
            <w:r>
              <w:rPr>
                <w:rFonts w:ascii="Arial" w:cs="Arial" w:eastAsia="Arial" w:hAnsi="Arial"/>
                <w:sz w:val="12"/>
                <w:szCs w:val="12"/>
                <w:color w:val="auto"/>
              </w:rPr>
              <w:t>Table games win per unit per day</w:t>
            </w:r>
          </w:p>
        </w:tc>
        <w:tc>
          <w:tcPr>
            <w:tcW w:w="278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w:t>
            </w:r>
          </w:p>
        </w:tc>
        <w:tc>
          <w:tcPr>
            <w:tcW w:w="800" w:type="dxa"/>
            <w:vAlign w:val="bottom"/>
            <w:shd w:val="clear" w:color="auto" w:fill="CCEEFF"/>
          </w:tcPr>
          <w:p>
            <w:pPr>
              <w:jc w:val="right"/>
              <w:ind w:right="162"/>
              <w:spacing w:after="0"/>
              <w:rPr>
                <w:sz w:val="20"/>
                <w:szCs w:val="20"/>
                <w:color w:val="auto"/>
              </w:rPr>
            </w:pPr>
            <w:r>
              <w:rPr>
                <w:rFonts w:ascii="Arial" w:cs="Arial" w:eastAsia="Arial" w:hAnsi="Arial"/>
                <w:sz w:val="12"/>
                <w:szCs w:val="12"/>
                <w:color w:val="auto"/>
              </w:rPr>
              <w:t>12,872</w:t>
            </w:r>
          </w:p>
        </w:tc>
        <w:tc>
          <w:tcPr>
            <w:tcW w:w="4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920" w:type="dxa"/>
            <w:vAlign w:val="bottom"/>
            <w:shd w:val="clear" w:color="auto" w:fill="CCEEFF"/>
          </w:tcPr>
          <w:p>
            <w:pPr>
              <w:jc w:val="right"/>
              <w:ind w:right="282"/>
              <w:spacing w:after="0"/>
              <w:rPr>
                <w:sz w:val="20"/>
                <w:szCs w:val="20"/>
                <w:color w:val="auto"/>
              </w:rPr>
            </w:pPr>
            <w:r>
              <w:rPr>
                <w:rFonts w:ascii="Arial" w:cs="Arial" w:eastAsia="Arial" w:hAnsi="Arial"/>
                <w:sz w:val="12"/>
                <w:szCs w:val="12"/>
                <w:color w:val="auto"/>
              </w:rPr>
              <w:t>11,423</w:t>
            </w:r>
          </w:p>
        </w:tc>
        <w:tc>
          <w:tcPr>
            <w:tcW w:w="3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820" w:type="dxa"/>
            <w:vAlign w:val="bottom"/>
            <w:shd w:val="clear" w:color="auto" w:fill="CCEEFF"/>
          </w:tcPr>
          <w:p>
            <w:pPr>
              <w:jc w:val="right"/>
              <w:ind w:right="243"/>
              <w:spacing w:after="0"/>
              <w:rPr>
                <w:sz w:val="20"/>
                <w:szCs w:val="20"/>
                <w:color w:val="auto"/>
              </w:rPr>
            </w:pPr>
            <w:r>
              <w:rPr>
                <w:rFonts w:ascii="Arial" w:cs="Arial" w:eastAsia="Arial" w:hAnsi="Arial"/>
                <w:sz w:val="12"/>
                <w:szCs w:val="12"/>
                <w:color w:val="auto"/>
              </w:rPr>
              <w:t>1,449</w:t>
            </w: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12.7%</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520" w:type="dxa"/>
            <w:vAlign w:val="bottom"/>
          </w:tcPr>
          <w:p>
            <w:pPr>
              <w:ind w:left="260"/>
              <w:spacing w:after="0"/>
              <w:rPr>
                <w:sz w:val="20"/>
                <w:szCs w:val="20"/>
                <w:color w:val="auto"/>
              </w:rPr>
            </w:pPr>
            <w:r>
              <w:rPr>
                <w:rFonts w:ascii="Arial" w:cs="Arial" w:eastAsia="Arial" w:hAnsi="Arial"/>
                <w:sz w:val="12"/>
                <w:szCs w:val="12"/>
                <w:color w:val="auto"/>
              </w:rPr>
              <w:t>Slot machine handle</w:t>
            </w:r>
          </w:p>
        </w:tc>
        <w:tc>
          <w:tcPr>
            <w:tcW w:w="2780" w:type="dxa"/>
            <w:vAlign w:val="bottom"/>
            <w:gridSpan w:val="2"/>
          </w:tcPr>
          <w:p>
            <w:pPr>
              <w:jc w:val="right"/>
              <w:ind w:right="40"/>
              <w:spacing w:after="0"/>
              <w:rPr>
                <w:sz w:val="20"/>
                <w:szCs w:val="20"/>
                <w:color w:val="auto"/>
              </w:rPr>
            </w:pPr>
            <w:r>
              <w:rPr>
                <w:rFonts w:ascii="Arial" w:cs="Arial" w:eastAsia="Arial" w:hAnsi="Arial"/>
                <w:sz w:val="12"/>
                <w:szCs w:val="12"/>
                <w:color w:val="auto"/>
              </w:rPr>
              <w:t>$</w:t>
            </w:r>
          </w:p>
        </w:tc>
        <w:tc>
          <w:tcPr>
            <w:tcW w:w="800" w:type="dxa"/>
            <w:vAlign w:val="bottom"/>
          </w:tcPr>
          <w:p>
            <w:pPr>
              <w:jc w:val="right"/>
              <w:ind w:right="162"/>
              <w:spacing w:after="0"/>
              <w:rPr>
                <w:sz w:val="20"/>
                <w:szCs w:val="20"/>
                <w:color w:val="auto"/>
              </w:rPr>
            </w:pPr>
            <w:r>
              <w:rPr>
                <w:rFonts w:ascii="Arial" w:cs="Arial" w:eastAsia="Arial" w:hAnsi="Arial"/>
                <w:sz w:val="12"/>
                <w:szCs w:val="12"/>
                <w:color w:val="auto"/>
              </w:rPr>
              <w:t>1,165,840</w:t>
            </w:r>
          </w:p>
        </w:tc>
        <w:tc>
          <w:tcPr>
            <w:tcW w:w="480" w:type="dxa"/>
            <w:vAlign w:val="bottom"/>
          </w:tcPr>
          <w:p>
            <w:pPr>
              <w:jc w:val="right"/>
              <w:spacing w:after="0"/>
              <w:rPr>
                <w:sz w:val="20"/>
                <w:szCs w:val="20"/>
                <w:color w:val="auto"/>
              </w:rPr>
            </w:pPr>
            <w:r>
              <w:rPr>
                <w:rFonts w:ascii="Arial" w:cs="Arial" w:eastAsia="Arial" w:hAnsi="Arial"/>
                <w:sz w:val="12"/>
                <w:szCs w:val="12"/>
                <w:color w:val="auto"/>
              </w:rPr>
              <w:t>$</w:t>
            </w:r>
          </w:p>
        </w:tc>
        <w:tc>
          <w:tcPr>
            <w:tcW w:w="920" w:type="dxa"/>
            <w:vAlign w:val="bottom"/>
          </w:tcPr>
          <w:p>
            <w:pPr>
              <w:jc w:val="right"/>
              <w:ind w:right="282"/>
              <w:spacing w:after="0"/>
              <w:rPr>
                <w:sz w:val="20"/>
                <w:szCs w:val="20"/>
                <w:color w:val="auto"/>
              </w:rPr>
            </w:pPr>
            <w:r>
              <w:rPr>
                <w:rFonts w:ascii="Arial" w:cs="Arial" w:eastAsia="Arial" w:hAnsi="Arial"/>
                <w:sz w:val="12"/>
                <w:szCs w:val="12"/>
                <w:color w:val="auto"/>
              </w:rPr>
              <w:t>983,705</w:t>
            </w:r>
          </w:p>
        </w:tc>
        <w:tc>
          <w:tcPr>
            <w:tcW w:w="340" w:type="dxa"/>
            <w:vAlign w:val="bottom"/>
          </w:tcPr>
          <w:p>
            <w:pPr>
              <w:jc w:val="right"/>
              <w:spacing w:after="0"/>
              <w:rPr>
                <w:sz w:val="20"/>
                <w:szCs w:val="20"/>
                <w:color w:val="auto"/>
              </w:rPr>
            </w:pPr>
            <w:r>
              <w:rPr>
                <w:rFonts w:ascii="Arial" w:cs="Arial" w:eastAsia="Arial" w:hAnsi="Arial"/>
                <w:sz w:val="12"/>
                <w:szCs w:val="12"/>
                <w:color w:val="auto"/>
              </w:rPr>
              <w:t>$</w:t>
            </w:r>
          </w:p>
        </w:tc>
        <w:tc>
          <w:tcPr>
            <w:tcW w:w="820" w:type="dxa"/>
            <w:vAlign w:val="bottom"/>
          </w:tcPr>
          <w:p>
            <w:pPr>
              <w:jc w:val="right"/>
              <w:ind w:right="243"/>
              <w:spacing w:after="0"/>
              <w:rPr>
                <w:sz w:val="20"/>
                <w:szCs w:val="20"/>
                <w:color w:val="auto"/>
              </w:rPr>
            </w:pPr>
            <w:r>
              <w:rPr>
                <w:rFonts w:ascii="Arial" w:cs="Arial" w:eastAsia="Arial" w:hAnsi="Arial"/>
                <w:sz w:val="12"/>
                <w:szCs w:val="12"/>
                <w:color w:val="auto"/>
              </w:rPr>
              <w:t>182,135</w:t>
            </w:r>
          </w:p>
        </w:tc>
        <w:tc>
          <w:tcPr>
            <w:tcW w:w="800" w:type="dxa"/>
            <w:vAlign w:val="bottom"/>
            <w:gridSpan w:val="2"/>
          </w:tcPr>
          <w:p>
            <w:pPr>
              <w:jc w:val="right"/>
              <w:ind w:right="120"/>
              <w:spacing w:after="0"/>
              <w:rPr>
                <w:sz w:val="20"/>
                <w:szCs w:val="20"/>
                <w:color w:val="auto"/>
              </w:rPr>
            </w:pPr>
            <w:r>
              <w:rPr>
                <w:rFonts w:ascii="Arial" w:cs="Arial" w:eastAsia="Arial" w:hAnsi="Arial"/>
                <w:sz w:val="12"/>
                <w:szCs w:val="12"/>
                <w:color w:val="auto"/>
              </w:rPr>
              <w:t>18.5%</w:t>
            </w: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4520" w:type="dxa"/>
            <w:vAlign w:val="bottom"/>
            <w:shd w:val="clear" w:color="auto" w:fill="CCEEFF"/>
          </w:tcPr>
          <w:p>
            <w:pPr>
              <w:ind w:left="260"/>
              <w:spacing w:after="0"/>
              <w:rPr>
                <w:sz w:val="20"/>
                <w:szCs w:val="20"/>
                <w:color w:val="auto"/>
              </w:rPr>
            </w:pPr>
            <w:r>
              <w:rPr>
                <w:rFonts w:ascii="Arial" w:cs="Arial" w:eastAsia="Arial" w:hAnsi="Arial"/>
                <w:sz w:val="12"/>
                <w:szCs w:val="12"/>
                <w:color w:val="auto"/>
              </w:rPr>
              <w:t>Slot machine win</w:t>
            </w:r>
          </w:p>
        </w:tc>
        <w:tc>
          <w:tcPr>
            <w:tcW w:w="278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w:t>
            </w:r>
          </w:p>
        </w:tc>
        <w:tc>
          <w:tcPr>
            <w:tcW w:w="800" w:type="dxa"/>
            <w:vAlign w:val="bottom"/>
            <w:shd w:val="clear" w:color="auto" w:fill="CCEEFF"/>
          </w:tcPr>
          <w:p>
            <w:pPr>
              <w:jc w:val="right"/>
              <w:ind w:right="162"/>
              <w:spacing w:after="0"/>
              <w:rPr>
                <w:sz w:val="20"/>
                <w:szCs w:val="20"/>
                <w:color w:val="auto"/>
              </w:rPr>
            </w:pPr>
            <w:r>
              <w:rPr>
                <w:rFonts w:ascii="Arial" w:cs="Arial" w:eastAsia="Arial" w:hAnsi="Arial"/>
                <w:sz w:val="12"/>
                <w:szCs w:val="12"/>
                <w:color w:val="auto"/>
              </w:rPr>
              <w:t>55,729</w:t>
            </w:r>
          </w:p>
        </w:tc>
        <w:tc>
          <w:tcPr>
            <w:tcW w:w="4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920" w:type="dxa"/>
            <w:vAlign w:val="bottom"/>
            <w:shd w:val="clear" w:color="auto" w:fill="CCEEFF"/>
          </w:tcPr>
          <w:p>
            <w:pPr>
              <w:jc w:val="right"/>
              <w:ind w:right="282"/>
              <w:spacing w:after="0"/>
              <w:rPr>
                <w:sz w:val="20"/>
                <w:szCs w:val="20"/>
                <w:color w:val="auto"/>
              </w:rPr>
            </w:pPr>
            <w:r>
              <w:rPr>
                <w:rFonts w:ascii="Arial" w:cs="Arial" w:eastAsia="Arial" w:hAnsi="Arial"/>
                <w:sz w:val="12"/>
                <w:szCs w:val="12"/>
                <w:color w:val="auto"/>
              </w:rPr>
              <w:t>54,412</w:t>
            </w:r>
          </w:p>
        </w:tc>
        <w:tc>
          <w:tcPr>
            <w:tcW w:w="3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820" w:type="dxa"/>
            <w:vAlign w:val="bottom"/>
            <w:shd w:val="clear" w:color="auto" w:fill="CCEEFF"/>
          </w:tcPr>
          <w:p>
            <w:pPr>
              <w:jc w:val="right"/>
              <w:ind w:right="243"/>
              <w:spacing w:after="0"/>
              <w:rPr>
                <w:sz w:val="20"/>
                <w:szCs w:val="20"/>
                <w:color w:val="auto"/>
              </w:rPr>
            </w:pPr>
            <w:r>
              <w:rPr>
                <w:rFonts w:ascii="Arial" w:cs="Arial" w:eastAsia="Arial" w:hAnsi="Arial"/>
                <w:sz w:val="12"/>
                <w:szCs w:val="12"/>
                <w:color w:val="auto"/>
              </w:rPr>
              <w:t>1,317</w:t>
            </w: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2.4%</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520" w:type="dxa"/>
            <w:vAlign w:val="bottom"/>
          </w:tcPr>
          <w:p>
            <w:pPr>
              <w:ind w:left="260"/>
              <w:spacing w:after="0"/>
              <w:rPr>
                <w:sz w:val="20"/>
                <w:szCs w:val="20"/>
                <w:color w:val="auto"/>
              </w:rPr>
            </w:pPr>
            <w:r>
              <w:rPr>
                <w:rFonts w:ascii="Arial" w:cs="Arial" w:eastAsia="Arial" w:hAnsi="Arial"/>
                <w:sz w:val="12"/>
                <w:szCs w:val="12"/>
                <w:color w:val="auto"/>
              </w:rPr>
              <w:t>Slot machine win per unit per day</w:t>
            </w:r>
          </w:p>
        </w:tc>
        <w:tc>
          <w:tcPr>
            <w:tcW w:w="2780" w:type="dxa"/>
            <w:vAlign w:val="bottom"/>
            <w:gridSpan w:val="2"/>
          </w:tcPr>
          <w:p>
            <w:pPr>
              <w:jc w:val="right"/>
              <w:ind w:right="40"/>
              <w:spacing w:after="0"/>
              <w:rPr>
                <w:sz w:val="20"/>
                <w:szCs w:val="20"/>
                <w:color w:val="auto"/>
              </w:rPr>
            </w:pPr>
            <w:r>
              <w:rPr>
                <w:rFonts w:ascii="Arial" w:cs="Arial" w:eastAsia="Arial" w:hAnsi="Arial"/>
                <w:sz w:val="12"/>
                <w:szCs w:val="12"/>
                <w:color w:val="auto"/>
              </w:rPr>
              <w:t>$</w:t>
            </w:r>
          </w:p>
        </w:tc>
        <w:tc>
          <w:tcPr>
            <w:tcW w:w="800" w:type="dxa"/>
            <w:vAlign w:val="bottom"/>
          </w:tcPr>
          <w:p>
            <w:pPr>
              <w:jc w:val="right"/>
              <w:ind w:right="162"/>
              <w:spacing w:after="0"/>
              <w:rPr>
                <w:sz w:val="20"/>
                <w:szCs w:val="20"/>
                <w:color w:val="auto"/>
              </w:rPr>
            </w:pPr>
            <w:r>
              <w:rPr>
                <w:rFonts w:ascii="Arial" w:cs="Arial" w:eastAsia="Arial" w:hAnsi="Arial"/>
                <w:sz w:val="12"/>
                <w:szCs w:val="12"/>
                <w:color w:val="auto"/>
              </w:rPr>
              <w:t>689</w:t>
            </w:r>
          </w:p>
        </w:tc>
        <w:tc>
          <w:tcPr>
            <w:tcW w:w="480" w:type="dxa"/>
            <w:vAlign w:val="bottom"/>
          </w:tcPr>
          <w:p>
            <w:pPr>
              <w:jc w:val="right"/>
              <w:spacing w:after="0"/>
              <w:rPr>
                <w:sz w:val="20"/>
                <w:szCs w:val="20"/>
                <w:color w:val="auto"/>
              </w:rPr>
            </w:pPr>
            <w:r>
              <w:rPr>
                <w:rFonts w:ascii="Arial" w:cs="Arial" w:eastAsia="Arial" w:hAnsi="Arial"/>
                <w:sz w:val="12"/>
                <w:szCs w:val="12"/>
                <w:color w:val="auto"/>
              </w:rPr>
              <w:t>$</w:t>
            </w:r>
          </w:p>
        </w:tc>
        <w:tc>
          <w:tcPr>
            <w:tcW w:w="920" w:type="dxa"/>
            <w:vAlign w:val="bottom"/>
          </w:tcPr>
          <w:p>
            <w:pPr>
              <w:jc w:val="right"/>
              <w:ind w:right="282"/>
              <w:spacing w:after="0"/>
              <w:rPr>
                <w:sz w:val="20"/>
                <w:szCs w:val="20"/>
                <w:color w:val="auto"/>
              </w:rPr>
            </w:pPr>
            <w:r>
              <w:rPr>
                <w:rFonts w:ascii="Arial" w:cs="Arial" w:eastAsia="Arial" w:hAnsi="Arial"/>
                <w:sz w:val="12"/>
                <w:szCs w:val="12"/>
                <w:color w:val="auto"/>
              </w:rPr>
              <w:t>620</w:t>
            </w:r>
          </w:p>
        </w:tc>
        <w:tc>
          <w:tcPr>
            <w:tcW w:w="340" w:type="dxa"/>
            <w:vAlign w:val="bottom"/>
          </w:tcPr>
          <w:p>
            <w:pPr>
              <w:jc w:val="right"/>
              <w:spacing w:after="0"/>
              <w:rPr>
                <w:sz w:val="20"/>
                <w:szCs w:val="20"/>
                <w:color w:val="auto"/>
              </w:rPr>
            </w:pPr>
            <w:r>
              <w:rPr>
                <w:rFonts w:ascii="Arial" w:cs="Arial" w:eastAsia="Arial" w:hAnsi="Arial"/>
                <w:sz w:val="12"/>
                <w:szCs w:val="12"/>
                <w:color w:val="auto"/>
              </w:rPr>
              <w:t>$</w:t>
            </w:r>
          </w:p>
        </w:tc>
        <w:tc>
          <w:tcPr>
            <w:tcW w:w="820" w:type="dxa"/>
            <w:vAlign w:val="bottom"/>
          </w:tcPr>
          <w:p>
            <w:pPr>
              <w:jc w:val="right"/>
              <w:ind w:right="243"/>
              <w:spacing w:after="0"/>
              <w:rPr>
                <w:sz w:val="20"/>
                <w:szCs w:val="20"/>
                <w:color w:val="auto"/>
              </w:rPr>
            </w:pPr>
            <w:r>
              <w:rPr>
                <w:rFonts w:ascii="Arial" w:cs="Arial" w:eastAsia="Arial" w:hAnsi="Arial"/>
                <w:sz w:val="12"/>
                <w:szCs w:val="12"/>
                <w:color w:val="auto"/>
              </w:rPr>
              <w:t>69</w:t>
            </w:r>
          </w:p>
        </w:tc>
        <w:tc>
          <w:tcPr>
            <w:tcW w:w="800" w:type="dxa"/>
            <w:vAlign w:val="bottom"/>
            <w:gridSpan w:val="2"/>
          </w:tcPr>
          <w:p>
            <w:pPr>
              <w:jc w:val="right"/>
              <w:ind w:right="120"/>
              <w:spacing w:after="0"/>
              <w:rPr>
                <w:sz w:val="20"/>
                <w:szCs w:val="20"/>
                <w:color w:val="auto"/>
              </w:rPr>
            </w:pPr>
            <w:r>
              <w:rPr>
                <w:rFonts w:ascii="Arial" w:cs="Arial" w:eastAsia="Arial" w:hAnsi="Arial"/>
                <w:sz w:val="12"/>
                <w:szCs w:val="12"/>
                <w:color w:val="auto"/>
              </w:rPr>
              <w:t>11.2%</w:t>
            </w:r>
          </w:p>
        </w:tc>
        <w:tc>
          <w:tcPr>
            <w:tcW w:w="0" w:type="dxa"/>
            <w:vAlign w:val="bottom"/>
          </w:tcPr>
          <w:p>
            <w:pPr>
              <w:spacing w:after="0"/>
              <w:rPr>
                <w:sz w:val="1"/>
                <w:szCs w:val="1"/>
                <w:color w:val="auto"/>
              </w:rPr>
            </w:pPr>
          </w:p>
        </w:tc>
      </w:tr>
      <w:tr>
        <w:trPr>
          <w:trHeight w:val="68"/>
        </w:trPr>
        <w:tc>
          <w:tcPr>
            <w:tcW w:w="20" w:type="dxa"/>
            <w:vAlign w:val="bottom"/>
            <w:vMerge w:val="restart"/>
          </w:tcPr>
          <w:p>
            <w:pPr>
              <w:spacing w:after="0"/>
              <w:rPr>
                <w:sz w:val="5"/>
                <w:szCs w:val="5"/>
                <w:color w:val="auto"/>
              </w:rPr>
            </w:pPr>
          </w:p>
        </w:tc>
        <w:tc>
          <w:tcPr>
            <w:tcW w:w="4520" w:type="dxa"/>
            <w:vAlign w:val="bottom"/>
          </w:tcPr>
          <w:p>
            <w:pPr>
              <w:spacing w:after="0"/>
              <w:rPr>
                <w:sz w:val="5"/>
                <w:szCs w:val="5"/>
                <w:color w:val="auto"/>
              </w:rPr>
            </w:pPr>
          </w:p>
        </w:tc>
        <w:tc>
          <w:tcPr>
            <w:tcW w:w="2680" w:type="dxa"/>
            <w:vAlign w:val="bottom"/>
          </w:tcPr>
          <w:p>
            <w:pPr>
              <w:spacing w:after="0"/>
              <w:rPr>
                <w:sz w:val="5"/>
                <w:szCs w:val="5"/>
                <w:color w:val="auto"/>
              </w:rPr>
            </w:pPr>
          </w:p>
        </w:tc>
        <w:tc>
          <w:tcPr>
            <w:tcW w:w="100" w:type="dxa"/>
            <w:vAlign w:val="bottom"/>
          </w:tcPr>
          <w:p>
            <w:pPr>
              <w:spacing w:after="0"/>
              <w:rPr>
                <w:sz w:val="5"/>
                <w:szCs w:val="5"/>
                <w:color w:val="auto"/>
              </w:rPr>
            </w:pPr>
          </w:p>
        </w:tc>
        <w:tc>
          <w:tcPr>
            <w:tcW w:w="800" w:type="dxa"/>
            <w:vAlign w:val="bottom"/>
          </w:tcPr>
          <w:p>
            <w:pPr>
              <w:spacing w:after="0"/>
              <w:rPr>
                <w:sz w:val="5"/>
                <w:szCs w:val="5"/>
                <w:color w:val="auto"/>
              </w:rPr>
            </w:pPr>
          </w:p>
        </w:tc>
        <w:tc>
          <w:tcPr>
            <w:tcW w:w="480" w:type="dxa"/>
            <w:vAlign w:val="bottom"/>
          </w:tcPr>
          <w:p>
            <w:pPr>
              <w:spacing w:after="0"/>
              <w:rPr>
                <w:sz w:val="5"/>
                <w:szCs w:val="5"/>
                <w:color w:val="auto"/>
              </w:rPr>
            </w:pPr>
          </w:p>
        </w:tc>
        <w:tc>
          <w:tcPr>
            <w:tcW w:w="920" w:type="dxa"/>
            <w:vAlign w:val="bottom"/>
          </w:tcPr>
          <w:p>
            <w:pPr>
              <w:spacing w:after="0"/>
              <w:rPr>
                <w:sz w:val="5"/>
                <w:szCs w:val="5"/>
                <w:color w:val="auto"/>
              </w:rPr>
            </w:pPr>
          </w:p>
        </w:tc>
        <w:tc>
          <w:tcPr>
            <w:tcW w:w="340" w:type="dxa"/>
            <w:vAlign w:val="bottom"/>
          </w:tcPr>
          <w:p>
            <w:pPr>
              <w:spacing w:after="0"/>
              <w:rPr>
                <w:sz w:val="5"/>
                <w:szCs w:val="5"/>
                <w:color w:val="auto"/>
              </w:rPr>
            </w:pPr>
          </w:p>
        </w:tc>
        <w:tc>
          <w:tcPr>
            <w:tcW w:w="820" w:type="dxa"/>
            <w:vAlign w:val="bottom"/>
          </w:tcPr>
          <w:p>
            <w:pPr>
              <w:spacing w:after="0"/>
              <w:rPr>
                <w:sz w:val="5"/>
                <w:szCs w:val="5"/>
                <w:color w:val="auto"/>
              </w:rPr>
            </w:pPr>
          </w:p>
        </w:tc>
        <w:tc>
          <w:tcPr>
            <w:tcW w:w="580" w:type="dxa"/>
            <w:vAlign w:val="bottom"/>
          </w:tcPr>
          <w:p>
            <w:pPr>
              <w:spacing w:after="0"/>
              <w:rPr>
                <w:sz w:val="5"/>
                <w:szCs w:val="5"/>
                <w:color w:val="auto"/>
              </w:rPr>
            </w:pPr>
          </w:p>
        </w:tc>
        <w:tc>
          <w:tcPr>
            <w:tcW w:w="2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44"/>
        </w:trPr>
        <w:tc>
          <w:tcPr>
            <w:tcW w:w="20" w:type="dxa"/>
            <w:vAlign w:val="bottom"/>
            <w:vMerge w:val="continue"/>
          </w:tcPr>
          <w:p>
            <w:pPr>
              <w:spacing w:after="0"/>
              <w:rPr>
                <w:sz w:val="12"/>
                <w:szCs w:val="12"/>
                <w:color w:val="auto"/>
              </w:rPr>
            </w:pPr>
          </w:p>
        </w:tc>
        <w:tc>
          <w:tcPr>
            <w:tcW w:w="4520" w:type="dxa"/>
            <w:vAlign w:val="bottom"/>
            <w:shd w:val="clear" w:color="auto" w:fill="CCEEFF"/>
          </w:tcPr>
          <w:p>
            <w:pPr>
              <w:spacing w:after="0"/>
              <w:rPr>
                <w:sz w:val="20"/>
                <w:szCs w:val="20"/>
                <w:color w:val="auto"/>
              </w:rPr>
            </w:pPr>
            <w:r>
              <w:rPr>
                <w:rFonts w:ascii="Arial" w:cs="Arial" w:eastAsia="Arial" w:hAnsi="Arial"/>
                <w:sz w:val="12"/>
                <w:szCs w:val="12"/>
                <w:b w:val="1"/>
                <w:bCs w:val="1"/>
                <w:color w:val="auto"/>
              </w:rPr>
              <w:t>Las Vegas Operations:</w:t>
            </w:r>
          </w:p>
        </w:tc>
        <w:tc>
          <w:tcPr>
            <w:tcW w:w="2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4520" w:type="dxa"/>
            <w:vAlign w:val="bottom"/>
          </w:tcPr>
          <w:p>
            <w:pPr>
              <w:ind w:left="260"/>
              <w:spacing w:after="0"/>
              <w:rPr>
                <w:sz w:val="20"/>
                <w:szCs w:val="20"/>
                <w:color w:val="auto"/>
              </w:rPr>
            </w:pPr>
            <w:r>
              <w:rPr>
                <w:rFonts w:ascii="Arial" w:cs="Arial" w:eastAsia="Arial" w:hAnsi="Arial"/>
                <w:sz w:val="12"/>
                <w:szCs w:val="12"/>
                <w:color w:val="auto"/>
              </w:rPr>
              <w:t>Drop</w:t>
            </w:r>
          </w:p>
        </w:tc>
        <w:tc>
          <w:tcPr>
            <w:tcW w:w="2780" w:type="dxa"/>
            <w:vAlign w:val="bottom"/>
            <w:gridSpan w:val="2"/>
          </w:tcPr>
          <w:p>
            <w:pPr>
              <w:jc w:val="right"/>
              <w:ind w:right="40"/>
              <w:spacing w:after="0"/>
              <w:rPr>
                <w:sz w:val="20"/>
                <w:szCs w:val="20"/>
                <w:color w:val="auto"/>
              </w:rPr>
            </w:pPr>
            <w:r>
              <w:rPr>
                <w:rFonts w:ascii="Arial" w:cs="Arial" w:eastAsia="Arial" w:hAnsi="Arial"/>
                <w:sz w:val="12"/>
                <w:szCs w:val="12"/>
                <w:color w:val="auto"/>
              </w:rPr>
              <w:t>$</w:t>
            </w:r>
          </w:p>
        </w:tc>
        <w:tc>
          <w:tcPr>
            <w:tcW w:w="800" w:type="dxa"/>
            <w:vAlign w:val="bottom"/>
          </w:tcPr>
          <w:p>
            <w:pPr>
              <w:jc w:val="right"/>
              <w:ind w:right="162"/>
              <w:spacing w:after="0"/>
              <w:rPr>
                <w:sz w:val="20"/>
                <w:szCs w:val="20"/>
                <w:color w:val="auto"/>
              </w:rPr>
            </w:pPr>
            <w:r>
              <w:rPr>
                <w:rFonts w:ascii="Arial" w:cs="Arial" w:eastAsia="Arial" w:hAnsi="Arial"/>
                <w:sz w:val="12"/>
                <w:szCs w:val="12"/>
                <w:color w:val="auto"/>
              </w:rPr>
              <w:t>676,287</w:t>
            </w:r>
          </w:p>
        </w:tc>
        <w:tc>
          <w:tcPr>
            <w:tcW w:w="480" w:type="dxa"/>
            <w:vAlign w:val="bottom"/>
          </w:tcPr>
          <w:p>
            <w:pPr>
              <w:jc w:val="right"/>
              <w:spacing w:after="0"/>
              <w:rPr>
                <w:sz w:val="20"/>
                <w:szCs w:val="20"/>
                <w:color w:val="auto"/>
              </w:rPr>
            </w:pPr>
            <w:r>
              <w:rPr>
                <w:rFonts w:ascii="Arial" w:cs="Arial" w:eastAsia="Arial" w:hAnsi="Arial"/>
                <w:sz w:val="12"/>
                <w:szCs w:val="12"/>
                <w:color w:val="auto"/>
              </w:rPr>
              <w:t>$</w:t>
            </w:r>
          </w:p>
        </w:tc>
        <w:tc>
          <w:tcPr>
            <w:tcW w:w="920" w:type="dxa"/>
            <w:vAlign w:val="bottom"/>
          </w:tcPr>
          <w:p>
            <w:pPr>
              <w:jc w:val="right"/>
              <w:ind w:right="282"/>
              <w:spacing w:after="0"/>
              <w:rPr>
                <w:sz w:val="20"/>
                <w:szCs w:val="20"/>
                <w:color w:val="auto"/>
              </w:rPr>
            </w:pPr>
            <w:r>
              <w:rPr>
                <w:rFonts w:ascii="Arial" w:cs="Arial" w:eastAsia="Arial" w:hAnsi="Arial"/>
                <w:sz w:val="12"/>
                <w:szCs w:val="12"/>
                <w:color w:val="auto"/>
              </w:rPr>
              <w:t>682,349</w:t>
            </w:r>
          </w:p>
        </w:tc>
        <w:tc>
          <w:tcPr>
            <w:tcW w:w="340" w:type="dxa"/>
            <w:vAlign w:val="bottom"/>
          </w:tcPr>
          <w:p>
            <w:pPr>
              <w:jc w:val="right"/>
              <w:spacing w:after="0"/>
              <w:rPr>
                <w:sz w:val="20"/>
                <w:szCs w:val="20"/>
                <w:color w:val="auto"/>
              </w:rPr>
            </w:pPr>
            <w:r>
              <w:rPr>
                <w:rFonts w:ascii="Arial" w:cs="Arial" w:eastAsia="Arial" w:hAnsi="Arial"/>
                <w:sz w:val="12"/>
                <w:szCs w:val="12"/>
                <w:color w:val="auto"/>
              </w:rPr>
              <w:t>$</w:t>
            </w:r>
          </w:p>
        </w:tc>
        <w:tc>
          <w:tcPr>
            <w:tcW w:w="820" w:type="dxa"/>
            <w:vAlign w:val="bottom"/>
          </w:tcPr>
          <w:p>
            <w:pPr>
              <w:jc w:val="right"/>
              <w:ind w:right="203"/>
              <w:spacing w:after="0"/>
              <w:rPr>
                <w:sz w:val="20"/>
                <w:szCs w:val="20"/>
                <w:color w:val="auto"/>
              </w:rPr>
            </w:pPr>
            <w:r>
              <w:rPr>
                <w:rFonts w:ascii="Arial" w:cs="Arial" w:eastAsia="Arial" w:hAnsi="Arial"/>
                <w:sz w:val="12"/>
                <w:szCs w:val="12"/>
                <w:color w:val="auto"/>
              </w:rPr>
              <w:t>(6,062)</w:t>
            </w:r>
          </w:p>
        </w:tc>
        <w:tc>
          <w:tcPr>
            <w:tcW w:w="800" w:type="dxa"/>
            <w:vAlign w:val="bottom"/>
            <w:gridSpan w:val="2"/>
          </w:tcPr>
          <w:p>
            <w:pPr>
              <w:jc w:val="right"/>
              <w:ind w:right="80"/>
              <w:spacing w:after="0"/>
              <w:rPr>
                <w:sz w:val="20"/>
                <w:szCs w:val="20"/>
                <w:color w:val="auto"/>
              </w:rPr>
            </w:pPr>
            <w:r>
              <w:rPr>
                <w:rFonts w:ascii="Arial" w:cs="Arial" w:eastAsia="Arial" w:hAnsi="Arial"/>
                <w:sz w:val="12"/>
                <w:szCs w:val="12"/>
                <w:color w:val="auto"/>
              </w:rPr>
              <w:t>(0.9)%</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4520" w:type="dxa"/>
            <w:vAlign w:val="bottom"/>
            <w:shd w:val="clear" w:color="auto" w:fill="CCEEFF"/>
          </w:tcPr>
          <w:p>
            <w:pPr>
              <w:ind w:left="260"/>
              <w:spacing w:after="0"/>
              <w:rPr>
                <w:sz w:val="20"/>
                <w:szCs w:val="20"/>
                <w:color w:val="auto"/>
              </w:rPr>
            </w:pPr>
            <w:r>
              <w:rPr>
                <w:rFonts w:ascii="Arial" w:cs="Arial" w:eastAsia="Arial" w:hAnsi="Arial"/>
                <w:sz w:val="12"/>
                <w:szCs w:val="12"/>
                <w:color w:val="auto"/>
              </w:rPr>
              <w:t>Table games win</w:t>
            </w:r>
          </w:p>
        </w:tc>
        <w:tc>
          <w:tcPr>
            <w:tcW w:w="278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w:t>
            </w:r>
          </w:p>
        </w:tc>
        <w:tc>
          <w:tcPr>
            <w:tcW w:w="800" w:type="dxa"/>
            <w:vAlign w:val="bottom"/>
            <w:shd w:val="clear" w:color="auto" w:fill="CCEEFF"/>
          </w:tcPr>
          <w:p>
            <w:pPr>
              <w:jc w:val="right"/>
              <w:ind w:right="162"/>
              <w:spacing w:after="0"/>
              <w:rPr>
                <w:sz w:val="20"/>
                <w:szCs w:val="20"/>
                <w:color w:val="auto"/>
              </w:rPr>
            </w:pPr>
            <w:r>
              <w:rPr>
                <w:rFonts w:ascii="Arial" w:cs="Arial" w:eastAsia="Arial" w:hAnsi="Arial"/>
                <w:sz w:val="12"/>
                <w:szCs w:val="12"/>
                <w:color w:val="auto"/>
              </w:rPr>
              <w:t>152,842</w:t>
            </w:r>
          </w:p>
        </w:tc>
        <w:tc>
          <w:tcPr>
            <w:tcW w:w="4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920" w:type="dxa"/>
            <w:vAlign w:val="bottom"/>
            <w:shd w:val="clear" w:color="auto" w:fill="CCEEFF"/>
          </w:tcPr>
          <w:p>
            <w:pPr>
              <w:jc w:val="right"/>
              <w:ind w:right="282"/>
              <w:spacing w:after="0"/>
              <w:rPr>
                <w:sz w:val="20"/>
                <w:szCs w:val="20"/>
                <w:color w:val="auto"/>
              </w:rPr>
            </w:pPr>
            <w:r>
              <w:rPr>
                <w:rFonts w:ascii="Arial" w:cs="Arial" w:eastAsia="Arial" w:hAnsi="Arial"/>
                <w:sz w:val="12"/>
                <w:szCs w:val="12"/>
                <w:color w:val="auto"/>
              </w:rPr>
              <w:t>149,204</w:t>
            </w:r>
          </w:p>
        </w:tc>
        <w:tc>
          <w:tcPr>
            <w:tcW w:w="3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820" w:type="dxa"/>
            <w:vAlign w:val="bottom"/>
            <w:shd w:val="clear" w:color="auto" w:fill="CCEEFF"/>
          </w:tcPr>
          <w:p>
            <w:pPr>
              <w:jc w:val="right"/>
              <w:ind w:right="243"/>
              <w:spacing w:after="0"/>
              <w:rPr>
                <w:sz w:val="20"/>
                <w:szCs w:val="20"/>
                <w:color w:val="auto"/>
              </w:rPr>
            </w:pPr>
            <w:r>
              <w:rPr>
                <w:rFonts w:ascii="Arial" w:cs="Arial" w:eastAsia="Arial" w:hAnsi="Arial"/>
                <w:sz w:val="12"/>
                <w:szCs w:val="12"/>
                <w:color w:val="auto"/>
              </w:rPr>
              <w:t>3,638</w:t>
            </w: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2.4%</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4520" w:type="dxa"/>
            <w:vAlign w:val="bottom"/>
          </w:tcPr>
          <w:p>
            <w:pPr>
              <w:ind w:left="260"/>
              <w:spacing w:after="0"/>
              <w:rPr>
                <w:sz w:val="20"/>
                <w:szCs w:val="20"/>
                <w:color w:val="auto"/>
              </w:rPr>
            </w:pPr>
            <w:r>
              <w:rPr>
                <w:rFonts w:ascii="Arial" w:cs="Arial" w:eastAsia="Arial" w:hAnsi="Arial"/>
                <w:sz w:val="12"/>
                <w:szCs w:val="12"/>
                <w:color w:val="auto"/>
              </w:rPr>
              <w:t>Table games win %</w:t>
            </w:r>
          </w:p>
        </w:tc>
        <w:tc>
          <w:tcPr>
            <w:tcW w:w="2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jc w:val="right"/>
              <w:ind w:right="82"/>
              <w:spacing w:after="0"/>
              <w:rPr>
                <w:sz w:val="20"/>
                <w:szCs w:val="20"/>
                <w:color w:val="auto"/>
              </w:rPr>
            </w:pPr>
            <w:r>
              <w:rPr>
                <w:rFonts w:ascii="Arial" w:cs="Arial" w:eastAsia="Arial" w:hAnsi="Arial"/>
                <w:sz w:val="12"/>
                <w:szCs w:val="12"/>
                <w:color w:val="auto"/>
              </w:rPr>
              <w:t>22.6%</w:t>
            </w:r>
          </w:p>
        </w:tc>
        <w:tc>
          <w:tcPr>
            <w:tcW w:w="480" w:type="dxa"/>
            <w:vAlign w:val="bottom"/>
          </w:tcPr>
          <w:p>
            <w:pPr>
              <w:spacing w:after="0"/>
              <w:rPr>
                <w:sz w:val="12"/>
                <w:szCs w:val="12"/>
                <w:color w:val="auto"/>
              </w:rPr>
            </w:pPr>
          </w:p>
        </w:tc>
        <w:tc>
          <w:tcPr>
            <w:tcW w:w="920" w:type="dxa"/>
            <w:vAlign w:val="bottom"/>
          </w:tcPr>
          <w:p>
            <w:pPr>
              <w:jc w:val="right"/>
              <w:ind w:right="202"/>
              <w:spacing w:after="0"/>
              <w:rPr>
                <w:sz w:val="20"/>
                <w:szCs w:val="20"/>
                <w:color w:val="auto"/>
              </w:rPr>
            </w:pPr>
            <w:r>
              <w:rPr>
                <w:rFonts w:ascii="Arial" w:cs="Arial" w:eastAsia="Arial" w:hAnsi="Arial"/>
                <w:sz w:val="12"/>
                <w:szCs w:val="12"/>
                <w:color w:val="auto"/>
              </w:rPr>
              <w:t>21.9%</w:t>
            </w:r>
          </w:p>
        </w:tc>
        <w:tc>
          <w:tcPr>
            <w:tcW w:w="340" w:type="dxa"/>
            <w:vAlign w:val="bottom"/>
          </w:tcPr>
          <w:p>
            <w:pPr>
              <w:spacing w:after="0"/>
              <w:rPr>
                <w:sz w:val="12"/>
                <w:szCs w:val="12"/>
                <w:color w:val="auto"/>
              </w:rPr>
            </w:pPr>
          </w:p>
        </w:tc>
        <w:tc>
          <w:tcPr>
            <w:tcW w:w="820" w:type="dxa"/>
            <w:vAlign w:val="bottom"/>
          </w:tcPr>
          <w:p>
            <w:pPr>
              <w:jc w:val="right"/>
              <w:ind w:right="243"/>
              <w:spacing w:after="0"/>
              <w:rPr>
                <w:sz w:val="20"/>
                <w:szCs w:val="20"/>
                <w:color w:val="auto"/>
              </w:rPr>
            </w:pPr>
            <w:r>
              <w:rPr>
                <w:rFonts w:ascii="Arial" w:cs="Arial" w:eastAsia="Arial" w:hAnsi="Arial"/>
                <w:sz w:val="12"/>
                <w:szCs w:val="12"/>
                <w:color w:val="auto"/>
              </w:rPr>
              <w:t>0.7pts</w:t>
            </w:r>
          </w:p>
        </w:tc>
        <w:tc>
          <w:tcPr>
            <w:tcW w:w="800" w:type="dxa"/>
            <w:vAlign w:val="bottom"/>
            <w:gridSpan w:val="2"/>
          </w:tcPr>
          <w:p>
            <w:pPr>
              <w:jc w:val="right"/>
              <w:ind w:right="26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4520" w:type="dxa"/>
            <w:vAlign w:val="bottom"/>
            <w:shd w:val="clear" w:color="auto" w:fill="CCEEFF"/>
          </w:tcPr>
          <w:p>
            <w:pPr>
              <w:ind w:left="260"/>
              <w:spacing w:after="0"/>
              <w:rPr>
                <w:sz w:val="20"/>
                <w:szCs w:val="20"/>
                <w:color w:val="auto"/>
              </w:rPr>
            </w:pPr>
            <w:r>
              <w:rPr>
                <w:rFonts w:ascii="Arial" w:cs="Arial" w:eastAsia="Arial" w:hAnsi="Arial"/>
                <w:sz w:val="12"/>
                <w:szCs w:val="12"/>
                <w:color w:val="auto"/>
              </w:rPr>
              <w:t>Table games win per unit per day</w:t>
            </w:r>
          </w:p>
        </w:tc>
        <w:tc>
          <w:tcPr>
            <w:tcW w:w="278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w:t>
            </w:r>
          </w:p>
        </w:tc>
        <w:tc>
          <w:tcPr>
            <w:tcW w:w="800" w:type="dxa"/>
            <w:vAlign w:val="bottom"/>
            <w:shd w:val="clear" w:color="auto" w:fill="CCEEFF"/>
          </w:tcPr>
          <w:p>
            <w:pPr>
              <w:jc w:val="right"/>
              <w:ind w:right="162"/>
              <w:spacing w:after="0"/>
              <w:rPr>
                <w:sz w:val="20"/>
                <w:szCs w:val="20"/>
                <w:color w:val="auto"/>
              </w:rPr>
            </w:pPr>
            <w:r>
              <w:rPr>
                <w:rFonts w:ascii="Arial" w:cs="Arial" w:eastAsia="Arial" w:hAnsi="Arial"/>
                <w:sz w:val="12"/>
                <w:szCs w:val="12"/>
                <w:color w:val="auto"/>
              </w:rPr>
              <w:t>7,031</w:t>
            </w:r>
          </w:p>
        </w:tc>
        <w:tc>
          <w:tcPr>
            <w:tcW w:w="4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920" w:type="dxa"/>
            <w:vAlign w:val="bottom"/>
            <w:shd w:val="clear" w:color="auto" w:fill="CCEEFF"/>
          </w:tcPr>
          <w:p>
            <w:pPr>
              <w:jc w:val="right"/>
              <w:ind w:right="282"/>
              <w:spacing w:after="0"/>
              <w:rPr>
                <w:sz w:val="20"/>
                <w:szCs w:val="20"/>
                <w:color w:val="auto"/>
              </w:rPr>
            </w:pPr>
            <w:r>
              <w:rPr>
                <w:rFonts w:ascii="Arial" w:cs="Arial" w:eastAsia="Arial" w:hAnsi="Arial"/>
                <w:sz w:val="12"/>
                <w:szCs w:val="12"/>
                <w:color w:val="auto"/>
              </w:rPr>
              <w:t>7,323</w:t>
            </w:r>
          </w:p>
        </w:tc>
        <w:tc>
          <w:tcPr>
            <w:tcW w:w="3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820" w:type="dxa"/>
            <w:vAlign w:val="bottom"/>
            <w:shd w:val="clear" w:color="auto" w:fill="CCEEFF"/>
          </w:tcPr>
          <w:p>
            <w:pPr>
              <w:jc w:val="right"/>
              <w:ind w:right="203"/>
              <w:spacing w:after="0"/>
              <w:rPr>
                <w:sz w:val="20"/>
                <w:szCs w:val="20"/>
                <w:color w:val="auto"/>
              </w:rPr>
            </w:pPr>
            <w:r>
              <w:rPr>
                <w:rFonts w:ascii="Arial" w:cs="Arial" w:eastAsia="Arial" w:hAnsi="Arial"/>
                <w:sz w:val="12"/>
                <w:szCs w:val="12"/>
                <w:color w:val="auto"/>
              </w:rPr>
              <w:t>(292)</w:t>
            </w: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(4.0)%</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520" w:type="dxa"/>
            <w:vAlign w:val="bottom"/>
          </w:tcPr>
          <w:p>
            <w:pPr>
              <w:ind w:left="260"/>
              <w:spacing w:after="0"/>
              <w:rPr>
                <w:sz w:val="20"/>
                <w:szCs w:val="20"/>
                <w:color w:val="auto"/>
              </w:rPr>
            </w:pPr>
            <w:r>
              <w:rPr>
                <w:rFonts w:ascii="Arial" w:cs="Arial" w:eastAsia="Arial" w:hAnsi="Arial"/>
                <w:sz w:val="12"/>
                <w:szCs w:val="12"/>
                <w:color w:val="auto"/>
              </w:rPr>
              <w:t>Slot machine handle</w:t>
            </w:r>
          </w:p>
        </w:tc>
        <w:tc>
          <w:tcPr>
            <w:tcW w:w="2780" w:type="dxa"/>
            <w:vAlign w:val="bottom"/>
            <w:gridSpan w:val="2"/>
          </w:tcPr>
          <w:p>
            <w:pPr>
              <w:jc w:val="right"/>
              <w:ind w:right="40"/>
              <w:spacing w:after="0"/>
              <w:rPr>
                <w:sz w:val="20"/>
                <w:szCs w:val="20"/>
                <w:color w:val="auto"/>
              </w:rPr>
            </w:pPr>
            <w:r>
              <w:rPr>
                <w:rFonts w:ascii="Arial" w:cs="Arial" w:eastAsia="Arial" w:hAnsi="Arial"/>
                <w:sz w:val="12"/>
                <w:szCs w:val="12"/>
                <w:color w:val="auto"/>
              </w:rPr>
              <w:t>$</w:t>
            </w:r>
          </w:p>
        </w:tc>
        <w:tc>
          <w:tcPr>
            <w:tcW w:w="800" w:type="dxa"/>
            <w:vAlign w:val="bottom"/>
          </w:tcPr>
          <w:p>
            <w:pPr>
              <w:jc w:val="right"/>
              <w:ind w:right="162"/>
              <w:spacing w:after="0"/>
              <w:rPr>
                <w:sz w:val="20"/>
                <w:szCs w:val="20"/>
                <w:color w:val="auto"/>
              </w:rPr>
            </w:pPr>
            <w:r>
              <w:rPr>
                <w:rFonts w:ascii="Arial" w:cs="Arial" w:eastAsia="Arial" w:hAnsi="Arial"/>
                <w:sz w:val="12"/>
                <w:szCs w:val="12"/>
                <w:color w:val="auto"/>
              </w:rPr>
              <w:t>733,540</w:t>
            </w:r>
          </w:p>
        </w:tc>
        <w:tc>
          <w:tcPr>
            <w:tcW w:w="480" w:type="dxa"/>
            <w:vAlign w:val="bottom"/>
          </w:tcPr>
          <w:p>
            <w:pPr>
              <w:jc w:val="right"/>
              <w:spacing w:after="0"/>
              <w:rPr>
                <w:sz w:val="20"/>
                <w:szCs w:val="20"/>
                <w:color w:val="auto"/>
              </w:rPr>
            </w:pPr>
            <w:r>
              <w:rPr>
                <w:rFonts w:ascii="Arial" w:cs="Arial" w:eastAsia="Arial" w:hAnsi="Arial"/>
                <w:sz w:val="12"/>
                <w:szCs w:val="12"/>
                <w:color w:val="auto"/>
              </w:rPr>
              <w:t>$</w:t>
            </w:r>
          </w:p>
        </w:tc>
        <w:tc>
          <w:tcPr>
            <w:tcW w:w="920" w:type="dxa"/>
            <w:vAlign w:val="bottom"/>
          </w:tcPr>
          <w:p>
            <w:pPr>
              <w:jc w:val="right"/>
              <w:ind w:right="282"/>
              <w:spacing w:after="0"/>
              <w:rPr>
                <w:sz w:val="20"/>
                <w:szCs w:val="20"/>
                <w:color w:val="auto"/>
              </w:rPr>
            </w:pPr>
            <w:r>
              <w:rPr>
                <w:rFonts w:ascii="Arial" w:cs="Arial" w:eastAsia="Arial" w:hAnsi="Arial"/>
                <w:sz w:val="12"/>
                <w:szCs w:val="12"/>
                <w:color w:val="auto"/>
              </w:rPr>
              <w:t>723,514</w:t>
            </w:r>
          </w:p>
        </w:tc>
        <w:tc>
          <w:tcPr>
            <w:tcW w:w="340" w:type="dxa"/>
            <w:vAlign w:val="bottom"/>
          </w:tcPr>
          <w:p>
            <w:pPr>
              <w:jc w:val="right"/>
              <w:spacing w:after="0"/>
              <w:rPr>
                <w:sz w:val="20"/>
                <w:szCs w:val="20"/>
                <w:color w:val="auto"/>
              </w:rPr>
            </w:pPr>
            <w:r>
              <w:rPr>
                <w:rFonts w:ascii="Arial" w:cs="Arial" w:eastAsia="Arial" w:hAnsi="Arial"/>
                <w:sz w:val="12"/>
                <w:szCs w:val="12"/>
                <w:color w:val="auto"/>
              </w:rPr>
              <w:t>$</w:t>
            </w:r>
          </w:p>
        </w:tc>
        <w:tc>
          <w:tcPr>
            <w:tcW w:w="820" w:type="dxa"/>
            <w:vAlign w:val="bottom"/>
          </w:tcPr>
          <w:p>
            <w:pPr>
              <w:jc w:val="right"/>
              <w:ind w:right="243"/>
              <w:spacing w:after="0"/>
              <w:rPr>
                <w:sz w:val="20"/>
                <w:szCs w:val="20"/>
                <w:color w:val="auto"/>
              </w:rPr>
            </w:pPr>
            <w:r>
              <w:rPr>
                <w:rFonts w:ascii="Arial" w:cs="Arial" w:eastAsia="Arial" w:hAnsi="Arial"/>
                <w:sz w:val="12"/>
                <w:szCs w:val="12"/>
                <w:color w:val="auto"/>
              </w:rPr>
              <w:t>10,026</w:t>
            </w:r>
          </w:p>
        </w:tc>
        <w:tc>
          <w:tcPr>
            <w:tcW w:w="800" w:type="dxa"/>
            <w:vAlign w:val="bottom"/>
            <w:gridSpan w:val="2"/>
          </w:tcPr>
          <w:p>
            <w:pPr>
              <w:jc w:val="right"/>
              <w:ind w:right="120"/>
              <w:spacing w:after="0"/>
              <w:rPr>
                <w:sz w:val="20"/>
                <w:szCs w:val="20"/>
                <w:color w:val="auto"/>
              </w:rPr>
            </w:pPr>
            <w:r>
              <w:rPr>
                <w:rFonts w:ascii="Arial" w:cs="Arial" w:eastAsia="Arial" w:hAnsi="Arial"/>
                <w:sz w:val="12"/>
                <w:szCs w:val="12"/>
                <w:color w:val="auto"/>
              </w:rPr>
              <w:t>1.4%</w:t>
            </w: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4520" w:type="dxa"/>
            <w:vAlign w:val="bottom"/>
            <w:shd w:val="clear" w:color="auto" w:fill="CCEEFF"/>
          </w:tcPr>
          <w:p>
            <w:pPr>
              <w:ind w:left="260"/>
              <w:spacing w:after="0"/>
              <w:rPr>
                <w:sz w:val="20"/>
                <w:szCs w:val="20"/>
                <w:color w:val="auto"/>
              </w:rPr>
            </w:pPr>
            <w:r>
              <w:rPr>
                <w:rFonts w:ascii="Arial" w:cs="Arial" w:eastAsia="Arial" w:hAnsi="Arial"/>
                <w:sz w:val="12"/>
                <w:szCs w:val="12"/>
                <w:color w:val="auto"/>
              </w:rPr>
              <w:t>Slot machine win</w:t>
            </w:r>
          </w:p>
        </w:tc>
        <w:tc>
          <w:tcPr>
            <w:tcW w:w="278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w:t>
            </w:r>
          </w:p>
        </w:tc>
        <w:tc>
          <w:tcPr>
            <w:tcW w:w="800" w:type="dxa"/>
            <w:vAlign w:val="bottom"/>
            <w:shd w:val="clear" w:color="auto" w:fill="CCEEFF"/>
          </w:tcPr>
          <w:p>
            <w:pPr>
              <w:jc w:val="right"/>
              <w:ind w:right="162"/>
              <w:spacing w:after="0"/>
              <w:rPr>
                <w:sz w:val="20"/>
                <w:szCs w:val="20"/>
                <w:color w:val="auto"/>
              </w:rPr>
            </w:pPr>
            <w:r>
              <w:rPr>
                <w:rFonts w:ascii="Arial" w:cs="Arial" w:eastAsia="Arial" w:hAnsi="Arial"/>
                <w:sz w:val="12"/>
                <w:szCs w:val="12"/>
                <w:color w:val="auto"/>
              </w:rPr>
              <w:t>45,848</w:t>
            </w:r>
          </w:p>
        </w:tc>
        <w:tc>
          <w:tcPr>
            <w:tcW w:w="4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920" w:type="dxa"/>
            <w:vAlign w:val="bottom"/>
            <w:shd w:val="clear" w:color="auto" w:fill="CCEEFF"/>
          </w:tcPr>
          <w:p>
            <w:pPr>
              <w:jc w:val="right"/>
              <w:ind w:right="282"/>
              <w:spacing w:after="0"/>
              <w:rPr>
                <w:sz w:val="20"/>
                <w:szCs w:val="20"/>
                <w:color w:val="auto"/>
              </w:rPr>
            </w:pPr>
            <w:r>
              <w:rPr>
                <w:rFonts w:ascii="Arial" w:cs="Arial" w:eastAsia="Arial" w:hAnsi="Arial"/>
                <w:sz w:val="12"/>
                <w:szCs w:val="12"/>
                <w:color w:val="auto"/>
              </w:rPr>
              <w:t>46,326</w:t>
            </w:r>
          </w:p>
        </w:tc>
        <w:tc>
          <w:tcPr>
            <w:tcW w:w="3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820" w:type="dxa"/>
            <w:vAlign w:val="bottom"/>
            <w:shd w:val="clear" w:color="auto" w:fill="CCEEFF"/>
          </w:tcPr>
          <w:p>
            <w:pPr>
              <w:jc w:val="right"/>
              <w:ind w:right="203"/>
              <w:spacing w:after="0"/>
              <w:rPr>
                <w:sz w:val="20"/>
                <w:szCs w:val="20"/>
                <w:color w:val="auto"/>
              </w:rPr>
            </w:pPr>
            <w:r>
              <w:rPr>
                <w:rFonts w:ascii="Arial" w:cs="Arial" w:eastAsia="Arial" w:hAnsi="Arial"/>
                <w:sz w:val="12"/>
                <w:szCs w:val="12"/>
                <w:color w:val="auto"/>
              </w:rPr>
              <w:t>(478)</w:t>
            </w: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(1.0)%</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520" w:type="dxa"/>
            <w:vAlign w:val="bottom"/>
          </w:tcPr>
          <w:p>
            <w:pPr>
              <w:ind w:left="260"/>
              <w:spacing w:after="0"/>
              <w:rPr>
                <w:sz w:val="20"/>
                <w:szCs w:val="20"/>
                <w:color w:val="auto"/>
              </w:rPr>
            </w:pPr>
            <w:r>
              <w:rPr>
                <w:rFonts w:ascii="Arial" w:cs="Arial" w:eastAsia="Arial" w:hAnsi="Arial"/>
                <w:sz w:val="12"/>
                <w:szCs w:val="12"/>
                <w:color w:val="auto"/>
              </w:rPr>
              <w:t>Slot machine win per unit per day</w:t>
            </w:r>
          </w:p>
        </w:tc>
        <w:tc>
          <w:tcPr>
            <w:tcW w:w="2780" w:type="dxa"/>
            <w:vAlign w:val="bottom"/>
            <w:gridSpan w:val="2"/>
          </w:tcPr>
          <w:p>
            <w:pPr>
              <w:jc w:val="right"/>
              <w:ind w:right="40"/>
              <w:spacing w:after="0"/>
              <w:rPr>
                <w:sz w:val="20"/>
                <w:szCs w:val="20"/>
                <w:color w:val="auto"/>
              </w:rPr>
            </w:pPr>
            <w:r>
              <w:rPr>
                <w:rFonts w:ascii="Arial" w:cs="Arial" w:eastAsia="Arial" w:hAnsi="Arial"/>
                <w:sz w:val="12"/>
                <w:szCs w:val="12"/>
                <w:color w:val="auto"/>
              </w:rPr>
              <w:t>$</w:t>
            </w:r>
          </w:p>
        </w:tc>
        <w:tc>
          <w:tcPr>
            <w:tcW w:w="800" w:type="dxa"/>
            <w:vAlign w:val="bottom"/>
          </w:tcPr>
          <w:p>
            <w:pPr>
              <w:jc w:val="right"/>
              <w:ind w:right="162"/>
              <w:spacing w:after="0"/>
              <w:rPr>
                <w:sz w:val="20"/>
                <w:szCs w:val="20"/>
                <w:color w:val="auto"/>
              </w:rPr>
            </w:pPr>
            <w:r>
              <w:rPr>
                <w:rFonts w:ascii="Arial" w:cs="Arial" w:eastAsia="Arial" w:hAnsi="Arial"/>
                <w:sz w:val="12"/>
                <w:szCs w:val="12"/>
                <w:color w:val="auto"/>
              </w:rPr>
              <w:t>258</w:t>
            </w:r>
          </w:p>
        </w:tc>
        <w:tc>
          <w:tcPr>
            <w:tcW w:w="480" w:type="dxa"/>
            <w:vAlign w:val="bottom"/>
          </w:tcPr>
          <w:p>
            <w:pPr>
              <w:jc w:val="right"/>
              <w:spacing w:after="0"/>
              <w:rPr>
                <w:sz w:val="20"/>
                <w:szCs w:val="20"/>
                <w:color w:val="auto"/>
              </w:rPr>
            </w:pPr>
            <w:r>
              <w:rPr>
                <w:rFonts w:ascii="Arial" w:cs="Arial" w:eastAsia="Arial" w:hAnsi="Arial"/>
                <w:sz w:val="12"/>
                <w:szCs w:val="12"/>
                <w:color w:val="auto"/>
              </w:rPr>
              <w:t>$</w:t>
            </w:r>
          </w:p>
        </w:tc>
        <w:tc>
          <w:tcPr>
            <w:tcW w:w="920" w:type="dxa"/>
            <w:vAlign w:val="bottom"/>
          </w:tcPr>
          <w:p>
            <w:pPr>
              <w:jc w:val="right"/>
              <w:ind w:right="282"/>
              <w:spacing w:after="0"/>
              <w:rPr>
                <w:sz w:val="20"/>
                <w:szCs w:val="20"/>
                <w:color w:val="auto"/>
              </w:rPr>
            </w:pPr>
            <w:r>
              <w:rPr>
                <w:rFonts w:ascii="Arial" w:cs="Arial" w:eastAsia="Arial" w:hAnsi="Arial"/>
                <w:sz w:val="12"/>
                <w:szCs w:val="12"/>
                <w:color w:val="auto"/>
              </w:rPr>
              <w:t>215</w:t>
            </w:r>
          </w:p>
        </w:tc>
        <w:tc>
          <w:tcPr>
            <w:tcW w:w="340" w:type="dxa"/>
            <w:vAlign w:val="bottom"/>
          </w:tcPr>
          <w:p>
            <w:pPr>
              <w:jc w:val="right"/>
              <w:spacing w:after="0"/>
              <w:rPr>
                <w:sz w:val="20"/>
                <w:szCs w:val="20"/>
                <w:color w:val="auto"/>
              </w:rPr>
            </w:pPr>
            <w:r>
              <w:rPr>
                <w:rFonts w:ascii="Arial" w:cs="Arial" w:eastAsia="Arial" w:hAnsi="Arial"/>
                <w:sz w:val="12"/>
                <w:szCs w:val="12"/>
                <w:color w:val="auto"/>
              </w:rPr>
              <w:t>$</w:t>
            </w:r>
          </w:p>
        </w:tc>
        <w:tc>
          <w:tcPr>
            <w:tcW w:w="820" w:type="dxa"/>
            <w:vAlign w:val="bottom"/>
          </w:tcPr>
          <w:p>
            <w:pPr>
              <w:jc w:val="right"/>
              <w:ind w:right="243"/>
              <w:spacing w:after="0"/>
              <w:rPr>
                <w:sz w:val="20"/>
                <w:szCs w:val="20"/>
                <w:color w:val="auto"/>
              </w:rPr>
            </w:pPr>
            <w:r>
              <w:rPr>
                <w:rFonts w:ascii="Arial" w:cs="Arial" w:eastAsia="Arial" w:hAnsi="Arial"/>
                <w:sz w:val="12"/>
                <w:szCs w:val="12"/>
                <w:color w:val="auto"/>
              </w:rPr>
              <w:t>43</w:t>
            </w:r>
          </w:p>
        </w:tc>
        <w:tc>
          <w:tcPr>
            <w:tcW w:w="800" w:type="dxa"/>
            <w:vAlign w:val="bottom"/>
            <w:gridSpan w:val="2"/>
          </w:tcPr>
          <w:p>
            <w:pPr>
              <w:jc w:val="right"/>
              <w:ind w:right="120"/>
              <w:spacing w:after="0"/>
              <w:rPr>
                <w:sz w:val="20"/>
                <w:szCs w:val="20"/>
                <w:color w:val="auto"/>
              </w:rPr>
            </w:pPr>
            <w:r>
              <w:rPr>
                <w:rFonts w:ascii="Arial" w:cs="Arial" w:eastAsia="Arial" w:hAnsi="Arial"/>
                <w:sz w:val="12"/>
                <w:szCs w:val="12"/>
                <w:color w:val="auto"/>
              </w:rPr>
              <w:t>20.0%</w:t>
            </w:r>
          </w:p>
        </w:tc>
        <w:tc>
          <w:tcPr>
            <w:tcW w:w="0" w:type="dxa"/>
            <w:vAlign w:val="bottom"/>
          </w:tcPr>
          <w:p>
            <w:pPr>
              <w:spacing w:after="0"/>
              <w:rPr>
                <w:sz w:val="1"/>
                <w:szCs w:val="1"/>
                <w:color w:val="auto"/>
              </w:rPr>
            </w:pPr>
          </w:p>
        </w:tc>
      </w:tr>
    </w:tbl>
    <w:p>
      <w:pPr>
        <w:spacing w:after="0" w:line="125" w:lineRule="exact"/>
        <w:rPr>
          <w:sz w:val="20"/>
          <w:szCs w:val="20"/>
          <w:color w:val="auto"/>
        </w:rPr>
      </w:pPr>
    </w:p>
    <w:p>
      <w:pPr>
        <w:ind w:left="468" w:right="60" w:hanging="468"/>
        <w:spacing w:after="0" w:line="268" w:lineRule="auto"/>
        <w:tabs>
          <w:tab w:leader="none" w:pos="468" w:val="left"/>
        </w:tabs>
        <w:numPr>
          <w:ilvl w:val="0"/>
          <w:numId w:val="20"/>
        </w:numPr>
        <w:rPr>
          <w:rFonts w:ascii="Arial" w:cs="Arial" w:eastAsia="Arial" w:hAnsi="Arial"/>
          <w:sz w:val="12"/>
          <w:szCs w:val="12"/>
          <w:color w:val="auto"/>
        </w:rPr>
      </w:pPr>
      <w:r>
        <w:rPr>
          <w:rFonts w:ascii="Arial" w:cs="Arial" w:eastAsia="Arial" w:hAnsi="Arial"/>
          <w:sz w:val="12"/>
          <w:szCs w:val="12"/>
          <w:color w:val="auto"/>
        </w:rPr>
        <w:t>Customers purchase general casino gaming chips at either the gaming tables or the casino cage. Chips purchased at the casino cage are excluded from table games drop and will increase the expected win percentage. With the increased purchases at the casino cage in our Macau general casino, we believe the relevant indicator of volumes in the general casino should be table games win.</w:t>
      </w:r>
    </w:p>
    <w:p>
      <w:pPr>
        <w:spacing w:after="0" w:line="88" w:lineRule="exact"/>
        <w:rPr>
          <w:sz w:val="20"/>
          <w:szCs w:val="20"/>
          <w:color w:val="auto"/>
        </w:rPr>
      </w:pPr>
    </w:p>
    <w:p>
      <w:pPr>
        <w:ind w:left="8" w:right="80" w:firstLine="459"/>
        <w:spacing w:after="0" w:line="255" w:lineRule="auto"/>
        <w:rPr>
          <w:sz w:val="20"/>
          <w:szCs w:val="20"/>
          <w:color w:val="auto"/>
        </w:rPr>
      </w:pPr>
      <w:r>
        <w:rPr>
          <w:rFonts w:ascii="Arial" w:cs="Arial" w:eastAsia="Arial" w:hAnsi="Arial"/>
          <w:sz w:val="12"/>
          <w:szCs w:val="12"/>
          <w:color w:val="auto"/>
        </w:rPr>
        <w:t>For the three months ended September 30, 2013, room revenues were $123.1 million, an increase of $3.5 million (2.9%) compared to prior year quarter room revenue of $119.6 million. Room revenue at our Macau Operations decreased $1.2 million (4.2%) to $27.4 million compared to the prior year quarter room revenue of $28.6 million. During the second quarter of 2013, we began a renovation of the approximately 600 guestrooms in the original Wynn Macau tower, contributing to an approximate 7% reduction in the number of available room-nights for the third quarter of 2013 compared to the third quarter of 2012. We expect to complete the guestroom renovation by the end of 2013. Room revenue at our Las Vegas Operations increased approximately $4.7 million (5.1%) to $95.7 million compared to the prior year quarter room revenue of $91 million. In Las Vegas, during the three months ended September 30, 2013, we experienced an increase in room rates and occupancy rate.</w:t>
      </w:r>
    </w:p>
    <w:p>
      <w:pPr>
        <w:spacing w:after="0" w:line="87" w:lineRule="exact"/>
        <w:rPr>
          <w:sz w:val="20"/>
          <w:szCs w:val="20"/>
          <w:color w:val="auto"/>
        </w:rPr>
      </w:pPr>
    </w:p>
    <w:p>
      <w:pPr>
        <w:jc w:val="center"/>
        <w:ind w:right="-7"/>
        <w:spacing w:after="0"/>
        <w:rPr>
          <w:sz w:val="20"/>
          <w:szCs w:val="20"/>
          <w:color w:val="auto"/>
        </w:rPr>
      </w:pPr>
      <w:r>
        <w:rPr>
          <w:rFonts w:ascii="Arial" w:cs="Arial" w:eastAsia="Arial" w:hAnsi="Arial"/>
          <w:sz w:val="12"/>
          <w:szCs w:val="12"/>
          <w:color w:val="auto"/>
        </w:rPr>
        <w:t>38</w:t>
      </w:r>
    </w:p>
    <w:p>
      <w:pPr>
        <w:sectPr>
          <w:pgSz w:w="11900" w:h="16838" w:orient="portrait"/>
          <w:cols w:equalWidth="0" w:num="1">
            <w:col w:w="11488"/>
          </w:cols>
          <w:pgMar w:left="212" w:top="354" w:right="199" w:bottom="1440" w:gutter="0" w:footer="0" w:header="0"/>
        </w:sectPr>
      </w:pPr>
    </w:p>
    <w:bookmarkStart w:id="38" w:name="page39"/>
    <w:bookmarkEnd w:id="38"/>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121920</wp:posOffset>
            </wp:positionH>
            <wp:positionV relativeFrom="page">
              <wp:posOffset>88900</wp:posOffset>
            </wp:positionV>
            <wp:extent cx="7329170" cy="298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329170" cy="29845"/>
                    </a:xfrm>
                    <a:prstGeom prst="rect">
                      <a:avLst/>
                    </a:prstGeom>
                    <a:noFill/>
                  </pic:spPr>
                </pic:pic>
              </a:graphicData>
            </a:graphic>
          </wp:anchor>
        </w:drawing>
      </w:r>
      <w:hyperlink w:anchor="page2">
        <w:r>
          <w:rPr>
            <w:rFonts w:ascii="Arial" w:cs="Arial" w:eastAsia="Arial" w:hAnsi="Arial"/>
            <w:sz w:val="12"/>
            <w:szCs w:val="12"/>
            <w:b w:val="1"/>
            <w:bCs w:val="1"/>
            <w:u w:val="single" w:color="auto"/>
            <w:color w:val="0000EE"/>
          </w:rPr>
          <w:t>Table of Contents</w:t>
        </w:r>
      </w:hyperlink>
    </w:p>
    <w:p>
      <w:pPr>
        <w:spacing w:after="0" w:line="209" w:lineRule="exact"/>
        <w:rPr>
          <w:sz w:val="20"/>
          <w:szCs w:val="20"/>
          <w:color w:val="auto"/>
        </w:rPr>
      </w:pPr>
    </w:p>
    <w:p>
      <w:pPr>
        <w:ind w:left="460"/>
        <w:spacing w:after="0"/>
        <w:rPr>
          <w:sz w:val="20"/>
          <w:szCs w:val="20"/>
          <w:color w:val="auto"/>
        </w:rPr>
      </w:pPr>
      <w:r>
        <w:rPr>
          <w:rFonts w:ascii="Arial" w:cs="Arial" w:eastAsia="Arial" w:hAnsi="Arial"/>
          <w:sz w:val="12"/>
          <w:szCs w:val="12"/>
          <w:color w:val="auto"/>
        </w:rPr>
        <w:t>The table below sets forth key operating measures related to room revenue.</w:t>
      </w:r>
    </w:p>
    <w:p>
      <w:pPr>
        <w:spacing w:after="0" w:line="134" w:lineRule="exact"/>
        <w:rPr>
          <w:sz w:val="20"/>
          <w:szCs w:val="20"/>
          <w:color w:val="auto"/>
        </w:rPr>
      </w:pPr>
    </w:p>
    <w:tbl>
      <w:tblPr>
        <w:tblLayout w:type="fixed"/>
        <w:tblInd w:w="1380" w:type="dxa"/>
        <w:tblCellMar>
          <w:top w:w="0" w:type="dxa"/>
          <w:left w:w="0" w:type="dxa"/>
          <w:bottom w:w="0" w:type="dxa"/>
          <w:right w:w="0" w:type="dxa"/>
        </w:tblCellMar>
      </w:tblPr>
      <w:tr>
        <w:trPr>
          <w:trHeight w:val="103"/>
        </w:trPr>
        <w:tc>
          <w:tcPr>
            <w:tcW w:w="4120" w:type="dxa"/>
            <w:vAlign w:val="bottom"/>
          </w:tcPr>
          <w:p>
            <w:pPr>
              <w:spacing w:after="0"/>
              <w:rPr>
                <w:sz w:val="8"/>
                <w:szCs w:val="8"/>
                <w:color w:val="auto"/>
              </w:rPr>
            </w:pPr>
          </w:p>
        </w:tc>
        <w:tc>
          <w:tcPr>
            <w:tcW w:w="2800" w:type="dxa"/>
            <w:vAlign w:val="bottom"/>
          </w:tcPr>
          <w:p>
            <w:pPr>
              <w:spacing w:after="0"/>
              <w:rPr>
                <w:sz w:val="8"/>
                <w:szCs w:val="8"/>
                <w:color w:val="auto"/>
              </w:rPr>
            </w:pPr>
          </w:p>
        </w:tc>
        <w:tc>
          <w:tcPr>
            <w:tcW w:w="80" w:type="dxa"/>
            <w:vAlign w:val="bottom"/>
          </w:tcPr>
          <w:p>
            <w:pPr>
              <w:spacing w:after="0"/>
              <w:rPr>
                <w:sz w:val="8"/>
                <w:szCs w:val="8"/>
                <w:color w:val="auto"/>
              </w:rPr>
            </w:pPr>
          </w:p>
        </w:tc>
        <w:tc>
          <w:tcPr>
            <w:tcW w:w="280" w:type="dxa"/>
            <w:vAlign w:val="bottom"/>
          </w:tcPr>
          <w:p>
            <w:pPr>
              <w:spacing w:after="0"/>
              <w:rPr>
                <w:sz w:val="8"/>
                <w:szCs w:val="8"/>
                <w:color w:val="auto"/>
              </w:rPr>
            </w:pPr>
          </w:p>
        </w:tc>
        <w:tc>
          <w:tcPr>
            <w:tcW w:w="920" w:type="dxa"/>
            <w:vAlign w:val="bottom"/>
          </w:tcPr>
          <w:p>
            <w:pPr>
              <w:jc w:val="right"/>
              <w:spacing w:after="0"/>
              <w:rPr>
                <w:sz w:val="20"/>
                <w:szCs w:val="20"/>
                <w:color w:val="auto"/>
              </w:rPr>
            </w:pPr>
            <w:r>
              <w:rPr>
                <w:rFonts w:ascii="Arial" w:cs="Arial" w:eastAsia="Arial" w:hAnsi="Arial"/>
                <w:sz w:val="9"/>
                <w:szCs w:val="9"/>
                <w:b w:val="1"/>
                <w:bCs w:val="1"/>
                <w:color w:val="auto"/>
                <w:w w:val="98"/>
              </w:rPr>
              <w:t>Three Months Ended</w:t>
            </w: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80" w:type="dxa"/>
            <w:vAlign w:val="bottom"/>
          </w:tcPr>
          <w:p>
            <w:pPr>
              <w:spacing w:after="0"/>
              <w:rPr>
                <w:sz w:val="8"/>
                <w:szCs w:val="8"/>
                <w:color w:val="auto"/>
              </w:rPr>
            </w:pPr>
          </w:p>
        </w:tc>
        <w:tc>
          <w:tcPr>
            <w:tcW w:w="140" w:type="dxa"/>
            <w:vAlign w:val="bottom"/>
          </w:tcPr>
          <w:p>
            <w:pPr>
              <w:spacing w:after="0"/>
              <w:rPr>
                <w:sz w:val="8"/>
                <w:szCs w:val="8"/>
                <w:color w:val="auto"/>
              </w:rPr>
            </w:pPr>
          </w:p>
        </w:tc>
      </w:tr>
      <w:tr>
        <w:trPr>
          <w:trHeight w:val="108"/>
        </w:trPr>
        <w:tc>
          <w:tcPr>
            <w:tcW w:w="4120" w:type="dxa"/>
            <w:vAlign w:val="bottom"/>
          </w:tcPr>
          <w:p>
            <w:pPr>
              <w:spacing w:after="0"/>
              <w:rPr>
                <w:sz w:val="9"/>
                <w:szCs w:val="9"/>
                <w:color w:val="auto"/>
              </w:rPr>
            </w:pPr>
          </w:p>
        </w:tc>
        <w:tc>
          <w:tcPr>
            <w:tcW w:w="280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280" w:type="dxa"/>
            <w:vAlign w:val="bottom"/>
            <w:tcBorders>
              <w:bottom w:val="single" w:sz="8" w:color="auto"/>
            </w:tcBorders>
          </w:tcPr>
          <w:p>
            <w:pPr>
              <w:spacing w:after="0"/>
              <w:rPr>
                <w:sz w:val="9"/>
                <w:szCs w:val="9"/>
                <w:color w:val="auto"/>
              </w:rPr>
            </w:pPr>
          </w:p>
        </w:tc>
        <w:tc>
          <w:tcPr>
            <w:tcW w:w="920" w:type="dxa"/>
            <w:vAlign w:val="bottom"/>
            <w:tcBorders>
              <w:bottom w:val="single" w:sz="8" w:color="auto"/>
            </w:tcBorders>
          </w:tcPr>
          <w:p>
            <w:pPr>
              <w:jc w:val="right"/>
              <w:ind w:right="135"/>
              <w:spacing w:after="0"/>
              <w:rPr>
                <w:sz w:val="20"/>
                <w:szCs w:val="20"/>
                <w:color w:val="auto"/>
              </w:rPr>
            </w:pPr>
            <w:r>
              <w:rPr>
                <w:rFonts w:ascii="Arial" w:cs="Arial" w:eastAsia="Arial" w:hAnsi="Arial"/>
                <w:sz w:val="9"/>
                <w:szCs w:val="9"/>
                <w:b w:val="1"/>
                <w:bCs w:val="1"/>
                <w:color w:val="auto"/>
              </w:rPr>
              <w:t>September 30,</w:t>
            </w:r>
          </w:p>
        </w:tc>
        <w:tc>
          <w:tcPr>
            <w:tcW w:w="2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280" w:type="dxa"/>
            <w:vAlign w:val="bottom"/>
            <w:tcBorders>
              <w:bottom w:val="single" w:sz="8" w:color="auto"/>
            </w:tcBorders>
          </w:tcPr>
          <w:p>
            <w:pPr>
              <w:spacing w:after="0"/>
              <w:rPr>
                <w:sz w:val="9"/>
                <w:szCs w:val="9"/>
                <w:color w:val="auto"/>
              </w:rPr>
            </w:pPr>
          </w:p>
        </w:tc>
        <w:tc>
          <w:tcPr>
            <w:tcW w:w="140" w:type="dxa"/>
            <w:vAlign w:val="bottom"/>
          </w:tcPr>
          <w:p>
            <w:pPr>
              <w:spacing w:after="0"/>
              <w:rPr>
                <w:sz w:val="9"/>
                <w:szCs w:val="9"/>
                <w:color w:val="auto"/>
              </w:rPr>
            </w:pPr>
          </w:p>
        </w:tc>
      </w:tr>
      <w:tr>
        <w:trPr>
          <w:trHeight w:val="88"/>
        </w:trPr>
        <w:tc>
          <w:tcPr>
            <w:tcW w:w="4120" w:type="dxa"/>
            <w:vAlign w:val="bottom"/>
            <w:tcBorders>
              <w:bottom w:val="single" w:sz="8" w:color="CCEEFF"/>
            </w:tcBorders>
          </w:tcPr>
          <w:p>
            <w:pPr>
              <w:spacing w:after="0"/>
              <w:rPr>
                <w:sz w:val="7"/>
                <w:szCs w:val="7"/>
                <w:color w:val="auto"/>
              </w:rPr>
            </w:pPr>
          </w:p>
        </w:tc>
        <w:tc>
          <w:tcPr>
            <w:tcW w:w="2800" w:type="dxa"/>
            <w:vAlign w:val="bottom"/>
            <w:tcBorders>
              <w:bottom w:val="single" w:sz="8" w:color="CCEEFF"/>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280" w:type="dxa"/>
            <w:vAlign w:val="bottom"/>
            <w:tcBorders>
              <w:bottom w:val="single" w:sz="8" w:color="auto"/>
            </w:tcBorders>
          </w:tcPr>
          <w:p>
            <w:pPr>
              <w:jc w:val="right"/>
              <w:ind w:right="23"/>
              <w:spacing w:after="0" w:line="88" w:lineRule="exact"/>
              <w:rPr>
                <w:sz w:val="20"/>
                <w:szCs w:val="20"/>
                <w:color w:val="auto"/>
              </w:rPr>
            </w:pPr>
            <w:r>
              <w:rPr>
                <w:rFonts w:ascii="Arial" w:cs="Arial" w:eastAsia="Arial" w:hAnsi="Arial"/>
                <w:sz w:val="9"/>
                <w:szCs w:val="9"/>
                <w:b w:val="1"/>
                <w:bCs w:val="1"/>
                <w:color w:val="auto"/>
                <w:w w:val="89"/>
              </w:rPr>
              <w:t>2013</w:t>
            </w:r>
          </w:p>
        </w:tc>
        <w:tc>
          <w:tcPr>
            <w:tcW w:w="920" w:type="dxa"/>
            <w:vAlign w:val="bottom"/>
            <w:tcBorders>
              <w:bottom w:val="single" w:sz="8" w:color="CCEEFF"/>
            </w:tcBorders>
          </w:tcPr>
          <w:p>
            <w:pPr>
              <w:spacing w:after="0"/>
              <w:rPr>
                <w:sz w:val="7"/>
                <w:szCs w:val="7"/>
                <w:color w:val="auto"/>
              </w:rPr>
            </w:pPr>
          </w:p>
        </w:tc>
        <w:tc>
          <w:tcPr>
            <w:tcW w:w="20" w:type="dxa"/>
            <w:vAlign w:val="bottom"/>
            <w:tcBorders>
              <w:bottom w:val="single" w:sz="8" w:color="CCEEFF"/>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280" w:type="dxa"/>
            <w:vAlign w:val="bottom"/>
            <w:tcBorders>
              <w:bottom w:val="single" w:sz="8" w:color="auto"/>
            </w:tcBorders>
          </w:tcPr>
          <w:p>
            <w:pPr>
              <w:jc w:val="right"/>
              <w:ind w:right="23"/>
              <w:spacing w:after="0" w:line="88" w:lineRule="exact"/>
              <w:rPr>
                <w:sz w:val="20"/>
                <w:szCs w:val="20"/>
                <w:color w:val="auto"/>
              </w:rPr>
            </w:pPr>
            <w:r>
              <w:rPr>
                <w:rFonts w:ascii="Arial" w:cs="Arial" w:eastAsia="Arial" w:hAnsi="Arial"/>
                <w:sz w:val="9"/>
                <w:szCs w:val="9"/>
                <w:b w:val="1"/>
                <w:bCs w:val="1"/>
                <w:color w:val="auto"/>
                <w:w w:val="89"/>
              </w:rPr>
              <w:t>2012</w:t>
            </w:r>
          </w:p>
        </w:tc>
        <w:tc>
          <w:tcPr>
            <w:tcW w:w="140" w:type="dxa"/>
            <w:vAlign w:val="bottom"/>
            <w:tcBorders>
              <w:bottom w:val="single" w:sz="8" w:color="CCEEFF"/>
            </w:tcBorders>
          </w:tcPr>
          <w:p>
            <w:pPr>
              <w:spacing w:after="0"/>
              <w:rPr>
                <w:sz w:val="7"/>
                <w:szCs w:val="7"/>
                <w:color w:val="auto"/>
              </w:rPr>
            </w:pPr>
          </w:p>
        </w:tc>
      </w:tr>
      <w:tr>
        <w:trPr>
          <w:trHeight w:val="124"/>
        </w:trPr>
        <w:tc>
          <w:tcPr>
            <w:tcW w:w="4120" w:type="dxa"/>
            <w:vAlign w:val="bottom"/>
            <w:shd w:val="clear" w:color="auto" w:fill="CCEEFF"/>
          </w:tcPr>
          <w:p>
            <w:pPr>
              <w:spacing w:after="0" w:line="124" w:lineRule="exact"/>
              <w:rPr>
                <w:sz w:val="20"/>
                <w:szCs w:val="20"/>
                <w:color w:val="auto"/>
              </w:rPr>
            </w:pPr>
            <w:r>
              <w:rPr>
                <w:rFonts w:ascii="Arial" w:cs="Arial" w:eastAsia="Arial" w:hAnsi="Arial"/>
                <w:sz w:val="12"/>
                <w:szCs w:val="12"/>
                <w:b w:val="1"/>
                <w:bCs w:val="1"/>
                <w:color w:val="auto"/>
              </w:rPr>
              <w:t>Average Daily Rate</w:t>
            </w:r>
          </w:p>
        </w:tc>
        <w:tc>
          <w:tcPr>
            <w:tcW w:w="28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92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r>
      <w:tr>
        <w:trPr>
          <w:trHeight w:val="144"/>
        </w:trPr>
        <w:tc>
          <w:tcPr>
            <w:tcW w:w="4120" w:type="dxa"/>
            <w:vAlign w:val="bottom"/>
          </w:tcPr>
          <w:p>
            <w:pPr>
              <w:ind w:left="280"/>
              <w:spacing w:after="0"/>
              <w:rPr>
                <w:sz w:val="20"/>
                <w:szCs w:val="20"/>
                <w:color w:val="auto"/>
              </w:rPr>
            </w:pPr>
            <w:r>
              <w:rPr>
                <w:rFonts w:ascii="Arial" w:cs="Arial" w:eastAsia="Arial" w:hAnsi="Arial"/>
                <w:sz w:val="12"/>
                <w:szCs w:val="12"/>
                <w:color w:val="auto"/>
              </w:rPr>
              <w:t>Macau Operations</w:t>
            </w:r>
          </w:p>
        </w:tc>
        <w:tc>
          <w:tcPr>
            <w:tcW w:w="2880" w:type="dxa"/>
            <w:vAlign w:val="bottom"/>
            <w:gridSpan w:val="2"/>
          </w:tcPr>
          <w:p>
            <w:pPr>
              <w:jc w:val="right"/>
              <w:ind w:right="20"/>
              <w:spacing w:after="0"/>
              <w:rPr>
                <w:sz w:val="20"/>
                <w:szCs w:val="20"/>
                <w:color w:val="auto"/>
              </w:rPr>
            </w:pPr>
            <w:r>
              <w:rPr>
                <w:rFonts w:ascii="Arial" w:cs="Arial" w:eastAsia="Arial" w:hAnsi="Arial"/>
                <w:sz w:val="12"/>
                <w:szCs w:val="12"/>
                <w:color w:val="auto"/>
              </w:rPr>
              <w:t>$</w:t>
            </w:r>
          </w:p>
        </w:tc>
        <w:tc>
          <w:tcPr>
            <w:tcW w:w="1200" w:type="dxa"/>
            <w:vAlign w:val="bottom"/>
            <w:gridSpan w:val="2"/>
          </w:tcPr>
          <w:p>
            <w:pPr>
              <w:jc w:val="right"/>
              <w:ind w:right="875"/>
              <w:spacing w:after="0"/>
              <w:rPr>
                <w:sz w:val="20"/>
                <w:szCs w:val="20"/>
                <w:color w:val="auto"/>
              </w:rPr>
            </w:pPr>
            <w:r>
              <w:rPr>
                <w:rFonts w:ascii="Arial" w:cs="Arial" w:eastAsia="Arial" w:hAnsi="Arial"/>
                <w:sz w:val="12"/>
                <w:szCs w:val="12"/>
                <w:color w:val="auto"/>
              </w:rPr>
              <w:t>310</w:t>
            </w:r>
          </w:p>
        </w:tc>
        <w:tc>
          <w:tcPr>
            <w:tcW w:w="100" w:type="dxa"/>
            <w:vAlign w:val="bottom"/>
            <w:gridSpan w:val="2"/>
          </w:tcPr>
          <w:p>
            <w:pPr>
              <w:jc w:val="right"/>
              <w:ind w:right="20"/>
              <w:spacing w:after="0"/>
              <w:rPr>
                <w:sz w:val="20"/>
                <w:szCs w:val="20"/>
                <w:color w:val="auto"/>
              </w:rPr>
            </w:pPr>
            <w:r>
              <w:rPr>
                <w:rFonts w:ascii="Arial" w:cs="Arial" w:eastAsia="Arial" w:hAnsi="Arial"/>
                <w:sz w:val="12"/>
                <w:szCs w:val="12"/>
                <w:color w:val="auto"/>
                <w:w w:val="89"/>
              </w:rPr>
              <w:t>$</w:t>
            </w:r>
          </w:p>
        </w:tc>
        <w:tc>
          <w:tcPr>
            <w:tcW w:w="420" w:type="dxa"/>
            <w:vAlign w:val="bottom"/>
            <w:gridSpan w:val="2"/>
          </w:tcPr>
          <w:p>
            <w:pPr>
              <w:jc w:val="right"/>
              <w:ind w:right="140"/>
              <w:spacing w:after="0"/>
              <w:rPr>
                <w:sz w:val="20"/>
                <w:szCs w:val="20"/>
                <w:color w:val="auto"/>
              </w:rPr>
            </w:pPr>
            <w:r>
              <w:rPr>
                <w:rFonts w:ascii="Arial" w:cs="Arial" w:eastAsia="Arial" w:hAnsi="Arial"/>
                <w:sz w:val="12"/>
                <w:szCs w:val="12"/>
                <w:color w:val="auto"/>
              </w:rPr>
              <w:t>307</w:t>
            </w:r>
          </w:p>
        </w:tc>
      </w:tr>
      <w:tr>
        <w:trPr>
          <w:trHeight w:val="144"/>
        </w:trPr>
        <w:tc>
          <w:tcPr>
            <w:tcW w:w="4120" w:type="dxa"/>
            <w:vAlign w:val="bottom"/>
            <w:shd w:val="clear" w:color="auto" w:fill="CCEEFF"/>
          </w:tcPr>
          <w:p>
            <w:pPr>
              <w:ind w:left="280"/>
              <w:spacing w:after="0"/>
              <w:rPr>
                <w:sz w:val="20"/>
                <w:szCs w:val="20"/>
                <w:color w:val="auto"/>
              </w:rPr>
            </w:pPr>
            <w:r>
              <w:rPr>
                <w:rFonts w:ascii="Arial" w:cs="Arial" w:eastAsia="Arial" w:hAnsi="Arial"/>
                <w:sz w:val="12"/>
                <w:szCs w:val="12"/>
                <w:color w:val="auto"/>
              </w:rPr>
              <w:t>Las Vegas Operations</w:t>
            </w:r>
          </w:p>
        </w:tc>
        <w:tc>
          <w:tcPr>
            <w:tcW w:w="28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0" w:type="dxa"/>
            <w:vAlign w:val="bottom"/>
            <w:gridSpan w:val="2"/>
            <w:shd w:val="clear" w:color="auto" w:fill="CCEEFF"/>
          </w:tcPr>
          <w:p>
            <w:pPr>
              <w:jc w:val="right"/>
              <w:ind w:right="875"/>
              <w:spacing w:after="0"/>
              <w:rPr>
                <w:sz w:val="20"/>
                <w:szCs w:val="20"/>
                <w:color w:val="auto"/>
              </w:rPr>
            </w:pPr>
            <w:r>
              <w:rPr>
                <w:rFonts w:ascii="Arial" w:cs="Arial" w:eastAsia="Arial" w:hAnsi="Arial"/>
                <w:sz w:val="12"/>
                <w:szCs w:val="12"/>
                <w:color w:val="auto"/>
              </w:rPr>
              <w:t>250</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2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244</w:t>
            </w:r>
          </w:p>
        </w:tc>
      </w:tr>
      <w:tr>
        <w:trPr>
          <w:trHeight w:val="144"/>
        </w:trPr>
        <w:tc>
          <w:tcPr>
            <w:tcW w:w="4120" w:type="dxa"/>
            <w:vAlign w:val="bottom"/>
          </w:tcPr>
          <w:p>
            <w:pPr>
              <w:spacing w:after="0"/>
              <w:rPr>
                <w:sz w:val="20"/>
                <w:szCs w:val="20"/>
                <w:color w:val="auto"/>
              </w:rPr>
            </w:pPr>
            <w:r>
              <w:rPr>
                <w:rFonts w:ascii="Arial" w:cs="Arial" w:eastAsia="Arial" w:hAnsi="Arial"/>
                <w:sz w:val="12"/>
                <w:szCs w:val="12"/>
                <w:b w:val="1"/>
                <w:bCs w:val="1"/>
                <w:color w:val="auto"/>
              </w:rPr>
              <w:t>Occupancy</w:t>
            </w:r>
          </w:p>
        </w:tc>
        <w:tc>
          <w:tcPr>
            <w:tcW w:w="2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r>
      <w:tr>
        <w:trPr>
          <w:trHeight w:val="144"/>
        </w:trPr>
        <w:tc>
          <w:tcPr>
            <w:tcW w:w="4120" w:type="dxa"/>
            <w:vAlign w:val="bottom"/>
            <w:shd w:val="clear" w:color="auto" w:fill="CCEEFF"/>
          </w:tcPr>
          <w:p>
            <w:pPr>
              <w:ind w:left="280"/>
              <w:spacing w:after="0"/>
              <w:rPr>
                <w:sz w:val="20"/>
                <w:szCs w:val="20"/>
                <w:color w:val="auto"/>
              </w:rPr>
            </w:pPr>
            <w:r>
              <w:rPr>
                <w:rFonts w:ascii="Arial" w:cs="Arial" w:eastAsia="Arial" w:hAnsi="Arial"/>
                <w:sz w:val="12"/>
                <w:szCs w:val="12"/>
                <w:color w:val="auto"/>
              </w:rPr>
              <w:t>Macau Operations</w:t>
            </w:r>
          </w:p>
        </w:tc>
        <w:tc>
          <w:tcPr>
            <w:tcW w:w="28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0" w:type="dxa"/>
            <w:vAlign w:val="bottom"/>
            <w:gridSpan w:val="2"/>
            <w:shd w:val="clear" w:color="auto" w:fill="CCEEFF"/>
          </w:tcPr>
          <w:p>
            <w:pPr>
              <w:jc w:val="right"/>
              <w:ind w:right="775"/>
              <w:spacing w:after="0"/>
              <w:rPr>
                <w:sz w:val="20"/>
                <w:szCs w:val="20"/>
                <w:color w:val="auto"/>
              </w:rPr>
            </w:pPr>
            <w:r>
              <w:rPr>
                <w:rFonts w:ascii="Arial" w:cs="Arial" w:eastAsia="Arial" w:hAnsi="Arial"/>
                <w:sz w:val="12"/>
                <w:szCs w:val="12"/>
                <w:color w:val="auto"/>
              </w:rPr>
              <w:t>95.8%</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2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94.2%</w:t>
            </w:r>
          </w:p>
        </w:tc>
      </w:tr>
      <w:tr>
        <w:trPr>
          <w:trHeight w:val="144"/>
        </w:trPr>
        <w:tc>
          <w:tcPr>
            <w:tcW w:w="4120" w:type="dxa"/>
            <w:vAlign w:val="bottom"/>
          </w:tcPr>
          <w:p>
            <w:pPr>
              <w:ind w:left="280"/>
              <w:spacing w:after="0"/>
              <w:rPr>
                <w:sz w:val="20"/>
                <w:szCs w:val="20"/>
                <w:color w:val="auto"/>
              </w:rPr>
            </w:pPr>
            <w:r>
              <w:rPr>
                <w:rFonts w:ascii="Arial" w:cs="Arial" w:eastAsia="Arial" w:hAnsi="Arial"/>
                <w:sz w:val="12"/>
                <w:szCs w:val="12"/>
                <w:color w:val="auto"/>
              </w:rPr>
              <w:t>Las Vegas Operations</w:t>
            </w:r>
          </w:p>
        </w:tc>
        <w:tc>
          <w:tcPr>
            <w:tcW w:w="2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0" w:type="dxa"/>
            <w:vAlign w:val="bottom"/>
            <w:gridSpan w:val="2"/>
          </w:tcPr>
          <w:p>
            <w:pPr>
              <w:jc w:val="right"/>
              <w:ind w:right="775"/>
              <w:spacing w:after="0"/>
              <w:rPr>
                <w:sz w:val="20"/>
                <w:szCs w:val="20"/>
                <w:color w:val="auto"/>
              </w:rPr>
            </w:pPr>
            <w:r>
              <w:rPr>
                <w:rFonts w:ascii="Arial" w:cs="Arial" w:eastAsia="Arial" w:hAnsi="Arial"/>
                <w:sz w:val="12"/>
                <w:szCs w:val="12"/>
                <w:color w:val="auto"/>
              </w:rPr>
              <w:t>87.9%</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gridSpan w:val="2"/>
          </w:tcPr>
          <w:p>
            <w:pPr>
              <w:jc w:val="right"/>
              <w:ind w:right="40"/>
              <w:spacing w:after="0"/>
              <w:rPr>
                <w:sz w:val="20"/>
                <w:szCs w:val="20"/>
                <w:color w:val="auto"/>
              </w:rPr>
            </w:pPr>
            <w:r>
              <w:rPr>
                <w:rFonts w:ascii="Arial" w:cs="Arial" w:eastAsia="Arial" w:hAnsi="Arial"/>
                <w:sz w:val="12"/>
                <w:szCs w:val="12"/>
                <w:color w:val="auto"/>
              </w:rPr>
              <w:t>85.7%</w:t>
            </w:r>
          </w:p>
        </w:tc>
      </w:tr>
      <w:tr>
        <w:trPr>
          <w:trHeight w:val="144"/>
        </w:trPr>
        <w:tc>
          <w:tcPr>
            <w:tcW w:w="4120" w:type="dxa"/>
            <w:vAlign w:val="bottom"/>
            <w:shd w:val="clear" w:color="auto" w:fill="CCEEFF"/>
          </w:tcPr>
          <w:p>
            <w:pPr>
              <w:spacing w:after="0"/>
              <w:rPr>
                <w:sz w:val="20"/>
                <w:szCs w:val="20"/>
                <w:color w:val="auto"/>
              </w:rPr>
            </w:pPr>
            <w:r>
              <w:rPr>
                <w:rFonts w:ascii="Arial" w:cs="Arial" w:eastAsia="Arial" w:hAnsi="Arial"/>
                <w:sz w:val="12"/>
                <w:szCs w:val="12"/>
                <w:b w:val="1"/>
                <w:bCs w:val="1"/>
                <w:color w:val="auto"/>
              </w:rPr>
              <w:t>REVPAR</w:t>
            </w:r>
          </w:p>
        </w:tc>
        <w:tc>
          <w:tcPr>
            <w:tcW w:w="28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r>
      <w:tr>
        <w:trPr>
          <w:trHeight w:val="144"/>
        </w:trPr>
        <w:tc>
          <w:tcPr>
            <w:tcW w:w="4120" w:type="dxa"/>
            <w:vAlign w:val="bottom"/>
          </w:tcPr>
          <w:p>
            <w:pPr>
              <w:ind w:left="280"/>
              <w:spacing w:after="0"/>
              <w:rPr>
                <w:sz w:val="20"/>
                <w:szCs w:val="20"/>
                <w:color w:val="auto"/>
              </w:rPr>
            </w:pPr>
            <w:r>
              <w:rPr>
                <w:rFonts w:ascii="Arial" w:cs="Arial" w:eastAsia="Arial" w:hAnsi="Arial"/>
                <w:sz w:val="12"/>
                <w:szCs w:val="12"/>
                <w:color w:val="auto"/>
              </w:rPr>
              <w:t>Macau Operations</w:t>
            </w:r>
          </w:p>
        </w:tc>
        <w:tc>
          <w:tcPr>
            <w:tcW w:w="2880" w:type="dxa"/>
            <w:vAlign w:val="bottom"/>
            <w:gridSpan w:val="2"/>
          </w:tcPr>
          <w:p>
            <w:pPr>
              <w:jc w:val="right"/>
              <w:ind w:right="20"/>
              <w:spacing w:after="0"/>
              <w:rPr>
                <w:sz w:val="20"/>
                <w:szCs w:val="20"/>
                <w:color w:val="auto"/>
              </w:rPr>
            </w:pPr>
            <w:r>
              <w:rPr>
                <w:rFonts w:ascii="Arial" w:cs="Arial" w:eastAsia="Arial" w:hAnsi="Arial"/>
                <w:sz w:val="12"/>
                <w:szCs w:val="12"/>
                <w:color w:val="auto"/>
              </w:rPr>
              <w:t>$</w:t>
            </w:r>
          </w:p>
        </w:tc>
        <w:tc>
          <w:tcPr>
            <w:tcW w:w="1200" w:type="dxa"/>
            <w:vAlign w:val="bottom"/>
            <w:gridSpan w:val="2"/>
          </w:tcPr>
          <w:p>
            <w:pPr>
              <w:jc w:val="right"/>
              <w:ind w:right="875"/>
              <w:spacing w:after="0"/>
              <w:rPr>
                <w:sz w:val="20"/>
                <w:szCs w:val="20"/>
                <w:color w:val="auto"/>
              </w:rPr>
            </w:pPr>
            <w:r>
              <w:rPr>
                <w:rFonts w:ascii="Arial" w:cs="Arial" w:eastAsia="Arial" w:hAnsi="Arial"/>
                <w:sz w:val="12"/>
                <w:szCs w:val="12"/>
                <w:color w:val="auto"/>
              </w:rPr>
              <w:t>297</w:t>
            </w:r>
          </w:p>
        </w:tc>
        <w:tc>
          <w:tcPr>
            <w:tcW w:w="100" w:type="dxa"/>
            <w:vAlign w:val="bottom"/>
            <w:gridSpan w:val="2"/>
          </w:tcPr>
          <w:p>
            <w:pPr>
              <w:jc w:val="right"/>
              <w:ind w:right="20"/>
              <w:spacing w:after="0"/>
              <w:rPr>
                <w:sz w:val="20"/>
                <w:szCs w:val="20"/>
                <w:color w:val="auto"/>
              </w:rPr>
            </w:pPr>
            <w:r>
              <w:rPr>
                <w:rFonts w:ascii="Arial" w:cs="Arial" w:eastAsia="Arial" w:hAnsi="Arial"/>
                <w:sz w:val="12"/>
                <w:szCs w:val="12"/>
                <w:color w:val="auto"/>
                <w:w w:val="89"/>
              </w:rPr>
              <w:t>$</w:t>
            </w:r>
          </w:p>
        </w:tc>
        <w:tc>
          <w:tcPr>
            <w:tcW w:w="420" w:type="dxa"/>
            <w:vAlign w:val="bottom"/>
            <w:gridSpan w:val="2"/>
          </w:tcPr>
          <w:p>
            <w:pPr>
              <w:jc w:val="right"/>
              <w:ind w:right="140"/>
              <w:spacing w:after="0"/>
              <w:rPr>
                <w:sz w:val="20"/>
                <w:szCs w:val="20"/>
                <w:color w:val="auto"/>
              </w:rPr>
            </w:pPr>
            <w:r>
              <w:rPr>
                <w:rFonts w:ascii="Arial" w:cs="Arial" w:eastAsia="Arial" w:hAnsi="Arial"/>
                <w:sz w:val="12"/>
                <w:szCs w:val="12"/>
                <w:color w:val="auto"/>
              </w:rPr>
              <w:t>289</w:t>
            </w:r>
          </w:p>
        </w:tc>
      </w:tr>
      <w:tr>
        <w:trPr>
          <w:trHeight w:val="144"/>
        </w:trPr>
        <w:tc>
          <w:tcPr>
            <w:tcW w:w="4120" w:type="dxa"/>
            <w:vAlign w:val="bottom"/>
            <w:shd w:val="clear" w:color="auto" w:fill="CCEEFF"/>
          </w:tcPr>
          <w:p>
            <w:pPr>
              <w:ind w:left="280"/>
              <w:spacing w:after="0"/>
              <w:rPr>
                <w:sz w:val="20"/>
                <w:szCs w:val="20"/>
                <w:color w:val="auto"/>
              </w:rPr>
            </w:pPr>
            <w:r>
              <w:rPr>
                <w:rFonts w:ascii="Arial" w:cs="Arial" w:eastAsia="Arial" w:hAnsi="Arial"/>
                <w:sz w:val="12"/>
                <w:szCs w:val="12"/>
                <w:color w:val="auto"/>
              </w:rPr>
              <w:t>Las Vegas Operations</w:t>
            </w:r>
          </w:p>
        </w:tc>
        <w:tc>
          <w:tcPr>
            <w:tcW w:w="28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0" w:type="dxa"/>
            <w:vAlign w:val="bottom"/>
            <w:gridSpan w:val="2"/>
            <w:shd w:val="clear" w:color="auto" w:fill="CCEEFF"/>
          </w:tcPr>
          <w:p>
            <w:pPr>
              <w:jc w:val="right"/>
              <w:ind w:right="875"/>
              <w:spacing w:after="0"/>
              <w:rPr>
                <w:sz w:val="20"/>
                <w:szCs w:val="20"/>
                <w:color w:val="auto"/>
              </w:rPr>
            </w:pPr>
            <w:r>
              <w:rPr>
                <w:rFonts w:ascii="Arial" w:cs="Arial" w:eastAsia="Arial" w:hAnsi="Arial"/>
                <w:sz w:val="12"/>
                <w:szCs w:val="12"/>
                <w:color w:val="auto"/>
              </w:rPr>
              <w:t>220</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2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209</w:t>
            </w:r>
          </w:p>
        </w:tc>
      </w:tr>
    </w:tbl>
    <w:p>
      <w:pPr>
        <w:spacing w:after="0" w:line="102" w:lineRule="exact"/>
        <w:rPr>
          <w:sz w:val="20"/>
          <w:szCs w:val="20"/>
          <w:color w:val="auto"/>
        </w:rPr>
      </w:pPr>
    </w:p>
    <w:p>
      <w:pPr>
        <w:ind w:firstLine="459"/>
        <w:spacing w:after="0" w:line="283" w:lineRule="auto"/>
        <w:rPr>
          <w:sz w:val="20"/>
          <w:szCs w:val="20"/>
          <w:color w:val="auto"/>
        </w:rPr>
      </w:pPr>
      <w:r>
        <w:rPr>
          <w:rFonts w:ascii="Arial" w:cs="Arial" w:eastAsia="Arial" w:hAnsi="Arial"/>
          <w:sz w:val="11"/>
          <w:szCs w:val="11"/>
          <w:color w:val="auto"/>
        </w:rPr>
        <w:t>Other non-casino revenues for the three months ended September 30, 2013, included food and beverage revenues of $152.2 million, retail revenues of $69.4 million, entertainment revenues of $17.5 million, and other revenues from outlets, including the spa and salon, of $18.2 million. Other non-casino revenues for the three months ended September 30, 2012, included food and beverage revenues of $156.6 million, retail revenues of $63.2 million, entertainment revenues of $21.6 million, and other revenues from outlets such as the spa and salon, of $16.3 million. Food and beverage revenues at our Macau Operations decreased $0.8 million, while food and beverage revenues at our Las Vegas Operations decreased $3.6 million as compared to the prior year quarter. Retail revenues at our Macau Operations increased $1.9 million and retail revenues at our Las Vegas operations increased $4.3 million as we completed the reconfiguration to our retail area during the first half of 2013. Entertainment revenues decreased $4.1 million from the prior year quarter due to a Las Vegas show that ended its run in November 2012.</w:t>
      </w:r>
    </w:p>
    <w:p>
      <w:pPr>
        <w:spacing w:after="0" w:line="137" w:lineRule="exact"/>
        <w:rPr>
          <w:sz w:val="20"/>
          <w:szCs w:val="20"/>
          <w:color w:val="auto"/>
        </w:rPr>
      </w:pPr>
    </w:p>
    <w:p>
      <w:pPr>
        <w:ind w:left="220"/>
        <w:spacing w:after="0"/>
        <w:rPr>
          <w:sz w:val="20"/>
          <w:szCs w:val="20"/>
          <w:color w:val="auto"/>
        </w:rPr>
      </w:pPr>
      <w:r>
        <w:rPr>
          <w:rFonts w:ascii="Arial" w:cs="Arial" w:eastAsia="Arial" w:hAnsi="Arial"/>
          <w:sz w:val="12"/>
          <w:szCs w:val="12"/>
          <w:i w:val="1"/>
          <w:iCs w:val="1"/>
          <w:color w:val="auto"/>
        </w:rPr>
        <w:t>Departmental, Administrative and Other Expenses</w:t>
      </w:r>
    </w:p>
    <w:p>
      <w:pPr>
        <w:spacing w:after="0" w:line="60" w:lineRule="exact"/>
        <w:rPr>
          <w:sz w:val="20"/>
          <w:szCs w:val="20"/>
          <w:color w:val="auto"/>
        </w:rPr>
      </w:pPr>
    </w:p>
    <w:p>
      <w:pPr>
        <w:ind w:right="140" w:firstLine="459"/>
        <w:spacing w:after="0" w:line="354" w:lineRule="auto"/>
        <w:rPr>
          <w:sz w:val="20"/>
          <w:szCs w:val="20"/>
          <w:color w:val="auto"/>
        </w:rPr>
      </w:pPr>
      <w:r>
        <w:rPr>
          <w:rFonts w:ascii="Arial" w:cs="Arial" w:eastAsia="Arial" w:hAnsi="Arial"/>
          <w:sz w:val="9"/>
          <w:szCs w:val="9"/>
          <w:color w:val="auto"/>
        </w:rPr>
        <w:t>For the three months ended September 30, 2013, departmental expenses included casino expenses of $699.9 million, room expenses of $33.6 million, food and beverage expenses of $84.1 million, and entertainment, retail and other expenses of $45.5 million. Also included are general and administrative expenses of $105 million and a charge of $11.3 million for the provision for doubtful accounts. For the three months ended September 30, 2012, departmental expenses included casino expenses of $653.9 million, room expenses of $31.9 million, food and beverage expenses of $80.7 million, and entertainment, retail and other expenses of $46.9 million. Also included for the three months ended September 30, 2012, are general and administrative expenses of $115.8 million and a charge of $5.3 million for the provision for doubtful accounts. Casino expenses increased for the three months ended September 30, 2013, from the prior year quarter primarily due to higher gaming taxes commensurate with the increase in casino revenue at our Macau Operations (where we incur a gaming tax and other levies at a rate totaling 39% in accordance with the concession agreement). Food and beverage expenses increased over the prior year quarter primarily due to additional nightclub promotional costs at our Las Vegas Operations. General and administrative expenses decreased from the prior year quarter due to higher expenses related to litigation with a former shareholder that were incurred in the prior year quarter. Our provision for doubtful accounts increased from the prior year quarter due to the timing of collections.</w:t>
      </w:r>
    </w:p>
    <w:p>
      <w:pPr>
        <w:spacing w:after="0" w:line="255" w:lineRule="exact"/>
        <w:rPr>
          <w:sz w:val="20"/>
          <w:szCs w:val="20"/>
          <w:color w:val="auto"/>
        </w:rPr>
      </w:pPr>
    </w:p>
    <w:p>
      <w:pPr>
        <w:ind w:left="220"/>
        <w:spacing w:after="0"/>
        <w:rPr>
          <w:sz w:val="20"/>
          <w:szCs w:val="20"/>
          <w:color w:val="auto"/>
        </w:rPr>
      </w:pPr>
      <w:r>
        <w:rPr>
          <w:rFonts w:ascii="Arial" w:cs="Arial" w:eastAsia="Arial" w:hAnsi="Arial"/>
          <w:sz w:val="12"/>
          <w:szCs w:val="12"/>
          <w:i w:val="1"/>
          <w:iCs w:val="1"/>
          <w:color w:val="auto"/>
        </w:rPr>
        <w:t>Depreciation and amortization</w:t>
      </w:r>
    </w:p>
    <w:p>
      <w:pPr>
        <w:spacing w:after="0" w:line="60" w:lineRule="exact"/>
        <w:rPr>
          <w:sz w:val="20"/>
          <w:szCs w:val="20"/>
          <w:color w:val="auto"/>
        </w:rPr>
      </w:pPr>
    </w:p>
    <w:p>
      <w:pPr>
        <w:ind w:left="460"/>
        <w:spacing w:after="0"/>
        <w:rPr>
          <w:sz w:val="20"/>
          <w:szCs w:val="20"/>
          <w:color w:val="auto"/>
        </w:rPr>
      </w:pPr>
      <w:r>
        <w:rPr>
          <w:rFonts w:ascii="Arial" w:cs="Arial" w:eastAsia="Arial" w:hAnsi="Arial"/>
          <w:sz w:val="12"/>
          <w:szCs w:val="12"/>
          <w:color w:val="auto"/>
        </w:rPr>
        <w:t>Depreciation and amortization for the three months ended September 30, 2013, was $93.3 million compared to $94.3 million for the three months ended September 30, 2012.</w:t>
      </w:r>
    </w:p>
    <w:p>
      <w:pPr>
        <w:spacing w:after="0" w:line="114" w:lineRule="exact"/>
        <w:rPr>
          <w:sz w:val="20"/>
          <w:szCs w:val="20"/>
          <w:color w:val="auto"/>
        </w:rPr>
      </w:pPr>
    </w:p>
    <w:p>
      <w:pPr>
        <w:jc w:val="center"/>
        <w:ind w:right="300"/>
        <w:spacing w:after="0" w:line="440" w:lineRule="auto"/>
        <w:rPr>
          <w:sz w:val="20"/>
          <w:szCs w:val="20"/>
          <w:color w:val="auto"/>
        </w:rPr>
      </w:pPr>
      <w:r>
        <w:rPr>
          <w:rFonts w:ascii="Arial" w:cs="Arial" w:eastAsia="Arial" w:hAnsi="Arial"/>
          <w:sz w:val="12"/>
          <w:szCs w:val="12"/>
          <w:color w:val="auto"/>
        </w:rPr>
        <w:t>During the construction of our properties, costs incurred in the construction of the buildings, improvements to land and the purchases of assets for use in operations are capitalized. Once these properties open, their assets 39</w:t>
      </w:r>
    </w:p>
    <w:p>
      <w:pPr>
        <w:sectPr>
          <w:pgSz w:w="11900" w:h="16838" w:orient="portrait"/>
          <w:cols w:equalWidth="0" w:num="1">
            <w:col w:w="11480"/>
          </w:cols>
          <w:pgMar w:left="220" w:top="354" w:right="199" w:bottom="1440" w:gutter="0" w:footer="0" w:header="0"/>
        </w:sectPr>
      </w:pPr>
    </w:p>
    <w:bookmarkStart w:id="39" w:name="page40"/>
    <w:bookmarkEnd w:id="39"/>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121920</wp:posOffset>
            </wp:positionH>
            <wp:positionV relativeFrom="page">
              <wp:posOffset>88900</wp:posOffset>
            </wp:positionV>
            <wp:extent cx="7329170" cy="298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329170" cy="29845"/>
                    </a:xfrm>
                    <a:prstGeom prst="rect">
                      <a:avLst/>
                    </a:prstGeom>
                    <a:noFill/>
                  </pic:spPr>
                </pic:pic>
              </a:graphicData>
            </a:graphic>
          </wp:anchor>
        </w:drawing>
      </w:r>
      <w:hyperlink w:anchor="page2">
        <w:r>
          <w:rPr>
            <w:rFonts w:ascii="Arial" w:cs="Arial" w:eastAsia="Arial" w:hAnsi="Arial"/>
            <w:sz w:val="12"/>
            <w:szCs w:val="12"/>
            <w:b w:val="1"/>
            <w:bCs w:val="1"/>
            <w:u w:val="single" w:color="auto"/>
            <w:color w:val="0000EE"/>
          </w:rPr>
          <w:t>Table of Contents</w:t>
        </w:r>
      </w:hyperlink>
    </w:p>
    <w:p>
      <w:pPr>
        <w:spacing w:after="0" w:line="209" w:lineRule="exact"/>
        <w:rPr>
          <w:sz w:val="20"/>
          <w:szCs w:val="20"/>
          <w:color w:val="auto"/>
        </w:rPr>
      </w:pPr>
    </w:p>
    <w:p>
      <w:pPr>
        <w:ind w:right="40"/>
        <w:spacing w:after="0" w:line="268" w:lineRule="auto"/>
        <w:rPr>
          <w:sz w:val="20"/>
          <w:szCs w:val="20"/>
          <w:color w:val="auto"/>
        </w:rPr>
      </w:pPr>
      <w:r>
        <w:rPr>
          <w:rFonts w:ascii="Arial" w:cs="Arial" w:eastAsia="Arial" w:hAnsi="Arial"/>
          <w:sz w:val="12"/>
          <w:szCs w:val="12"/>
          <w:color w:val="auto"/>
        </w:rPr>
        <w:t>are placed into service and we begin recognizing the associated depreciation expense. Depreciation expenses continue throughout the estimated useful lives of these assets. In addition, we continually evaluate the useful life of our property and equipment, intangibles and other assets and adjust them when warranted.</w:t>
      </w:r>
    </w:p>
    <w:p>
      <w:pPr>
        <w:spacing w:after="0" w:line="88" w:lineRule="exact"/>
        <w:rPr>
          <w:sz w:val="20"/>
          <w:szCs w:val="20"/>
          <w:color w:val="auto"/>
        </w:rPr>
      </w:pPr>
    </w:p>
    <w:p>
      <w:pPr>
        <w:ind w:right="40" w:firstLine="459"/>
        <w:spacing w:after="0" w:line="268" w:lineRule="auto"/>
        <w:rPr>
          <w:sz w:val="20"/>
          <w:szCs w:val="20"/>
          <w:color w:val="auto"/>
        </w:rPr>
      </w:pPr>
      <w:r>
        <w:rPr>
          <w:rFonts w:ascii="Arial" w:cs="Arial" w:eastAsia="Arial" w:hAnsi="Arial"/>
          <w:sz w:val="12"/>
          <w:szCs w:val="12"/>
          <w:color w:val="auto"/>
        </w:rPr>
        <w:t>The maximum useful life of assets at our Macau Operations is the remaining life of the gaming concession or land concession, which currently expire in June 2022 and August 2029, respectively. Consequently, depreciation related to our Macau Operations is charged on an accelerated basis when compared to our Las Vegas Operations.</w:t>
      </w:r>
    </w:p>
    <w:p>
      <w:pPr>
        <w:spacing w:after="0" w:line="142" w:lineRule="exact"/>
        <w:rPr>
          <w:sz w:val="20"/>
          <w:szCs w:val="20"/>
          <w:color w:val="auto"/>
        </w:rPr>
      </w:pPr>
    </w:p>
    <w:p>
      <w:pPr>
        <w:ind w:left="220"/>
        <w:spacing w:after="0"/>
        <w:rPr>
          <w:sz w:val="20"/>
          <w:szCs w:val="20"/>
          <w:color w:val="auto"/>
        </w:rPr>
      </w:pPr>
      <w:r>
        <w:rPr>
          <w:rFonts w:ascii="Arial" w:cs="Arial" w:eastAsia="Arial" w:hAnsi="Arial"/>
          <w:sz w:val="12"/>
          <w:szCs w:val="12"/>
          <w:i w:val="1"/>
          <w:iCs w:val="1"/>
          <w:color w:val="auto"/>
        </w:rPr>
        <w:t>Property charges and other</w:t>
      </w:r>
    </w:p>
    <w:p>
      <w:pPr>
        <w:spacing w:after="0" w:line="60" w:lineRule="exact"/>
        <w:rPr>
          <w:sz w:val="20"/>
          <w:szCs w:val="20"/>
          <w:color w:val="auto"/>
        </w:rPr>
      </w:pPr>
    </w:p>
    <w:p>
      <w:pPr>
        <w:ind w:right="160" w:firstLine="459"/>
        <w:spacing w:after="0" w:line="259" w:lineRule="auto"/>
        <w:rPr>
          <w:sz w:val="20"/>
          <w:szCs w:val="20"/>
          <w:color w:val="auto"/>
        </w:rPr>
      </w:pPr>
      <w:r>
        <w:rPr>
          <w:rFonts w:ascii="Arial" w:cs="Arial" w:eastAsia="Arial" w:hAnsi="Arial"/>
          <w:sz w:val="12"/>
          <w:szCs w:val="12"/>
          <w:color w:val="auto"/>
        </w:rPr>
        <w:t>Property charges and other for the three months ended September 30, 2013, were $2.6 million compared to $22.7 million for the three months ended September 30, 2012. For the three months ended September 30, 2013, property charges and other related primarily to miscellaneous renovations and abandonments at our resorts. For the three months ended September 30, 2012, property charges and other related primarily to a remodel of a Las Vegas restaurant, charges related to the termination of a Las Vegas show which ended its run in November 2012, and miscellaneous renovations and abandonments.</w:t>
      </w:r>
    </w:p>
    <w:p>
      <w:pPr>
        <w:spacing w:after="0" w:line="94" w:lineRule="exact"/>
        <w:rPr>
          <w:sz w:val="20"/>
          <w:szCs w:val="20"/>
          <w:color w:val="auto"/>
        </w:rPr>
      </w:pPr>
    </w:p>
    <w:p>
      <w:pPr>
        <w:ind w:left="460"/>
        <w:spacing w:after="0"/>
        <w:rPr>
          <w:sz w:val="20"/>
          <w:szCs w:val="20"/>
          <w:color w:val="auto"/>
        </w:rPr>
      </w:pPr>
      <w:r>
        <w:rPr>
          <w:rFonts w:ascii="Arial" w:cs="Arial" w:eastAsia="Arial" w:hAnsi="Arial"/>
          <w:sz w:val="12"/>
          <w:szCs w:val="12"/>
          <w:color w:val="auto"/>
        </w:rPr>
        <w:t>In response to our evaluation of our resorts and the reactions of our guests, we continue to remodel and make enhancements at our resorts.</w:t>
      </w:r>
    </w:p>
    <w:p>
      <w:pPr>
        <w:spacing w:after="0" w:line="168" w:lineRule="exact"/>
        <w:rPr>
          <w:sz w:val="20"/>
          <w:szCs w:val="20"/>
          <w:color w:val="auto"/>
        </w:rPr>
      </w:pPr>
    </w:p>
    <w:p>
      <w:pPr>
        <w:ind w:left="220"/>
        <w:spacing w:after="0"/>
        <w:rPr>
          <w:sz w:val="20"/>
          <w:szCs w:val="20"/>
          <w:color w:val="auto"/>
        </w:rPr>
      </w:pPr>
      <w:r>
        <w:rPr>
          <w:rFonts w:ascii="Arial" w:cs="Arial" w:eastAsia="Arial" w:hAnsi="Arial"/>
          <w:sz w:val="12"/>
          <w:szCs w:val="12"/>
          <w:i w:val="1"/>
          <w:iCs w:val="1"/>
          <w:color w:val="auto"/>
        </w:rPr>
        <w:t>Other non-operating costs and expenses</w:t>
      </w:r>
    </w:p>
    <w:p>
      <w:pPr>
        <w:spacing w:after="0" w:line="60" w:lineRule="exact"/>
        <w:rPr>
          <w:sz w:val="20"/>
          <w:szCs w:val="20"/>
          <w:color w:val="auto"/>
        </w:rPr>
      </w:pPr>
    </w:p>
    <w:p>
      <w:pPr>
        <w:ind w:right="300" w:firstLine="459"/>
        <w:spacing w:after="0" w:line="314" w:lineRule="auto"/>
        <w:rPr>
          <w:sz w:val="20"/>
          <w:szCs w:val="20"/>
          <w:color w:val="auto"/>
        </w:rPr>
      </w:pPr>
      <w:r>
        <w:rPr>
          <w:rFonts w:ascii="Arial" w:cs="Arial" w:eastAsia="Arial" w:hAnsi="Arial"/>
          <w:sz w:val="11"/>
          <w:szCs w:val="11"/>
          <w:color w:val="auto"/>
        </w:rPr>
        <w:t>Interest income was $3.2 million for the three months ended September 30, 2013, compared to $3.8 million for the three months ended September 30, 2012. During 2013 and 2012, our short-term investment strategy has been to preserve capital while retaining sufficient liquidity. The majority of our short-term investments were primarily in money market accounts, time deposits and fixed deposits with a maturity of three months or less.</w:t>
      </w:r>
    </w:p>
    <w:p>
      <w:pPr>
        <w:spacing w:after="0" w:line="65" w:lineRule="exact"/>
        <w:rPr>
          <w:sz w:val="20"/>
          <w:szCs w:val="20"/>
          <w:color w:val="auto"/>
        </w:rPr>
      </w:pPr>
    </w:p>
    <w:p>
      <w:pPr>
        <w:ind w:right="560" w:firstLine="459"/>
        <w:spacing w:after="0" w:line="438" w:lineRule="auto"/>
        <w:rPr>
          <w:sz w:val="20"/>
          <w:szCs w:val="20"/>
          <w:color w:val="auto"/>
        </w:rPr>
      </w:pPr>
      <w:r>
        <w:rPr>
          <w:rFonts w:ascii="Arial" w:cs="Arial" w:eastAsia="Arial" w:hAnsi="Arial"/>
          <w:sz w:val="9"/>
          <w:szCs w:val="9"/>
          <w:color w:val="auto"/>
        </w:rPr>
        <w:t>Interest expense was $73.5 million, net of capitalized interest of $3 million, for the three months ended September 30, 2013, compared to $75.1 million, net of capitalized interest of $0.5 million, for the three months ended September 30, 2012. Capitalized interest increased due to the construction costs of Wynn Palace. Capitalized interest will continue to increase with the ongoing borrowings and construction costs related to Wynn Palace.</w:t>
      </w:r>
    </w:p>
    <w:p>
      <w:pPr>
        <w:spacing w:after="0" w:line="19" w:lineRule="exact"/>
        <w:rPr>
          <w:sz w:val="20"/>
          <w:szCs w:val="20"/>
          <w:color w:val="auto"/>
        </w:rPr>
      </w:pPr>
    </w:p>
    <w:p>
      <w:pPr>
        <w:ind w:right="240" w:firstLine="459"/>
        <w:spacing w:after="0" w:line="314" w:lineRule="auto"/>
        <w:rPr>
          <w:sz w:val="20"/>
          <w:szCs w:val="20"/>
          <w:color w:val="auto"/>
        </w:rPr>
      </w:pPr>
      <w:r>
        <w:rPr>
          <w:rFonts w:ascii="Arial" w:cs="Arial" w:eastAsia="Arial" w:hAnsi="Arial"/>
          <w:sz w:val="11"/>
          <w:szCs w:val="11"/>
          <w:color w:val="auto"/>
        </w:rPr>
        <w:t>Changes in the fair value of our interest rate swaps are recorded as an increase or (decrease) in swap fair value in each period. We recorded a loss of $3.5 million for the three months ended September 30, 2013, resulting from the decrease in the fair value of our interest rate swaps during the period. For further information on our interest rate swaps, see Item 3 – “Quantitative and Qualitative Disclosures about Market Risk.”</w:t>
      </w:r>
    </w:p>
    <w:p>
      <w:pPr>
        <w:spacing w:after="0" w:line="65" w:lineRule="exact"/>
        <w:rPr>
          <w:sz w:val="20"/>
          <w:szCs w:val="20"/>
          <w:color w:val="auto"/>
        </w:rPr>
      </w:pPr>
    </w:p>
    <w:p>
      <w:pPr>
        <w:ind w:right="80" w:firstLine="459"/>
        <w:spacing w:after="0" w:line="268" w:lineRule="auto"/>
        <w:rPr>
          <w:sz w:val="20"/>
          <w:szCs w:val="20"/>
          <w:color w:val="auto"/>
        </w:rPr>
      </w:pPr>
      <w:r>
        <w:rPr>
          <w:rFonts w:ascii="Arial" w:cs="Arial" w:eastAsia="Arial" w:hAnsi="Arial"/>
          <w:sz w:val="12"/>
          <w:szCs w:val="12"/>
          <w:color w:val="auto"/>
        </w:rPr>
        <w:t>As described in Note 9 to our Condensed Consolidated Financial Statements, we amended our Wynn Macau credit facilities in July 2012. In connection with amending the Wynn Macau credit facilities, we expensed $17.7 million of deferred financing costs and third party fees.</w:t>
      </w:r>
    </w:p>
    <w:p>
      <w:pPr>
        <w:spacing w:after="0" w:line="88" w:lineRule="exact"/>
        <w:rPr>
          <w:sz w:val="20"/>
          <w:szCs w:val="20"/>
          <w:color w:val="auto"/>
        </w:rPr>
      </w:pPr>
    </w:p>
    <w:p>
      <w:pPr>
        <w:ind w:firstLine="459"/>
        <w:spacing w:after="0" w:line="294" w:lineRule="auto"/>
        <w:rPr>
          <w:sz w:val="20"/>
          <w:szCs w:val="20"/>
          <w:color w:val="auto"/>
        </w:rPr>
      </w:pPr>
      <w:r>
        <w:rPr>
          <w:rFonts w:ascii="Arial" w:cs="Arial" w:eastAsia="Arial" w:hAnsi="Arial"/>
          <w:sz w:val="11"/>
          <w:szCs w:val="11"/>
          <w:color w:val="auto"/>
        </w:rPr>
        <w:t>On September 17, 2012, we terminated the Wynn Las Vegas Credit Agreement. No loans were outstanding under the Wynn Las Vegas Credit Agreement at the time of termination. Prior to such termination, certain letters of credit in which lenders had participated pursuant to the Wynn Las Vegas Credit Agreement were reallocated to a separate, unsecured letter of credit facility provided by Deutsche Bank, A.G. Wynn Las Vegas did not incur any early termination penalties in connection with the termination. In connection with the termination, the Company expensed $2 million of previously deferred financing costs and third party fees related to the Wynn Las Vegas Credit Agreement.</w:t>
      </w:r>
    </w:p>
    <w:p>
      <w:pPr>
        <w:spacing w:after="0" w:line="67" w:lineRule="exact"/>
        <w:rPr>
          <w:sz w:val="20"/>
          <w:szCs w:val="20"/>
          <w:color w:val="auto"/>
        </w:rPr>
      </w:pPr>
    </w:p>
    <w:p>
      <w:pPr>
        <w:jc w:val="center"/>
        <w:ind w:right="-99"/>
        <w:spacing w:after="0"/>
        <w:rPr>
          <w:sz w:val="20"/>
          <w:szCs w:val="20"/>
          <w:color w:val="auto"/>
        </w:rPr>
      </w:pPr>
      <w:r>
        <w:rPr>
          <w:rFonts w:ascii="Arial" w:cs="Arial" w:eastAsia="Arial" w:hAnsi="Arial"/>
          <w:sz w:val="12"/>
          <w:szCs w:val="12"/>
          <w:color w:val="auto"/>
        </w:rPr>
        <w:t>40</w:t>
      </w:r>
    </w:p>
    <w:p>
      <w:pPr>
        <w:sectPr>
          <w:pgSz w:w="11900" w:h="16838" w:orient="portrait"/>
          <w:cols w:equalWidth="0" w:num="1">
            <w:col w:w="11380"/>
          </w:cols>
          <w:pgMar w:left="220" w:top="354" w:right="299" w:bottom="1440" w:gutter="0" w:footer="0" w:header="0"/>
        </w:sectPr>
      </w:pPr>
    </w:p>
    <w:bookmarkStart w:id="40" w:name="page41"/>
    <w:bookmarkEnd w:id="40"/>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121920</wp:posOffset>
            </wp:positionH>
            <wp:positionV relativeFrom="page">
              <wp:posOffset>88900</wp:posOffset>
            </wp:positionV>
            <wp:extent cx="7329170" cy="298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329170" cy="29845"/>
                    </a:xfrm>
                    <a:prstGeom prst="rect">
                      <a:avLst/>
                    </a:prstGeom>
                    <a:noFill/>
                  </pic:spPr>
                </pic:pic>
              </a:graphicData>
            </a:graphic>
          </wp:anchor>
        </w:drawing>
      </w:r>
      <w:hyperlink w:anchor="page2">
        <w:r>
          <w:rPr>
            <w:rFonts w:ascii="Arial" w:cs="Arial" w:eastAsia="Arial" w:hAnsi="Arial"/>
            <w:sz w:val="12"/>
            <w:szCs w:val="12"/>
            <w:b w:val="1"/>
            <w:bCs w:val="1"/>
            <w:u w:val="single" w:color="auto"/>
            <w:color w:val="0000EE"/>
          </w:rPr>
          <w:t>Table of Contents</w:t>
        </w:r>
      </w:hyperlink>
    </w:p>
    <w:p>
      <w:pPr>
        <w:spacing w:after="0" w:line="209" w:lineRule="exact"/>
        <w:rPr>
          <w:sz w:val="20"/>
          <w:szCs w:val="20"/>
          <w:color w:val="auto"/>
        </w:rPr>
      </w:pPr>
    </w:p>
    <w:p>
      <w:pPr>
        <w:ind w:left="220"/>
        <w:spacing w:after="0"/>
        <w:rPr>
          <w:sz w:val="20"/>
          <w:szCs w:val="20"/>
          <w:color w:val="auto"/>
        </w:rPr>
      </w:pPr>
      <w:r>
        <w:rPr>
          <w:rFonts w:ascii="Arial" w:cs="Arial" w:eastAsia="Arial" w:hAnsi="Arial"/>
          <w:sz w:val="12"/>
          <w:szCs w:val="12"/>
          <w:i w:val="1"/>
          <w:iCs w:val="1"/>
          <w:color w:val="auto"/>
        </w:rPr>
        <w:t>Income Taxes</w:t>
      </w:r>
    </w:p>
    <w:p>
      <w:pPr>
        <w:spacing w:after="0" w:line="60" w:lineRule="exact"/>
        <w:rPr>
          <w:sz w:val="20"/>
          <w:szCs w:val="20"/>
          <w:color w:val="auto"/>
        </w:rPr>
      </w:pPr>
    </w:p>
    <w:p>
      <w:pPr>
        <w:ind w:right="80" w:firstLine="459"/>
        <w:spacing w:after="0" w:line="283" w:lineRule="auto"/>
        <w:rPr>
          <w:sz w:val="20"/>
          <w:szCs w:val="20"/>
          <w:color w:val="auto"/>
        </w:rPr>
      </w:pPr>
      <w:r>
        <w:rPr>
          <w:rFonts w:ascii="Arial" w:cs="Arial" w:eastAsia="Arial" w:hAnsi="Arial"/>
          <w:sz w:val="11"/>
          <w:szCs w:val="11"/>
          <w:color w:val="auto"/>
        </w:rPr>
        <w:t>For the three months ended September 30, 2013 and 2012, we recorded a tax benefit of $7.3 million and $7.6 million, respectively. Our income tax benefit is primarily related to a decrease in deferred tax liabilities reduced by foreign taxes assessable on the dividends of Wynn Macau, S.A. and foreign tax provisions related to our international marketing offices. Since June 30, 2010, we have no longer considered our portion of the tax earnings and profits of Wynn Macau, Limited to be permanently invested. No additional U.S. tax provision has been made with respect to amounts not considered permanently invested as we anticipate that U.S. foreign tax credits should be sufficient to eliminate any U.S. tax provision relating to repatriation. We have not provided deferred U.S. income taxes or foreign withholding taxes on temporary differences as these amounts are permanently reinvested. For the three months ended September 30, 2013 and 2012, we recognized income tax benefits related to excess tax deductions associated with stock compensation costs of $0.7 million and $0.6 million, respectively.</w:t>
      </w:r>
    </w:p>
    <w:p>
      <w:pPr>
        <w:spacing w:after="0" w:line="83" w:lineRule="exact"/>
        <w:rPr>
          <w:sz w:val="20"/>
          <w:szCs w:val="20"/>
          <w:color w:val="auto"/>
        </w:rPr>
      </w:pPr>
    </w:p>
    <w:p>
      <w:pPr>
        <w:jc w:val="both"/>
        <w:ind w:right="140" w:firstLine="459"/>
        <w:spacing w:after="0" w:line="259" w:lineRule="auto"/>
        <w:rPr>
          <w:sz w:val="20"/>
          <w:szCs w:val="20"/>
          <w:color w:val="auto"/>
        </w:rPr>
      </w:pPr>
      <w:r>
        <w:rPr>
          <w:rFonts w:ascii="Arial" w:cs="Arial" w:eastAsia="Arial" w:hAnsi="Arial"/>
          <w:sz w:val="12"/>
          <w:szCs w:val="12"/>
          <w:color w:val="auto"/>
        </w:rPr>
        <w:t>Wynn Macau, S.A. has received an exemption from Macau’s 12% Complementary Tax on casino gaming profits through December 31, 2015. Accordingly, we were exempt from the payment of $26 million and $20.3 million in such taxes during the three months ended September 30, 2013 and 2012, respectively. Our non-gaming profits remain subject to the Macau Complementary Tax and casino winnings remain subject to the Macau Special Gaming tax and other levies together totaling 39% in accordance with our concession agreement.</w:t>
      </w:r>
    </w:p>
    <w:p>
      <w:pPr>
        <w:spacing w:after="0" w:line="94" w:lineRule="exact"/>
        <w:rPr>
          <w:sz w:val="20"/>
          <w:szCs w:val="20"/>
          <w:color w:val="auto"/>
        </w:rPr>
      </w:pPr>
    </w:p>
    <w:p>
      <w:pPr>
        <w:jc w:val="both"/>
        <w:ind w:firstLine="459"/>
        <w:spacing w:after="0" w:line="259" w:lineRule="auto"/>
        <w:rPr>
          <w:sz w:val="20"/>
          <w:szCs w:val="20"/>
          <w:color w:val="auto"/>
        </w:rPr>
      </w:pPr>
      <w:r>
        <w:rPr>
          <w:rFonts w:ascii="Arial" w:cs="Arial" w:eastAsia="Arial" w:hAnsi="Arial"/>
          <w:sz w:val="12"/>
          <w:szCs w:val="12"/>
          <w:color w:val="auto"/>
        </w:rPr>
        <w:t>In February 2013, we received notification that we had been accepted into the IRS Compliance Assurance Program (“CAP”) for the 2013 tax year and in March 2013, we received additional notification that we had been selected for the Compliance Maintenance phase of CAP for the 2013 tax year. In the Compliance Maintenance phase, the IRS, at its discretion, may reduce the level of review of the taxpayer’s tax positions based on the complexity and number of issues, and the taxpayer’s history of compliance, cooperation and transparency in the CAP.</w:t>
      </w:r>
    </w:p>
    <w:p>
      <w:pPr>
        <w:spacing w:after="0" w:line="94" w:lineRule="exact"/>
        <w:rPr>
          <w:sz w:val="20"/>
          <w:szCs w:val="20"/>
          <w:color w:val="auto"/>
        </w:rPr>
      </w:pPr>
    </w:p>
    <w:p>
      <w:pPr>
        <w:ind w:left="460"/>
        <w:spacing w:after="0"/>
        <w:rPr>
          <w:sz w:val="20"/>
          <w:szCs w:val="20"/>
          <w:color w:val="auto"/>
        </w:rPr>
      </w:pPr>
      <w:r>
        <w:rPr>
          <w:rFonts w:ascii="Arial" w:cs="Arial" w:eastAsia="Arial" w:hAnsi="Arial"/>
          <w:sz w:val="12"/>
          <w:szCs w:val="12"/>
          <w:color w:val="auto"/>
        </w:rPr>
        <w:t>In January 2013, the Financial Services Bureau examined the 2009 and 2010 Macau income tax returns of Palo Real Estate Company Limited. The exam resulted in no change to the tax returns.</w:t>
      </w:r>
    </w:p>
    <w:p>
      <w:pPr>
        <w:spacing w:after="0" w:line="114" w:lineRule="exact"/>
        <w:rPr>
          <w:sz w:val="20"/>
          <w:szCs w:val="20"/>
          <w:color w:val="auto"/>
        </w:rPr>
      </w:pPr>
    </w:p>
    <w:p>
      <w:pPr>
        <w:ind w:right="80" w:firstLine="459"/>
        <w:spacing w:after="0" w:line="268" w:lineRule="auto"/>
        <w:rPr>
          <w:sz w:val="20"/>
          <w:szCs w:val="20"/>
          <w:color w:val="auto"/>
        </w:rPr>
      </w:pPr>
      <w:r>
        <w:rPr>
          <w:rFonts w:ascii="Arial" w:cs="Arial" w:eastAsia="Arial" w:hAnsi="Arial"/>
          <w:sz w:val="12"/>
          <w:szCs w:val="12"/>
          <w:color w:val="auto"/>
        </w:rPr>
        <w:t>In March 2013, the Financial Services Bureau commenced an examination of the 2009, 2010, and 2011 Macau income tax returns of Wynn Macau, S.A. Since the examination is in its initial stages, we are unable to determine if it will conclude within the next 12 months. We believe that our liability for uncertain tax positions is adequate with respect to these years.</w:t>
      </w:r>
    </w:p>
    <w:p>
      <w:pPr>
        <w:spacing w:after="0" w:line="88" w:lineRule="exact"/>
        <w:rPr>
          <w:sz w:val="20"/>
          <w:szCs w:val="20"/>
          <w:color w:val="auto"/>
        </w:rPr>
      </w:pPr>
    </w:p>
    <w:p>
      <w:pPr>
        <w:ind w:left="460"/>
        <w:spacing w:after="0"/>
        <w:rPr>
          <w:sz w:val="20"/>
          <w:szCs w:val="20"/>
          <w:color w:val="auto"/>
        </w:rPr>
      </w:pPr>
      <w:r>
        <w:rPr>
          <w:rFonts w:ascii="Arial" w:cs="Arial" w:eastAsia="Arial" w:hAnsi="Arial"/>
          <w:sz w:val="12"/>
          <w:szCs w:val="12"/>
          <w:color w:val="auto"/>
        </w:rPr>
        <w:t>In May 2013, the Company received notification that the IRS completed its examination of the Company’s 2011 U.S. income tax return and had no changes.</w:t>
      </w:r>
    </w:p>
    <w:p>
      <w:pPr>
        <w:spacing w:after="0" w:line="168"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Net income attributable to noncontrolling interests</w:t>
      </w:r>
    </w:p>
    <w:p>
      <w:pPr>
        <w:spacing w:after="0" w:line="60" w:lineRule="exact"/>
        <w:rPr>
          <w:sz w:val="20"/>
          <w:szCs w:val="20"/>
          <w:color w:val="auto"/>
        </w:rPr>
      </w:pPr>
    </w:p>
    <w:p>
      <w:pPr>
        <w:ind w:right="80" w:firstLine="459"/>
        <w:spacing w:after="0" w:line="294" w:lineRule="auto"/>
        <w:rPr>
          <w:sz w:val="20"/>
          <w:szCs w:val="20"/>
          <w:color w:val="auto"/>
        </w:rPr>
      </w:pPr>
      <w:r>
        <w:rPr>
          <w:rFonts w:ascii="Arial" w:cs="Arial" w:eastAsia="Arial" w:hAnsi="Arial"/>
          <w:sz w:val="11"/>
          <w:szCs w:val="11"/>
          <w:color w:val="auto"/>
        </w:rPr>
        <w:t>In October 2009, Wynn Macau, Limited, our indirect wholly owned subsidiary and the developer, owner and operator of Wynn Macau, listed its ordinary shares of common stock on The Stock Exchange of Hong Kong Limited. Wynn Macau, Limited sold 1,437,500,000 shares (27.7%) of its common stock through an initial public offering. We recorded net income attributable to noncontrolling interests of $66.8 million for the three months ended September 30, 2013, compared to $53.1 million for the three months ended September 30, 2012. This represents the noncontrolling interests’ share of net income from Wynn Macau, Limited during each quarter.</w:t>
      </w:r>
    </w:p>
    <w:p>
      <w:pPr>
        <w:spacing w:after="0" w:line="130"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Financial results for the nine months ended September 30, 2013 compared to the nine months ended September 30, 2012.</w:t>
      </w:r>
    </w:p>
    <w:p>
      <w:pPr>
        <w:spacing w:after="0" w:line="60" w:lineRule="exact"/>
        <w:rPr>
          <w:sz w:val="20"/>
          <w:szCs w:val="20"/>
          <w:color w:val="auto"/>
        </w:rPr>
      </w:pPr>
    </w:p>
    <w:p>
      <w:pPr>
        <w:ind w:left="220"/>
        <w:spacing w:after="0"/>
        <w:rPr>
          <w:sz w:val="20"/>
          <w:szCs w:val="20"/>
          <w:color w:val="auto"/>
        </w:rPr>
      </w:pPr>
      <w:r>
        <w:rPr>
          <w:rFonts w:ascii="Arial" w:cs="Arial" w:eastAsia="Arial" w:hAnsi="Arial"/>
          <w:sz w:val="12"/>
          <w:szCs w:val="12"/>
          <w:i w:val="1"/>
          <w:iCs w:val="1"/>
          <w:color w:val="auto"/>
        </w:rPr>
        <w:t>Revenues</w:t>
      </w:r>
    </w:p>
    <w:p>
      <w:pPr>
        <w:spacing w:after="0" w:line="60" w:lineRule="exact"/>
        <w:rPr>
          <w:sz w:val="20"/>
          <w:szCs w:val="20"/>
          <w:color w:val="auto"/>
        </w:rPr>
      </w:pPr>
    </w:p>
    <w:p>
      <w:pPr>
        <w:ind w:left="460"/>
        <w:spacing w:after="0"/>
        <w:rPr>
          <w:sz w:val="20"/>
          <w:szCs w:val="20"/>
          <w:color w:val="auto"/>
        </w:rPr>
      </w:pPr>
      <w:r>
        <w:rPr>
          <w:rFonts w:ascii="Arial" w:cs="Arial" w:eastAsia="Arial" w:hAnsi="Arial"/>
          <w:sz w:val="11"/>
          <w:szCs w:val="11"/>
          <w:color w:val="auto"/>
        </w:rPr>
        <w:t>Net revenues for the nine months ended September 30, 2013, were comprised of $3,228.2 million in casino revenues (78.7% of total net revenues) and $872.8 million of net non-casino revenues (21.3% of total net</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41</w:t>
      </w:r>
    </w:p>
    <w:p>
      <w:pPr>
        <w:sectPr>
          <w:pgSz w:w="11900" w:h="16838" w:orient="portrait"/>
          <w:cols w:equalWidth="0" w:num="1">
            <w:col w:w="11460"/>
          </w:cols>
          <w:pgMar w:left="220" w:top="354" w:right="219" w:bottom="1440" w:gutter="0" w:footer="0" w:header="0"/>
        </w:sectPr>
      </w:pPr>
    </w:p>
    <w:bookmarkStart w:id="41" w:name="page42"/>
    <w:bookmarkEnd w:id="41"/>
    <w:p>
      <w:pPr>
        <w:ind w:left="8"/>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121920</wp:posOffset>
            </wp:positionH>
            <wp:positionV relativeFrom="page">
              <wp:posOffset>88900</wp:posOffset>
            </wp:positionV>
            <wp:extent cx="7329170" cy="298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329170" cy="29845"/>
                    </a:xfrm>
                    <a:prstGeom prst="rect">
                      <a:avLst/>
                    </a:prstGeom>
                    <a:noFill/>
                  </pic:spPr>
                </pic:pic>
              </a:graphicData>
            </a:graphic>
          </wp:anchor>
        </w:drawing>
      </w:r>
      <w:hyperlink w:anchor="page2">
        <w:r>
          <w:rPr>
            <w:rFonts w:ascii="Arial" w:cs="Arial" w:eastAsia="Arial" w:hAnsi="Arial"/>
            <w:sz w:val="12"/>
            <w:szCs w:val="12"/>
            <w:b w:val="1"/>
            <w:bCs w:val="1"/>
            <w:u w:val="single" w:color="auto"/>
            <w:color w:val="0000EE"/>
          </w:rPr>
          <w:t>Table of Contents</w:t>
        </w:r>
      </w:hyperlink>
    </w:p>
    <w:p>
      <w:pPr>
        <w:spacing w:after="0" w:line="209" w:lineRule="exact"/>
        <w:rPr>
          <w:sz w:val="20"/>
          <w:szCs w:val="20"/>
          <w:color w:val="auto"/>
        </w:rPr>
      </w:pPr>
    </w:p>
    <w:p>
      <w:pPr>
        <w:ind w:left="8"/>
        <w:spacing w:after="0"/>
        <w:rPr>
          <w:sz w:val="20"/>
          <w:szCs w:val="20"/>
          <w:color w:val="auto"/>
        </w:rPr>
      </w:pPr>
      <w:r>
        <w:rPr>
          <w:rFonts w:ascii="Arial" w:cs="Arial" w:eastAsia="Arial" w:hAnsi="Arial"/>
          <w:sz w:val="11"/>
          <w:szCs w:val="11"/>
          <w:color w:val="auto"/>
        </w:rPr>
        <w:t>revenues). Net revenues for the nine months ended September 30, 2012, are comprised of $3,015.5 million in casino revenues (78% of total net revenues) and $849.7 million of net non-casino revenues (22% of total net revenues).</w:t>
      </w:r>
    </w:p>
    <w:p>
      <w:pPr>
        <w:spacing w:after="0" w:line="126" w:lineRule="exact"/>
        <w:rPr>
          <w:sz w:val="20"/>
          <w:szCs w:val="20"/>
          <w:color w:val="auto"/>
        </w:rPr>
      </w:pPr>
    </w:p>
    <w:p>
      <w:pPr>
        <w:ind w:left="8" w:right="120" w:firstLine="459"/>
        <w:spacing w:after="0" w:line="268" w:lineRule="auto"/>
        <w:rPr>
          <w:sz w:val="20"/>
          <w:szCs w:val="20"/>
          <w:color w:val="auto"/>
        </w:rPr>
      </w:pPr>
      <w:r>
        <w:rPr>
          <w:rFonts w:ascii="Arial" w:cs="Arial" w:eastAsia="Arial" w:hAnsi="Arial"/>
          <w:sz w:val="12"/>
          <w:szCs w:val="12"/>
          <w:color w:val="auto"/>
        </w:rPr>
        <w:t>Casino revenues are comprised of the net win from our table games and slot machine operations. Casino revenues of $3,228.2 million for the nine months ended September 30, 2013, represents a $212.7 million (7.1%) increase from casino revenues of $3,015.5 million for the nine months ended September 30, 2012.</w:t>
      </w:r>
    </w:p>
    <w:p>
      <w:pPr>
        <w:spacing w:after="0" w:line="88" w:lineRule="exact"/>
        <w:rPr>
          <w:sz w:val="20"/>
          <w:szCs w:val="20"/>
          <w:color w:val="auto"/>
        </w:rPr>
      </w:pPr>
    </w:p>
    <w:p>
      <w:pPr>
        <w:ind w:left="8" w:right="180" w:firstLine="459"/>
        <w:spacing w:after="0" w:line="259" w:lineRule="auto"/>
        <w:rPr>
          <w:sz w:val="20"/>
          <w:szCs w:val="20"/>
          <w:color w:val="auto"/>
        </w:rPr>
      </w:pPr>
      <w:r>
        <w:rPr>
          <w:rFonts w:ascii="Arial" w:cs="Arial" w:eastAsia="Arial" w:hAnsi="Arial"/>
          <w:sz w:val="12"/>
          <w:szCs w:val="12"/>
          <w:color w:val="auto"/>
        </w:rPr>
        <w:t>For the nine months ended September 30, 2013, our Macau Operations experienced a $144 million (5.5%) increase in casino revenues to $2,747.7 million, compared to the prior year period casino revenue of $2,603.7 million due primarily to strong table games results in both the general casino and VIP casino. For the nine months ended September 30, 2013, our Las Vegas Operations experienced a $68.7 million (16.7%) increase in casino revenues to $480.5 million, compared to the prior year period casino revenue of $411.8 million due to a significant increase in our table games win percentage (before discounts).</w:t>
      </w:r>
    </w:p>
    <w:p>
      <w:pPr>
        <w:spacing w:after="0" w:line="94" w:lineRule="exact"/>
        <w:rPr>
          <w:sz w:val="20"/>
          <w:szCs w:val="20"/>
          <w:color w:val="auto"/>
        </w:rPr>
      </w:pPr>
    </w:p>
    <w:p>
      <w:pPr>
        <w:ind w:left="468"/>
        <w:spacing w:after="0"/>
        <w:rPr>
          <w:sz w:val="20"/>
          <w:szCs w:val="20"/>
          <w:color w:val="auto"/>
        </w:rPr>
      </w:pPr>
      <w:r>
        <w:rPr>
          <w:rFonts w:ascii="Arial" w:cs="Arial" w:eastAsia="Arial" w:hAnsi="Arial"/>
          <w:sz w:val="12"/>
          <w:szCs w:val="12"/>
          <w:color w:val="auto"/>
        </w:rPr>
        <w:t>The table below sets forth key gaming statistics related to our Macau and Las Vegas Operations.</w:t>
      </w:r>
    </w:p>
    <w:p>
      <w:pPr>
        <w:spacing w:after="0" w:line="138" w:lineRule="exact"/>
        <w:rPr>
          <w:sz w:val="20"/>
          <w:szCs w:val="20"/>
          <w:color w:val="auto"/>
        </w:rPr>
      </w:pPr>
    </w:p>
    <w:tbl>
      <w:tblPr>
        <w:tblLayout w:type="fixed"/>
        <w:tblInd w:w="468" w:type="dxa"/>
        <w:tblCellMar>
          <w:top w:w="0" w:type="dxa"/>
          <w:left w:w="0" w:type="dxa"/>
          <w:bottom w:w="0" w:type="dxa"/>
          <w:right w:w="0" w:type="dxa"/>
        </w:tblCellMar>
      </w:tblPr>
      <w:tr>
        <w:trPr>
          <w:trHeight w:val="108"/>
        </w:trPr>
        <w:tc>
          <w:tcPr>
            <w:tcW w:w="20" w:type="dxa"/>
            <w:vAlign w:val="bottom"/>
          </w:tcPr>
          <w:p>
            <w:pPr>
              <w:spacing w:after="0"/>
              <w:rPr>
                <w:sz w:val="9"/>
                <w:szCs w:val="9"/>
                <w:color w:val="auto"/>
              </w:rPr>
            </w:pPr>
          </w:p>
        </w:tc>
        <w:tc>
          <w:tcPr>
            <w:tcW w:w="3760" w:type="dxa"/>
            <w:vAlign w:val="bottom"/>
          </w:tcPr>
          <w:p>
            <w:pPr>
              <w:spacing w:after="0"/>
              <w:rPr>
                <w:sz w:val="9"/>
                <w:szCs w:val="9"/>
                <w:color w:val="auto"/>
              </w:rPr>
            </w:pPr>
          </w:p>
        </w:tc>
        <w:tc>
          <w:tcPr>
            <w:tcW w:w="19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86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1460" w:type="dxa"/>
            <w:vAlign w:val="bottom"/>
            <w:tcBorders>
              <w:bottom w:val="single" w:sz="8" w:color="auto"/>
            </w:tcBorders>
            <w:gridSpan w:val="2"/>
          </w:tcPr>
          <w:p>
            <w:pPr>
              <w:jc w:val="right"/>
              <w:spacing w:after="0"/>
              <w:rPr>
                <w:sz w:val="20"/>
                <w:szCs w:val="20"/>
                <w:color w:val="auto"/>
              </w:rPr>
            </w:pPr>
            <w:r>
              <w:rPr>
                <w:rFonts w:ascii="Arial" w:cs="Arial" w:eastAsia="Arial" w:hAnsi="Arial"/>
                <w:sz w:val="9"/>
                <w:szCs w:val="9"/>
                <w:b w:val="1"/>
                <w:bCs w:val="1"/>
                <w:color w:val="auto"/>
                <w:w w:val="95"/>
              </w:rPr>
              <w:t>Nine Months Ended September 30,</w:t>
            </w:r>
          </w:p>
        </w:tc>
        <w:tc>
          <w:tcPr>
            <w:tcW w:w="960" w:type="dxa"/>
            <w:vAlign w:val="bottom"/>
            <w:tcBorders>
              <w:bottom w:val="single" w:sz="8" w:color="auto"/>
            </w:tcBorders>
          </w:tcPr>
          <w:p>
            <w:pPr>
              <w:spacing w:after="0"/>
              <w:rPr>
                <w:sz w:val="9"/>
                <w:szCs w:val="9"/>
                <w:color w:val="auto"/>
              </w:rPr>
            </w:pPr>
          </w:p>
        </w:tc>
        <w:tc>
          <w:tcPr>
            <w:tcW w:w="660" w:type="dxa"/>
            <w:vAlign w:val="bottom"/>
            <w:tcBorders>
              <w:bottom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3760" w:type="dxa"/>
            <w:vAlign w:val="bottom"/>
          </w:tcPr>
          <w:p>
            <w:pPr>
              <w:spacing w:after="0"/>
              <w:rPr>
                <w:sz w:val="6"/>
                <w:szCs w:val="6"/>
                <w:color w:val="auto"/>
              </w:rPr>
            </w:pPr>
          </w:p>
        </w:tc>
        <w:tc>
          <w:tcPr>
            <w:tcW w:w="1920" w:type="dxa"/>
            <w:vAlign w:val="bottom"/>
          </w:tcPr>
          <w:p>
            <w:pPr>
              <w:spacing w:after="0"/>
              <w:rPr>
                <w:sz w:val="6"/>
                <w:szCs w:val="6"/>
                <w:color w:val="auto"/>
              </w:rPr>
            </w:pPr>
          </w:p>
        </w:tc>
        <w:tc>
          <w:tcPr>
            <w:tcW w:w="100" w:type="dxa"/>
            <w:vAlign w:val="bottom"/>
          </w:tcPr>
          <w:p>
            <w:pPr>
              <w:spacing w:after="0"/>
              <w:rPr>
                <w:sz w:val="6"/>
                <w:szCs w:val="6"/>
                <w:color w:val="auto"/>
              </w:rPr>
            </w:pPr>
          </w:p>
        </w:tc>
        <w:tc>
          <w:tcPr>
            <w:tcW w:w="860" w:type="dxa"/>
            <w:vAlign w:val="bottom"/>
          </w:tcPr>
          <w:p>
            <w:pPr>
              <w:spacing w:after="0"/>
              <w:rPr>
                <w:sz w:val="6"/>
                <w:szCs w:val="6"/>
                <w:color w:val="auto"/>
              </w:rPr>
            </w:pPr>
          </w:p>
        </w:tc>
        <w:tc>
          <w:tcPr>
            <w:tcW w:w="600" w:type="dxa"/>
            <w:vAlign w:val="bottom"/>
          </w:tcPr>
          <w:p>
            <w:pPr>
              <w:spacing w:after="0"/>
              <w:rPr>
                <w:sz w:val="6"/>
                <w:szCs w:val="6"/>
                <w:color w:val="auto"/>
              </w:rPr>
            </w:pPr>
          </w:p>
        </w:tc>
        <w:tc>
          <w:tcPr>
            <w:tcW w:w="1020" w:type="dxa"/>
            <w:vAlign w:val="bottom"/>
          </w:tcPr>
          <w:p>
            <w:pPr>
              <w:spacing w:after="0"/>
              <w:rPr>
                <w:sz w:val="6"/>
                <w:szCs w:val="6"/>
                <w:color w:val="auto"/>
              </w:rPr>
            </w:pPr>
          </w:p>
        </w:tc>
        <w:tc>
          <w:tcPr>
            <w:tcW w:w="440" w:type="dxa"/>
            <w:vAlign w:val="bottom"/>
          </w:tcPr>
          <w:p>
            <w:pPr>
              <w:spacing w:after="0"/>
              <w:rPr>
                <w:sz w:val="6"/>
                <w:szCs w:val="6"/>
                <w:color w:val="auto"/>
              </w:rPr>
            </w:pPr>
          </w:p>
        </w:tc>
        <w:tc>
          <w:tcPr>
            <w:tcW w:w="960" w:type="dxa"/>
            <w:vAlign w:val="bottom"/>
          </w:tcPr>
          <w:p>
            <w:pPr>
              <w:jc w:val="right"/>
              <w:ind w:right="483"/>
              <w:spacing w:after="0" w:line="79" w:lineRule="exact"/>
              <w:rPr>
                <w:sz w:val="20"/>
                <w:szCs w:val="20"/>
                <w:color w:val="auto"/>
              </w:rPr>
            </w:pPr>
            <w:r>
              <w:rPr>
                <w:rFonts w:ascii="Arial" w:cs="Arial" w:eastAsia="Arial" w:hAnsi="Arial"/>
                <w:sz w:val="9"/>
                <w:szCs w:val="9"/>
                <w:b w:val="1"/>
                <w:bCs w:val="1"/>
                <w:color w:val="auto"/>
              </w:rPr>
              <w:t>Increase/</w:t>
            </w:r>
          </w:p>
        </w:tc>
        <w:tc>
          <w:tcPr>
            <w:tcW w:w="660" w:type="dxa"/>
            <w:vAlign w:val="bottom"/>
          </w:tcPr>
          <w:p>
            <w:pPr>
              <w:jc w:val="right"/>
              <w:spacing w:after="0" w:line="79" w:lineRule="exact"/>
              <w:rPr>
                <w:sz w:val="20"/>
                <w:szCs w:val="20"/>
                <w:color w:val="auto"/>
              </w:rPr>
            </w:pPr>
            <w:r>
              <w:rPr>
                <w:rFonts w:ascii="Arial" w:cs="Arial" w:eastAsia="Arial" w:hAnsi="Arial"/>
                <w:sz w:val="9"/>
                <w:szCs w:val="9"/>
                <w:b w:val="1"/>
                <w:bCs w:val="1"/>
                <w:color w:val="auto"/>
              </w:rPr>
              <w:t>Percent</w:t>
            </w:r>
          </w:p>
        </w:tc>
        <w:tc>
          <w:tcPr>
            <w:tcW w:w="2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760" w:type="dxa"/>
            <w:vAlign w:val="bottom"/>
          </w:tcPr>
          <w:p>
            <w:pPr>
              <w:spacing w:after="0"/>
              <w:rPr>
                <w:sz w:val="9"/>
                <w:szCs w:val="9"/>
                <w:color w:val="auto"/>
              </w:rPr>
            </w:pPr>
          </w:p>
        </w:tc>
        <w:tc>
          <w:tcPr>
            <w:tcW w:w="1920" w:type="dxa"/>
            <w:vAlign w:val="bottom"/>
          </w:tcPr>
          <w:p>
            <w:pPr>
              <w:spacing w:after="0"/>
              <w:rPr>
                <w:sz w:val="9"/>
                <w:szCs w:val="9"/>
                <w:color w:val="auto"/>
              </w:rPr>
            </w:pPr>
          </w:p>
        </w:tc>
        <w:tc>
          <w:tcPr>
            <w:tcW w:w="100" w:type="dxa"/>
            <w:vAlign w:val="bottom"/>
          </w:tcPr>
          <w:p>
            <w:pPr>
              <w:spacing w:after="0"/>
              <w:rPr>
                <w:sz w:val="9"/>
                <w:szCs w:val="9"/>
                <w:color w:val="auto"/>
              </w:rPr>
            </w:pPr>
          </w:p>
        </w:tc>
        <w:tc>
          <w:tcPr>
            <w:tcW w:w="860" w:type="dxa"/>
            <w:vAlign w:val="bottom"/>
          </w:tcPr>
          <w:p>
            <w:pPr>
              <w:jc w:val="right"/>
              <w:ind w:right="482"/>
              <w:spacing w:after="0"/>
              <w:rPr>
                <w:sz w:val="20"/>
                <w:szCs w:val="20"/>
                <w:color w:val="auto"/>
              </w:rPr>
            </w:pPr>
            <w:r>
              <w:rPr>
                <w:rFonts w:ascii="Arial" w:cs="Arial" w:eastAsia="Arial" w:hAnsi="Arial"/>
                <w:sz w:val="9"/>
                <w:szCs w:val="9"/>
                <w:b w:val="1"/>
                <w:bCs w:val="1"/>
                <w:color w:val="auto"/>
              </w:rPr>
              <w:t>2013</w:t>
            </w:r>
          </w:p>
        </w:tc>
        <w:tc>
          <w:tcPr>
            <w:tcW w:w="600" w:type="dxa"/>
            <w:vAlign w:val="bottom"/>
          </w:tcPr>
          <w:p>
            <w:pPr>
              <w:spacing w:after="0"/>
              <w:rPr>
                <w:sz w:val="9"/>
                <w:szCs w:val="9"/>
                <w:color w:val="auto"/>
              </w:rPr>
            </w:pPr>
          </w:p>
        </w:tc>
        <w:tc>
          <w:tcPr>
            <w:tcW w:w="1020" w:type="dxa"/>
            <w:vAlign w:val="bottom"/>
          </w:tcPr>
          <w:p>
            <w:pPr>
              <w:jc w:val="right"/>
              <w:ind w:right="623"/>
              <w:spacing w:after="0"/>
              <w:rPr>
                <w:sz w:val="20"/>
                <w:szCs w:val="20"/>
                <w:color w:val="auto"/>
              </w:rPr>
            </w:pPr>
            <w:r>
              <w:rPr>
                <w:rFonts w:ascii="Arial" w:cs="Arial" w:eastAsia="Arial" w:hAnsi="Arial"/>
                <w:sz w:val="9"/>
                <w:szCs w:val="9"/>
                <w:b w:val="1"/>
                <w:bCs w:val="1"/>
                <w:color w:val="auto"/>
              </w:rPr>
              <w:t>2012</w:t>
            </w:r>
          </w:p>
        </w:tc>
        <w:tc>
          <w:tcPr>
            <w:tcW w:w="440" w:type="dxa"/>
            <w:vAlign w:val="bottom"/>
          </w:tcPr>
          <w:p>
            <w:pPr>
              <w:spacing w:after="0"/>
              <w:rPr>
                <w:sz w:val="9"/>
                <w:szCs w:val="9"/>
                <w:color w:val="auto"/>
              </w:rPr>
            </w:pPr>
          </w:p>
        </w:tc>
        <w:tc>
          <w:tcPr>
            <w:tcW w:w="960" w:type="dxa"/>
            <w:vAlign w:val="bottom"/>
          </w:tcPr>
          <w:p>
            <w:pPr>
              <w:jc w:val="right"/>
              <w:ind w:right="463"/>
              <w:spacing w:after="0"/>
              <w:rPr>
                <w:sz w:val="20"/>
                <w:szCs w:val="20"/>
                <w:color w:val="auto"/>
              </w:rPr>
            </w:pPr>
            <w:r>
              <w:rPr>
                <w:rFonts w:ascii="Arial" w:cs="Arial" w:eastAsia="Arial" w:hAnsi="Arial"/>
                <w:sz w:val="9"/>
                <w:szCs w:val="9"/>
                <w:b w:val="1"/>
                <w:bCs w:val="1"/>
                <w:color w:val="auto"/>
                <w:w w:val="91"/>
              </w:rPr>
              <w:t>(Decrease)</w:t>
            </w:r>
          </w:p>
        </w:tc>
        <w:tc>
          <w:tcPr>
            <w:tcW w:w="880" w:type="dxa"/>
            <w:vAlign w:val="bottom"/>
            <w:gridSpan w:val="2"/>
          </w:tcPr>
          <w:p>
            <w:pPr>
              <w:jc w:val="right"/>
              <w:ind w:right="240"/>
              <w:spacing w:after="0"/>
              <w:rPr>
                <w:sz w:val="20"/>
                <w:szCs w:val="20"/>
                <w:color w:val="auto"/>
              </w:rPr>
            </w:pPr>
            <w:r>
              <w:rPr>
                <w:rFonts w:ascii="Arial" w:cs="Arial" w:eastAsia="Arial" w:hAnsi="Arial"/>
                <w:sz w:val="9"/>
                <w:szCs w:val="9"/>
                <w:b w:val="1"/>
                <w:bCs w:val="1"/>
                <w:color w:val="auto"/>
              </w:rPr>
              <w:t>Change</w:t>
            </w: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3760" w:type="dxa"/>
            <w:vAlign w:val="bottom"/>
          </w:tcPr>
          <w:p>
            <w:pPr>
              <w:spacing w:after="0"/>
              <w:rPr>
                <w:sz w:val="7"/>
                <w:szCs w:val="7"/>
                <w:color w:val="auto"/>
              </w:rPr>
            </w:pPr>
          </w:p>
        </w:tc>
        <w:tc>
          <w:tcPr>
            <w:tcW w:w="1920" w:type="dxa"/>
            <w:vAlign w:val="bottom"/>
          </w:tcPr>
          <w:p>
            <w:pPr>
              <w:spacing w:after="0"/>
              <w:rPr>
                <w:sz w:val="7"/>
                <w:szCs w:val="7"/>
                <w:color w:val="auto"/>
              </w:rPr>
            </w:pPr>
          </w:p>
        </w:tc>
        <w:tc>
          <w:tcPr>
            <w:tcW w:w="100" w:type="dxa"/>
            <w:vAlign w:val="bottom"/>
            <w:tcBorders>
              <w:top w:val="single" w:sz="8" w:color="auto"/>
            </w:tcBorders>
          </w:tcPr>
          <w:p>
            <w:pPr>
              <w:spacing w:after="0"/>
              <w:rPr>
                <w:sz w:val="7"/>
                <w:szCs w:val="7"/>
                <w:color w:val="auto"/>
              </w:rPr>
            </w:pPr>
          </w:p>
        </w:tc>
        <w:tc>
          <w:tcPr>
            <w:tcW w:w="860" w:type="dxa"/>
            <w:vAlign w:val="bottom"/>
            <w:tcBorders>
              <w:top w:val="single" w:sz="8" w:color="auto"/>
            </w:tcBorders>
          </w:tcPr>
          <w:p>
            <w:pPr>
              <w:spacing w:after="0"/>
              <w:rPr>
                <w:sz w:val="7"/>
                <w:szCs w:val="7"/>
                <w:color w:val="auto"/>
              </w:rPr>
            </w:pPr>
          </w:p>
        </w:tc>
        <w:tc>
          <w:tcPr>
            <w:tcW w:w="3020" w:type="dxa"/>
            <w:vAlign w:val="bottom"/>
            <w:tcBorders>
              <w:top w:val="single" w:sz="8" w:color="auto"/>
            </w:tcBorders>
            <w:gridSpan w:val="4"/>
          </w:tcPr>
          <w:p>
            <w:pPr>
              <w:jc w:val="right"/>
              <w:ind w:right="443"/>
              <w:spacing w:after="0" w:line="88" w:lineRule="exact"/>
              <w:rPr>
                <w:sz w:val="20"/>
                <w:szCs w:val="20"/>
                <w:color w:val="auto"/>
              </w:rPr>
            </w:pPr>
            <w:r>
              <w:rPr>
                <w:rFonts w:ascii="Arial" w:cs="Arial" w:eastAsia="Arial" w:hAnsi="Arial"/>
                <w:sz w:val="9"/>
                <w:szCs w:val="9"/>
                <w:color w:val="auto"/>
                <w:w w:val="97"/>
              </w:rPr>
              <w:t>(amounts in thousands, except for win per unit per day amounts)</w:t>
            </w:r>
          </w:p>
        </w:tc>
        <w:tc>
          <w:tcPr>
            <w:tcW w:w="660" w:type="dxa"/>
            <w:vAlign w:val="bottom"/>
            <w:tcBorders>
              <w:top w:val="single" w:sz="8" w:color="auto"/>
            </w:tcBorders>
          </w:tcPr>
          <w:p>
            <w:pPr>
              <w:spacing w:after="0"/>
              <w:rPr>
                <w:sz w:val="7"/>
                <w:szCs w:val="7"/>
                <w:color w:val="auto"/>
              </w:rPr>
            </w:pPr>
          </w:p>
        </w:tc>
        <w:tc>
          <w:tcPr>
            <w:tcW w:w="2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760" w:type="dxa"/>
            <w:vAlign w:val="bottom"/>
            <w:shd w:val="clear" w:color="auto" w:fill="CCEEFF"/>
          </w:tcPr>
          <w:p>
            <w:pPr>
              <w:spacing w:after="0"/>
              <w:rPr>
                <w:sz w:val="20"/>
                <w:szCs w:val="20"/>
                <w:color w:val="auto"/>
              </w:rPr>
            </w:pPr>
            <w:r>
              <w:rPr>
                <w:rFonts w:ascii="Arial" w:cs="Arial" w:eastAsia="Arial" w:hAnsi="Arial"/>
                <w:sz w:val="12"/>
                <w:szCs w:val="12"/>
                <w:b w:val="1"/>
                <w:bCs w:val="1"/>
                <w:color w:val="auto"/>
              </w:rPr>
              <w:t>Macau Operations:</w:t>
            </w:r>
          </w:p>
        </w:tc>
        <w:tc>
          <w:tcPr>
            <w:tcW w:w="19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760" w:type="dxa"/>
            <w:vAlign w:val="bottom"/>
          </w:tcPr>
          <w:p>
            <w:pPr>
              <w:ind w:left="260"/>
              <w:spacing w:after="0"/>
              <w:rPr>
                <w:sz w:val="20"/>
                <w:szCs w:val="20"/>
                <w:color w:val="auto"/>
              </w:rPr>
            </w:pPr>
            <w:r>
              <w:rPr>
                <w:rFonts w:ascii="Arial" w:cs="Arial" w:eastAsia="Arial" w:hAnsi="Arial"/>
                <w:sz w:val="12"/>
                <w:szCs w:val="12"/>
                <w:b w:val="1"/>
                <w:bCs w:val="1"/>
                <w:color w:val="auto"/>
              </w:rPr>
              <w:t>VIP Casino</w:t>
            </w:r>
          </w:p>
        </w:tc>
        <w:tc>
          <w:tcPr>
            <w:tcW w:w="1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760" w:type="dxa"/>
            <w:vAlign w:val="bottom"/>
            <w:shd w:val="clear" w:color="auto" w:fill="CCEEFF"/>
          </w:tcPr>
          <w:p>
            <w:pPr>
              <w:ind w:left="260"/>
              <w:spacing w:after="0"/>
              <w:rPr>
                <w:sz w:val="20"/>
                <w:szCs w:val="20"/>
                <w:color w:val="auto"/>
              </w:rPr>
            </w:pPr>
            <w:r>
              <w:rPr>
                <w:rFonts w:ascii="Arial" w:cs="Arial" w:eastAsia="Arial" w:hAnsi="Arial"/>
                <w:sz w:val="12"/>
                <w:szCs w:val="12"/>
                <w:color w:val="auto"/>
              </w:rPr>
              <w:t>VIP turnover</w:t>
            </w:r>
          </w:p>
        </w:tc>
        <w:tc>
          <w:tcPr>
            <w:tcW w:w="202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w:t>
            </w:r>
          </w:p>
        </w:tc>
        <w:tc>
          <w:tcPr>
            <w:tcW w:w="860" w:type="dxa"/>
            <w:vAlign w:val="bottom"/>
            <w:shd w:val="clear" w:color="auto" w:fill="CCEEFF"/>
          </w:tcPr>
          <w:p>
            <w:pPr>
              <w:jc w:val="right"/>
              <w:ind w:right="222"/>
              <w:spacing w:after="0"/>
              <w:rPr>
                <w:sz w:val="20"/>
                <w:szCs w:val="20"/>
                <w:color w:val="auto"/>
              </w:rPr>
            </w:pPr>
            <w:r>
              <w:rPr>
                <w:rFonts w:ascii="Arial" w:cs="Arial" w:eastAsia="Arial" w:hAnsi="Arial"/>
                <w:sz w:val="12"/>
                <w:szCs w:val="12"/>
                <w:color w:val="auto"/>
                <w:w w:val="93"/>
              </w:rPr>
              <w:t>88,617,910</w:t>
            </w:r>
          </w:p>
        </w:tc>
        <w:tc>
          <w:tcPr>
            <w:tcW w:w="6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020" w:type="dxa"/>
            <w:vAlign w:val="bottom"/>
            <w:shd w:val="clear" w:color="auto" w:fill="CCEEFF"/>
          </w:tcPr>
          <w:p>
            <w:pPr>
              <w:jc w:val="right"/>
              <w:ind w:right="383"/>
              <w:spacing w:after="0"/>
              <w:rPr>
                <w:sz w:val="20"/>
                <w:szCs w:val="20"/>
                <w:color w:val="auto"/>
              </w:rPr>
            </w:pPr>
            <w:r>
              <w:rPr>
                <w:rFonts w:ascii="Arial" w:cs="Arial" w:eastAsia="Arial" w:hAnsi="Arial"/>
                <w:sz w:val="12"/>
                <w:szCs w:val="12"/>
                <w:color w:val="auto"/>
                <w:w w:val="93"/>
              </w:rPr>
              <w:t>91,512,158</w:t>
            </w:r>
          </w:p>
        </w:tc>
        <w:tc>
          <w:tcPr>
            <w:tcW w:w="4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960" w:type="dxa"/>
            <w:vAlign w:val="bottom"/>
            <w:shd w:val="clear" w:color="auto" w:fill="CCEEFF"/>
          </w:tcPr>
          <w:p>
            <w:pPr>
              <w:jc w:val="right"/>
              <w:ind w:right="283"/>
              <w:spacing w:after="0"/>
              <w:rPr>
                <w:sz w:val="20"/>
                <w:szCs w:val="20"/>
                <w:color w:val="auto"/>
              </w:rPr>
            </w:pPr>
            <w:r>
              <w:rPr>
                <w:rFonts w:ascii="Arial" w:cs="Arial" w:eastAsia="Arial" w:hAnsi="Arial"/>
                <w:sz w:val="12"/>
                <w:szCs w:val="12"/>
                <w:color w:val="auto"/>
                <w:w w:val="97"/>
              </w:rPr>
              <w:t>(2,894,248)</w:t>
            </w: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(3.2)%</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760" w:type="dxa"/>
            <w:vAlign w:val="bottom"/>
          </w:tcPr>
          <w:p>
            <w:pPr>
              <w:ind w:left="260"/>
              <w:spacing w:after="0"/>
              <w:rPr>
                <w:sz w:val="20"/>
                <w:szCs w:val="20"/>
                <w:color w:val="auto"/>
              </w:rPr>
            </w:pPr>
            <w:r>
              <w:rPr>
                <w:rFonts w:ascii="Arial" w:cs="Arial" w:eastAsia="Arial" w:hAnsi="Arial"/>
                <w:sz w:val="12"/>
                <w:szCs w:val="12"/>
                <w:color w:val="auto"/>
              </w:rPr>
              <w:t>VIP win as a % of turnover</w:t>
            </w:r>
          </w:p>
        </w:tc>
        <w:tc>
          <w:tcPr>
            <w:tcW w:w="1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jc w:val="right"/>
              <w:ind w:right="122"/>
              <w:spacing w:after="0"/>
              <w:rPr>
                <w:sz w:val="20"/>
                <w:szCs w:val="20"/>
                <w:color w:val="auto"/>
              </w:rPr>
            </w:pPr>
            <w:r>
              <w:rPr>
                <w:rFonts w:ascii="Arial" w:cs="Arial" w:eastAsia="Arial" w:hAnsi="Arial"/>
                <w:sz w:val="12"/>
                <w:szCs w:val="12"/>
                <w:color w:val="auto"/>
              </w:rPr>
              <w:t>3.04%</w:t>
            </w:r>
          </w:p>
        </w:tc>
        <w:tc>
          <w:tcPr>
            <w:tcW w:w="600" w:type="dxa"/>
            <w:vAlign w:val="bottom"/>
          </w:tcPr>
          <w:p>
            <w:pPr>
              <w:spacing w:after="0"/>
              <w:rPr>
                <w:sz w:val="12"/>
                <w:szCs w:val="12"/>
                <w:color w:val="auto"/>
              </w:rPr>
            </w:pPr>
          </w:p>
        </w:tc>
        <w:tc>
          <w:tcPr>
            <w:tcW w:w="1020" w:type="dxa"/>
            <w:vAlign w:val="bottom"/>
          </w:tcPr>
          <w:p>
            <w:pPr>
              <w:jc w:val="right"/>
              <w:ind w:right="283"/>
              <w:spacing w:after="0"/>
              <w:rPr>
                <w:sz w:val="20"/>
                <w:szCs w:val="20"/>
                <w:color w:val="auto"/>
              </w:rPr>
            </w:pPr>
            <w:r>
              <w:rPr>
                <w:rFonts w:ascii="Arial" w:cs="Arial" w:eastAsia="Arial" w:hAnsi="Arial"/>
                <w:sz w:val="12"/>
                <w:szCs w:val="12"/>
                <w:color w:val="auto"/>
              </w:rPr>
              <w:t>2.81%</w:t>
            </w:r>
          </w:p>
        </w:tc>
        <w:tc>
          <w:tcPr>
            <w:tcW w:w="440" w:type="dxa"/>
            <w:vAlign w:val="bottom"/>
          </w:tcPr>
          <w:p>
            <w:pPr>
              <w:spacing w:after="0"/>
              <w:rPr>
                <w:sz w:val="12"/>
                <w:szCs w:val="12"/>
                <w:color w:val="auto"/>
              </w:rPr>
            </w:pPr>
          </w:p>
        </w:tc>
        <w:tc>
          <w:tcPr>
            <w:tcW w:w="960" w:type="dxa"/>
            <w:vAlign w:val="bottom"/>
          </w:tcPr>
          <w:p>
            <w:pPr>
              <w:jc w:val="right"/>
              <w:ind w:right="323"/>
              <w:spacing w:after="0"/>
              <w:rPr>
                <w:sz w:val="20"/>
                <w:szCs w:val="20"/>
                <w:color w:val="auto"/>
              </w:rPr>
            </w:pPr>
            <w:r>
              <w:rPr>
                <w:rFonts w:ascii="Arial" w:cs="Arial" w:eastAsia="Arial" w:hAnsi="Arial"/>
                <w:sz w:val="12"/>
                <w:szCs w:val="12"/>
                <w:color w:val="auto"/>
              </w:rPr>
              <w:t>.23pts</w:t>
            </w:r>
          </w:p>
        </w:tc>
        <w:tc>
          <w:tcPr>
            <w:tcW w:w="880" w:type="dxa"/>
            <w:vAlign w:val="bottom"/>
            <w:gridSpan w:val="2"/>
          </w:tcPr>
          <w:p>
            <w:pPr>
              <w:jc w:val="right"/>
              <w:ind w:right="26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3760" w:type="dxa"/>
            <w:vAlign w:val="bottom"/>
          </w:tcPr>
          <w:p>
            <w:pPr>
              <w:spacing w:after="0"/>
              <w:rPr>
                <w:sz w:val="5"/>
                <w:szCs w:val="5"/>
                <w:color w:val="auto"/>
              </w:rPr>
            </w:pPr>
          </w:p>
        </w:tc>
        <w:tc>
          <w:tcPr>
            <w:tcW w:w="1920" w:type="dxa"/>
            <w:vAlign w:val="bottom"/>
          </w:tcPr>
          <w:p>
            <w:pPr>
              <w:spacing w:after="0"/>
              <w:rPr>
                <w:sz w:val="5"/>
                <w:szCs w:val="5"/>
                <w:color w:val="auto"/>
              </w:rPr>
            </w:pPr>
          </w:p>
        </w:tc>
        <w:tc>
          <w:tcPr>
            <w:tcW w:w="100" w:type="dxa"/>
            <w:vAlign w:val="bottom"/>
          </w:tcPr>
          <w:p>
            <w:pPr>
              <w:spacing w:after="0"/>
              <w:rPr>
                <w:sz w:val="5"/>
                <w:szCs w:val="5"/>
                <w:color w:val="auto"/>
              </w:rPr>
            </w:pPr>
          </w:p>
        </w:tc>
        <w:tc>
          <w:tcPr>
            <w:tcW w:w="860" w:type="dxa"/>
            <w:vAlign w:val="bottom"/>
          </w:tcPr>
          <w:p>
            <w:pPr>
              <w:spacing w:after="0"/>
              <w:rPr>
                <w:sz w:val="5"/>
                <w:szCs w:val="5"/>
                <w:color w:val="auto"/>
              </w:rPr>
            </w:pPr>
          </w:p>
        </w:tc>
        <w:tc>
          <w:tcPr>
            <w:tcW w:w="600" w:type="dxa"/>
            <w:vAlign w:val="bottom"/>
          </w:tcPr>
          <w:p>
            <w:pPr>
              <w:spacing w:after="0"/>
              <w:rPr>
                <w:sz w:val="5"/>
                <w:szCs w:val="5"/>
                <w:color w:val="auto"/>
              </w:rPr>
            </w:pPr>
          </w:p>
        </w:tc>
        <w:tc>
          <w:tcPr>
            <w:tcW w:w="1020" w:type="dxa"/>
            <w:vAlign w:val="bottom"/>
          </w:tcPr>
          <w:p>
            <w:pPr>
              <w:spacing w:after="0"/>
              <w:rPr>
                <w:sz w:val="5"/>
                <w:szCs w:val="5"/>
                <w:color w:val="auto"/>
              </w:rPr>
            </w:pPr>
          </w:p>
        </w:tc>
        <w:tc>
          <w:tcPr>
            <w:tcW w:w="440" w:type="dxa"/>
            <w:vAlign w:val="bottom"/>
          </w:tcPr>
          <w:p>
            <w:pPr>
              <w:spacing w:after="0"/>
              <w:rPr>
                <w:sz w:val="5"/>
                <w:szCs w:val="5"/>
                <w:color w:val="auto"/>
              </w:rPr>
            </w:pPr>
          </w:p>
        </w:tc>
        <w:tc>
          <w:tcPr>
            <w:tcW w:w="960" w:type="dxa"/>
            <w:vAlign w:val="bottom"/>
          </w:tcPr>
          <w:p>
            <w:pPr>
              <w:spacing w:after="0"/>
              <w:rPr>
                <w:sz w:val="5"/>
                <w:szCs w:val="5"/>
                <w:color w:val="auto"/>
              </w:rPr>
            </w:pPr>
          </w:p>
        </w:tc>
        <w:tc>
          <w:tcPr>
            <w:tcW w:w="660" w:type="dxa"/>
            <w:vAlign w:val="bottom"/>
          </w:tcPr>
          <w:p>
            <w:pPr>
              <w:spacing w:after="0"/>
              <w:rPr>
                <w:sz w:val="5"/>
                <w:szCs w:val="5"/>
                <w:color w:val="auto"/>
              </w:rPr>
            </w:pPr>
          </w:p>
        </w:tc>
        <w:tc>
          <w:tcPr>
            <w:tcW w:w="2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760" w:type="dxa"/>
            <w:vAlign w:val="bottom"/>
            <w:shd w:val="clear" w:color="auto" w:fill="CCEEFF"/>
          </w:tcPr>
          <w:p>
            <w:pPr>
              <w:ind w:left="260"/>
              <w:spacing w:after="0"/>
              <w:rPr>
                <w:sz w:val="20"/>
                <w:szCs w:val="20"/>
                <w:color w:val="auto"/>
              </w:rPr>
            </w:pPr>
            <w:r>
              <w:rPr>
                <w:rFonts w:ascii="Arial" w:cs="Arial" w:eastAsia="Arial" w:hAnsi="Arial"/>
                <w:sz w:val="12"/>
                <w:szCs w:val="12"/>
                <w:b w:val="1"/>
                <w:bCs w:val="1"/>
                <w:color w:val="auto"/>
              </w:rPr>
              <w:t>General Casino</w:t>
            </w:r>
          </w:p>
        </w:tc>
        <w:tc>
          <w:tcPr>
            <w:tcW w:w="19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760" w:type="dxa"/>
            <w:vAlign w:val="bottom"/>
          </w:tcPr>
          <w:p>
            <w:pPr>
              <w:ind w:left="260"/>
              <w:spacing w:after="0"/>
              <w:rPr>
                <w:sz w:val="20"/>
                <w:szCs w:val="20"/>
                <w:color w:val="auto"/>
              </w:rPr>
            </w:pPr>
            <w:r>
              <w:rPr>
                <w:rFonts w:ascii="Arial" w:cs="Arial" w:eastAsia="Arial" w:hAnsi="Arial"/>
                <w:sz w:val="12"/>
                <w:szCs w:val="12"/>
                <w:color w:val="auto"/>
              </w:rPr>
              <w:t>Drop (1)</w:t>
            </w:r>
          </w:p>
        </w:tc>
        <w:tc>
          <w:tcPr>
            <w:tcW w:w="2020" w:type="dxa"/>
            <w:vAlign w:val="bottom"/>
            <w:gridSpan w:val="2"/>
          </w:tcPr>
          <w:p>
            <w:pPr>
              <w:jc w:val="right"/>
              <w:ind w:right="40"/>
              <w:spacing w:after="0"/>
              <w:rPr>
                <w:sz w:val="20"/>
                <w:szCs w:val="20"/>
                <w:color w:val="auto"/>
              </w:rPr>
            </w:pPr>
            <w:r>
              <w:rPr>
                <w:rFonts w:ascii="Arial" w:cs="Arial" w:eastAsia="Arial" w:hAnsi="Arial"/>
                <w:sz w:val="12"/>
                <w:szCs w:val="12"/>
                <w:color w:val="auto"/>
              </w:rPr>
              <w:t>$</w:t>
            </w:r>
          </w:p>
        </w:tc>
        <w:tc>
          <w:tcPr>
            <w:tcW w:w="860" w:type="dxa"/>
            <w:vAlign w:val="bottom"/>
          </w:tcPr>
          <w:p>
            <w:pPr>
              <w:jc w:val="right"/>
              <w:ind w:right="222"/>
              <w:spacing w:after="0"/>
              <w:rPr>
                <w:sz w:val="20"/>
                <w:szCs w:val="20"/>
                <w:color w:val="auto"/>
              </w:rPr>
            </w:pPr>
            <w:r>
              <w:rPr>
                <w:rFonts w:ascii="Arial" w:cs="Arial" w:eastAsia="Arial" w:hAnsi="Arial"/>
                <w:sz w:val="12"/>
                <w:szCs w:val="12"/>
                <w:color w:val="auto"/>
              </w:rPr>
              <w:t>1,942,073</w:t>
            </w:r>
          </w:p>
        </w:tc>
        <w:tc>
          <w:tcPr>
            <w:tcW w:w="600" w:type="dxa"/>
            <w:vAlign w:val="bottom"/>
          </w:tcPr>
          <w:p>
            <w:pPr>
              <w:jc w:val="right"/>
              <w:spacing w:after="0"/>
              <w:rPr>
                <w:sz w:val="20"/>
                <w:szCs w:val="20"/>
                <w:color w:val="auto"/>
              </w:rPr>
            </w:pPr>
            <w:r>
              <w:rPr>
                <w:rFonts w:ascii="Arial" w:cs="Arial" w:eastAsia="Arial" w:hAnsi="Arial"/>
                <w:sz w:val="12"/>
                <w:szCs w:val="12"/>
                <w:color w:val="auto"/>
              </w:rPr>
              <w:t>$</w:t>
            </w:r>
          </w:p>
        </w:tc>
        <w:tc>
          <w:tcPr>
            <w:tcW w:w="1020" w:type="dxa"/>
            <w:vAlign w:val="bottom"/>
          </w:tcPr>
          <w:p>
            <w:pPr>
              <w:jc w:val="right"/>
              <w:ind w:right="383"/>
              <w:spacing w:after="0"/>
              <w:rPr>
                <w:sz w:val="20"/>
                <w:szCs w:val="20"/>
                <w:color w:val="auto"/>
              </w:rPr>
            </w:pPr>
            <w:r>
              <w:rPr>
                <w:rFonts w:ascii="Arial" w:cs="Arial" w:eastAsia="Arial" w:hAnsi="Arial"/>
                <w:sz w:val="12"/>
                <w:szCs w:val="12"/>
                <w:color w:val="auto"/>
              </w:rPr>
              <w:t>2,065,323</w:t>
            </w:r>
          </w:p>
        </w:tc>
        <w:tc>
          <w:tcPr>
            <w:tcW w:w="440" w:type="dxa"/>
            <w:vAlign w:val="bottom"/>
          </w:tcPr>
          <w:p>
            <w:pPr>
              <w:jc w:val="right"/>
              <w:spacing w:after="0"/>
              <w:rPr>
                <w:sz w:val="20"/>
                <w:szCs w:val="20"/>
                <w:color w:val="auto"/>
              </w:rPr>
            </w:pPr>
            <w:r>
              <w:rPr>
                <w:rFonts w:ascii="Arial" w:cs="Arial" w:eastAsia="Arial" w:hAnsi="Arial"/>
                <w:sz w:val="12"/>
                <w:szCs w:val="12"/>
                <w:color w:val="auto"/>
              </w:rPr>
              <w:t>$</w:t>
            </w:r>
          </w:p>
        </w:tc>
        <w:tc>
          <w:tcPr>
            <w:tcW w:w="960" w:type="dxa"/>
            <w:vAlign w:val="bottom"/>
          </w:tcPr>
          <w:p>
            <w:pPr>
              <w:jc w:val="right"/>
              <w:ind w:right="283"/>
              <w:spacing w:after="0"/>
              <w:rPr>
                <w:sz w:val="20"/>
                <w:szCs w:val="20"/>
                <w:color w:val="auto"/>
              </w:rPr>
            </w:pPr>
            <w:r>
              <w:rPr>
                <w:rFonts w:ascii="Arial" w:cs="Arial" w:eastAsia="Arial" w:hAnsi="Arial"/>
                <w:sz w:val="12"/>
                <w:szCs w:val="12"/>
                <w:color w:val="auto"/>
              </w:rPr>
              <w:t>(123,250)</w:t>
            </w:r>
          </w:p>
        </w:tc>
        <w:tc>
          <w:tcPr>
            <w:tcW w:w="880" w:type="dxa"/>
            <w:vAlign w:val="bottom"/>
            <w:gridSpan w:val="2"/>
          </w:tcPr>
          <w:p>
            <w:pPr>
              <w:jc w:val="right"/>
              <w:ind w:right="80"/>
              <w:spacing w:after="0"/>
              <w:rPr>
                <w:sz w:val="20"/>
                <w:szCs w:val="20"/>
                <w:color w:val="auto"/>
              </w:rPr>
            </w:pPr>
            <w:r>
              <w:rPr>
                <w:rFonts w:ascii="Arial" w:cs="Arial" w:eastAsia="Arial" w:hAnsi="Arial"/>
                <w:sz w:val="12"/>
                <w:szCs w:val="12"/>
                <w:color w:val="auto"/>
              </w:rPr>
              <w:t>(6.0)%</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760" w:type="dxa"/>
            <w:vAlign w:val="bottom"/>
            <w:shd w:val="clear" w:color="auto" w:fill="CCEEFF"/>
          </w:tcPr>
          <w:p>
            <w:pPr>
              <w:ind w:left="260"/>
              <w:spacing w:after="0"/>
              <w:rPr>
                <w:sz w:val="20"/>
                <w:szCs w:val="20"/>
                <w:color w:val="auto"/>
              </w:rPr>
            </w:pPr>
            <w:r>
              <w:rPr>
                <w:rFonts w:ascii="Arial" w:cs="Arial" w:eastAsia="Arial" w:hAnsi="Arial"/>
                <w:sz w:val="12"/>
                <w:szCs w:val="12"/>
                <w:color w:val="auto"/>
              </w:rPr>
              <w:t>Table games win</w:t>
            </w:r>
          </w:p>
        </w:tc>
        <w:tc>
          <w:tcPr>
            <w:tcW w:w="202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w:t>
            </w:r>
          </w:p>
        </w:tc>
        <w:tc>
          <w:tcPr>
            <w:tcW w:w="860" w:type="dxa"/>
            <w:vAlign w:val="bottom"/>
            <w:shd w:val="clear" w:color="auto" w:fill="CCEEFF"/>
          </w:tcPr>
          <w:p>
            <w:pPr>
              <w:jc w:val="right"/>
              <w:ind w:right="222"/>
              <w:spacing w:after="0"/>
              <w:rPr>
                <w:sz w:val="20"/>
                <w:szCs w:val="20"/>
                <w:color w:val="auto"/>
              </w:rPr>
            </w:pPr>
            <w:r>
              <w:rPr>
                <w:rFonts w:ascii="Arial" w:cs="Arial" w:eastAsia="Arial" w:hAnsi="Arial"/>
                <w:sz w:val="12"/>
                <w:szCs w:val="12"/>
                <w:color w:val="auto"/>
              </w:rPr>
              <w:t>699,999</w:t>
            </w:r>
          </w:p>
        </w:tc>
        <w:tc>
          <w:tcPr>
            <w:tcW w:w="6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020" w:type="dxa"/>
            <w:vAlign w:val="bottom"/>
            <w:shd w:val="clear" w:color="auto" w:fill="CCEEFF"/>
          </w:tcPr>
          <w:p>
            <w:pPr>
              <w:jc w:val="right"/>
              <w:ind w:right="383"/>
              <w:spacing w:after="0"/>
              <w:rPr>
                <w:sz w:val="20"/>
                <w:szCs w:val="20"/>
                <w:color w:val="auto"/>
              </w:rPr>
            </w:pPr>
            <w:r>
              <w:rPr>
                <w:rFonts w:ascii="Arial" w:cs="Arial" w:eastAsia="Arial" w:hAnsi="Arial"/>
                <w:sz w:val="12"/>
                <w:szCs w:val="12"/>
                <w:color w:val="auto"/>
              </w:rPr>
              <w:t>625,355</w:t>
            </w:r>
          </w:p>
        </w:tc>
        <w:tc>
          <w:tcPr>
            <w:tcW w:w="4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960" w:type="dxa"/>
            <w:vAlign w:val="bottom"/>
            <w:shd w:val="clear" w:color="auto" w:fill="CCEEFF"/>
          </w:tcPr>
          <w:p>
            <w:pPr>
              <w:jc w:val="right"/>
              <w:ind w:right="323"/>
              <w:spacing w:after="0"/>
              <w:rPr>
                <w:sz w:val="20"/>
                <w:szCs w:val="20"/>
                <w:color w:val="auto"/>
              </w:rPr>
            </w:pPr>
            <w:r>
              <w:rPr>
                <w:rFonts w:ascii="Arial" w:cs="Arial" w:eastAsia="Arial" w:hAnsi="Arial"/>
                <w:sz w:val="12"/>
                <w:szCs w:val="12"/>
                <w:color w:val="auto"/>
              </w:rPr>
              <w:t>74,644</w:t>
            </w: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11.9%</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760" w:type="dxa"/>
            <w:vAlign w:val="bottom"/>
          </w:tcPr>
          <w:p>
            <w:pPr>
              <w:ind w:left="260"/>
              <w:spacing w:after="0"/>
              <w:rPr>
                <w:sz w:val="20"/>
                <w:szCs w:val="20"/>
                <w:color w:val="auto"/>
              </w:rPr>
            </w:pPr>
            <w:r>
              <w:rPr>
                <w:rFonts w:ascii="Arial" w:cs="Arial" w:eastAsia="Arial" w:hAnsi="Arial"/>
                <w:sz w:val="12"/>
                <w:szCs w:val="12"/>
                <w:color w:val="auto"/>
              </w:rPr>
              <w:t>Table games win % (1)</w:t>
            </w:r>
          </w:p>
        </w:tc>
        <w:tc>
          <w:tcPr>
            <w:tcW w:w="1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jc w:val="right"/>
              <w:ind w:right="122"/>
              <w:spacing w:after="0"/>
              <w:rPr>
                <w:sz w:val="20"/>
                <w:szCs w:val="20"/>
                <w:color w:val="auto"/>
              </w:rPr>
            </w:pPr>
            <w:r>
              <w:rPr>
                <w:rFonts w:ascii="Arial" w:cs="Arial" w:eastAsia="Arial" w:hAnsi="Arial"/>
                <w:sz w:val="12"/>
                <w:szCs w:val="12"/>
                <w:color w:val="auto"/>
              </w:rPr>
              <w:t>36.0%</w:t>
            </w:r>
          </w:p>
        </w:tc>
        <w:tc>
          <w:tcPr>
            <w:tcW w:w="600" w:type="dxa"/>
            <w:vAlign w:val="bottom"/>
          </w:tcPr>
          <w:p>
            <w:pPr>
              <w:spacing w:after="0"/>
              <w:rPr>
                <w:sz w:val="12"/>
                <w:szCs w:val="12"/>
                <w:color w:val="auto"/>
              </w:rPr>
            </w:pPr>
          </w:p>
        </w:tc>
        <w:tc>
          <w:tcPr>
            <w:tcW w:w="1020" w:type="dxa"/>
            <w:vAlign w:val="bottom"/>
          </w:tcPr>
          <w:p>
            <w:pPr>
              <w:jc w:val="right"/>
              <w:ind w:right="283"/>
              <w:spacing w:after="0"/>
              <w:rPr>
                <w:sz w:val="20"/>
                <w:szCs w:val="20"/>
                <w:color w:val="auto"/>
              </w:rPr>
            </w:pPr>
            <w:r>
              <w:rPr>
                <w:rFonts w:ascii="Arial" w:cs="Arial" w:eastAsia="Arial" w:hAnsi="Arial"/>
                <w:sz w:val="12"/>
                <w:szCs w:val="12"/>
                <w:color w:val="auto"/>
              </w:rPr>
              <w:t>30.3%</w:t>
            </w:r>
          </w:p>
        </w:tc>
        <w:tc>
          <w:tcPr>
            <w:tcW w:w="440" w:type="dxa"/>
            <w:vAlign w:val="bottom"/>
          </w:tcPr>
          <w:p>
            <w:pPr>
              <w:spacing w:after="0"/>
              <w:rPr>
                <w:sz w:val="12"/>
                <w:szCs w:val="12"/>
                <w:color w:val="auto"/>
              </w:rPr>
            </w:pPr>
          </w:p>
        </w:tc>
        <w:tc>
          <w:tcPr>
            <w:tcW w:w="960" w:type="dxa"/>
            <w:vAlign w:val="bottom"/>
          </w:tcPr>
          <w:p>
            <w:pPr>
              <w:jc w:val="right"/>
              <w:ind w:right="323"/>
              <w:spacing w:after="0"/>
              <w:rPr>
                <w:sz w:val="20"/>
                <w:szCs w:val="20"/>
                <w:color w:val="auto"/>
              </w:rPr>
            </w:pPr>
            <w:r>
              <w:rPr>
                <w:rFonts w:ascii="Arial" w:cs="Arial" w:eastAsia="Arial" w:hAnsi="Arial"/>
                <w:sz w:val="12"/>
                <w:szCs w:val="12"/>
                <w:color w:val="auto"/>
              </w:rPr>
              <w:t>5.7pts</w:t>
            </w:r>
          </w:p>
        </w:tc>
        <w:tc>
          <w:tcPr>
            <w:tcW w:w="880" w:type="dxa"/>
            <w:vAlign w:val="bottom"/>
            <w:gridSpan w:val="2"/>
          </w:tcPr>
          <w:p>
            <w:pPr>
              <w:jc w:val="right"/>
              <w:ind w:right="26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760" w:type="dxa"/>
            <w:vAlign w:val="bottom"/>
            <w:shd w:val="clear" w:color="auto" w:fill="CCEEFF"/>
          </w:tcPr>
          <w:p>
            <w:pPr>
              <w:ind w:left="260"/>
              <w:spacing w:after="0"/>
              <w:rPr>
                <w:sz w:val="20"/>
                <w:szCs w:val="20"/>
                <w:color w:val="auto"/>
              </w:rPr>
            </w:pPr>
            <w:r>
              <w:rPr>
                <w:rFonts w:ascii="Arial" w:cs="Arial" w:eastAsia="Arial" w:hAnsi="Arial"/>
                <w:sz w:val="12"/>
                <w:szCs w:val="12"/>
                <w:color w:val="auto"/>
              </w:rPr>
              <w:t>Table games win per unit per day</w:t>
            </w:r>
          </w:p>
        </w:tc>
        <w:tc>
          <w:tcPr>
            <w:tcW w:w="202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w:t>
            </w:r>
          </w:p>
        </w:tc>
        <w:tc>
          <w:tcPr>
            <w:tcW w:w="860" w:type="dxa"/>
            <w:vAlign w:val="bottom"/>
            <w:shd w:val="clear" w:color="auto" w:fill="CCEEFF"/>
          </w:tcPr>
          <w:p>
            <w:pPr>
              <w:jc w:val="right"/>
              <w:ind w:right="222"/>
              <w:spacing w:after="0"/>
              <w:rPr>
                <w:sz w:val="20"/>
                <w:szCs w:val="20"/>
                <w:color w:val="auto"/>
              </w:rPr>
            </w:pPr>
            <w:r>
              <w:rPr>
                <w:rFonts w:ascii="Arial" w:cs="Arial" w:eastAsia="Arial" w:hAnsi="Arial"/>
                <w:sz w:val="12"/>
                <w:szCs w:val="12"/>
                <w:color w:val="auto"/>
              </w:rPr>
              <w:t>12,573</w:t>
            </w:r>
          </w:p>
        </w:tc>
        <w:tc>
          <w:tcPr>
            <w:tcW w:w="6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020" w:type="dxa"/>
            <w:vAlign w:val="bottom"/>
            <w:shd w:val="clear" w:color="auto" w:fill="CCEEFF"/>
          </w:tcPr>
          <w:p>
            <w:pPr>
              <w:jc w:val="right"/>
              <w:ind w:right="383"/>
              <w:spacing w:after="0"/>
              <w:rPr>
                <w:sz w:val="20"/>
                <w:szCs w:val="20"/>
                <w:color w:val="auto"/>
              </w:rPr>
            </w:pPr>
            <w:r>
              <w:rPr>
                <w:rFonts w:ascii="Arial" w:cs="Arial" w:eastAsia="Arial" w:hAnsi="Arial"/>
                <w:sz w:val="12"/>
                <w:szCs w:val="12"/>
                <w:color w:val="auto"/>
              </w:rPr>
              <w:t>11,439</w:t>
            </w:r>
          </w:p>
        </w:tc>
        <w:tc>
          <w:tcPr>
            <w:tcW w:w="4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960" w:type="dxa"/>
            <w:vAlign w:val="bottom"/>
            <w:shd w:val="clear" w:color="auto" w:fill="CCEEFF"/>
          </w:tcPr>
          <w:p>
            <w:pPr>
              <w:jc w:val="right"/>
              <w:ind w:right="323"/>
              <w:spacing w:after="0"/>
              <w:rPr>
                <w:sz w:val="20"/>
                <w:szCs w:val="20"/>
                <w:color w:val="auto"/>
              </w:rPr>
            </w:pPr>
            <w:r>
              <w:rPr>
                <w:rFonts w:ascii="Arial" w:cs="Arial" w:eastAsia="Arial" w:hAnsi="Arial"/>
                <w:sz w:val="12"/>
                <w:szCs w:val="12"/>
                <w:color w:val="auto"/>
              </w:rPr>
              <w:t>1,134</w:t>
            </w: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9.9%</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3760" w:type="dxa"/>
            <w:vAlign w:val="bottom"/>
          </w:tcPr>
          <w:p>
            <w:pPr>
              <w:ind w:left="260"/>
              <w:spacing w:after="0"/>
              <w:rPr>
                <w:sz w:val="20"/>
                <w:szCs w:val="20"/>
                <w:color w:val="auto"/>
              </w:rPr>
            </w:pPr>
            <w:r>
              <w:rPr>
                <w:rFonts w:ascii="Arial" w:cs="Arial" w:eastAsia="Arial" w:hAnsi="Arial"/>
                <w:sz w:val="12"/>
                <w:szCs w:val="12"/>
                <w:color w:val="auto"/>
              </w:rPr>
              <w:t>Slot machine handle</w:t>
            </w:r>
          </w:p>
        </w:tc>
        <w:tc>
          <w:tcPr>
            <w:tcW w:w="2020" w:type="dxa"/>
            <w:vAlign w:val="bottom"/>
            <w:gridSpan w:val="2"/>
          </w:tcPr>
          <w:p>
            <w:pPr>
              <w:jc w:val="right"/>
              <w:ind w:right="40"/>
              <w:spacing w:after="0"/>
              <w:rPr>
                <w:sz w:val="20"/>
                <w:szCs w:val="20"/>
                <w:color w:val="auto"/>
              </w:rPr>
            </w:pPr>
            <w:r>
              <w:rPr>
                <w:rFonts w:ascii="Arial" w:cs="Arial" w:eastAsia="Arial" w:hAnsi="Arial"/>
                <w:sz w:val="12"/>
                <w:szCs w:val="12"/>
                <w:color w:val="auto"/>
              </w:rPr>
              <w:t>$</w:t>
            </w:r>
          </w:p>
        </w:tc>
        <w:tc>
          <w:tcPr>
            <w:tcW w:w="860" w:type="dxa"/>
            <w:vAlign w:val="bottom"/>
          </w:tcPr>
          <w:p>
            <w:pPr>
              <w:jc w:val="right"/>
              <w:ind w:right="222"/>
              <w:spacing w:after="0"/>
              <w:rPr>
                <w:sz w:val="20"/>
                <w:szCs w:val="20"/>
                <w:color w:val="auto"/>
              </w:rPr>
            </w:pPr>
            <w:r>
              <w:rPr>
                <w:rFonts w:ascii="Arial" w:cs="Arial" w:eastAsia="Arial" w:hAnsi="Arial"/>
                <w:sz w:val="12"/>
                <w:szCs w:val="12"/>
                <w:color w:val="auto"/>
              </w:rPr>
              <w:t>3,453,231</w:t>
            </w:r>
          </w:p>
        </w:tc>
        <w:tc>
          <w:tcPr>
            <w:tcW w:w="600" w:type="dxa"/>
            <w:vAlign w:val="bottom"/>
          </w:tcPr>
          <w:p>
            <w:pPr>
              <w:jc w:val="right"/>
              <w:spacing w:after="0"/>
              <w:rPr>
                <w:sz w:val="20"/>
                <w:szCs w:val="20"/>
                <w:color w:val="auto"/>
              </w:rPr>
            </w:pPr>
            <w:r>
              <w:rPr>
                <w:rFonts w:ascii="Arial" w:cs="Arial" w:eastAsia="Arial" w:hAnsi="Arial"/>
                <w:sz w:val="12"/>
                <w:szCs w:val="12"/>
                <w:color w:val="auto"/>
              </w:rPr>
              <w:t>$</w:t>
            </w:r>
          </w:p>
        </w:tc>
        <w:tc>
          <w:tcPr>
            <w:tcW w:w="1020" w:type="dxa"/>
            <w:vAlign w:val="bottom"/>
          </w:tcPr>
          <w:p>
            <w:pPr>
              <w:jc w:val="right"/>
              <w:ind w:right="383"/>
              <w:spacing w:after="0"/>
              <w:rPr>
                <w:sz w:val="20"/>
                <w:szCs w:val="20"/>
                <w:color w:val="auto"/>
              </w:rPr>
            </w:pPr>
            <w:r>
              <w:rPr>
                <w:rFonts w:ascii="Arial" w:cs="Arial" w:eastAsia="Arial" w:hAnsi="Arial"/>
                <w:sz w:val="12"/>
                <w:szCs w:val="12"/>
                <w:color w:val="auto"/>
              </w:rPr>
              <w:t>3,610,782</w:t>
            </w:r>
          </w:p>
        </w:tc>
        <w:tc>
          <w:tcPr>
            <w:tcW w:w="440" w:type="dxa"/>
            <w:vAlign w:val="bottom"/>
          </w:tcPr>
          <w:p>
            <w:pPr>
              <w:jc w:val="right"/>
              <w:spacing w:after="0"/>
              <w:rPr>
                <w:sz w:val="20"/>
                <w:szCs w:val="20"/>
                <w:color w:val="auto"/>
              </w:rPr>
            </w:pPr>
            <w:r>
              <w:rPr>
                <w:rFonts w:ascii="Arial" w:cs="Arial" w:eastAsia="Arial" w:hAnsi="Arial"/>
                <w:sz w:val="12"/>
                <w:szCs w:val="12"/>
                <w:color w:val="auto"/>
              </w:rPr>
              <w:t>$</w:t>
            </w:r>
          </w:p>
        </w:tc>
        <w:tc>
          <w:tcPr>
            <w:tcW w:w="960" w:type="dxa"/>
            <w:vAlign w:val="bottom"/>
          </w:tcPr>
          <w:p>
            <w:pPr>
              <w:jc w:val="right"/>
              <w:ind w:right="283"/>
              <w:spacing w:after="0"/>
              <w:rPr>
                <w:sz w:val="20"/>
                <w:szCs w:val="20"/>
                <w:color w:val="auto"/>
              </w:rPr>
            </w:pPr>
            <w:r>
              <w:rPr>
                <w:rFonts w:ascii="Arial" w:cs="Arial" w:eastAsia="Arial" w:hAnsi="Arial"/>
                <w:sz w:val="12"/>
                <w:szCs w:val="12"/>
                <w:color w:val="auto"/>
              </w:rPr>
              <w:t>(157,551)</w:t>
            </w:r>
          </w:p>
        </w:tc>
        <w:tc>
          <w:tcPr>
            <w:tcW w:w="880" w:type="dxa"/>
            <w:vAlign w:val="bottom"/>
            <w:gridSpan w:val="2"/>
          </w:tcPr>
          <w:p>
            <w:pPr>
              <w:jc w:val="right"/>
              <w:ind w:right="80"/>
              <w:spacing w:after="0"/>
              <w:rPr>
                <w:sz w:val="20"/>
                <w:szCs w:val="20"/>
                <w:color w:val="auto"/>
              </w:rPr>
            </w:pPr>
            <w:r>
              <w:rPr>
                <w:rFonts w:ascii="Arial" w:cs="Arial" w:eastAsia="Arial" w:hAnsi="Arial"/>
                <w:sz w:val="12"/>
                <w:szCs w:val="12"/>
                <w:color w:val="auto"/>
              </w:rPr>
              <w:t>(4.4)%</w:t>
            </w: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3760" w:type="dxa"/>
            <w:vAlign w:val="bottom"/>
            <w:shd w:val="clear" w:color="auto" w:fill="CCEEFF"/>
          </w:tcPr>
          <w:p>
            <w:pPr>
              <w:ind w:left="260"/>
              <w:spacing w:after="0"/>
              <w:rPr>
                <w:sz w:val="20"/>
                <w:szCs w:val="20"/>
                <w:color w:val="auto"/>
              </w:rPr>
            </w:pPr>
            <w:r>
              <w:rPr>
                <w:rFonts w:ascii="Arial" w:cs="Arial" w:eastAsia="Arial" w:hAnsi="Arial"/>
                <w:sz w:val="12"/>
                <w:szCs w:val="12"/>
                <w:color w:val="auto"/>
              </w:rPr>
              <w:t>Slot machine win</w:t>
            </w:r>
          </w:p>
        </w:tc>
        <w:tc>
          <w:tcPr>
            <w:tcW w:w="202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w:t>
            </w:r>
          </w:p>
        </w:tc>
        <w:tc>
          <w:tcPr>
            <w:tcW w:w="860" w:type="dxa"/>
            <w:vAlign w:val="bottom"/>
            <w:shd w:val="clear" w:color="auto" w:fill="CCEEFF"/>
          </w:tcPr>
          <w:p>
            <w:pPr>
              <w:jc w:val="right"/>
              <w:ind w:right="222"/>
              <w:spacing w:after="0"/>
              <w:rPr>
                <w:sz w:val="20"/>
                <w:szCs w:val="20"/>
                <w:color w:val="auto"/>
              </w:rPr>
            </w:pPr>
            <w:r>
              <w:rPr>
                <w:rFonts w:ascii="Arial" w:cs="Arial" w:eastAsia="Arial" w:hAnsi="Arial"/>
                <w:sz w:val="12"/>
                <w:szCs w:val="12"/>
                <w:color w:val="auto"/>
              </w:rPr>
              <w:t>174,926</w:t>
            </w:r>
          </w:p>
        </w:tc>
        <w:tc>
          <w:tcPr>
            <w:tcW w:w="6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020" w:type="dxa"/>
            <w:vAlign w:val="bottom"/>
            <w:shd w:val="clear" w:color="auto" w:fill="CCEEFF"/>
          </w:tcPr>
          <w:p>
            <w:pPr>
              <w:jc w:val="right"/>
              <w:ind w:right="383"/>
              <w:spacing w:after="0"/>
              <w:rPr>
                <w:sz w:val="20"/>
                <w:szCs w:val="20"/>
                <w:color w:val="auto"/>
              </w:rPr>
            </w:pPr>
            <w:r>
              <w:rPr>
                <w:rFonts w:ascii="Arial" w:cs="Arial" w:eastAsia="Arial" w:hAnsi="Arial"/>
                <w:sz w:val="12"/>
                <w:szCs w:val="12"/>
                <w:color w:val="auto"/>
              </w:rPr>
              <w:t>191,294</w:t>
            </w:r>
          </w:p>
        </w:tc>
        <w:tc>
          <w:tcPr>
            <w:tcW w:w="4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960" w:type="dxa"/>
            <w:vAlign w:val="bottom"/>
            <w:shd w:val="clear" w:color="auto" w:fill="CCEEFF"/>
          </w:tcPr>
          <w:p>
            <w:pPr>
              <w:jc w:val="right"/>
              <w:ind w:right="283"/>
              <w:spacing w:after="0"/>
              <w:rPr>
                <w:sz w:val="20"/>
                <w:szCs w:val="20"/>
                <w:color w:val="auto"/>
              </w:rPr>
            </w:pPr>
            <w:r>
              <w:rPr>
                <w:rFonts w:ascii="Arial" w:cs="Arial" w:eastAsia="Arial" w:hAnsi="Arial"/>
                <w:sz w:val="12"/>
                <w:szCs w:val="12"/>
                <w:color w:val="auto"/>
              </w:rPr>
              <w:t>(16,368)</w:t>
            </w: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(8.6)%</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760" w:type="dxa"/>
            <w:vAlign w:val="bottom"/>
          </w:tcPr>
          <w:p>
            <w:pPr>
              <w:ind w:left="260"/>
              <w:spacing w:after="0"/>
              <w:rPr>
                <w:sz w:val="20"/>
                <w:szCs w:val="20"/>
                <w:color w:val="auto"/>
              </w:rPr>
            </w:pPr>
            <w:r>
              <w:rPr>
                <w:rFonts w:ascii="Arial" w:cs="Arial" w:eastAsia="Arial" w:hAnsi="Arial"/>
                <w:sz w:val="12"/>
                <w:szCs w:val="12"/>
                <w:color w:val="auto"/>
              </w:rPr>
              <w:t>Slot machine win per unit per day</w:t>
            </w:r>
          </w:p>
        </w:tc>
        <w:tc>
          <w:tcPr>
            <w:tcW w:w="2020" w:type="dxa"/>
            <w:vAlign w:val="bottom"/>
            <w:gridSpan w:val="2"/>
          </w:tcPr>
          <w:p>
            <w:pPr>
              <w:jc w:val="right"/>
              <w:ind w:right="40"/>
              <w:spacing w:after="0"/>
              <w:rPr>
                <w:sz w:val="20"/>
                <w:szCs w:val="20"/>
                <w:color w:val="auto"/>
              </w:rPr>
            </w:pPr>
            <w:r>
              <w:rPr>
                <w:rFonts w:ascii="Arial" w:cs="Arial" w:eastAsia="Arial" w:hAnsi="Arial"/>
                <w:sz w:val="12"/>
                <w:szCs w:val="12"/>
                <w:color w:val="auto"/>
              </w:rPr>
              <w:t>$</w:t>
            </w:r>
          </w:p>
        </w:tc>
        <w:tc>
          <w:tcPr>
            <w:tcW w:w="860" w:type="dxa"/>
            <w:vAlign w:val="bottom"/>
          </w:tcPr>
          <w:p>
            <w:pPr>
              <w:jc w:val="right"/>
              <w:ind w:right="222"/>
              <w:spacing w:after="0"/>
              <w:rPr>
                <w:sz w:val="20"/>
                <w:szCs w:val="20"/>
                <w:color w:val="auto"/>
              </w:rPr>
            </w:pPr>
            <w:r>
              <w:rPr>
                <w:rFonts w:ascii="Arial" w:cs="Arial" w:eastAsia="Arial" w:hAnsi="Arial"/>
                <w:sz w:val="12"/>
                <w:szCs w:val="12"/>
                <w:color w:val="auto"/>
              </w:rPr>
              <w:t>742</w:t>
            </w:r>
          </w:p>
        </w:tc>
        <w:tc>
          <w:tcPr>
            <w:tcW w:w="600" w:type="dxa"/>
            <w:vAlign w:val="bottom"/>
          </w:tcPr>
          <w:p>
            <w:pPr>
              <w:jc w:val="right"/>
              <w:spacing w:after="0"/>
              <w:rPr>
                <w:sz w:val="20"/>
                <w:szCs w:val="20"/>
                <w:color w:val="auto"/>
              </w:rPr>
            </w:pPr>
            <w:r>
              <w:rPr>
                <w:rFonts w:ascii="Arial" w:cs="Arial" w:eastAsia="Arial" w:hAnsi="Arial"/>
                <w:sz w:val="12"/>
                <w:szCs w:val="12"/>
                <w:color w:val="auto"/>
              </w:rPr>
              <w:t>$</w:t>
            </w:r>
          </w:p>
        </w:tc>
        <w:tc>
          <w:tcPr>
            <w:tcW w:w="1020" w:type="dxa"/>
            <w:vAlign w:val="bottom"/>
          </w:tcPr>
          <w:p>
            <w:pPr>
              <w:jc w:val="right"/>
              <w:ind w:right="383"/>
              <w:spacing w:after="0"/>
              <w:rPr>
                <w:sz w:val="20"/>
                <w:szCs w:val="20"/>
                <w:color w:val="auto"/>
              </w:rPr>
            </w:pPr>
            <w:r>
              <w:rPr>
                <w:rFonts w:ascii="Arial" w:cs="Arial" w:eastAsia="Arial" w:hAnsi="Arial"/>
                <w:sz w:val="12"/>
                <w:szCs w:val="12"/>
                <w:color w:val="auto"/>
              </w:rPr>
              <w:t>746</w:t>
            </w:r>
          </w:p>
        </w:tc>
        <w:tc>
          <w:tcPr>
            <w:tcW w:w="440" w:type="dxa"/>
            <w:vAlign w:val="bottom"/>
          </w:tcPr>
          <w:p>
            <w:pPr>
              <w:jc w:val="right"/>
              <w:spacing w:after="0"/>
              <w:rPr>
                <w:sz w:val="20"/>
                <w:szCs w:val="20"/>
                <w:color w:val="auto"/>
              </w:rPr>
            </w:pPr>
            <w:r>
              <w:rPr>
                <w:rFonts w:ascii="Arial" w:cs="Arial" w:eastAsia="Arial" w:hAnsi="Arial"/>
                <w:sz w:val="12"/>
                <w:szCs w:val="12"/>
                <w:color w:val="auto"/>
              </w:rPr>
              <w:t>$</w:t>
            </w:r>
          </w:p>
        </w:tc>
        <w:tc>
          <w:tcPr>
            <w:tcW w:w="960" w:type="dxa"/>
            <w:vAlign w:val="bottom"/>
          </w:tcPr>
          <w:p>
            <w:pPr>
              <w:jc w:val="right"/>
              <w:ind w:right="283"/>
              <w:spacing w:after="0"/>
              <w:rPr>
                <w:sz w:val="20"/>
                <w:szCs w:val="20"/>
                <w:color w:val="auto"/>
              </w:rPr>
            </w:pPr>
            <w:r>
              <w:rPr>
                <w:rFonts w:ascii="Arial" w:cs="Arial" w:eastAsia="Arial" w:hAnsi="Arial"/>
                <w:sz w:val="12"/>
                <w:szCs w:val="12"/>
                <w:color w:val="auto"/>
              </w:rPr>
              <w:t>(4)</w:t>
            </w:r>
          </w:p>
        </w:tc>
        <w:tc>
          <w:tcPr>
            <w:tcW w:w="880" w:type="dxa"/>
            <w:vAlign w:val="bottom"/>
            <w:gridSpan w:val="2"/>
          </w:tcPr>
          <w:p>
            <w:pPr>
              <w:jc w:val="right"/>
              <w:ind w:right="80"/>
              <w:spacing w:after="0"/>
              <w:rPr>
                <w:sz w:val="20"/>
                <w:szCs w:val="20"/>
                <w:color w:val="auto"/>
              </w:rPr>
            </w:pPr>
            <w:r>
              <w:rPr>
                <w:rFonts w:ascii="Arial" w:cs="Arial" w:eastAsia="Arial" w:hAnsi="Arial"/>
                <w:sz w:val="12"/>
                <w:szCs w:val="12"/>
                <w:color w:val="auto"/>
              </w:rPr>
              <w:t>(0.5)%</w:t>
            </w:r>
          </w:p>
        </w:tc>
        <w:tc>
          <w:tcPr>
            <w:tcW w:w="0" w:type="dxa"/>
            <w:vAlign w:val="bottom"/>
          </w:tcPr>
          <w:p>
            <w:pPr>
              <w:spacing w:after="0"/>
              <w:rPr>
                <w:sz w:val="1"/>
                <w:szCs w:val="1"/>
                <w:color w:val="auto"/>
              </w:rPr>
            </w:pPr>
          </w:p>
        </w:tc>
      </w:tr>
      <w:tr>
        <w:trPr>
          <w:trHeight w:val="68"/>
        </w:trPr>
        <w:tc>
          <w:tcPr>
            <w:tcW w:w="20" w:type="dxa"/>
            <w:vAlign w:val="bottom"/>
            <w:vMerge w:val="restart"/>
          </w:tcPr>
          <w:p>
            <w:pPr>
              <w:spacing w:after="0"/>
              <w:rPr>
                <w:sz w:val="5"/>
                <w:szCs w:val="5"/>
                <w:color w:val="auto"/>
              </w:rPr>
            </w:pPr>
          </w:p>
        </w:tc>
        <w:tc>
          <w:tcPr>
            <w:tcW w:w="3760" w:type="dxa"/>
            <w:vAlign w:val="bottom"/>
          </w:tcPr>
          <w:p>
            <w:pPr>
              <w:spacing w:after="0"/>
              <w:rPr>
                <w:sz w:val="5"/>
                <w:szCs w:val="5"/>
                <w:color w:val="auto"/>
              </w:rPr>
            </w:pPr>
          </w:p>
        </w:tc>
        <w:tc>
          <w:tcPr>
            <w:tcW w:w="1920" w:type="dxa"/>
            <w:vAlign w:val="bottom"/>
          </w:tcPr>
          <w:p>
            <w:pPr>
              <w:spacing w:after="0"/>
              <w:rPr>
                <w:sz w:val="5"/>
                <w:szCs w:val="5"/>
                <w:color w:val="auto"/>
              </w:rPr>
            </w:pPr>
          </w:p>
        </w:tc>
        <w:tc>
          <w:tcPr>
            <w:tcW w:w="100" w:type="dxa"/>
            <w:vAlign w:val="bottom"/>
          </w:tcPr>
          <w:p>
            <w:pPr>
              <w:spacing w:after="0"/>
              <w:rPr>
                <w:sz w:val="5"/>
                <w:szCs w:val="5"/>
                <w:color w:val="auto"/>
              </w:rPr>
            </w:pPr>
          </w:p>
        </w:tc>
        <w:tc>
          <w:tcPr>
            <w:tcW w:w="860" w:type="dxa"/>
            <w:vAlign w:val="bottom"/>
          </w:tcPr>
          <w:p>
            <w:pPr>
              <w:spacing w:after="0"/>
              <w:rPr>
                <w:sz w:val="5"/>
                <w:szCs w:val="5"/>
                <w:color w:val="auto"/>
              </w:rPr>
            </w:pPr>
          </w:p>
        </w:tc>
        <w:tc>
          <w:tcPr>
            <w:tcW w:w="600" w:type="dxa"/>
            <w:vAlign w:val="bottom"/>
          </w:tcPr>
          <w:p>
            <w:pPr>
              <w:spacing w:after="0"/>
              <w:rPr>
                <w:sz w:val="5"/>
                <w:szCs w:val="5"/>
                <w:color w:val="auto"/>
              </w:rPr>
            </w:pPr>
          </w:p>
        </w:tc>
        <w:tc>
          <w:tcPr>
            <w:tcW w:w="1020" w:type="dxa"/>
            <w:vAlign w:val="bottom"/>
          </w:tcPr>
          <w:p>
            <w:pPr>
              <w:spacing w:after="0"/>
              <w:rPr>
                <w:sz w:val="5"/>
                <w:szCs w:val="5"/>
                <w:color w:val="auto"/>
              </w:rPr>
            </w:pPr>
          </w:p>
        </w:tc>
        <w:tc>
          <w:tcPr>
            <w:tcW w:w="440" w:type="dxa"/>
            <w:vAlign w:val="bottom"/>
          </w:tcPr>
          <w:p>
            <w:pPr>
              <w:spacing w:after="0"/>
              <w:rPr>
                <w:sz w:val="5"/>
                <w:szCs w:val="5"/>
                <w:color w:val="auto"/>
              </w:rPr>
            </w:pPr>
          </w:p>
        </w:tc>
        <w:tc>
          <w:tcPr>
            <w:tcW w:w="960" w:type="dxa"/>
            <w:vAlign w:val="bottom"/>
          </w:tcPr>
          <w:p>
            <w:pPr>
              <w:spacing w:after="0"/>
              <w:rPr>
                <w:sz w:val="5"/>
                <w:szCs w:val="5"/>
                <w:color w:val="auto"/>
              </w:rPr>
            </w:pPr>
          </w:p>
        </w:tc>
        <w:tc>
          <w:tcPr>
            <w:tcW w:w="660" w:type="dxa"/>
            <w:vAlign w:val="bottom"/>
          </w:tcPr>
          <w:p>
            <w:pPr>
              <w:spacing w:after="0"/>
              <w:rPr>
                <w:sz w:val="5"/>
                <w:szCs w:val="5"/>
                <w:color w:val="auto"/>
              </w:rPr>
            </w:pPr>
          </w:p>
        </w:tc>
        <w:tc>
          <w:tcPr>
            <w:tcW w:w="2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44"/>
        </w:trPr>
        <w:tc>
          <w:tcPr>
            <w:tcW w:w="20" w:type="dxa"/>
            <w:vAlign w:val="bottom"/>
            <w:vMerge w:val="continue"/>
          </w:tcPr>
          <w:p>
            <w:pPr>
              <w:spacing w:after="0"/>
              <w:rPr>
                <w:sz w:val="12"/>
                <w:szCs w:val="12"/>
                <w:color w:val="auto"/>
              </w:rPr>
            </w:pPr>
          </w:p>
        </w:tc>
        <w:tc>
          <w:tcPr>
            <w:tcW w:w="3760" w:type="dxa"/>
            <w:vAlign w:val="bottom"/>
            <w:shd w:val="clear" w:color="auto" w:fill="CCEEFF"/>
          </w:tcPr>
          <w:p>
            <w:pPr>
              <w:spacing w:after="0"/>
              <w:rPr>
                <w:sz w:val="20"/>
                <w:szCs w:val="20"/>
                <w:color w:val="auto"/>
              </w:rPr>
            </w:pPr>
            <w:r>
              <w:rPr>
                <w:rFonts w:ascii="Arial" w:cs="Arial" w:eastAsia="Arial" w:hAnsi="Arial"/>
                <w:sz w:val="12"/>
                <w:szCs w:val="12"/>
                <w:b w:val="1"/>
                <w:bCs w:val="1"/>
                <w:color w:val="auto"/>
              </w:rPr>
              <w:t>Las Vegas Operations:</w:t>
            </w:r>
          </w:p>
        </w:tc>
        <w:tc>
          <w:tcPr>
            <w:tcW w:w="19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760" w:type="dxa"/>
            <w:vAlign w:val="bottom"/>
          </w:tcPr>
          <w:p>
            <w:pPr>
              <w:ind w:left="260"/>
              <w:spacing w:after="0"/>
              <w:rPr>
                <w:sz w:val="20"/>
                <w:szCs w:val="20"/>
                <w:color w:val="auto"/>
              </w:rPr>
            </w:pPr>
            <w:r>
              <w:rPr>
                <w:rFonts w:ascii="Arial" w:cs="Arial" w:eastAsia="Arial" w:hAnsi="Arial"/>
                <w:sz w:val="12"/>
                <w:szCs w:val="12"/>
                <w:color w:val="auto"/>
              </w:rPr>
              <w:t>Drop</w:t>
            </w:r>
          </w:p>
        </w:tc>
        <w:tc>
          <w:tcPr>
            <w:tcW w:w="2020" w:type="dxa"/>
            <w:vAlign w:val="bottom"/>
            <w:gridSpan w:val="2"/>
          </w:tcPr>
          <w:p>
            <w:pPr>
              <w:jc w:val="right"/>
              <w:ind w:right="40"/>
              <w:spacing w:after="0"/>
              <w:rPr>
                <w:sz w:val="20"/>
                <w:szCs w:val="20"/>
                <w:color w:val="auto"/>
              </w:rPr>
            </w:pPr>
            <w:r>
              <w:rPr>
                <w:rFonts w:ascii="Arial" w:cs="Arial" w:eastAsia="Arial" w:hAnsi="Arial"/>
                <w:sz w:val="12"/>
                <w:szCs w:val="12"/>
                <w:color w:val="auto"/>
              </w:rPr>
              <w:t>$</w:t>
            </w:r>
          </w:p>
        </w:tc>
        <w:tc>
          <w:tcPr>
            <w:tcW w:w="860" w:type="dxa"/>
            <w:vAlign w:val="bottom"/>
          </w:tcPr>
          <w:p>
            <w:pPr>
              <w:jc w:val="right"/>
              <w:ind w:right="222"/>
              <w:spacing w:after="0"/>
              <w:rPr>
                <w:sz w:val="20"/>
                <w:szCs w:val="20"/>
                <w:color w:val="auto"/>
              </w:rPr>
            </w:pPr>
            <w:r>
              <w:rPr>
                <w:rFonts w:ascii="Arial" w:cs="Arial" w:eastAsia="Arial" w:hAnsi="Arial"/>
                <w:sz w:val="12"/>
                <w:szCs w:val="12"/>
                <w:color w:val="auto"/>
              </w:rPr>
              <w:t>1,893,227</w:t>
            </w:r>
          </w:p>
        </w:tc>
        <w:tc>
          <w:tcPr>
            <w:tcW w:w="600" w:type="dxa"/>
            <w:vAlign w:val="bottom"/>
          </w:tcPr>
          <w:p>
            <w:pPr>
              <w:jc w:val="right"/>
              <w:spacing w:after="0"/>
              <w:rPr>
                <w:sz w:val="20"/>
                <w:szCs w:val="20"/>
                <w:color w:val="auto"/>
              </w:rPr>
            </w:pPr>
            <w:r>
              <w:rPr>
                <w:rFonts w:ascii="Arial" w:cs="Arial" w:eastAsia="Arial" w:hAnsi="Arial"/>
                <w:sz w:val="12"/>
                <w:szCs w:val="12"/>
                <w:color w:val="auto"/>
              </w:rPr>
              <w:t>$</w:t>
            </w:r>
          </w:p>
        </w:tc>
        <w:tc>
          <w:tcPr>
            <w:tcW w:w="1020" w:type="dxa"/>
            <w:vAlign w:val="bottom"/>
          </w:tcPr>
          <w:p>
            <w:pPr>
              <w:jc w:val="right"/>
              <w:ind w:right="383"/>
              <w:spacing w:after="0"/>
              <w:rPr>
                <w:sz w:val="20"/>
                <w:szCs w:val="20"/>
                <w:color w:val="auto"/>
              </w:rPr>
            </w:pPr>
            <w:r>
              <w:rPr>
                <w:rFonts w:ascii="Arial" w:cs="Arial" w:eastAsia="Arial" w:hAnsi="Arial"/>
                <w:sz w:val="12"/>
                <w:szCs w:val="12"/>
                <w:color w:val="auto"/>
              </w:rPr>
              <w:t>1,912,430</w:t>
            </w:r>
          </w:p>
        </w:tc>
        <w:tc>
          <w:tcPr>
            <w:tcW w:w="440" w:type="dxa"/>
            <w:vAlign w:val="bottom"/>
          </w:tcPr>
          <w:p>
            <w:pPr>
              <w:jc w:val="right"/>
              <w:spacing w:after="0"/>
              <w:rPr>
                <w:sz w:val="20"/>
                <w:szCs w:val="20"/>
                <w:color w:val="auto"/>
              </w:rPr>
            </w:pPr>
            <w:r>
              <w:rPr>
                <w:rFonts w:ascii="Arial" w:cs="Arial" w:eastAsia="Arial" w:hAnsi="Arial"/>
                <w:sz w:val="12"/>
                <w:szCs w:val="12"/>
                <w:color w:val="auto"/>
              </w:rPr>
              <w:t>$</w:t>
            </w:r>
          </w:p>
        </w:tc>
        <w:tc>
          <w:tcPr>
            <w:tcW w:w="960" w:type="dxa"/>
            <w:vAlign w:val="bottom"/>
          </w:tcPr>
          <w:p>
            <w:pPr>
              <w:jc w:val="right"/>
              <w:ind w:right="283"/>
              <w:spacing w:after="0"/>
              <w:rPr>
                <w:sz w:val="20"/>
                <w:szCs w:val="20"/>
                <w:color w:val="auto"/>
              </w:rPr>
            </w:pPr>
            <w:r>
              <w:rPr>
                <w:rFonts w:ascii="Arial" w:cs="Arial" w:eastAsia="Arial" w:hAnsi="Arial"/>
                <w:sz w:val="12"/>
                <w:szCs w:val="12"/>
                <w:color w:val="auto"/>
              </w:rPr>
              <w:t>(19,203)</w:t>
            </w:r>
          </w:p>
        </w:tc>
        <w:tc>
          <w:tcPr>
            <w:tcW w:w="880" w:type="dxa"/>
            <w:vAlign w:val="bottom"/>
            <w:gridSpan w:val="2"/>
          </w:tcPr>
          <w:p>
            <w:pPr>
              <w:jc w:val="right"/>
              <w:ind w:right="80"/>
              <w:spacing w:after="0"/>
              <w:rPr>
                <w:sz w:val="20"/>
                <w:szCs w:val="20"/>
                <w:color w:val="auto"/>
              </w:rPr>
            </w:pPr>
            <w:r>
              <w:rPr>
                <w:rFonts w:ascii="Arial" w:cs="Arial" w:eastAsia="Arial" w:hAnsi="Arial"/>
                <w:sz w:val="12"/>
                <w:szCs w:val="12"/>
                <w:color w:val="auto"/>
              </w:rPr>
              <w:t>(1.0)%</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760" w:type="dxa"/>
            <w:vAlign w:val="bottom"/>
            <w:shd w:val="clear" w:color="auto" w:fill="CCEEFF"/>
          </w:tcPr>
          <w:p>
            <w:pPr>
              <w:ind w:left="260"/>
              <w:spacing w:after="0"/>
              <w:rPr>
                <w:sz w:val="20"/>
                <w:szCs w:val="20"/>
                <w:color w:val="auto"/>
              </w:rPr>
            </w:pPr>
            <w:r>
              <w:rPr>
                <w:rFonts w:ascii="Arial" w:cs="Arial" w:eastAsia="Arial" w:hAnsi="Arial"/>
                <w:sz w:val="12"/>
                <w:szCs w:val="12"/>
                <w:color w:val="auto"/>
              </w:rPr>
              <w:t>Table games win</w:t>
            </w:r>
          </w:p>
        </w:tc>
        <w:tc>
          <w:tcPr>
            <w:tcW w:w="202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w:t>
            </w:r>
          </w:p>
        </w:tc>
        <w:tc>
          <w:tcPr>
            <w:tcW w:w="860" w:type="dxa"/>
            <w:vAlign w:val="bottom"/>
            <w:shd w:val="clear" w:color="auto" w:fill="CCEEFF"/>
          </w:tcPr>
          <w:p>
            <w:pPr>
              <w:jc w:val="right"/>
              <w:ind w:right="222"/>
              <w:spacing w:after="0"/>
              <w:rPr>
                <w:sz w:val="20"/>
                <w:szCs w:val="20"/>
                <w:color w:val="auto"/>
              </w:rPr>
            </w:pPr>
            <w:r>
              <w:rPr>
                <w:rFonts w:ascii="Arial" w:cs="Arial" w:eastAsia="Arial" w:hAnsi="Arial"/>
                <w:sz w:val="12"/>
                <w:szCs w:val="12"/>
                <w:color w:val="auto"/>
              </w:rPr>
              <w:t>449,414</w:t>
            </w:r>
          </w:p>
        </w:tc>
        <w:tc>
          <w:tcPr>
            <w:tcW w:w="6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020" w:type="dxa"/>
            <w:vAlign w:val="bottom"/>
            <w:shd w:val="clear" w:color="auto" w:fill="CCEEFF"/>
          </w:tcPr>
          <w:p>
            <w:pPr>
              <w:jc w:val="right"/>
              <w:ind w:right="383"/>
              <w:spacing w:after="0"/>
              <w:rPr>
                <w:sz w:val="20"/>
                <w:szCs w:val="20"/>
                <w:color w:val="auto"/>
              </w:rPr>
            </w:pPr>
            <w:r>
              <w:rPr>
                <w:rFonts w:ascii="Arial" w:cs="Arial" w:eastAsia="Arial" w:hAnsi="Arial"/>
                <w:sz w:val="12"/>
                <w:szCs w:val="12"/>
                <w:color w:val="auto"/>
              </w:rPr>
              <w:t>384,979</w:t>
            </w:r>
          </w:p>
        </w:tc>
        <w:tc>
          <w:tcPr>
            <w:tcW w:w="4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960" w:type="dxa"/>
            <w:vAlign w:val="bottom"/>
            <w:shd w:val="clear" w:color="auto" w:fill="CCEEFF"/>
          </w:tcPr>
          <w:p>
            <w:pPr>
              <w:jc w:val="right"/>
              <w:ind w:right="323"/>
              <w:spacing w:after="0"/>
              <w:rPr>
                <w:sz w:val="20"/>
                <w:szCs w:val="20"/>
                <w:color w:val="auto"/>
              </w:rPr>
            </w:pPr>
            <w:r>
              <w:rPr>
                <w:rFonts w:ascii="Arial" w:cs="Arial" w:eastAsia="Arial" w:hAnsi="Arial"/>
                <w:sz w:val="12"/>
                <w:szCs w:val="12"/>
                <w:color w:val="auto"/>
              </w:rPr>
              <w:t>64,435</w:t>
            </w: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16.7%</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760" w:type="dxa"/>
            <w:vAlign w:val="bottom"/>
          </w:tcPr>
          <w:p>
            <w:pPr>
              <w:ind w:left="260"/>
              <w:spacing w:after="0"/>
              <w:rPr>
                <w:sz w:val="20"/>
                <w:szCs w:val="20"/>
                <w:color w:val="auto"/>
              </w:rPr>
            </w:pPr>
            <w:r>
              <w:rPr>
                <w:rFonts w:ascii="Arial" w:cs="Arial" w:eastAsia="Arial" w:hAnsi="Arial"/>
                <w:sz w:val="12"/>
                <w:szCs w:val="12"/>
                <w:color w:val="auto"/>
              </w:rPr>
              <w:t>Table games win %</w:t>
            </w:r>
          </w:p>
        </w:tc>
        <w:tc>
          <w:tcPr>
            <w:tcW w:w="1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jc w:val="right"/>
              <w:ind w:right="122"/>
              <w:spacing w:after="0"/>
              <w:rPr>
                <w:sz w:val="20"/>
                <w:szCs w:val="20"/>
                <w:color w:val="auto"/>
              </w:rPr>
            </w:pPr>
            <w:r>
              <w:rPr>
                <w:rFonts w:ascii="Arial" w:cs="Arial" w:eastAsia="Arial" w:hAnsi="Arial"/>
                <w:sz w:val="12"/>
                <w:szCs w:val="12"/>
                <w:color w:val="auto"/>
              </w:rPr>
              <w:t>23.7%</w:t>
            </w:r>
          </w:p>
        </w:tc>
        <w:tc>
          <w:tcPr>
            <w:tcW w:w="600" w:type="dxa"/>
            <w:vAlign w:val="bottom"/>
          </w:tcPr>
          <w:p>
            <w:pPr>
              <w:spacing w:after="0"/>
              <w:rPr>
                <w:sz w:val="12"/>
                <w:szCs w:val="12"/>
                <w:color w:val="auto"/>
              </w:rPr>
            </w:pPr>
          </w:p>
        </w:tc>
        <w:tc>
          <w:tcPr>
            <w:tcW w:w="1020" w:type="dxa"/>
            <w:vAlign w:val="bottom"/>
          </w:tcPr>
          <w:p>
            <w:pPr>
              <w:jc w:val="right"/>
              <w:ind w:right="283"/>
              <w:spacing w:after="0"/>
              <w:rPr>
                <w:sz w:val="20"/>
                <w:szCs w:val="20"/>
                <w:color w:val="auto"/>
              </w:rPr>
            </w:pPr>
            <w:r>
              <w:rPr>
                <w:rFonts w:ascii="Arial" w:cs="Arial" w:eastAsia="Arial" w:hAnsi="Arial"/>
                <w:sz w:val="12"/>
                <w:szCs w:val="12"/>
                <w:color w:val="auto"/>
              </w:rPr>
              <w:t>20.1%</w:t>
            </w:r>
          </w:p>
        </w:tc>
        <w:tc>
          <w:tcPr>
            <w:tcW w:w="440" w:type="dxa"/>
            <w:vAlign w:val="bottom"/>
          </w:tcPr>
          <w:p>
            <w:pPr>
              <w:spacing w:after="0"/>
              <w:rPr>
                <w:sz w:val="12"/>
                <w:szCs w:val="12"/>
                <w:color w:val="auto"/>
              </w:rPr>
            </w:pPr>
          </w:p>
        </w:tc>
        <w:tc>
          <w:tcPr>
            <w:tcW w:w="960" w:type="dxa"/>
            <w:vAlign w:val="bottom"/>
          </w:tcPr>
          <w:p>
            <w:pPr>
              <w:jc w:val="right"/>
              <w:ind w:right="323"/>
              <w:spacing w:after="0"/>
              <w:rPr>
                <w:sz w:val="20"/>
                <w:szCs w:val="20"/>
                <w:color w:val="auto"/>
              </w:rPr>
            </w:pPr>
            <w:r>
              <w:rPr>
                <w:rFonts w:ascii="Arial" w:cs="Arial" w:eastAsia="Arial" w:hAnsi="Arial"/>
                <w:sz w:val="12"/>
                <w:szCs w:val="12"/>
                <w:color w:val="auto"/>
              </w:rPr>
              <w:t>3.6pts</w:t>
            </w:r>
          </w:p>
        </w:tc>
        <w:tc>
          <w:tcPr>
            <w:tcW w:w="880" w:type="dxa"/>
            <w:vAlign w:val="bottom"/>
            <w:gridSpan w:val="2"/>
          </w:tcPr>
          <w:p>
            <w:pPr>
              <w:jc w:val="right"/>
              <w:ind w:right="26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760" w:type="dxa"/>
            <w:vAlign w:val="bottom"/>
            <w:shd w:val="clear" w:color="auto" w:fill="CCEEFF"/>
          </w:tcPr>
          <w:p>
            <w:pPr>
              <w:ind w:left="260"/>
              <w:spacing w:after="0"/>
              <w:rPr>
                <w:sz w:val="20"/>
                <w:szCs w:val="20"/>
                <w:color w:val="auto"/>
              </w:rPr>
            </w:pPr>
            <w:r>
              <w:rPr>
                <w:rFonts w:ascii="Arial" w:cs="Arial" w:eastAsia="Arial" w:hAnsi="Arial"/>
                <w:sz w:val="12"/>
                <w:szCs w:val="12"/>
                <w:color w:val="auto"/>
              </w:rPr>
              <w:t>Table games win per unit per day</w:t>
            </w:r>
          </w:p>
        </w:tc>
        <w:tc>
          <w:tcPr>
            <w:tcW w:w="202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w:t>
            </w:r>
          </w:p>
        </w:tc>
        <w:tc>
          <w:tcPr>
            <w:tcW w:w="860" w:type="dxa"/>
            <w:vAlign w:val="bottom"/>
            <w:shd w:val="clear" w:color="auto" w:fill="CCEEFF"/>
          </w:tcPr>
          <w:p>
            <w:pPr>
              <w:jc w:val="right"/>
              <w:ind w:right="222"/>
              <w:spacing w:after="0"/>
              <w:rPr>
                <w:sz w:val="20"/>
                <w:szCs w:val="20"/>
                <w:color w:val="auto"/>
              </w:rPr>
            </w:pPr>
            <w:r>
              <w:rPr>
                <w:rFonts w:ascii="Arial" w:cs="Arial" w:eastAsia="Arial" w:hAnsi="Arial"/>
                <w:sz w:val="12"/>
                <w:szCs w:val="12"/>
                <w:color w:val="auto"/>
              </w:rPr>
              <w:t>7,027</w:t>
            </w:r>
          </w:p>
        </w:tc>
        <w:tc>
          <w:tcPr>
            <w:tcW w:w="6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020" w:type="dxa"/>
            <w:vAlign w:val="bottom"/>
            <w:shd w:val="clear" w:color="auto" w:fill="CCEEFF"/>
          </w:tcPr>
          <w:p>
            <w:pPr>
              <w:jc w:val="right"/>
              <w:ind w:right="383"/>
              <w:spacing w:after="0"/>
              <w:rPr>
                <w:sz w:val="20"/>
                <w:szCs w:val="20"/>
                <w:color w:val="auto"/>
              </w:rPr>
            </w:pPr>
            <w:r>
              <w:rPr>
                <w:rFonts w:ascii="Arial" w:cs="Arial" w:eastAsia="Arial" w:hAnsi="Arial"/>
                <w:sz w:val="12"/>
                <w:szCs w:val="12"/>
                <w:color w:val="auto"/>
              </w:rPr>
              <w:t>6,397</w:t>
            </w:r>
          </w:p>
        </w:tc>
        <w:tc>
          <w:tcPr>
            <w:tcW w:w="4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960" w:type="dxa"/>
            <w:vAlign w:val="bottom"/>
            <w:shd w:val="clear" w:color="auto" w:fill="CCEEFF"/>
          </w:tcPr>
          <w:p>
            <w:pPr>
              <w:jc w:val="right"/>
              <w:ind w:right="323"/>
              <w:spacing w:after="0"/>
              <w:rPr>
                <w:sz w:val="20"/>
                <w:szCs w:val="20"/>
                <w:color w:val="auto"/>
              </w:rPr>
            </w:pPr>
            <w:r>
              <w:rPr>
                <w:rFonts w:ascii="Arial" w:cs="Arial" w:eastAsia="Arial" w:hAnsi="Arial"/>
                <w:sz w:val="12"/>
                <w:szCs w:val="12"/>
                <w:color w:val="auto"/>
              </w:rPr>
              <w:t>630</w:t>
            </w: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9.8%</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3760" w:type="dxa"/>
            <w:vAlign w:val="bottom"/>
          </w:tcPr>
          <w:p>
            <w:pPr>
              <w:ind w:left="260"/>
              <w:spacing w:after="0"/>
              <w:rPr>
                <w:sz w:val="20"/>
                <w:szCs w:val="20"/>
                <w:color w:val="auto"/>
              </w:rPr>
            </w:pPr>
            <w:r>
              <w:rPr>
                <w:rFonts w:ascii="Arial" w:cs="Arial" w:eastAsia="Arial" w:hAnsi="Arial"/>
                <w:sz w:val="12"/>
                <w:szCs w:val="12"/>
                <w:color w:val="auto"/>
              </w:rPr>
              <w:t>Slot machine handle</w:t>
            </w:r>
          </w:p>
        </w:tc>
        <w:tc>
          <w:tcPr>
            <w:tcW w:w="2020" w:type="dxa"/>
            <w:vAlign w:val="bottom"/>
            <w:gridSpan w:val="2"/>
          </w:tcPr>
          <w:p>
            <w:pPr>
              <w:jc w:val="right"/>
              <w:ind w:right="40"/>
              <w:spacing w:after="0"/>
              <w:rPr>
                <w:sz w:val="20"/>
                <w:szCs w:val="20"/>
                <w:color w:val="auto"/>
              </w:rPr>
            </w:pPr>
            <w:r>
              <w:rPr>
                <w:rFonts w:ascii="Arial" w:cs="Arial" w:eastAsia="Arial" w:hAnsi="Arial"/>
                <w:sz w:val="12"/>
                <w:szCs w:val="12"/>
                <w:color w:val="auto"/>
              </w:rPr>
              <w:t>$</w:t>
            </w:r>
          </w:p>
        </w:tc>
        <w:tc>
          <w:tcPr>
            <w:tcW w:w="860" w:type="dxa"/>
            <w:vAlign w:val="bottom"/>
          </w:tcPr>
          <w:p>
            <w:pPr>
              <w:jc w:val="right"/>
              <w:ind w:right="222"/>
              <w:spacing w:after="0"/>
              <w:rPr>
                <w:sz w:val="20"/>
                <w:szCs w:val="20"/>
                <w:color w:val="auto"/>
              </w:rPr>
            </w:pPr>
            <w:r>
              <w:rPr>
                <w:rFonts w:ascii="Arial" w:cs="Arial" w:eastAsia="Arial" w:hAnsi="Arial"/>
                <w:sz w:val="12"/>
                <w:szCs w:val="12"/>
                <w:color w:val="auto"/>
              </w:rPr>
              <w:t>2,142,738</w:t>
            </w:r>
          </w:p>
        </w:tc>
        <w:tc>
          <w:tcPr>
            <w:tcW w:w="600" w:type="dxa"/>
            <w:vAlign w:val="bottom"/>
          </w:tcPr>
          <w:p>
            <w:pPr>
              <w:jc w:val="right"/>
              <w:spacing w:after="0"/>
              <w:rPr>
                <w:sz w:val="20"/>
                <w:szCs w:val="20"/>
                <w:color w:val="auto"/>
              </w:rPr>
            </w:pPr>
            <w:r>
              <w:rPr>
                <w:rFonts w:ascii="Arial" w:cs="Arial" w:eastAsia="Arial" w:hAnsi="Arial"/>
                <w:sz w:val="12"/>
                <w:szCs w:val="12"/>
                <w:color w:val="auto"/>
              </w:rPr>
              <w:t>$</w:t>
            </w:r>
          </w:p>
        </w:tc>
        <w:tc>
          <w:tcPr>
            <w:tcW w:w="1020" w:type="dxa"/>
            <w:vAlign w:val="bottom"/>
          </w:tcPr>
          <w:p>
            <w:pPr>
              <w:jc w:val="right"/>
              <w:ind w:right="383"/>
              <w:spacing w:after="0"/>
              <w:rPr>
                <w:sz w:val="20"/>
                <w:szCs w:val="20"/>
                <w:color w:val="auto"/>
              </w:rPr>
            </w:pPr>
            <w:r>
              <w:rPr>
                <w:rFonts w:ascii="Arial" w:cs="Arial" w:eastAsia="Arial" w:hAnsi="Arial"/>
                <w:sz w:val="12"/>
                <w:szCs w:val="12"/>
                <w:color w:val="auto"/>
              </w:rPr>
              <w:t>2,150,263</w:t>
            </w:r>
          </w:p>
        </w:tc>
        <w:tc>
          <w:tcPr>
            <w:tcW w:w="440" w:type="dxa"/>
            <w:vAlign w:val="bottom"/>
          </w:tcPr>
          <w:p>
            <w:pPr>
              <w:jc w:val="right"/>
              <w:spacing w:after="0"/>
              <w:rPr>
                <w:sz w:val="20"/>
                <w:szCs w:val="20"/>
                <w:color w:val="auto"/>
              </w:rPr>
            </w:pPr>
            <w:r>
              <w:rPr>
                <w:rFonts w:ascii="Arial" w:cs="Arial" w:eastAsia="Arial" w:hAnsi="Arial"/>
                <w:sz w:val="12"/>
                <w:szCs w:val="12"/>
                <w:color w:val="auto"/>
              </w:rPr>
              <w:t>$</w:t>
            </w:r>
          </w:p>
        </w:tc>
        <w:tc>
          <w:tcPr>
            <w:tcW w:w="960" w:type="dxa"/>
            <w:vAlign w:val="bottom"/>
          </w:tcPr>
          <w:p>
            <w:pPr>
              <w:jc w:val="right"/>
              <w:ind w:right="283"/>
              <w:spacing w:after="0"/>
              <w:rPr>
                <w:sz w:val="20"/>
                <w:szCs w:val="20"/>
                <w:color w:val="auto"/>
              </w:rPr>
            </w:pPr>
            <w:r>
              <w:rPr>
                <w:rFonts w:ascii="Arial" w:cs="Arial" w:eastAsia="Arial" w:hAnsi="Arial"/>
                <w:sz w:val="12"/>
                <w:szCs w:val="12"/>
                <w:color w:val="auto"/>
              </w:rPr>
              <w:t>(7,525)</w:t>
            </w:r>
          </w:p>
        </w:tc>
        <w:tc>
          <w:tcPr>
            <w:tcW w:w="880" w:type="dxa"/>
            <w:vAlign w:val="bottom"/>
            <w:gridSpan w:val="2"/>
          </w:tcPr>
          <w:p>
            <w:pPr>
              <w:jc w:val="right"/>
              <w:ind w:right="80"/>
              <w:spacing w:after="0"/>
              <w:rPr>
                <w:sz w:val="20"/>
                <w:szCs w:val="20"/>
                <w:color w:val="auto"/>
              </w:rPr>
            </w:pPr>
            <w:r>
              <w:rPr>
                <w:rFonts w:ascii="Arial" w:cs="Arial" w:eastAsia="Arial" w:hAnsi="Arial"/>
                <w:sz w:val="12"/>
                <w:szCs w:val="12"/>
                <w:color w:val="auto"/>
              </w:rPr>
              <w:t>(0.3)%</w:t>
            </w: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3760" w:type="dxa"/>
            <w:vAlign w:val="bottom"/>
            <w:shd w:val="clear" w:color="auto" w:fill="CCEEFF"/>
          </w:tcPr>
          <w:p>
            <w:pPr>
              <w:ind w:left="260"/>
              <w:spacing w:after="0"/>
              <w:rPr>
                <w:sz w:val="20"/>
                <w:szCs w:val="20"/>
                <w:color w:val="auto"/>
              </w:rPr>
            </w:pPr>
            <w:r>
              <w:rPr>
                <w:rFonts w:ascii="Arial" w:cs="Arial" w:eastAsia="Arial" w:hAnsi="Arial"/>
                <w:sz w:val="12"/>
                <w:szCs w:val="12"/>
                <w:color w:val="auto"/>
              </w:rPr>
              <w:t>Slot machine win</w:t>
            </w:r>
          </w:p>
        </w:tc>
        <w:tc>
          <w:tcPr>
            <w:tcW w:w="202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w:t>
            </w:r>
          </w:p>
        </w:tc>
        <w:tc>
          <w:tcPr>
            <w:tcW w:w="860" w:type="dxa"/>
            <w:vAlign w:val="bottom"/>
            <w:shd w:val="clear" w:color="auto" w:fill="CCEEFF"/>
          </w:tcPr>
          <w:p>
            <w:pPr>
              <w:jc w:val="right"/>
              <w:ind w:right="222"/>
              <w:spacing w:after="0"/>
              <w:rPr>
                <w:sz w:val="20"/>
                <w:szCs w:val="20"/>
                <w:color w:val="auto"/>
              </w:rPr>
            </w:pPr>
            <w:r>
              <w:rPr>
                <w:rFonts w:ascii="Arial" w:cs="Arial" w:eastAsia="Arial" w:hAnsi="Arial"/>
                <w:sz w:val="12"/>
                <w:szCs w:val="12"/>
                <w:color w:val="auto"/>
              </w:rPr>
              <w:t>132,821</w:t>
            </w:r>
          </w:p>
        </w:tc>
        <w:tc>
          <w:tcPr>
            <w:tcW w:w="6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020" w:type="dxa"/>
            <w:vAlign w:val="bottom"/>
            <w:shd w:val="clear" w:color="auto" w:fill="CCEEFF"/>
          </w:tcPr>
          <w:p>
            <w:pPr>
              <w:jc w:val="right"/>
              <w:ind w:right="383"/>
              <w:spacing w:after="0"/>
              <w:rPr>
                <w:sz w:val="20"/>
                <w:szCs w:val="20"/>
                <w:color w:val="auto"/>
              </w:rPr>
            </w:pPr>
            <w:r>
              <w:rPr>
                <w:rFonts w:ascii="Arial" w:cs="Arial" w:eastAsia="Arial" w:hAnsi="Arial"/>
                <w:sz w:val="12"/>
                <w:szCs w:val="12"/>
                <w:color w:val="auto"/>
              </w:rPr>
              <w:t>129,812</w:t>
            </w:r>
          </w:p>
        </w:tc>
        <w:tc>
          <w:tcPr>
            <w:tcW w:w="4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960" w:type="dxa"/>
            <w:vAlign w:val="bottom"/>
            <w:shd w:val="clear" w:color="auto" w:fill="CCEEFF"/>
          </w:tcPr>
          <w:p>
            <w:pPr>
              <w:jc w:val="right"/>
              <w:ind w:right="323"/>
              <w:spacing w:after="0"/>
              <w:rPr>
                <w:sz w:val="20"/>
                <w:szCs w:val="20"/>
                <w:color w:val="auto"/>
              </w:rPr>
            </w:pPr>
            <w:r>
              <w:rPr>
                <w:rFonts w:ascii="Arial" w:cs="Arial" w:eastAsia="Arial" w:hAnsi="Arial"/>
                <w:sz w:val="12"/>
                <w:szCs w:val="12"/>
                <w:color w:val="auto"/>
              </w:rPr>
              <w:t>3,009</w:t>
            </w: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2.3%</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760" w:type="dxa"/>
            <w:vAlign w:val="bottom"/>
          </w:tcPr>
          <w:p>
            <w:pPr>
              <w:ind w:left="260"/>
              <w:spacing w:after="0"/>
              <w:rPr>
                <w:sz w:val="20"/>
                <w:szCs w:val="20"/>
                <w:color w:val="auto"/>
              </w:rPr>
            </w:pPr>
            <w:r>
              <w:rPr>
                <w:rFonts w:ascii="Arial" w:cs="Arial" w:eastAsia="Arial" w:hAnsi="Arial"/>
                <w:sz w:val="12"/>
                <w:szCs w:val="12"/>
                <w:color w:val="auto"/>
              </w:rPr>
              <w:t>Slot machine win per unit per day</w:t>
            </w:r>
          </w:p>
        </w:tc>
        <w:tc>
          <w:tcPr>
            <w:tcW w:w="2020" w:type="dxa"/>
            <w:vAlign w:val="bottom"/>
            <w:gridSpan w:val="2"/>
          </w:tcPr>
          <w:p>
            <w:pPr>
              <w:jc w:val="right"/>
              <w:ind w:right="40"/>
              <w:spacing w:after="0"/>
              <w:rPr>
                <w:sz w:val="20"/>
                <w:szCs w:val="20"/>
                <w:color w:val="auto"/>
              </w:rPr>
            </w:pPr>
            <w:r>
              <w:rPr>
                <w:rFonts w:ascii="Arial" w:cs="Arial" w:eastAsia="Arial" w:hAnsi="Arial"/>
                <w:sz w:val="12"/>
                <w:szCs w:val="12"/>
                <w:color w:val="auto"/>
              </w:rPr>
              <w:t>$</w:t>
            </w:r>
          </w:p>
        </w:tc>
        <w:tc>
          <w:tcPr>
            <w:tcW w:w="860" w:type="dxa"/>
            <w:vAlign w:val="bottom"/>
          </w:tcPr>
          <w:p>
            <w:pPr>
              <w:jc w:val="right"/>
              <w:ind w:right="222"/>
              <w:spacing w:after="0"/>
              <w:rPr>
                <w:sz w:val="20"/>
                <w:szCs w:val="20"/>
                <w:color w:val="auto"/>
              </w:rPr>
            </w:pPr>
            <w:r>
              <w:rPr>
                <w:rFonts w:ascii="Arial" w:cs="Arial" w:eastAsia="Arial" w:hAnsi="Arial"/>
                <w:sz w:val="12"/>
                <w:szCs w:val="12"/>
                <w:color w:val="auto"/>
              </w:rPr>
              <w:t>234</w:t>
            </w:r>
          </w:p>
        </w:tc>
        <w:tc>
          <w:tcPr>
            <w:tcW w:w="600" w:type="dxa"/>
            <w:vAlign w:val="bottom"/>
          </w:tcPr>
          <w:p>
            <w:pPr>
              <w:jc w:val="right"/>
              <w:spacing w:after="0"/>
              <w:rPr>
                <w:sz w:val="20"/>
                <w:szCs w:val="20"/>
                <w:color w:val="auto"/>
              </w:rPr>
            </w:pPr>
            <w:r>
              <w:rPr>
                <w:rFonts w:ascii="Arial" w:cs="Arial" w:eastAsia="Arial" w:hAnsi="Arial"/>
                <w:sz w:val="12"/>
                <w:szCs w:val="12"/>
                <w:color w:val="auto"/>
              </w:rPr>
              <w:t>$</w:t>
            </w:r>
          </w:p>
        </w:tc>
        <w:tc>
          <w:tcPr>
            <w:tcW w:w="1020" w:type="dxa"/>
            <w:vAlign w:val="bottom"/>
          </w:tcPr>
          <w:p>
            <w:pPr>
              <w:jc w:val="right"/>
              <w:ind w:right="383"/>
              <w:spacing w:after="0"/>
              <w:rPr>
                <w:sz w:val="20"/>
                <w:szCs w:val="20"/>
                <w:color w:val="auto"/>
              </w:rPr>
            </w:pPr>
            <w:r>
              <w:rPr>
                <w:rFonts w:ascii="Arial" w:cs="Arial" w:eastAsia="Arial" w:hAnsi="Arial"/>
                <w:sz w:val="12"/>
                <w:szCs w:val="12"/>
                <w:color w:val="auto"/>
              </w:rPr>
              <w:t>199</w:t>
            </w:r>
          </w:p>
        </w:tc>
        <w:tc>
          <w:tcPr>
            <w:tcW w:w="440" w:type="dxa"/>
            <w:vAlign w:val="bottom"/>
          </w:tcPr>
          <w:p>
            <w:pPr>
              <w:jc w:val="right"/>
              <w:spacing w:after="0"/>
              <w:rPr>
                <w:sz w:val="20"/>
                <w:szCs w:val="20"/>
                <w:color w:val="auto"/>
              </w:rPr>
            </w:pPr>
            <w:r>
              <w:rPr>
                <w:rFonts w:ascii="Arial" w:cs="Arial" w:eastAsia="Arial" w:hAnsi="Arial"/>
                <w:sz w:val="12"/>
                <w:szCs w:val="12"/>
                <w:color w:val="auto"/>
              </w:rPr>
              <w:t>$</w:t>
            </w:r>
          </w:p>
        </w:tc>
        <w:tc>
          <w:tcPr>
            <w:tcW w:w="960" w:type="dxa"/>
            <w:vAlign w:val="bottom"/>
          </w:tcPr>
          <w:p>
            <w:pPr>
              <w:jc w:val="right"/>
              <w:ind w:right="323"/>
              <w:spacing w:after="0"/>
              <w:rPr>
                <w:sz w:val="20"/>
                <w:szCs w:val="20"/>
                <w:color w:val="auto"/>
              </w:rPr>
            </w:pPr>
            <w:r>
              <w:rPr>
                <w:rFonts w:ascii="Arial" w:cs="Arial" w:eastAsia="Arial" w:hAnsi="Arial"/>
                <w:sz w:val="12"/>
                <w:szCs w:val="12"/>
                <w:color w:val="auto"/>
              </w:rPr>
              <w:t>35</w:t>
            </w:r>
          </w:p>
        </w:tc>
        <w:tc>
          <w:tcPr>
            <w:tcW w:w="880" w:type="dxa"/>
            <w:vAlign w:val="bottom"/>
            <w:gridSpan w:val="2"/>
          </w:tcPr>
          <w:p>
            <w:pPr>
              <w:jc w:val="right"/>
              <w:ind w:right="120"/>
              <w:spacing w:after="0"/>
              <w:rPr>
                <w:sz w:val="20"/>
                <w:szCs w:val="20"/>
                <w:color w:val="auto"/>
              </w:rPr>
            </w:pPr>
            <w:r>
              <w:rPr>
                <w:rFonts w:ascii="Arial" w:cs="Arial" w:eastAsia="Arial" w:hAnsi="Arial"/>
                <w:sz w:val="12"/>
                <w:szCs w:val="12"/>
                <w:color w:val="auto"/>
              </w:rPr>
              <w:t>17.6%</w:t>
            </w:r>
          </w:p>
        </w:tc>
        <w:tc>
          <w:tcPr>
            <w:tcW w:w="0" w:type="dxa"/>
            <w:vAlign w:val="bottom"/>
          </w:tcPr>
          <w:p>
            <w:pPr>
              <w:spacing w:after="0"/>
              <w:rPr>
                <w:sz w:val="1"/>
                <w:szCs w:val="1"/>
                <w:color w:val="auto"/>
              </w:rPr>
            </w:pPr>
          </w:p>
        </w:tc>
      </w:tr>
    </w:tbl>
    <w:p>
      <w:pPr>
        <w:spacing w:after="0" w:line="125" w:lineRule="exact"/>
        <w:rPr>
          <w:sz w:val="20"/>
          <w:szCs w:val="20"/>
          <w:color w:val="auto"/>
        </w:rPr>
      </w:pPr>
    </w:p>
    <w:p>
      <w:pPr>
        <w:ind w:left="468" w:hanging="468"/>
        <w:spacing w:after="0" w:line="268" w:lineRule="auto"/>
        <w:tabs>
          <w:tab w:leader="none" w:pos="468" w:val="left"/>
        </w:tabs>
        <w:numPr>
          <w:ilvl w:val="0"/>
          <w:numId w:val="21"/>
        </w:numPr>
        <w:rPr>
          <w:rFonts w:ascii="Arial" w:cs="Arial" w:eastAsia="Arial" w:hAnsi="Arial"/>
          <w:sz w:val="12"/>
          <w:szCs w:val="12"/>
          <w:color w:val="auto"/>
        </w:rPr>
      </w:pPr>
      <w:r>
        <w:rPr>
          <w:rFonts w:ascii="Arial" w:cs="Arial" w:eastAsia="Arial" w:hAnsi="Arial"/>
          <w:sz w:val="12"/>
          <w:szCs w:val="12"/>
          <w:color w:val="auto"/>
        </w:rPr>
        <w:t>Customers purchase general casino gaming chips at either the gaming tables or the casino cage. Chips purchased at the casino cage are excluded from table games drop and will increase the expected win percentage. With the increased purchases at the casino cage in our Macau general casino, we believe the relevant indicator of volumes in the general casino should be table games win.</w:t>
      </w:r>
    </w:p>
    <w:p>
      <w:pPr>
        <w:spacing w:after="0" w:line="88" w:lineRule="exact"/>
        <w:rPr>
          <w:sz w:val="20"/>
          <w:szCs w:val="20"/>
          <w:color w:val="auto"/>
        </w:rPr>
      </w:pPr>
    </w:p>
    <w:p>
      <w:pPr>
        <w:ind w:left="8" w:right="100" w:firstLine="459"/>
        <w:spacing w:after="0" w:line="314" w:lineRule="auto"/>
        <w:rPr>
          <w:sz w:val="20"/>
          <w:szCs w:val="20"/>
          <w:color w:val="auto"/>
        </w:rPr>
      </w:pPr>
      <w:r>
        <w:rPr>
          <w:rFonts w:ascii="Arial" w:cs="Arial" w:eastAsia="Arial" w:hAnsi="Arial"/>
          <w:sz w:val="11"/>
          <w:szCs w:val="11"/>
          <w:color w:val="auto"/>
        </w:rPr>
        <w:t>For the nine months ended September 30, 2013, room revenues were $372.9 million, an increase of $10.9 million (3%) compared to prior year period room revenue of $362 million. Room revenue at our Macau Operations decreased $2.4 million (2.7%) to $85.1 million compared to the prior year period of $87.5 million. During the second quarter of 2013, we began a renovation of the approximately 600 guestrooms in the original</w:t>
      </w:r>
    </w:p>
    <w:p>
      <w:pPr>
        <w:spacing w:after="0" w:line="56" w:lineRule="exact"/>
        <w:rPr>
          <w:sz w:val="20"/>
          <w:szCs w:val="20"/>
          <w:color w:val="auto"/>
        </w:rPr>
      </w:pPr>
    </w:p>
    <w:p>
      <w:pPr>
        <w:jc w:val="center"/>
        <w:ind w:right="-67"/>
        <w:spacing w:after="0"/>
        <w:rPr>
          <w:sz w:val="20"/>
          <w:szCs w:val="20"/>
          <w:color w:val="auto"/>
        </w:rPr>
      </w:pPr>
      <w:r>
        <w:rPr>
          <w:rFonts w:ascii="Arial" w:cs="Arial" w:eastAsia="Arial" w:hAnsi="Arial"/>
          <w:sz w:val="12"/>
          <w:szCs w:val="12"/>
          <w:color w:val="auto"/>
        </w:rPr>
        <w:t>42</w:t>
      </w:r>
    </w:p>
    <w:p>
      <w:pPr>
        <w:sectPr>
          <w:pgSz w:w="11900" w:h="16838" w:orient="portrait"/>
          <w:cols w:equalWidth="0" w:num="1">
            <w:col w:w="11428"/>
          </w:cols>
          <w:pgMar w:left="212" w:top="354" w:right="259" w:bottom="1440" w:gutter="0" w:footer="0" w:header="0"/>
        </w:sectPr>
      </w:pPr>
    </w:p>
    <w:bookmarkStart w:id="42" w:name="page43"/>
    <w:bookmarkEnd w:id="42"/>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121920</wp:posOffset>
            </wp:positionH>
            <wp:positionV relativeFrom="page">
              <wp:posOffset>88900</wp:posOffset>
            </wp:positionV>
            <wp:extent cx="7329170" cy="298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329170" cy="29845"/>
                    </a:xfrm>
                    <a:prstGeom prst="rect">
                      <a:avLst/>
                    </a:prstGeom>
                    <a:noFill/>
                  </pic:spPr>
                </pic:pic>
              </a:graphicData>
            </a:graphic>
          </wp:anchor>
        </w:drawing>
      </w:r>
      <w:hyperlink w:anchor="page2">
        <w:r>
          <w:rPr>
            <w:rFonts w:ascii="Arial" w:cs="Arial" w:eastAsia="Arial" w:hAnsi="Arial"/>
            <w:sz w:val="12"/>
            <w:szCs w:val="12"/>
            <w:b w:val="1"/>
            <w:bCs w:val="1"/>
            <w:u w:val="single" w:color="auto"/>
            <w:color w:val="0000EE"/>
          </w:rPr>
          <w:t>Table of Contents</w:t>
        </w:r>
      </w:hyperlink>
    </w:p>
    <w:p>
      <w:pPr>
        <w:spacing w:after="0" w:line="209" w:lineRule="exact"/>
        <w:rPr>
          <w:sz w:val="20"/>
          <w:szCs w:val="20"/>
          <w:color w:val="auto"/>
        </w:rPr>
      </w:pPr>
    </w:p>
    <w:p>
      <w:pPr>
        <w:ind w:right="380"/>
        <w:spacing w:after="0" w:line="294" w:lineRule="auto"/>
        <w:rPr>
          <w:sz w:val="20"/>
          <w:szCs w:val="20"/>
          <w:color w:val="auto"/>
        </w:rPr>
      </w:pPr>
      <w:r>
        <w:rPr>
          <w:rFonts w:ascii="Arial" w:cs="Arial" w:eastAsia="Arial" w:hAnsi="Arial"/>
          <w:sz w:val="11"/>
          <w:szCs w:val="11"/>
          <w:color w:val="auto"/>
        </w:rPr>
        <w:t>Wynn Macau tower, contributing to an approximate 5% reduction in the number of available room-nights for the nine months ended September 30, 2013 compared to the prior year period of 2012. We expect to complete the guestroom renovation by the end of 2013. Room revenue at our Las Vegas Operations increased to $287.8 million, approximately $13.3 million (4.8%) compared to the prior year period’s $274.5 million. In Las Vegas, during the nine months ended September 30, 2013, we experienced an increase in occupancy and an increase in room rates compared to the nine months ended September 30, 2012.</w:t>
      </w:r>
    </w:p>
    <w:p>
      <w:pPr>
        <w:spacing w:after="0" w:line="76" w:lineRule="exact"/>
        <w:rPr>
          <w:sz w:val="20"/>
          <w:szCs w:val="20"/>
          <w:color w:val="auto"/>
        </w:rPr>
      </w:pPr>
    </w:p>
    <w:p>
      <w:pPr>
        <w:ind w:left="460"/>
        <w:spacing w:after="0"/>
        <w:rPr>
          <w:sz w:val="20"/>
          <w:szCs w:val="20"/>
          <w:color w:val="auto"/>
        </w:rPr>
      </w:pPr>
      <w:r>
        <w:rPr>
          <w:rFonts w:ascii="Arial" w:cs="Arial" w:eastAsia="Arial" w:hAnsi="Arial"/>
          <w:sz w:val="12"/>
          <w:szCs w:val="12"/>
          <w:color w:val="auto"/>
        </w:rPr>
        <w:t>The table below sets forth key operating measures related to room revenue.</w:t>
      </w:r>
    </w:p>
    <w:p>
      <w:pPr>
        <w:spacing w:after="0" w:line="134" w:lineRule="exact"/>
        <w:rPr>
          <w:sz w:val="20"/>
          <w:szCs w:val="20"/>
          <w:color w:val="auto"/>
        </w:rPr>
      </w:pPr>
    </w:p>
    <w:tbl>
      <w:tblPr>
        <w:tblLayout w:type="fixed"/>
        <w:tblInd w:w="1380" w:type="dxa"/>
        <w:tblCellMar>
          <w:top w:w="0" w:type="dxa"/>
          <w:left w:w="0" w:type="dxa"/>
          <w:bottom w:w="0" w:type="dxa"/>
          <w:right w:w="0" w:type="dxa"/>
        </w:tblCellMar>
      </w:tblPr>
      <w:tr>
        <w:trPr>
          <w:trHeight w:val="103"/>
        </w:trPr>
        <w:tc>
          <w:tcPr>
            <w:tcW w:w="4240" w:type="dxa"/>
            <w:vAlign w:val="bottom"/>
          </w:tcPr>
          <w:p>
            <w:pPr>
              <w:spacing w:after="0"/>
              <w:rPr>
                <w:sz w:val="8"/>
                <w:szCs w:val="8"/>
                <w:color w:val="auto"/>
              </w:rPr>
            </w:pPr>
          </w:p>
        </w:tc>
        <w:tc>
          <w:tcPr>
            <w:tcW w:w="2920" w:type="dxa"/>
            <w:vAlign w:val="bottom"/>
          </w:tcPr>
          <w:p>
            <w:pPr>
              <w:spacing w:after="0"/>
              <w:rPr>
                <w:sz w:val="8"/>
                <w:szCs w:val="8"/>
                <w:color w:val="auto"/>
              </w:rPr>
            </w:pPr>
          </w:p>
        </w:tc>
        <w:tc>
          <w:tcPr>
            <w:tcW w:w="280" w:type="dxa"/>
            <w:vAlign w:val="bottom"/>
          </w:tcPr>
          <w:p>
            <w:pPr>
              <w:spacing w:after="0"/>
              <w:rPr>
                <w:sz w:val="8"/>
                <w:szCs w:val="8"/>
                <w:color w:val="auto"/>
              </w:rPr>
            </w:pPr>
          </w:p>
        </w:tc>
        <w:tc>
          <w:tcPr>
            <w:tcW w:w="880" w:type="dxa"/>
            <w:vAlign w:val="bottom"/>
          </w:tcPr>
          <w:p>
            <w:pPr>
              <w:jc w:val="right"/>
              <w:spacing w:after="0"/>
              <w:rPr>
                <w:sz w:val="20"/>
                <w:szCs w:val="20"/>
                <w:color w:val="auto"/>
              </w:rPr>
            </w:pPr>
            <w:r>
              <w:rPr>
                <w:rFonts w:ascii="Arial" w:cs="Arial" w:eastAsia="Arial" w:hAnsi="Arial"/>
                <w:sz w:val="9"/>
                <w:szCs w:val="9"/>
                <w:b w:val="1"/>
                <w:bCs w:val="1"/>
                <w:color w:val="auto"/>
                <w:w w:val="97"/>
              </w:rPr>
              <w:t>Nine Months Ended</w:t>
            </w:r>
          </w:p>
        </w:tc>
        <w:tc>
          <w:tcPr>
            <w:tcW w:w="260" w:type="dxa"/>
            <w:vAlign w:val="bottom"/>
          </w:tcPr>
          <w:p>
            <w:pPr>
              <w:spacing w:after="0"/>
              <w:rPr>
                <w:sz w:val="8"/>
                <w:szCs w:val="8"/>
                <w:color w:val="auto"/>
              </w:rPr>
            </w:pPr>
          </w:p>
        </w:tc>
        <w:tc>
          <w:tcPr>
            <w:tcW w:w="140" w:type="dxa"/>
            <w:vAlign w:val="bottom"/>
          </w:tcPr>
          <w:p>
            <w:pPr>
              <w:spacing w:after="0"/>
              <w:rPr>
                <w:sz w:val="8"/>
                <w:szCs w:val="8"/>
                <w:color w:val="auto"/>
              </w:rPr>
            </w:pPr>
          </w:p>
        </w:tc>
      </w:tr>
      <w:tr>
        <w:trPr>
          <w:trHeight w:val="108"/>
        </w:trPr>
        <w:tc>
          <w:tcPr>
            <w:tcW w:w="4240" w:type="dxa"/>
            <w:vAlign w:val="bottom"/>
          </w:tcPr>
          <w:p>
            <w:pPr>
              <w:spacing w:after="0"/>
              <w:rPr>
                <w:sz w:val="9"/>
                <w:szCs w:val="9"/>
                <w:color w:val="auto"/>
              </w:rPr>
            </w:pPr>
          </w:p>
        </w:tc>
        <w:tc>
          <w:tcPr>
            <w:tcW w:w="2920" w:type="dxa"/>
            <w:vAlign w:val="bottom"/>
          </w:tcPr>
          <w:p>
            <w:pPr>
              <w:spacing w:after="0"/>
              <w:rPr>
                <w:sz w:val="9"/>
                <w:szCs w:val="9"/>
                <w:color w:val="auto"/>
              </w:rPr>
            </w:pPr>
          </w:p>
        </w:tc>
        <w:tc>
          <w:tcPr>
            <w:tcW w:w="280" w:type="dxa"/>
            <w:vAlign w:val="bottom"/>
            <w:tcBorders>
              <w:bottom w:val="single" w:sz="8" w:color="auto"/>
            </w:tcBorders>
          </w:tcPr>
          <w:p>
            <w:pPr>
              <w:spacing w:after="0"/>
              <w:rPr>
                <w:sz w:val="9"/>
                <w:szCs w:val="9"/>
                <w:color w:val="auto"/>
              </w:rPr>
            </w:pPr>
          </w:p>
        </w:tc>
        <w:tc>
          <w:tcPr>
            <w:tcW w:w="880" w:type="dxa"/>
            <w:vAlign w:val="bottom"/>
            <w:tcBorders>
              <w:bottom w:val="single" w:sz="8" w:color="auto"/>
            </w:tcBorders>
          </w:tcPr>
          <w:p>
            <w:pPr>
              <w:jc w:val="right"/>
              <w:ind w:right="115"/>
              <w:spacing w:after="0"/>
              <w:rPr>
                <w:sz w:val="20"/>
                <w:szCs w:val="20"/>
                <w:color w:val="auto"/>
              </w:rPr>
            </w:pPr>
            <w:r>
              <w:rPr>
                <w:rFonts w:ascii="Arial" w:cs="Arial" w:eastAsia="Arial" w:hAnsi="Arial"/>
                <w:sz w:val="9"/>
                <w:szCs w:val="9"/>
                <w:b w:val="1"/>
                <w:bCs w:val="1"/>
                <w:color w:val="auto"/>
              </w:rPr>
              <w:t>September 30,</w:t>
            </w:r>
          </w:p>
        </w:tc>
        <w:tc>
          <w:tcPr>
            <w:tcW w:w="260" w:type="dxa"/>
            <w:vAlign w:val="bottom"/>
            <w:tcBorders>
              <w:bottom w:val="single" w:sz="8" w:color="auto"/>
            </w:tcBorders>
          </w:tcPr>
          <w:p>
            <w:pPr>
              <w:spacing w:after="0"/>
              <w:rPr>
                <w:sz w:val="9"/>
                <w:szCs w:val="9"/>
                <w:color w:val="auto"/>
              </w:rPr>
            </w:pPr>
          </w:p>
        </w:tc>
        <w:tc>
          <w:tcPr>
            <w:tcW w:w="140" w:type="dxa"/>
            <w:vAlign w:val="bottom"/>
          </w:tcPr>
          <w:p>
            <w:pPr>
              <w:spacing w:after="0"/>
              <w:rPr>
                <w:sz w:val="9"/>
                <w:szCs w:val="9"/>
                <w:color w:val="auto"/>
              </w:rPr>
            </w:pPr>
          </w:p>
        </w:tc>
      </w:tr>
      <w:tr>
        <w:trPr>
          <w:trHeight w:val="88"/>
        </w:trPr>
        <w:tc>
          <w:tcPr>
            <w:tcW w:w="4240" w:type="dxa"/>
            <w:vAlign w:val="bottom"/>
            <w:tcBorders>
              <w:bottom w:val="single" w:sz="8" w:color="CCEEFF"/>
            </w:tcBorders>
          </w:tcPr>
          <w:p>
            <w:pPr>
              <w:spacing w:after="0"/>
              <w:rPr>
                <w:sz w:val="7"/>
                <w:szCs w:val="7"/>
                <w:color w:val="auto"/>
              </w:rPr>
            </w:pPr>
          </w:p>
        </w:tc>
        <w:tc>
          <w:tcPr>
            <w:tcW w:w="2920" w:type="dxa"/>
            <w:vAlign w:val="bottom"/>
            <w:tcBorders>
              <w:bottom w:val="single" w:sz="8" w:color="CCEEFF"/>
            </w:tcBorders>
          </w:tcPr>
          <w:p>
            <w:pPr>
              <w:spacing w:after="0"/>
              <w:rPr>
                <w:sz w:val="7"/>
                <w:szCs w:val="7"/>
                <w:color w:val="auto"/>
              </w:rPr>
            </w:pPr>
          </w:p>
        </w:tc>
        <w:tc>
          <w:tcPr>
            <w:tcW w:w="280" w:type="dxa"/>
            <w:vAlign w:val="bottom"/>
            <w:tcBorders>
              <w:bottom w:val="single" w:sz="8" w:color="auto"/>
            </w:tcBorders>
          </w:tcPr>
          <w:p>
            <w:pPr>
              <w:jc w:val="right"/>
              <w:spacing w:after="0" w:line="88" w:lineRule="exact"/>
              <w:rPr>
                <w:sz w:val="20"/>
                <w:szCs w:val="20"/>
                <w:color w:val="auto"/>
              </w:rPr>
            </w:pPr>
            <w:r>
              <w:rPr>
                <w:rFonts w:ascii="Arial" w:cs="Arial" w:eastAsia="Arial" w:hAnsi="Arial"/>
                <w:sz w:val="9"/>
                <w:szCs w:val="9"/>
                <w:b w:val="1"/>
                <w:bCs w:val="1"/>
                <w:color w:val="auto"/>
              </w:rPr>
              <w:t>2013</w:t>
            </w:r>
          </w:p>
        </w:tc>
        <w:tc>
          <w:tcPr>
            <w:tcW w:w="880" w:type="dxa"/>
            <w:vAlign w:val="bottom"/>
            <w:tcBorders>
              <w:bottom w:val="single" w:sz="8" w:color="CCEEFF"/>
            </w:tcBorders>
          </w:tcPr>
          <w:p>
            <w:pPr>
              <w:spacing w:after="0"/>
              <w:rPr>
                <w:sz w:val="7"/>
                <w:szCs w:val="7"/>
                <w:color w:val="auto"/>
              </w:rPr>
            </w:pPr>
          </w:p>
        </w:tc>
        <w:tc>
          <w:tcPr>
            <w:tcW w:w="260" w:type="dxa"/>
            <w:vAlign w:val="bottom"/>
            <w:tcBorders>
              <w:bottom w:val="single" w:sz="8" w:color="auto"/>
            </w:tcBorders>
          </w:tcPr>
          <w:p>
            <w:pPr>
              <w:jc w:val="right"/>
              <w:spacing w:after="0" w:line="88" w:lineRule="exact"/>
              <w:rPr>
                <w:sz w:val="20"/>
                <w:szCs w:val="20"/>
                <w:color w:val="auto"/>
              </w:rPr>
            </w:pPr>
            <w:r>
              <w:rPr>
                <w:rFonts w:ascii="Arial" w:cs="Arial" w:eastAsia="Arial" w:hAnsi="Arial"/>
                <w:sz w:val="9"/>
                <w:szCs w:val="9"/>
                <w:b w:val="1"/>
                <w:bCs w:val="1"/>
                <w:color w:val="auto"/>
                <w:w w:val="99"/>
              </w:rPr>
              <w:t>2012</w:t>
            </w:r>
          </w:p>
        </w:tc>
        <w:tc>
          <w:tcPr>
            <w:tcW w:w="140" w:type="dxa"/>
            <w:vAlign w:val="bottom"/>
            <w:tcBorders>
              <w:bottom w:val="single" w:sz="8" w:color="CCEEFF"/>
            </w:tcBorders>
          </w:tcPr>
          <w:p>
            <w:pPr>
              <w:spacing w:after="0"/>
              <w:rPr>
                <w:sz w:val="7"/>
                <w:szCs w:val="7"/>
                <w:color w:val="auto"/>
              </w:rPr>
            </w:pPr>
          </w:p>
        </w:tc>
      </w:tr>
      <w:tr>
        <w:trPr>
          <w:trHeight w:val="124"/>
        </w:trPr>
        <w:tc>
          <w:tcPr>
            <w:tcW w:w="4240" w:type="dxa"/>
            <w:vAlign w:val="bottom"/>
            <w:shd w:val="clear" w:color="auto" w:fill="CCEEFF"/>
          </w:tcPr>
          <w:p>
            <w:pPr>
              <w:spacing w:after="0" w:line="124" w:lineRule="exact"/>
              <w:rPr>
                <w:sz w:val="20"/>
                <w:szCs w:val="20"/>
                <w:color w:val="auto"/>
              </w:rPr>
            </w:pPr>
            <w:r>
              <w:rPr>
                <w:rFonts w:ascii="Arial" w:cs="Arial" w:eastAsia="Arial" w:hAnsi="Arial"/>
                <w:sz w:val="12"/>
                <w:szCs w:val="12"/>
                <w:b w:val="1"/>
                <w:bCs w:val="1"/>
                <w:color w:val="auto"/>
              </w:rPr>
              <w:t>Average Daily Rate</w:t>
            </w:r>
          </w:p>
        </w:tc>
        <w:tc>
          <w:tcPr>
            <w:tcW w:w="292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88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r>
      <w:tr>
        <w:trPr>
          <w:trHeight w:val="144"/>
        </w:trPr>
        <w:tc>
          <w:tcPr>
            <w:tcW w:w="4240" w:type="dxa"/>
            <w:vAlign w:val="bottom"/>
          </w:tcPr>
          <w:p>
            <w:pPr>
              <w:ind w:left="280"/>
              <w:spacing w:after="0"/>
              <w:rPr>
                <w:sz w:val="20"/>
                <w:szCs w:val="20"/>
                <w:color w:val="auto"/>
              </w:rPr>
            </w:pPr>
            <w:r>
              <w:rPr>
                <w:rFonts w:ascii="Arial" w:cs="Arial" w:eastAsia="Arial" w:hAnsi="Arial"/>
                <w:sz w:val="12"/>
                <w:szCs w:val="12"/>
                <w:color w:val="auto"/>
              </w:rPr>
              <w:t>Macau Operations</w:t>
            </w:r>
          </w:p>
        </w:tc>
        <w:tc>
          <w:tcPr>
            <w:tcW w:w="3200" w:type="dxa"/>
            <w:vAlign w:val="bottom"/>
            <w:gridSpan w:val="2"/>
          </w:tcPr>
          <w:p>
            <w:pPr>
              <w:jc w:val="right"/>
              <w:spacing w:after="0"/>
              <w:rPr>
                <w:sz w:val="20"/>
                <w:szCs w:val="20"/>
                <w:color w:val="auto"/>
              </w:rPr>
            </w:pPr>
            <w:r>
              <w:rPr>
                <w:rFonts w:ascii="Arial" w:cs="Arial" w:eastAsia="Arial" w:hAnsi="Arial"/>
                <w:sz w:val="12"/>
                <w:szCs w:val="12"/>
                <w:color w:val="auto"/>
              </w:rPr>
              <w:t>$ 313</w:t>
            </w:r>
          </w:p>
        </w:tc>
        <w:tc>
          <w:tcPr>
            <w:tcW w:w="880" w:type="dxa"/>
            <w:vAlign w:val="bottom"/>
          </w:tcPr>
          <w:p>
            <w:pPr>
              <w:spacing w:after="0"/>
              <w:rPr>
                <w:sz w:val="12"/>
                <w:szCs w:val="12"/>
                <w:color w:val="auto"/>
              </w:rPr>
            </w:pPr>
          </w:p>
        </w:tc>
        <w:tc>
          <w:tcPr>
            <w:tcW w:w="400" w:type="dxa"/>
            <w:vAlign w:val="bottom"/>
            <w:gridSpan w:val="2"/>
          </w:tcPr>
          <w:p>
            <w:pPr>
              <w:jc w:val="right"/>
              <w:ind w:right="140"/>
              <w:spacing w:after="0"/>
              <w:rPr>
                <w:sz w:val="20"/>
                <w:szCs w:val="20"/>
                <w:color w:val="auto"/>
              </w:rPr>
            </w:pPr>
            <w:r>
              <w:rPr>
                <w:rFonts w:ascii="Arial" w:cs="Arial" w:eastAsia="Arial" w:hAnsi="Arial"/>
                <w:sz w:val="12"/>
                <w:szCs w:val="12"/>
                <w:color w:val="auto"/>
                <w:w w:val="79"/>
              </w:rPr>
              <w:t>$ 316</w:t>
            </w:r>
          </w:p>
        </w:tc>
      </w:tr>
      <w:tr>
        <w:trPr>
          <w:trHeight w:val="144"/>
        </w:trPr>
        <w:tc>
          <w:tcPr>
            <w:tcW w:w="4240" w:type="dxa"/>
            <w:vAlign w:val="bottom"/>
            <w:shd w:val="clear" w:color="auto" w:fill="CCEEFF"/>
          </w:tcPr>
          <w:p>
            <w:pPr>
              <w:ind w:left="280"/>
              <w:spacing w:after="0"/>
              <w:rPr>
                <w:sz w:val="20"/>
                <w:szCs w:val="20"/>
                <w:color w:val="auto"/>
              </w:rPr>
            </w:pPr>
            <w:r>
              <w:rPr>
                <w:rFonts w:ascii="Arial" w:cs="Arial" w:eastAsia="Arial" w:hAnsi="Arial"/>
                <w:sz w:val="12"/>
                <w:szCs w:val="12"/>
                <w:color w:val="auto"/>
              </w:rPr>
              <w:t>Las Vegas Operations</w:t>
            </w:r>
          </w:p>
        </w:tc>
        <w:tc>
          <w:tcPr>
            <w:tcW w:w="320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259</w:t>
            </w:r>
          </w:p>
        </w:tc>
        <w:tc>
          <w:tcPr>
            <w:tcW w:w="880" w:type="dxa"/>
            <w:vAlign w:val="bottom"/>
            <w:shd w:val="clear" w:color="auto" w:fill="CCEEFF"/>
          </w:tcPr>
          <w:p>
            <w:pPr>
              <w:spacing w:after="0"/>
              <w:rPr>
                <w:sz w:val="12"/>
                <w:szCs w:val="12"/>
                <w:color w:val="auto"/>
              </w:rPr>
            </w:pPr>
          </w:p>
        </w:tc>
        <w:tc>
          <w:tcPr>
            <w:tcW w:w="40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251</w:t>
            </w:r>
          </w:p>
        </w:tc>
      </w:tr>
      <w:tr>
        <w:trPr>
          <w:trHeight w:val="144"/>
        </w:trPr>
        <w:tc>
          <w:tcPr>
            <w:tcW w:w="4240" w:type="dxa"/>
            <w:vAlign w:val="bottom"/>
          </w:tcPr>
          <w:p>
            <w:pPr>
              <w:spacing w:after="0"/>
              <w:rPr>
                <w:sz w:val="20"/>
                <w:szCs w:val="20"/>
                <w:color w:val="auto"/>
              </w:rPr>
            </w:pPr>
            <w:r>
              <w:rPr>
                <w:rFonts w:ascii="Arial" w:cs="Arial" w:eastAsia="Arial" w:hAnsi="Arial"/>
                <w:sz w:val="12"/>
                <w:szCs w:val="12"/>
                <w:b w:val="1"/>
                <w:bCs w:val="1"/>
                <w:color w:val="auto"/>
              </w:rPr>
              <w:t>Occupancy</w:t>
            </w:r>
          </w:p>
        </w:tc>
        <w:tc>
          <w:tcPr>
            <w:tcW w:w="29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r>
      <w:tr>
        <w:trPr>
          <w:trHeight w:val="144"/>
        </w:trPr>
        <w:tc>
          <w:tcPr>
            <w:tcW w:w="4240" w:type="dxa"/>
            <w:vAlign w:val="bottom"/>
            <w:shd w:val="clear" w:color="auto" w:fill="CCEEFF"/>
          </w:tcPr>
          <w:p>
            <w:pPr>
              <w:ind w:left="280"/>
              <w:spacing w:after="0"/>
              <w:rPr>
                <w:sz w:val="20"/>
                <w:szCs w:val="20"/>
                <w:color w:val="auto"/>
              </w:rPr>
            </w:pPr>
            <w:r>
              <w:rPr>
                <w:rFonts w:ascii="Arial" w:cs="Arial" w:eastAsia="Arial" w:hAnsi="Arial"/>
                <w:sz w:val="12"/>
                <w:szCs w:val="12"/>
                <w:color w:val="auto"/>
              </w:rPr>
              <w:t>Macau Operations</w:t>
            </w:r>
          </w:p>
        </w:tc>
        <w:tc>
          <w:tcPr>
            <w:tcW w:w="4080" w:type="dxa"/>
            <w:vAlign w:val="bottom"/>
            <w:gridSpan w:val="3"/>
            <w:shd w:val="clear" w:color="auto" w:fill="CCEEFF"/>
          </w:tcPr>
          <w:p>
            <w:pPr>
              <w:jc w:val="right"/>
              <w:ind w:right="735"/>
              <w:spacing w:after="0"/>
              <w:rPr>
                <w:sz w:val="20"/>
                <w:szCs w:val="20"/>
                <w:color w:val="auto"/>
              </w:rPr>
            </w:pPr>
            <w:r>
              <w:rPr>
                <w:rFonts w:ascii="Arial" w:cs="Arial" w:eastAsia="Arial" w:hAnsi="Arial"/>
                <w:sz w:val="12"/>
                <w:szCs w:val="12"/>
                <w:color w:val="auto"/>
              </w:rPr>
              <w:t>95.0%</w:t>
            </w:r>
          </w:p>
        </w:tc>
        <w:tc>
          <w:tcPr>
            <w:tcW w:w="40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w w:val="99"/>
              </w:rPr>
              <w:t>91.8%</w:t>
            </w:r>
          </w:p>
        </w:tc>
      </w:tr>
      <w:tr>
        <w:trPr>
          <w:trHeight w:val="144"/>
        </w:trPr>
        <w:tc>
          <w:tcPr>
            <w:tcW w:w="4240" w:type="dxa"/>
            <w:vAlign w:val="bottom"/>
          </w:tcPr>
          <w:p>
            <w:pPr>
              <w:ind w:left="280"/>
              <w:spacing w:after="0"/>
              <w:rPr>
                <w:sz w:val="20"/>
                <w:szCs w:val="20"/>
                <w:color w:val="auto"/>
              </w:rPr>
            </w:pPr>
            <w:r>
              <w:rPr>
                <w:rFonts w:ascii="Arial" w:cs="Arial" w:eastAsia="Arial" w:hAnsi="Arial"/>
                <w:sz w:val="12"/>
                <w:szCs w:val="12"/>
                <w:color w:val="auto"/>
              </w:rPr>
              <w:t>Las Vegas Operations</w:t>
            </w:r>
          </w:p>
        </w:tc>
        <w:tc>
          <w:tcPr>
            <w:tcW w:w="4080" w:type="dxa"/>
            <w:vAlign w:val="bottom"/>
            <w:gridSpan w:val="3"/>
          </w:tcPr>
          <w:p>
            <w:pPr>
              <w:jc w:val="right"/>
              <w:ind w:right="735"/>
              <w:spacing w:after="0"/>
              <w:rPr>
                <w:sz w:val="20"/>
                <w:szCs w:val="20"/>
                <w:color w:val="auto"/>
              </w:rPr>
            </w:pPr>
            <w:r>
              <w:rPr>
                <w:rFonts w:ascii="Arial" w:cs="Arial" w:eastAsia="Arial" w:hAnsi="Arial"/>
                <w:sz w:val="12"/>
                <w:szCs w:val="12"/>
                <w:color w:val="auto"/>
              </w:rPr>
              <w:t>85.9%</w:t>
            </w:r>
          </w:p>
        </w:tc>
        <w:tc>
          <w:tcPr>
            <w:tcW w:w="400" w:type="dxa"/>
            <w:vAlign w:val="bottom"/>
            <w:gridSpan w:val="2"/>
          </w:tcPr>
          <w:p>
            <w:pPr>
              <w:jc w:val="right"/>
              <w:ind w:right="40"/>
              <w:spacing w:after="0"/>
              <w:rPr>
                <w:sz w:val="20"/>
                <w:szCs w:val="20"/>
                <w:color w:val="auto"/>
              </w:rPr>
            </w:pPr>
            <w:r>
              <w:rPr>
                <w:rFonts w:ascii="Arial" w:cs="Arial" w:eastAsia="Arial" w:hAnsi="Arial"/>
                <w:sz w:val="12"/>
                <w:szCs w:val="12"/>
                <w:color w:val="auto"/>
                <w:w w:val="99"/>
              </w:rPr>
              <w:t>84.2%</w:t>
            </w:r>
          </w:p>
        </w:tc>
      </w:tr>
      <w:tr>
        <w:trPr>
          <w:trHeight w:val="144"/>
        </w:trPr>
        <w:tc>
          <w:tcPr>
            <w:tcW w:w="4240" w:type="dxa"/>
            <w:vAlign w:val="bottom"/>
            <w:shd w:val="clear" w:color="auto" w:fill="CCEEFF"/>
          </w:tcPr>
          <w:p>
            <w:pPr>
              <w:spacing w:after="0"/>
              <w:rPr>
                <w:sz w:val="20"/>
                <w:szCs w:val="20"/>
                <w:color w:val="auto"/>
              </w:rPr>
            </w:pPr>
            <w:r>
              <w:rPr>
                <w:rFonts w:ascii="Arial" w:cs="Arial" w:eastAsia="Arial" w:hAnsi="Arial"/>
                <w:sz w:val="12"/>
                <w:szCs w:val="12"/>
                <w:b w:val="1"/>
                <w:bCs w:val="1"/>
                <w:color w:val="auto"/>
              </w:rPr>
              <w:t>REVPAR</w:t>
            </w:r>
          </w:p>
        </w:tc>
        <w:tc>
          <w:tcPr>
            <w:tcW w:w="29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r>
      <w:tr>
        <w:trPr>
          <w:trHeight w:val="144"/>
        </w:trPr>
        <w:tc>
          <w:tcPr>
            <w:tcW w:w="4240" w:type="dxa"/>
            <w:vAlign w:val="bottom"/>
          </w:tcPr>
          <w:p>
            <w:pPr>
              <w:ind w:left="280"/>
              <w:spacing w:after="0"/>
              <w:rPr>
                <w:sz w:val="20"/>
                <w:szCs w:val="20"/>
                <w:color w:val="auto"/>
              </w:rPr>
            </w:pPr>
            <w:r>
              <w:rPr>
                <w:rFonts w:ascii="Arial" w:cs="Arial" w:eastAsia="Arial" w:hAnsi="Arial"/>
                <w:sz w:val="12"/>
                <w:szCs w:val="12"/>
                <w:color w:val="auto"/>
              </w:rPr>
              <w:t>Macau Operations</w:t>
            </w:r>
          </w:p>
        </w:tc>
        <w:tc>
          <w:tcPr>
            <w:tcW w:w="3200" w:type="dxa"/>
            <w:vAlign w:val="bottom"/>
            <w:gridSpan w:val="2"/>
          </w:tcPr>
          <w:p>
            <w:pPr>
              <w:jc w:val="right"/>
              <w:spacing w:after="0"/>
              <w:rPr>
                <w:sz w:val="20"/>
                <w:szCs w:val="20"/>
                <w:color w:val="auto"/>
              </w:rPr>
            </w:pPr>
            <w:r>
              <w:rPr>
                <w:rFonts w:ascii="Arial" w:cs="Arial" w:eastAsia="Arial" w:hAnsi="Arial"/>
                <w:sz w:val="12"/>
                <w:szCs w:val="12"/>
                <w:color w:val="auto"/>
              </w:rPr>
              <w:t>$ 297</w:t>
            </w:r>
          </w:p>
        </w:tc>
        <w:tc>
          <w:tcPr>
            <w:tcW w:w="880" w:type="dxa"/>
            <w:vAlign w:val="bottom"/>
          </w:tcPr>
          <w:p>
            <w:pPr>
              <w:spacing w:after="0"/>
              <w:rPr>
                <w:sz w:val="12"/>
                <w:szCs w:val="12"/>
                <w:color w:val="auto"/>
              </w:rPr>
            </w:pPr>
          </w:p>
        </w:tc>
        <w:tc>
          <w:tcPr>
            <w:tcW w:w="400" w:type="dxa"/>
            <w:vAlign w:val="bottom"/>
            <w:gridSpan w:val="2"/>
          </w:tcPr>
          <w:p>
            <w:pPr>
              <w:jc w:val="right"/>
              <w:ind w:right="140"/>
              <w:spacing w:after="0"/>
              <w:rPr>
                <w:sz w:val="20"/>
                <w:szCs w:val="20"/>
                <w:color w:val="auto"/>
              </w:rPr>
            </w:pPr>
            <w:r>
              <w:rPr>
                <w:rFonts w:ascii="Arial" w:cs="Arial" w:eastAsia="Arial" w:hAnsi="Arial"/>
                <w:sz w:val="12"/>
                <w:szCs w:val="12"/>
                <w:color w:val="auto"/>
                <w:w w:val="79"/>
              </w:rPr>
              <w:t>$ 290</w:t>
            </w:r>
          </w:p>
        </w:tc>
      </w:tr>
      <w:tr>
        <w:trPr>
          <w:trHeight w:val="144"/>
        </w:trPr>
        <w:tc>
          <w:tcPr>
            <w:tcW w:w="4240" w:type="dxa"/>
            <w:vAlign w:val="bottom"/>
            <w:shd w:val="clear" w:color="auto" w:fill="CCEEFF"/>
          </w:tcPr>
          <w:p>
            <w:pPr>
              <w:ind w:left="280"/>
              <w:spacing w:after="0"/>
              <w:rPr>
                <w:sz w:val="20"/>
                <w:szCs w:val="20"/>
                <w:color w:val="auto"/>
              </w:rPr>
            </w:pPr>
            <w:r>
              <w:rPr>
                <w:rFonts w:ascii="Arial" w:cs="Arial" w:eastAsia="Arial" w:hAnsi="Arial"/>
                <w:sz w:val="12"/>
                <w:szCs w:val="12"/>
                <w:color w:val="auto"/>
              </w:rPr>
              <w:t>Las Vegas Operations</w:t>
            </w:r>
          </w:p>
        </w:tc>
        <w:tc>
          <w:tcPr>
            <w:tcW w:w="320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222</w:t>
            </w:r>
          </w:p>
        </w:tc>
        <w:tc>
          <w:tcPr>
            <w:tcW w:w="880" w:type="dxa"/>
            <w:vAlign w:val="bottom"/>
            <w:shd w:val="clear" w:color="auto" w:fill="CCEEFF"/>
          </w:tcPr>
          <w:p>
            <w:pPr>
              <w:spacing w:after="0"/>
              <w:rPr>
                <w:sz w:val="12"/>
                <w:szCs w:val="12"/>
                <w:color w:val="auto"/>
              </w:rPr>
            </w:pPr>
          </w:p>
        </w:tc>
        <w:tc>
          <w:tcPr>
            <w:tcW w:w="40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211</w:t>
            </w:r>
          </w:p>
        </w:tc>
      </w:tr>
    </w:tbl>
    <w:p>
      <w:pPr>
        <w:spacing w:after="0" w:line="102" w:lineRule="exact"/>
        <w:rPr>
          <w:sz w:val="20"/>
          <w:szCs w:val="20"/>
          <w:color w:val="auto"/>
        </w:rPr>
      </w:pPr>
    </w:p>
    <w:p>
      <w:pPr>
        <w:ind w:firstLine="459"/>
        <w:spacing w:after="0" w:line="283" w:lineRule="auto"/>
        <w:rPr>
          <w:sz w:val="20"/>
          <w:szCs w:val="20"/>
          <w:color w:val="auto"/>
        </w:rPr>
      </w:pPr>
      <w:r>
        <w:rPr>
          <w:rFonts w:ascii="Arial" w:cs="Arial" w:eastAsia="Arial" w:hAnsi="Arial"/>
          <w:sz w:val="11"/>
          <w:szCs w:val="11"/>
          <w:color w:val="auto"/>
        </w:rPr>
        <w:t>Other non-casino revenues for the nine months ended September 30, 2013, included food and beverage revenues of $461.5 million, retail revenues of $206.1 million, entertainment revenues of $47.4 million, and other revenues from outlets, including the spa and salon, of $56.2 million. Other non-casino revenues for the nine months ended September 30, 2012, included food and beverage revenues of $452.8 million, retail revenues of $192.8 million, entertainment revenues of $60.8 million, and other revenues from outlets such as the spa and salon, of $54.8 million. Food and beverage revenues increased primarily due to strong business in our restaurants at our Las Vegas Operations. Retail revenues at our Macau Operations increased $8 million due to stronger business in our leased stores. Retail revenues at our Las Vegas Operations increased $5.3 million as we completed the reconfiguration to certain stores in our retail area during the first half of 2013. Entertainment revenues decreased due to a Las Vegas show that ended its run in November 2012.</w:t>
      </w:r>
    </w:p>
    <w:p>
      <w:pPr>
        <w:spacing w:after="0" w:line="137" w:lineRule="exact"/>
        <w:rPr>
          <w:sz w:val="20"/>
          <w:szCs w:val="20"/>
          <w:color w:val="auto"/>
        </w:rPr>
      </w:pPr>
    </w:p>
    <w:p>
      <w:pPr>
        <w:ind w:left="220"/>
        <w:spacing w:after="0"/>
        <w:rPr>
          <w:sz w:val="20"/>
          <w:szCs w:val="20"/>
          <w:color w:val="auto"/>
        </w:rPr>
      </w:pPr>
      <w:r>
        <w:rPr>
          <w:rFonts w:ascii="Arial" w:cs="Arial" w:eastAsia="Arial" w:hAnsi="Arial"/>
          <w:sz w:val="12"/>
          <w:szCs w:val="12"/>
          <w:i w:val="1"/>
          <w:iCs w:val="1"/>
          <w:color w:val="auto"/>
        </w:rPr>
        <w:t>Departmental, Administrative and Other Expenses</w:t>
      </w:r>
    </w:p>
    <w:p>
      <w:pPr>
        <w:spacing w:after="0" w:line="60" w:lineRule="exact"/>
        <w:rPr>
          <w:sz w:val="20"/>
          <w:szCs w:val="20"/>
          <w:color w:val="auto"/>
        </w:rPr>
      </w:pPr>
    </w:p>
    <w:p>
      <w:pPr>
        <w:ind w:right="60" w:firstLine="459"/>
        <w:spacing w:after="0" w:line="351" w:lineRule="auto"/>
        <w:rPr>
          <w:sz w:val="20"/>
          <w:szCs w:val="20"/>
          <w:color w:val="auto"/>
        </w:rPr>
      </w:pPr>
      <w:r>
        <w:rPr>
          <w:rFonts w:ascii="Arial" w:cs="Arial" w:eastAsia="Arial" w:hAnsi="Arial"/>
          <w:sz w:val="9"/>
          <w:szCs w:val="9"/>
          <w:color w:val="auto"/>
        </w:rPr>
        <w:t>For the nine months ended September 30, 2013, departmental expenses included casino expenses of $2,062.5 million, room expenses of $101 million, food and beverage expenses of $253.5 million, and entertainment, retail and other expenses of $128.8 million. Also included are general and administrative expenses of $332.3 million and a charge of $7.1 million for the provision for doubtful accounts. For the nine months ended September 30, 2012, departmental expenses included casino expenses of $1,974.2 million, room expenses of $95.2 million, food and beverage expenses of $235.6 million, and entertainment, retail and other expenses of $144.6 million. Also included for the nine months ended September 30, 2012, are general and administrative expenses of $321.5 million and $6.1 million charged as a provision for doubtful accounts. Casino expenses have increased for the nine months ended September 30, 2013, over the prior year period due primarily to higher gaming taxes commensurate with the increase in casino revenue at our Las Vegas Operations and Macau Operations (where we incur a gaming tax and other levies at a rate totaling 39% in accordance with the concession agreement). Food and beverage expenses increased over the prior year period primarily due to additional nightclub promotional costs at our Las Vegas Operations. The decrease in entertainment, retail and other expenses was due primarily to a Las Vegas show that ended its run in November 2012. General and administrative expense increased primarily due to higher stock-based compensation expense related to the accelerated vesting of a restricted stock award that was previously granted to our former chief operating officer and increased development costs partially offset by higher expenses related to the share redemption and litigation</w:t>
      </w:r>
    </w:p>
    <w:p>
      <w:pPr>
        <w:spacing w:after="0" w:line="193"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43</w:t>
      </w:r>
    </w:p>
    <w:p>
      <w:pPr>
        <w:sectPr>
          <w:pgSz w:w="11900" w:h="16838" w:orient="portrait"/>
          <w:cols w:equalWidth="0" w:num="1">
            <w:col w:w="11440"/>
          </w:cols>
          <w:pgMar w:left="220" w:top="354" w:right="239" w:bottom="1440" w:gutter="0" w:footer="0" w:header="0"/>
        </w:sectPr>
      </w:pPr>
    </w:p>
    <w:bookmarkStart w:id="43" w:name="page44"/>
    <w:bookmarkEnd w:id="43"/>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121920</wp:posOffset>
            </wp:positionH>
            <wp:positionV relativeFrom="page">
              <wp:posOffset>88900</wp:posOffset>
            </wp:positionV>
            <wp:extent cx="7329170" cy="298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329170" cy="29845"/>
                    </a:xfrm>
                    <a:prstGeom prst="rect">
                      <a:avLst/>
                    </a:prstGeom>
                    <a:noFill/>
                  </pic:spPr>
                </pic:pic>
              </a:graphicData>
            </a:graphic>
          </wp:anchor>
        </w:drawing>
      </w:r>
      <w:hyperlink w:anchor="page2">
        <w:r>
          <w:rPr>
            <w:rFonts w:ascii="Arial" w:cs="Arial" w:eastAsia="Arial" w:hAnsi="Arial"/>
            <w:sz w:val="12"/>
            <w:szCs w:val="12"/>
            <w:b w:val="1"/>
            <w:bCs w:val="1"/>
            <w:u w:val="single" w:color="auto"/>
            <w:color w:val="0000EE"/>
          </w:rPr>
          <w:t>Table of Contents</w:t>
        </w:r>
      </w:hyperlink>
    </w:p>
    <w:p>
      <w:pPr>
        <w:spacing w:after="0" w:line="209" w:lineRule="exact"/>
        <w:rPr>
          <w:sz w:val="20"/>
          <w:szCs w:val="20"/>
          <w:color w:val="auto"/>
        </w:rPr>
      </w:pPr>
    </w:p>
    <w:p>
      <w:pPr>
        <w:spacing w:after="0" w:line="268" w:lineRule="auto"/>
        <w:rPr>
          <w:sz w:val="20"/>
          <w:szCs w:val="20"/>
          <w:color w:val="auto"/>
        </w:rPr>
      </w:pPr>
      <w:r>
        <w:rPr>
          <w:rFonts w:ascii="Arial" w:cs="Arial" w:eastAsia="Arial" w:hAnsi="Arial"/>
          <w:sz w:val="12"/>
          <w:szCs w:val="12"/>
          <w:color w:val="auto"/>
        </w:rPr>
        <w:t>with a former shareholder that were incurred during the prior year period. During the nine months ended September 30, 2013 and 2012, we recorded adjustments of $14.9 million and $30.9 million, respectively, to our reserve estimates for casino accounts receivable based on the results of historical collection patterns and current collection trends.</w:t>
      </w:r>
    </w:p>
    <w:p>
      <w:pPr>
        <w:spacing w:after="0" w:line="142" w:lineRule="exact"/>
        <w:rPr>
          <w:sz w:val="20"/>
          <w:szCs w:val="20"/>
          <w:color w:val="auto"/>
        </w:rPr>
      </w:pPr>
    </w:p>
    <w:p>
      <w:pPr>
        <w:ind w:left="220"/>
        <w:spacing w:after="0"/>
        <w:rPr>
          <w:sz w:val="20"/>
          <w:szCs w:val="20"/>
          <w:color w:val="auto"/>
        </w:rPr>
      </w:pPr>
      <w:r>
        <w:rPr>
          <w:rFonts w:ascii="Arial" w:cs="Arial" w:eastAsia="Arial" w:hAnsi="Arial"/>
          <w:sz w:val="12"/>
          <w:szCs w:val="12"/>
          <w:i w:val="1"/>
          <w:iCs w:val="1"/>
          <w:color w:val="auto"/>
        </w:rPr>
        <w:t>Depreciation and amortization</w:t>
      </w:r>
    </w:p>
    <w:p>
      <w:pPr>
        <w:spacing w:after="0" w:line="60" w:lineRule="exact"/>
        <w:rPr>
          <w:sz w:val="20"/>
          <w:szCs w:val="20"/>
          <w:color w:val="auto"/>
        </w:rPr>
      </w:pPr>
    </w:p>
    <w:p>
      <w:pPr>
        <w:ind w:left="460"/>
        <w:spacing w:after="0"/>
        <w:rPr>
          <w:sz w:val="20"/>
          <w:szCs w:val="20"/>
          <w:color w:val="auto"/>
        </w:rPr>
      </w:pPr>
      <w:r>
        <w:rPr>
          <w:rFonts w:ascii="Arial" w:cs="Arial" w:eastAsia="Arial" w:hAnsi="Arial"/>
          <w:sz w:val="12"/>
          <w:szCs w:val="12"/>
          <w:color w:val="auto"/>
        </w:rPr>
        <w:t>Depreciation and amortization for the nine months ended September 30, 2013, was $279.1 million compared to $280.1 million for the nine months ended September 30, 2012.</w:t>
      </w:r>
    </w:p>
    <w:p>
      <w:pPr>
        <w:spacing w:after="0" w:line="114" w:lineRule="exact"/>
        <w:rPr>
          <w:sz w:val="20"/>
          <w:szCs w:val="20"/>
          <w:color w:val="auto"/>
        </w:rPr>
      </w:pPr>
    </w:p>
    <w:p>
      <w:pPr>
        <w:ind w:right="20" w:firstLine="459"/>
        <w:spacing w:after="0" w:line="259" w:lineRule="auto"/>
        <w:rPr>
          <w:sz w:val="20"/>
          <w:szCs w:val="20"/>
          <w:color w:val="auto"/>
        </w:rPr>
      </w:pPr>
      <w:r>
        <w:rPr>
          <w:rFonts w:ascii="Arial" w:cs="Arial" w:eastAsia="Arial" w:hAnsi="Arial"/>
          <w:sz w:val="12"/>
          <w:szCs w:val="12"/>
          <w:color w:val="auto"/>
        </w:rPr>
        <w:t>During the construction of our properties, costs incurred in the construction of the buildings, improvements to land and the purchases of assets for use in operations are capitalized. Once these properties open, their assets are placed into service and we begin recognizing the associated depreciation expense. Depreciation expenses will continue throughout the estimated useful lives of these assets. In addition, we continually evaluate the useful life of our property and equipment, intangibles and other assets and adjust them when warranted.</w:t>
      </w:r>
    </w:p>
    <w:p>
      <w:pPr>
        <w:spacing w:after="0" w:line="94" w:lineRule="exact"/>
        <w:rPr>
          <w:sz w:val="20"/>
          <w:szCs w:val="20"/>
          <w:color w:val="auto"/>
        </w:rPr>
      </w:pPr>
    </w:p>
    <w:p>
      <w:pPr>
        <w:ind w:right="220" w:firstLine="459"/>
        <w:spacing w:after="0" w:line="268" w:lineRule="auto"/>
        <w:rPr>
          <w:sz w:val="20"/>
          <w:szCs w:val="20"/>
          <w:color w:val="auto"/>
        </w:rPr>
      </w:pPr>
      <w:r>
        <w:rPr>
          <w:rFonts w:ascii="Arial" w:cs="Arial" w:eastAsia="Arial" w:hAnsi="Arial"/>
          <w:sz w:val="12"/>
          <w:szCs w:val="12"/>
          <w:color w:val="auto"/>
        </w:rPr>
        <w:t>The maximum useful life of assets at Wynn Macau is the remaining life of the gaming concession or land concession, which currently expire in June 2022 and August 2029, respectively. Consequently, depreciation related to Wynn Macau is charged on an accelerated basis when compared to our Las Vegas Operations.</w:t>
      </w:r>
    </w:p>
    <w:p>
      <w:pPr>
        <w:spacing w:after="0" w:line="142" w:lineRule="exact"/>
        <w:rPr>
          <w:sz w:val="20"/>
          <w:szCs w:val="20"/>
          <w:color w:val="auto"/>
        </w:rPr>
      </w:pPr>
    </w:p>
    <w:p>
      <w:pPr>
        <w:ind w:left="220"/>
        <w:spacing w:after="0"/>
        <w:rPr>
          <w:sz w:val="20"/>
          <w:szCs w:val="20"/>
          <w:color w:val="auto"/>
        </w:rPr>
      </w:pPr>
      <w:r>
        <w:rPr>
          <w:rFonts w:ascii="Arial" w:cs="Arial" w:eastAsia="Arial" w:hAnsi="Arial"/>
          <w:sz w:val="12"/>
          <w:szCs w:val="12"/>
          <w:i w:val="1"/>
          <w:iCs w:val="1"/>
          <w:color w:val="auto"/>
        </w:rPr>
        <w:t>Property charges and other</w:t>
      </w:r>
    </w:p>
    <w:p>
      <w:pPr>
        <w:spacing w:after="0" w:line="60" w:lineRule="exact"/>
        <w:rPr>
          <w:sz w:val="20"/>
          <w:szCs w:val="20"/>
          <w:color w:val="auto"/>
        </w:rPr>
      </w:pPr>
    </w:p>
    <w:p>
      <w:pPr>
        <w:ind w:right="280" w:firstLine="459"/>
        <w:spacing w:after="0" w:line="386" w:lineRule="auto"/>
        <w:rPr>
          <w:sz w:val="20"/>
          <w:szCs w:val="20"/>
          <w:color w:val="auto"/>
        </w:rPr>
      </w:pPr>
      <w:r>
        <w:rPr>
          <w:rFonts w:ascii="Arial" w:cs="Arial" w:eastAsia="Arial" w:hAnsi="Arial"/>
          <w:sz w:val="9"/>
          <w:szCs w:val="9"/>
          <w:color w:val="auto"/>
        </w:rPr>
        <w:t>Property charges and other for the nine months ended September 30, 2013, were $13.6 million compared to $36.5 million for the nine months ended September 30, 2012. For the nine months ended September 30, 2013, property charges and other related primarily to miscellaneous renovations and abandonments at our resorts, entertainment development costs and a contract termination fee. For the nine months ended September 30, 2012, property charges and other related primarily to a remodel of a Las Vegas restaurant, charges related to the cancellation of a Las Vegas show which ended its run in November 2012, and miscellaneous renovations and abandonments.</w:t>
      </w:r>
    </w:p>
    <w:p>
      <w:pPr>
        <w:spacing w:after="0" w:line="41" w:lineRule="exact"/>
        <w:rPr>
          <w:sz w:val="20"/>
          <w:szCs w:val="20"/>
          <w:color w:val="auto"/>
        </w:rPr>
      </w:pPr>
    </w:p>
    <w:p>
      <w:pPr>
        <w:ind w:left="460"/>
        <w:spacing w:after="0"/>
        <w:rPr>
          <w:sz w:val="20"/>
          <w:szCs w:val="20"/>
          <w:color w:val="auto"/>
        </w:rPr>
      </w:pPr>
      <w:r>
        <w:rPr>
          <w:rFonts w:ascii="Arial" w:cs="Arial" w:eastAsia="Arial" w:hAnsi="Arial"/>
          <w:sz w:val="12"/>
          <w:szCs w:val="12"/>
          <w:color w:val="auto"/>
        </w:rPr>
        <w:t>In response to our evaluation of our resorts and the reactions of our guests, we continue to remodel and make enhancements at our resorts.</w:t>
      </w:r>
    </w:p>
    <w:p>
      <w:pPr>
        <w:spacing w:after="0" w:line="168" w:lineRule="exact"/>
        <w:rPr>
          <w:sz w:val="20"/>
          <w:szCs w:val="20"/>
          <w:color w:val="auto"/>
        </w:rPr>
      </w:pPr>
    </w:p>
    <w:p>
      <w:pPr>
        <w:ind w:left="220"/>
        <w:spacing w:after="0"/>
        <w:rPr>
          <w:sz w:val="20"/>
          <w:szCs w:val="20"/>
          <w:color w:val="auto"/>
        </w:rPr>
      </w:pPr>
      <w:r>
        <w:rPr>
          <w:rFonts w:ascii="Arial" w:cs="Arial" w:eastAsia="Arial" w:hAnsi="Arial"/>
          <w:sz w:val="12"/>
          <w:szCs w:val="12"/>
          <w:i w:val="1"/>
          <w:iCs w:val="1"/>
          <w:color w:val="auto"/>
        </w:rPr>
        <w:t>Other non-operating costs and expenses</w:t>
      </w:r>
    </w:p>
    <w:p>
      <w:pPr>
        <w:spacing w:after="0" w:line="60" w:lineRule="exact"/>
        <w:rPr>
          <w:sz w:val="20"/>
          <w:szCs w:val="20"/>
          <w:color w:val="auto"/>
        </w:rPr>
      </w:pPr>
    </w:p>
    <w:p>
      <w:pPr>
        <w:ind w:right="380" w:firstLine="459"/>
        <w:spacing w:after="0" w:line="314" w:lineRule="auto"/>
        <w:rPr>
          <w:sz w:val="20"/>
          <w:szCs w:val="20"/>
          <w:color w:val="auto"/>
        </w:rPr>
      </w:pPr>
      <w:r>
        <w:rPr>
          <w:rFonts w:ascii="Arial" w:cs="Arial" w:eastAsia="Arial" w:hAnsi="Arial"/>
          <w:sz w:val="11"/>
          <w:szCs w:val="11"/>
          <w:color w:val="auto"/>
        </w:rPr>
        <w:t>Interest income was $11.6 million for the nine months ended September 30, 2013, compared to $7.8 million for the nine months ended September 30, 2012. During 2013 and 2012, our short-term investment strategy has been to preserve capital while retaining sufficient liquidity. The majority of our short-term investments were primarily in money market accounts, time deposits and fixed deposits with a maturity of three months or less.</w:t>
      </w:r>
    </w:p>
    <w:p>
      <w:pPr>
        <w:spacing w:after="0" w:line="65" w:lineRule="exact"/>
        <w:rPr>
          <w:sz w:val="20"/>
          <w:szCs w:val="20"/>
          <w:color w:val="auto"/>
        </w:rPr>
      </w:pPr>
    </w:p>
    <w:p>
      <w:pPr>
        <w:jc w:val="both"/>
        <w:ind w:firstLine="459"/>
        <w:spacing w:after="0" w:line="256" w:lineRule="auto"/>
        <w:rPr>
          <w:sz w:val="20"/>
          <w:szCs w:val="20"/>
          <w:color w:val="auto"/>
        </w:rPr>
      </w:pPr>
      <w:r>
        <w:rPr>
          <w:rFonts w:ascii="Arial" w:cs="Arial" w:eastAsia="Arial" w:hAnsi="Arial"/>
          <w:sz w:val="12"/>
          <w:szCs w:val="12"/>
          <w:color w:val="auto"/>
        </w:rPr>
        <w:t>Interest expense was $222.7 million, net of capitalized interest of $6.4 million, for the nine months ended September 30, 2013, compared to $211 million net of capitalized interest of $1 million for the nine months ended September 30, 2012. Our interest expense increased compared to the prior year period primarily due to the issuance of the Wynn Las Vegas $500 million 4 1/4 % Senior Notes in May 2013 and a full period of expense for the $1.94 billion Redemption Note and the Wynn Las Vegas $900 million 5 3/8 % first mortgage notes. Capitalized interest increased due to the construction costs of Wynn Palace. Capitalized interest will continue to increase with the ongoing borrowings and construction costs related to Wynn Palace.</w:t>
      </w:r>
    </w:p>
    <w:p>
      <w:pPr>
        <w:spacing w:after="0" w:line="96" w:lineRule="exact"/>
        <w:rPr>
          <w:sz w:val="20"/>
          <w:szCs w:val="20"/>
          <w:color w:val="auto"/>
        </w:rPr>
      </w:pPr>
    </w:p>
    <w:p>
      <w:pPr>
        <w:ind w:right="280" w:firstLine="459"/>
        <w:spacing w:after="0" w:line="314" w:lineRule="auto"/>
        <w:rPr>
          <w:sz w:val="20"/>
          <w:szCs w:val="20"/>
          <w:color w:val="auto"/>
        </w:rPr>
      </w:pPr>
      <w:r>
        <w:rPr>
          <w:rFonts w:ascii="Arial" w:cs="Arial" w:eastAsia="Arial" w:hAnsi="Arial"/>
          <w:sz w:val="11"/>
          <w:szCs w:val="11"/>
          <w:color w:val="auto"/>
        </w:rPr>
        <w:t>Changes in the fair value of our interest rate swaps are recorded as an increase or (decrease) in swap fair value in each period. We recorded a gain of $13.1 million for the nine months ended September 30, 2013, resulting from the increase in the fair value of our interest rate swaps during the period. For the nine months ended September 30, 2012, we recorded a gain of $4.9 million resulting from the increase in the fair value of</w:t>
      </w:r>
    </w:p>
    <w:p>
      <w:pPr>
        <w:spacing w:after="0" w:line="56"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44</w:t>
      </w:r>
    </w:p>
    <w:p>
      <w:pPr>
        <w:sectPr>
          <w:pgSz w:w="11900" w:h="16838" w:orient="portrait"/>
          <w:cols w:equalWidth="0" w:num="1">
            <w:col w:w="11460"/>
          </w:cols>
          <w:pgMar w:left="220" w:top="354" w:right="219" w:bottom="1440" w:gutter="0" w:footer="0" w:header="0"/>
        </w:sectPr>
      </w:pPr>
    </w:p>
    <w:bookmarkStart w:id="44" w:name="page45"/>
    <w:bookmarkEnd w:id="44"/>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121920</wp:posOffset>
            </wp:positionH>
            <wp:positionV relativeFrom="page">
              <wp:posOffset>88900</wp:posOffset>
            </wp:positionV>
            <wp:extent cx="7329170" cy="298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329170" cy="29845"/>
                    </a:xfrm>
                    <a:prstGeom prst="rect">
                      <a:avLst/>
                    </a:prstGeom>
                    <a:noFill/>
                  </pic:spPr>
                </pic:pic>
              </a:graphicData>
            </a:graphic>
          </wp:anchor>
        </w:drawing>
      </w:r>
      <w:hyperlink w:anchor="page2">
        <w:r>
          <w:rPr>
            <w:rFonts w:ascii="Arial" w:cs="Arial" w:eastAsia="Arial" w:hAnsi="Arial"/>
            <w:sz w:val="12"/>
            <w:szCs w:val="12"/>
            <w:b w:val="1"/>
            <w:bCs w:val="1"/>
            <w:u w:val="single" w:color="auto"/>
            <w:color w:val="0000EE"/>
          </w:rPr>
          <w:t>Table of Contents</w:t>
        </w:r>
      </w:hyperlink>
    </w:p>
    <w:p>
      <w:pPr>
        <w:spacing w:after="0" w:line="209" w:lineRule="exact"/>
        <w:rPr>
          <w:sz w:val="20"/>
          <w:szCs w:val="20"/>
          <w:color w:val="auto"/>
        </w:rPr>
      </w:pPr>
    </w:p>
    <w:p>
      <w:pPr>
        <w:ind w:right="60"/>
        <w:spacing w:after="0" w:line="259" w:lineRule="auto"/>
        <w:rPr>
          <w:sz w:val="20"/>
          <w:szCs w:val="20"/>
          <w:color w:val="auto"/>
        </w:rPr>
      </w:pPr>
      <w:r>
        <w:rPr>
          <w:rFonts w:ascii="Arial" w:cs="Arial" w:eastAsia="Arial" w:hAnsi="Arial"/>
          <w:sz w:val="12"/>
          <w:szCs w:val="12"/>
          <w:color w:val="auto"/>
        </w:rPr>
        <w:t>interest rate swaps between December 31, 2011 and September 30, 2012. In addition, in June 2012, we terminated an interest rate swap agreement that was used to hedge a portion of the underlying interest rate risk on borrowings under the then existing Wynn Las Vegas Credit Agreement for a payment of $2.4 million and an interest rate swap agreement that was used to hedge a portion of the underlying interest rate risk on borrowings under the then existing Wynn Macau credit facilities matured. For further information on our interest rate swaps, see Item 3 – “Quantitative and Qualitative Disclosures about Market Risk.”</w:t>
      </w:r>
    </w:p>
    <w:p>
      <w:pPr>
        <w:spacing w:after="0" w:line="94" w:lineRule="exact"/>
        <w:rPr>
          <w:sz w:val="20"/>
          <w:szCs w:val="20"/>
          <w:color w:val="auto"/>
        </w:rPr>
      </w:pPr>
    </w:p>
    <w:p>
      <w:pPr>
        <w:ind w:right="120" w:firstLine="459"/>
        <w:spacing w:after="0" w:line="335" w:lineRule="auto"/>
        <w:rPr>
          <w:sz w:val="20"/>
          <w:szCs w:val="20"/>
          <w:color w:val="auto"/>
        </w:rPr>
      </w:pPr>
      <w:r>
        <w:rPr>
          <w:rFonts w:ascii="Arial" w:cs="Arial" w:eastAsia="Arial" w:hAnsi="Arial"/>
          <w:sz w:val="10"/>
          <w:szCs w:val="10"/>
          <w:color w:val="auto"/>
        </w:rPr>
        <w:t xml:space="preserve">On May 22, 2013, Wynn Las Vegas completed the purchase of $274.7 million of the 7 </w:t>
      </w:r>
      <w:r>
        <w:rPr>
          <w:rFonts w:ascii="Arial" w:cs="Arial" w:eastAsia="Arial" w:hAnsi="Arial"/>
          <w:sz w:val="6"/>
          <w:szCs w:val="6"/>
          <w:color w:val="auto"/>
        </w:rPr>
        <w:t>7</w:t>
      </w:r>
      <w:r>
        <w:rPr>
          <w:rFonts w:ascii="Arial" w:cs="Arial" w:eastAsia="Arial" w:hAnsi="Arial"/>
          <w:sz w:val="10"/>
          <w:szCs w:val="10"/>
          <w:color w:val="auto"/>
        </w:rPr>
        <w:t>/</w:t>
      </w:r>
      <w:r>
        <w:rPr>
          <w:rFonts w:ascii="Arial" w:cs="Arial" w:eastAsia="Arial" w:hAnsi="Arial"/>
          <w:sz w:val="6"/>
          <w:szCs w:val="6"/>
          <w:color w:val="auto"/>
        </w:rPr>
        <w:t>8</w:t>
      </w:r>
      <w:r>
        <w:rPr>
          <w:rFonts w:ascii="Arial" w:cs="Arial" w:eastAsia="Arial" w:hAnsi="Arial"/>
          <w:sz w:val="10"/>
          <w:szCs w:val="10"/>
          <w:color w:val="auto"/>
        </w:rPr>
        <w:t>% First Mortgage Notes due 2017 (the “2017 Notes”) pursuant to a tender offer for any and all of the 2017 Notes. In connection with this tender offer, Wynn Las Vegas paid $19.6 million in consideration to holders who tendered their notes. Additionally, Wynn Las Vegas expensed $6.7 million of unamortized debt issue costs and original issue discount related to the 2017 Notes and incurred other fees of approximately $0.3 million related to the tender offer. In accordance with the applicable accounting standards, we recorded these expenses and charges as a loss on extinguishment of debt totaling $26.6 million.</w:t>
      </w:r>
    </w:p>
    <w:p>
      <w:pPr>
        <w:spacing w:after="0" w:line="59" w:lineRule="exact"/>
        <w:rPr>
          <w:sz w:val="20"/>
          <w:szCs w:val="20"/>
          <w:color w:val="auto"/>
        </w:rPr>
      </w:pPr>
    </w:p>
    <w:p>
      <w:pPr>
        <w:jc w:val="both"/>
        <w:ind w:right="20" w:firstLine="459"/>
        <w:spacing w:after="0" w:line="259" w:lineRule="auto"/>
        <w:rPr>
          <w:sz w:val="20"/>
          <w:szCs w:val="20"/>
          <w:color w:val="auto"/>
        </w:rPr>
      </w:pPr>
      <w:r>
        <w:rPr>
          <w:rFonts w:ascii="Arial" w:cs="Arial" w:eastAsia="Arial" w:hAnsi="Arial"/>
          <w:sz w:val="12"/>
          <w:szCs w:val="12"/>
          <w:color w:val="auto"/>
        </w:rPr>
        <w:t>On March 12, 2012, Wynn Las Vegas entered into an eighth amendment to its Amended and Restated Credit Agreement (the “Wynn Las Vegas Credit Agreement”). In connection with this amendment Wynn Las Vegas prepaid all term loans under the Wynn Las Vegas Credit Agreement, terminated all of its revolving credit commitments that were due to expire in 2013, and terminated all but $100 million of its revolving credit commitments expiring in 2015. In connection with this transaction, we expensed deferred financing fees of $4.8 million.</w:t>
      </w:r>
    </w:p>
    <w:p>
      <w:pPr>
        <w:spacing w:after="0" w:line="94" w:lineRule="exact"/>
        <w:rPr>
          <w:sz w:val="20"/>
          <w:szCs w:val="20"/>
          <w:color w:val="auto"/>
        </w:rPr>
      </w:pPr>
    </w:p>
    <w:p>
      <w:pPr>
        <w:ind w:right="180" w:firstLine="459"/>
        <w:spacing w:after="0" w:line="268" w:lineRule="auto"/>
        <w:rPr>
          <w:sz w:val="20"/>
          <w:szCs w:val="20"/>
          <w:color w:val="auto"/>
        </w:rPr>
      </w:pPr>
      <w:r>
        <w:rPr>
          <w:rFonts w:ascii="Arial" w:cs="Arial" w:eastAsia="Arial" w:hAnsi="Arial"/>
          <w:sz w:val="12"/>
          <w:szCs w:val="12"/>
          <w:color w:val="auto"/>
        </w:rPr>
        <w:t>As described in Note 9 to our Condensed Consolidated Financial Statements, we amended our Wynn Macau credit facilities in July 2012. In connection with amending the Wynn Macau credit facilities, we expensed $17.7 million of deferred financing costs and third party fees.</w:t>
      </w:r>
    </w:p>
    <w:p>
      <w:pPr>
        <w:spacing w:after="0" w:line="142" w:lineRule="exact"/>
        <w:rPr>
          <w:sz w:val="20"/>
          <w:szCs w:val="20"/>
          <w:color w:val="auto"/>
        </w:rPr>
      </w:pPr>
    </w:p>
    <w:p>
      <w:pPr>
        <w:ind w:left="220"/>
        <w:spacing w:after="0"/>
        <w:rPr>
          <w:sz w:val="20"/>
          <w:szCs w:val="20"/>
          <w:color w:val="auto"/>
        </w:rPr>
      </w:pPr>
      <w:r>
        <w:rPr>
          <w:rFonts w:ascii="Arial" w:cs="Arial" w:eastAsia="Arial" w:hAnsi="Arial"/>
          <w:sz w:val="12"/>
          <w:szCs w:val="12"/>
          <w:i w:val="1"/>
          <w:iCs w:val="1"/>
          <w:color w:val="auto"/>
        </w:rPr>
        <w:t>Income Taxes</w:t>
      </w:r>
    </w:p>
    <w:p>
      <w:pPr>
        <w:spacing w:after="0" w:line="60" w:lineRule="exact"/>
        <w:rPr>
          <w:sz w:val="20"/>
          <w:szCs w:val="20"/>
          <w:color w:val="auto"/>
        </w:rPr>
      </w:pPr>
    </w:p>
    <w:p>
      <w:pPr>
        <w:ind w:firstLine="459"/>
        <w:spacing w:after="0" w:line="283" w:lineRule="auto"/>
        <w:rPr>
          <w:sz w:val="20"/>
          <w:szCs w:val="20"/>
          <w:color w:val="auto"/>
        </w:rPr>
      </w:pPr>
      <w:r>
        <w:rPr>
          <w:rFonts w:ascii="Arial" w:cs="Arial" w:eastAsia="Arial" w:hAnsi="Arial"/>
          <w:sz w:val="11"/>
          <w:szCs w:val="11"/>
          <w:color w:val="auto"/>
        </w:rPr>
        <w:t>For the nine months ended September 30, 2013 and 2012, we recorded a tax benefit of $11.3 million and $12.5 million, respectively. Our income tax benefit is primarily related to a decrease in our deferred tax liabilities reduced by foreign taxes assessable on the dividends of Wynn Macau, S.A. and foreign tax provisions related to our international marketing offices. Since June 30, 2010, we have no longer considered our portion of the tax earnings and profits of Wynn Macau, Limited to be permanently invested. No additional U.S. tax provision has been made with respect to amounts not considered permanently invested as we anticipate that U.S. foreign tax credits should be sufficient to eliminate any U.S. tax provision relating to repatriation. The Company has not provided deferred U.S. income taxes or foreign withholding taxes on temporary differences as these amounts are permanently reinvested. For the nine months ended September 30, 2013 and 2012, we recognized income tax benefits related to excess tax deductions associated with stock compensation costs of $10.8 million and $1.8 million, respectively.</w:t>
      </w:r>
    </w:p>
    <w:p>
      <w:pPr>
        <w:spacing w:after="0" w:line="83" w:lineRule="exact"/>
        <w:rPr>
          <w:sz w:val="20"/>
          <w:szCs w:val="20"/>
          <w:color w:val="auto"/>
        </w:rPr>
      </w:pPr>
    </w:p>
    <w:p>
      <w:pPr>
        <w:ind w:right="40" w:firstLine="459"/>
        <w:spacing w:after="0" w:line="259" w:lineRule="auto"/>
        <w:rPr>
          <w:sz w:val="20"/>
          <w:szCs w:val="20"/>
          <w:color w:val="auto"/>
        </w:rPr>
      </w:pPr>
      <w:r>
        <w:rPr>
          <w:rFonts w:ascii="Arial" w:cs="Arial" w:eastAsia="Arial" w:hAnsi="Arial"/>
          <w:sz w:val="12"/>
          <w:szCs w:val="12"/>
          <w:color w:val="auto"/>
        </w:rPr>
        <w:t>Wynn Macau, S.A. has received an exemption from Macau’s 12% Complementary Tax on casino gaming profits through December 31, 2015. Accordingly, the Company was exempted from the payment of $76.7 million and $66.9 million in such taxes during the nine months ended September 30, 2013 and 2012, respectively. Our non-gaming profits remain subject to the Macau Complementary Tax and casino winnings remain subject to the Macau Special Gaming tax and other levies together totaling 39% in accordance with our concession agreement.</w:t>
      </w:r>
    </w:p>
    <w:p>
      <w:pPr>
        <w:spacing w:after="0" w:line="94" w:lineRule="exact"/>
        <w:rPr>
          <w:sz w:val="20"/>
          <w:szCs w:val="20"/>
          <w:color w:val="auto"/>
        </w:rPr>
      </w:pPr>
    </w:p>
    <w:p>
      <w:pPr>
        <w:jc w:val="both"/>
        <w:ind w:right="80" w:firstLine="459"/>
        <w:spacing w:after="0" w:line="259" w:lineRule="auto"/>
        <w:rPr>
          <w:sz w:val="20"/>
          <w:szCs w:val="20"/>
          <w:color w:val="auto"/>
        </w:rPr>
      </w:pPr>
      <w:r>
        <w:rPr>
          <w:rFonts w:ascii="Arial" w:cs="Arial" w:eastAsia="Arial" w:hAnsi="Arial"/>
          <w:sz w:val="12"/>
          <w:szCs w:val="12"/>
          <w:color w:val="auto"/>
        </w:rPr>
        <w:t>In February 2013, we received notification that we had been accepted into the IRS CAP for the 2013 tax year and in March 2013, we received additional notification that we had been selected for the Compliance Maintenance phase of CAP for the 2013 tax year. In the Compliance Maintenance phase, the IRS, at its discretion, may reduce the level of review of the taxpayer’s tax positions based on the complexity and number of issues, and the taxpayer’s history of compliance, cooperation and transparency in the CAP.</w:t>
      </w:r>
    </w:p>
    <w:p>
      <w:pPr>
        <w:spacing w:after="0" w:line="94" w:lineRule="exact"/>
        <w:rPr>
          <w:sz w:val="20"/>
          <w:szCs w:val="20"/>
          <w:color w:val="auto"/>
        </w:rPr>
      </w:pPr>
    </w:p>
    <w:p>
      <w:pPr>
        <w:ind w:left="460"/>
        <w:spacing w:after="0"/>
        <w:rPr>
          <w:sz w:val="20"/>
          <w:szCs w:val="20"/>
          <w:color w:val="auto"/>
        </w:rPr>
      </w:pPr>
      <w:r>
        <w:rPr>
          <w:rFonts w:ascii="Arial" w:cs="Arial" w:eastAsia="Arial" w:hAnsi="Arial"/>
          <w:sz w:val="12"/>
          <w:szCs w:val="12"/>
          <w:color w:val="auto"/>
        </w:rPr>
        <w:t>In January 2013, the Financial Services Bureau examined the 2009 and 2010 Macau income tax returns of Palo Real Estate Company Limited. The exam resulted in no change to the tax returns.</w:t>
      </w:r>
    </w:p>
    <w:p>
      <w:pPr>
        <w:spacing w:after="0" w:line="105" w:lineRule="exact"/>
        <w:rPr>
          <w:sz w:val="20"/>
          <w:szCs w:val="20"/>
          <w:color w:val="auto"/>
        </w:rPr>
      </w:pPr>
    </w:p>
    <w:p>
      <w:pPr>
        <w:ind w:left="5680"/>
        <w:spacing w:after="0"/>
        <w:rPr>
          <w:sz w:val="20"/>
          <w:szCs w:val="20"/>
          <w:color w:val="auto"/>
        </w:rPr>
      </w:pPr>
      <w:r>
        <w:rPr>
          <w:rFonts w:ascii="Arial" w:cs="Arial" w:eastAsia="Arial" w:hAnsi="Arial"/>
          <w:sz w:val="12"/>
          <w:szCs w:val="12"/>
          <w:color w:val="auto"/>
        </w:rPr>
        <w:t>45</w:t>
      </w:r>
    </w:p>
    <w:p>
      <w:pPr>
        <w:sectPr>
          <w:pgSz w:w="11900" w:h="16838" w:orient="portrait"/>
          <w:cols w:equalWidth="0" w:num="1">
            <w:col w:w="11480"/>
          </w:cols>
          <w:pgMar w:left="220" w:top="354" w:right="199" w:bottom="1440" w:gutter="0" w:footer="0" w:header="0"/>
        </w:sectPr>
      </w:pPr>
    </w:p>
    <w:bookmarkStart w:id="45" w:name="page46"/>
    <w:bookmarkEnd w:id="45"/>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121920</wp:posOffset>
            </wp:positionH>
            <wp:positionV relativeFrom="page">
              <wp:posOffset>88900</wp:posOffset>
            </wp:positionV>
            <wp:extent cx="7329170" cy="298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329170" cy="29845"/>
                    </a:xfrm>
                    <a:prstGeom prst="rect">
                      <a:avLst/>
                    </a:prstGeom>
                    <a:noFill/>
                  </pic:spPr>
                </pic:pic>
              </a:graphicData>
            </a:graphic>
          </wp:anchor>
        </w:drawing>
      </w:r>
      <w:hyperlink w:anchor="page2">
        <w:r>
          <w:rPr>
            <w:rFonts w:ascii="Arial" w:cs="Arial" w:eastAsia="Arial" w:hAnsi="Arial"/>
            <w:sz w:val="12"/>
            <w:szCs w:val="12"/>
            <w:b w:val="1"/>
            <w:bCs w:val="1"/>
            <w:u w:val="single" w:color="auto"/>
            <w:color w:val="0000EE"/>
          </w:rPr>
          <w:t>Table of Contents</w:t>
        </w:r>
      </w:hyperlink>
    </w:p>
    <w:p>
      <w:pPr>
        <w:spacing w:after="0" w:line="209" w:lineRule="exact"/>
        <w:rPr>
          <w:sz w:val="20"/>
          <w:szCs w:val="20"/>
          <w:color w:val="auto"/>
        </w:rPr>
      </w:pPr>
    </w:p>
    <w:p>
      <w:pPr>
        <w:ind w:right="80" w:firstLine="459"/>
        <w:spacing w:after="0" w:line="268" w:lineRule="auto"/>
        <w:rPr>
          <w:sz w:val="20"/>
          <w:szCs w:val="20"/>
          <w:color w:val="auto"/>
        </w:rPr>
      </w:pPr>
      <w:r>
        <w:rPr>
          <w:rFonts w:ascii="Arial" w:cs="Arial" w:eastAsia="Arial" w:hAnsi="Arial"/>
          <w:sz w:val="12"/>
          <w:szCs w:val="12"/>
          <w:color w:val="auto"/>
        </w:rPr>
        <w:t>In March 2013, the Financial Services Bureau commenced an examination of the 2009, 2010, and 2011 Macau income tax returns of Wynn Macau, S.A. Since the examination is in its initial stages, we are unable to determine if it will conclude within the next 12 months. We believe that our liability for uncertain tax positions is adequate with respect to these years.</w:t>
      </w:r>
    </w:p>
    <w:p>
      <w:pPr>
        <w:spacing w:after="0" w:line="88" w:lineRule="exact"/>
        <w:rPr>
          <w:sz w:val="20"/>
          <w:szCs w:val="20"/>
          <w:color w:val="auto"/>
        </w:rPr>
      </w:pPr>
    </w:p>
    <w:p>
      <w:pPr>
        <w:ind w:left="460"/>
        <w:spacing w:after="0"/>
        <w:rPr>
          <w:sz w:val="20"/>
          <w:szCs w:val="20"/>
          <w:color w:val="auto"/>
        </w:rPr>
      </w:pPr>
      <w:r>
        <w:rPr>
          <w:rFonts w:ascii="Arial" w:cs="Arial" w:eastAsia="Arial" w:hAnsi="Arial"/>
          <w:sz w:val="12"/>
          <w:szCs w:val="12"/>
          <w:color w:val="auto"/>
        </w:rPr>
        <w:t>In May 2013, the Company received notification that the IRS completed its examination of the Company’s 2011 U.S. income tax return and had no changes.</w:t>
      </w:r>
    </w:p>
    <w:p>
      <w:pPr>
        <w:spacing w:after="0" w:line="168" w:lineRule="exact"/>
        <w:rPr>
          <w:sz w:val="20"/>
          <w:szCs w:val="20"/>
          <w:color w:val="auto"/>
        </w:rPr>
      </w:pPr>
    </w:p>
    <w:p>
      <w:pPr>
        <w:ind w:left="220"/>
        <w:spacing w:after="0"/>
        <w:rPr>
          <w:sz w:val="20"/>
          <w:szCs w:val="20"/>
          <w:color w:val="auto"/>
        </w:rPr>
      </w:pPr>
      <w:r>
        <w:rPr>
          <w:rFonts w:ascii="Arial" w:cs="Arial" w:eastAsia="Arial" w:hAnsi="Arial"/>
          <w:sz w:val="12"/>
          <w:szCs w:val="12"/>
          <w:i w:val="1"/>
          <w:iCs w:val="1"/>
          <w:color w:val="auto"/>
        </w:rPr>
        <w:t>Net income attributable to noncontrolling interests</w:t>
      </w:r>
    </w:p>
    <w:p>
      <w:pPr>
        <w:spacing w:after="0" w:line="60" w:lineRule="exact"/>
        <w:rPr>
          <w:sz w:val="20"/>
          <w:szCs w:val="20"/>
          <w:color w:val="auto"/>
        </w:rPr>
      </w:pPr>
    </w:p>
    <w:p>
      <w:pPr>
        <w:ind w:right="60" w:firstLine="459"/>
        <w:spacing w:after="0" w:line="294" w:lineRule="auto"/>
        <w:rPr>
          <w:sz w:val="20"/>
          <w:szCs w:val="20"/>
          <w:color w:val="auto"/>
        </w:rPr>
      </w:pPr>
      <w:r>
        <w:rPr>
          <w:rFonts w:ascii="Arial" w:cs="Arial" w:eastAsia="Arial" w:hAnsi="Arial"/>
          <w:sz w:val="11"/>
          <w:szCs w:val="11"/>
          <w:color w:val="auto"/>
        </w:rPr>
        <w:t>In October 2009, Wynn Macau, Limited, our indirect wholly-owned subsidiary and the developer, owner and operator of Wynn Macau, listed its ordinary shares of common stock on The Stock Exchange of Hong Kong Limited. Wynn Macau, Limited sold 1,437,500,000 shares (27.7%) of its common stock through an initial public offering. We recorded net income attributable to noncontrolling interests of $198.9 million for the nine months ended September 30, 2013, compared to $172.2 million for the nine months ended September 30, 2012. This represents the noncontrolling interests’ share of net income from Wynn Macau, Limited during each period.</w:t>
      </w:r>
    </w:p>
    <w:p>
      <w:pPr>
        <w:spacing w:after="0" w:line="128"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Adjusted Property EBITDA</w:t>
      </w:r>
    </w:p>
    <w:p>
      <w:pPr>
        <w:spacing w:after="0" w:line="62" w:lineRule="exact"/>
        <w:rPr>
          <w:sz w:val="20"/>
          <w:szCs w:val="20"/>
          <w:color w:val="auto"/>
        </w:rPr>
      </w:pPr>
    </w:p>
    <w:p>
      <w:pPr>
        <w:ind w:firstLine="459"/>
        <w:spacing w:after="0" w:line="347" w:lineRule="auto"/>
        <w:rPr>
          <w:sz w:val="20"/>
          <w:szCs w:val="20"/>
          <w:color w:val="auto"/>
        </w:rPr>
      </w:pPr>
      <w:r>
        <w:rPr>
          <w:rFonts w:ascii="Arial" w:cs="Arial" w:eastAsia="Arial" w:hAnsi="Arial"/>
          <w:sz w:val="9"/>
          <w:szCs w:val="9"/>
          <w:color w:val="auto"/>
        </w:rPr>
        <w:t>We use Adjusted Property EBITDA to manage the operating results of our segments. Adjusted Property EBITDA is earnings before interest, taxes, depreciation, amortization, pre-opening costs, property charges and other, corporate expenses, intercompany golf course and water rights leases, stock-based compensation, and other non-operating income and expenses, and includes equity in income from unconsolidated affiliates. Adjusted Property EBITDA is presented exclusively as a supplemental disclosure because we believe that it is widely used to measure the performance, and as a basis for valuation, of gaming companies. We use Adjusted Property EBITDA as a measure of the operating performance of our segments and to compare the operating performance of our properties with those of our competitors. We also present Adjusted Property EBITDA because it is used by some investors as a way to measure a company’s ability to incur and service debt, make capital expenditures and meet working capital requirements. Gaming companies have historically reported EBITDA as a supplement to financial measures in accordance with U.S. generally accepted accounting principles (“GAAP”). In order to view the operations of their casinos on a more stand-alone basis, gaming companies, including us, have historically excluded from their EBITDA calculations pre-opening expenses, property charges, corporate expenses and stock-based compensation that do not relate to the management of specific casino properties. However, Adjusted Property EBITDA should not be considered as an alternative to operating income as an indicator of our performance, as an alternative to cash flows from operating activities as a measure of liquidity, or as an alternative to any other measure determined in accordance with GAAP. Unlike net income, Adjusted Property EBITDA does not include depreciation or interest expense and therefore does not reflect current or future capital expenditures or the cost of capital. We have significant uses of cash flows, including capital expenditures, interest payments, debt principal repayments, taxes and other non-recurring charges, which are not reflected in Adjusted Property EBITDA. Also, our calculation of Adjusted Property EBITDA may be different from the calculation methods used by other companies and, therefore, comparability may be limited.</w:t>
      </w:r>
    </w:p>
    <w:p>
      <w:pPr>
        <w:spacing w:after="0" w:line="203" w:lineRule="exact"/>
        <w:rPr>
          <w:sz w:val="20"/>
          <w:szCs w:val="20"/>
          <w:color w:val="auto"/>
        </w:rPr>
      </w:pPr>
    </w:p>
    <w:p>
      <w:pPr>
        <w:ind w:right="160" w:firstLine="459"/>
        <w:spacing w:after="0" w:line="268" w:lineRule="auto"/>
        <w:rPr>
          <w:sz w:val="20"/>
          <w:szCs w:val="20"/>
          <w:color w:val="auto"/>
        </w:rPr>
      </w:pPr>
      <w:r>
        <w:rPr>
          <w:rFonts w:ascii="Arial" w:cs="Arial" w:eastAsia="Arial" w:hAnsi="Arial"/>
          <w:sz w:val="12"/>
          <w:szCs w:val="12"/>
          <w:color w:val="auto"/>
        </w:rPr>
        <w:t>The following table summarizes Adjusted Property EBITDA (amounts in thousands) for our Macau and Las Vegas Operations as reviewed by management and summarized in Notes to Condensed Consolidated Financial Statements, Note 17 – “Segment Information.” That footnote also presents a reconciliation of Adjusted Property EBITDA to net income.</w:t>
      </w:r>
    </w:p>
    <w:p>
      <w:pPr>
        <w:spacing w:after="0" w:line="108" w:lineRule="exact"/>
        <w:rPr>
          <w:sz w:val="20"/>
          <w:szCs w:val="20"/>
          <w:color w:val="auto"/>
        </w:rPr>
      </w:pPr>
    </w:p>
    <w:tbl>
      <w:tblPr>
        <w:tblLayout w:type="fixed"/>
        <w:tblInd w:w="460" w:type="dxa"/>
        <w:tblCellMar>
          <w:top w:w="0" w:type="dxa"/>
          <w:left w:w="0" w:type="dxa"/>
          <w:bottom w:w="0" w:type="dxa"/>
          <w:right w:w="0" w:type="dxa"/>
        </w:tblCellMar>
      </w:tblPr>
      <w:tr>
        <w:trPr>
          <w:trHeight w:val="103"/>
        </w:trPr>
        <w:tc>
          <w:tcPr>
            <w:tcW w:w="3120" w:type="dxa"/>
            <w:vAlign w:val="bottom"/>
          </w:tcPr>
          <w:p>
            <w:pPr>
              <w:spacing w:after="0"/>
              <w:rPr>
                <w:sz w:val="8"/>
                <w:szCs w:val="8"/>
                <w:color w:val="auto"/>
              </w:rPr>
            </w:pPr>
          </w:p>
        </w:tc>
        <w:tc>
          <w:tcPr>
            <w:tcW w:w="2780" w:type="dxa"/>
            <w:vAlign w:val="bottom"/>
          </w:tcPr>
          <w:p>
            <w:pPr>
              <w:spacing w:after="0"/>
              <w:rPr>
                <w:sz w:val="8"/>
                <w:szCs w:val="8"/>
                <w:color w:val="auto"/>
              </w:rPr>
            </w:pPr>
          </w:p>
        </w:tc>
        <w:tc>
          <w:tcPr>
            <w:tcW w:w="140" w:type="dxa"/>
            <w:vAlign w:val="bottom"/>
          </w:tcPr>
          <w:p>
            <w:pPr>
              <w:spacing w:after="0"/>
              <w:rPr>
                <w:sz w:val="8"/>
                <w:szCs w:val="8"/>
                <w:color w:val="auto"/>
              </w:rPr>
            </w:pPr>
          </w:p>
        </w:tc>
        <w:tc>
          <w:tcPr>
            <w:tcW w:w="1240" w:type="dxa"/>
            <w:vAlign w:val="bottom"/>
            <w:gridSpan w:val="4"/>
          </w:tcPr>
          <w:p>
            <w:pPr>
              <w:jc w:val="right"/>
              <w:spacing w:after="0"/>
              <w:rPr>
                <w:sz w:val="20"/>
                <w:szCs w:val="20"/>
                <w:color w:val="auto"/>
              </w:rPr>
            </w:pPr>
            <w:r>
              <w:rPr>
                <w:rFonts w:ascii="Arial" w:cs="Arial" w:eastAsia="Arial" w:hAnsi="Arial"/>
                <w:sz w:val="9"/>
                <w:szCs w:val="9"/>
                <w:b w:val="1"/>
                <w:bCs w:val="1"/>
                <w:color w:val="auto"/>
              </w:rPr>
              <w:t>Three Months Ended</w:t>
            </w:r>
          </w:p>
        </w:tc>
        <w:tc>
          <w:tcPr>
            <w:tcW w:w="500" w:type="dxa"/>
            <w:vAlign w:val="bottom"/>
          </w:tcPr>
          <w:p>
            <w:pPr>
              <w:spacing w:after="0"/>
              <w:rPr>
                <w:sz w:val="8"/>
                <w:szCs w:val="8"/>
                <w:color w:val="auto"/>
              </w:rPr>
            </w:pPr>
          </w:p>
        </w:tc>
        <w:tc>
          <w:tcPr>
            <w:tcW w:w="500" w:type="dxa"/>
            <w:vAlign w:val="bottom"/>
          </w:tcPr>
          <w:p>
            <w:pPr>
              <w:spacing w:after="0"/>
              <w:rPr>
                <w:sz w:val="8"/>
                <w:szCs w:val="8"/>
                <w:color w:val="auto"/>
              </w:rPr>
            </w:pPr>
          </w:p>
        </w:tc>
        <w:tc>
          <w:tcPr>
            <w:tcW w:w="180" w:type="dxa"/>
            <w:vAlign w:val="bottom"/>
          </w:tcPr>
          <w:p>
            <w:pPr>
              <w:spacing w:after="0"/>
              <w:rPr>
                <w:sz w:val="8"/>
                <w:szCs w:val="8"/>
                <w:color w:val="auto"/>
              </w:rPr>
            </w:pPr>
          </w:p>
        </w:tc>
        <w:tc>
          <w:tcPr>
            <w:tcW w:w="1380" w:type="dxa"/>
            <w:vAlign w:val="bottom"/>
            <w:gridSpan w:val="3"/>
          </w:tcPr>
          <w:p>
            <w:pPr>
              <w:jc w:val="right"/>
              <w:ind w:right="77"/>
              <w:spacing w:after="0"/>
              <w:rPr>
                <w:sz w:val="20"/>
                <w:szCs w:val="20"/>
                <w:color w:val="auto"/>
              </w:rPr>
            </w:pPr>
            <w:r>
              <w:rPr>
                <w:rFonts w:ascii="Arial" w:cs="Arial" w:eastAsia="Arial" w:hAnsi="Arial"/>
                <w:sz w:val="9"/>
                <w:szCs w:val="9"/>
                <w:b w:val="1"/>
                <w:bCs w:val="1"/>
                <w:color w:val="auto"/>
              </w:rPr>
              <w:t>Nine Months Ended</w:t>
            </w:r>
          </w:p>
        </w:tc>
        <w:tc>
          <w:tcPr>
            <w:tcW w:w="600" w:type="dxa"/>
            <w:vAlign w:val="bottom"/>
          </w:tcPr>
          <w:p>
            <w:pPr>
              <w:spacing w:after="0"/>
              <w:rPr>
                <w:sz w:val="8"/>
                <w:szCs w:val="8"/>
                <w:color w:val="auto"/>
              </w:rPr>
            </w:pPr>
          </w:p>
        </w:tc>
        <w:tc>
          <w:tcPr>
            <w:tcW w:w="120" w:type="dxa"/>
            <w:vAlign w:val="bottom"/>
          </w:tcPr>
          <w:p>
            <w:pPr>
              <w:spacing w:after="0"/>
              <w:rPr>
                <w:sz w:val="8"/>
                <w:szCs w:val="8"/>
                <w:color w:val="auto"/>
              </w:rPr>
            </w:pPr>
          </w:p>
        </w:tc>
      </w:tr>
      <w:tr>
        <w:trPr>
          <w:trHeight w:val="108"/>
        </w:trPr>
        <w:tc>
          <w:tcPr>
            <w:tcW w:w="3120" w:type="dxa"/>
            <w:vAlign w:val="bottom"/>
          </w:tcPr>
          <w:p>
            <w:pPr>
              <w:spacing w:after="0"/>
              <w:rPr>
                <w:sz w:val="9"/>
                <w:szCs w:val="9"/>
                <w:color w:val="auto"/>
              </w:rPr>
            </w:pPr>
          </w:p>
        </w:tc>
        <w:tc>
          <w:tcPr>
            <w:tcW w:w="278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1240" w:type="dxa"/>
            <w:vAlign w:val="bottom"/>
            <w:tcBorders>
              <w:bottom w:val="single" w:sz="8" w:color="auto"/>
            </w:tcBorders>
            <w:gridSpan w:val="4"/>
          </w:tcPr>
          <w:p>
            <w:pPr>
              <w:jc w:val="right"/>
              <w:ind w:right="133"/>
              <w:spacing w:after="0"/>
              <w:rPr>
                <w:sz w:val="20"/>
                <w:szCs w:val="20"/>
                <w:color w:val="auto"/>
              </w:rPr>
            </w:pPr>
            <w:r>
              <w:rPr>
                <w:rFonts w:ascii="Arial" w:cs="Arial" w:eastAsia="Arial" w:hAnsi="Arial"/>
                <w:sz w:val="9"/>
                <w:szCs w:val="9"/>
                <w:b w:val="1"/>
                <w:bCs w:val="1"/>
                <w:color w:val="auto"/>
              </w:rPr>
              <w:t>September 30,</w:t>
            </w:r>
          </w:p>
        </w:tc>
        <w:tc>
          <w:tcPr>
            <w:tcW w:w="500" w:type="dxa"/>
            <w:vAlign w:val="bottom"/>
            <w:tcBorders>
              <w:bottom w:val="single" w:sz="8" w:color="auto"/>
            </w:tcBorders>
          </w:tcPr>
          <w:p>
            <w:pPr>
              <w:spacing w:after="0"/>
              <w:rPr>
                <w:sz w:val="9"/>
                <w:szCs w:val="9"/>
                <w:color w:val="auto"/>
              </w:rPr>
            </w:pPr>
          </w:p>
        </w:tc>
        <w:tc>
          <w:tcPr>
            <w:tcW w:w="500" w:type="dxa"/>
            <w:vAlign w:val="bottom"/>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1380" w:type="dxa"/>
            <w:vAlign w:val="bottom"/>
            <w:tcBorders>
              <w:bottom w:val="single" w:sz="8" w:color="auto"/>
            </w:tcBorders>
            <w:gridSpan w:val="3"/>
          </w:tcPr>
          <w:p>
            <w:pPr>
              <w:jc w:val="right"/>
              <w:ind w:right="177"/>
              <w:spacing w:after="0"/>
              <w:rPr>
                <w:sz w:val="20"/>
                <w:szCs w:val="20"/>
                <w:color w:val="auto"/>
              </w:rPr>
            </w:pPr>
            <w:r>
              <w:rPr>
                <w:rFonts w:ascii="Arial" w:cs="Arial" w:eastAsia="Arial" w:hAnsi="Arial"/>
                <w:sz w:val="9"/>
                <w:szCs w:val="9"/>
                <w:b w:val="1"/>
                <w:bCs w:val="1"/>
                <w:color w:val="auto"/>
              </w:rPr>
              <w:t>September 30,</w:t>
            </w:r>
          </w:p>
        </w:tc>
        <w:tc>
          <w:tcPr>
            <w:tcW w:w="600" w:type="dxa"/>
            <w:vAlign w:val="bottom"/>
            <w:tcBorders>
              <w:bottom w:val="single" w:sz="8" w:color="auto"/>
            </w:tcBorders>
          </w:tcPr>
          <w:p>
            <w:pPr>
              <w:spacing w:after="0"/>
              <w:rPr>
                <w:sz w:val="9"/>
                <w:szCs w:val="9"/>
                <w:color w:val="auto"/>
              </w:rPr>
            </w:pPr>
          </w:p>
        </w:tc>
        <w:tc>
          <w:tcPr>
            <w:tcW w:w="120" w:type="dxa"/>
            <w:vAlign w:val="bottom"/>
          </w:tcPr>
          <w:p>
            <w:pPr>
              <w:spacing w:after="0"/>
              <w:rPr>
                <w:sz w:val="9"/>
                <w:szCs w:val="9"/>
                <w:color w:val="auto"/>
              </w:rPr>
            </w:pPr>
          </w:p>
        </w:tc>
      </w:tr>
      <w:tr>
        <w:trPr>
          <w:trHeight w:val="88"/>
        </w:trPr>
        <w:tc>
          <w:tcPr>
            <w:tcW w:w="3120" w:type="dxa"/>
            <w:vAlign w:val="bottom"/>
            <w:tcBorders>
              <w:bottom w:val="single" w:sz="8" w:color="CCEEFF"/>
            </w:tcBorders>
          </w:tcPr>
          <w:p>
            <w:pPr>
              <w:spacing w:after="0"/>
              <w:rPr>
                <w:sz w:val="7"/>
                <w:szCs w:val="7"/>
                <w:color w:val="auto"/>
              </w:rPr>
            </w:pPr>
          </w:p>
        </w:tc>
        <w:tc>
          <w:tcPr>
            <w:tcW w:w="2780" w:type="dxa"/>
            <w:vAlign w:val="bottom"/>
            <w:tcBorders>
              <w:bottom w:val="single" w:sz="8" w:color="CCEEFF"/>
            </w:tcBorders>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540" w:type="dxa"/>
            <w:vAlign w:val="bottom"/>
            <w:tcBorders>
              <w:bottom w:val="single" w:sz="8" w:color="auto"/>
            </w:tcBorders>
          </w:tcPr>
          <w:p>
            <w:pPr>
              <w:jc w:val="right"/>
              <w:ind w:right="208"/>
              <w:spacing w:after="0" w:line="88" w:lineRule="exact"/>
              <w:rPr>
                <w:sz w:val="20"/>
                <w:szCs w:val="20"/>
                <w:color w:val="auto"/>
              </w:rPr>
            </w:pPr>
            <w:r>
              <w:rPr>
                <w:rFonts w:ascii="Arial" w:cs="Arial" w:eastAsia="Arial" w:hAnsi="Arial"/>
                <w:sz w:val="9"/>
                <w:szCs w:val="9"/>
                <w:b w:val="1"/>
                <w:bCs w:val="1"/>
                <w:color w:val="auto"/>
              </w:rPr>
              <w:t>2013</w:t>
            </w:r>
          </w:p>
        </w:tc>
        <w:tc>
          <w:tcPr>
            <w:tcW w:w="240" w:type="dxa"/>
            <w:vAlign w:val="bottom"/>
            <w:tcBorders>
              <w:bottom w:val="single" w:sz="8" w:color="CCEEFF"/>
            </w:tcBorders>
          </w:tcPr>
          <w:p>
            <w:pPr>
              <w:spacing w:after="0"/>
              <w:rPr>
                <w:sz w:val="7"/>
                <w:szCs w:val="7"/>
                <w:color w:val="auto"/>
              </w:rPr>
            </w:pPr>
          </w:p>
        </w:tc>
        <w:tc>
          <w:tcPr>
            <w:tcW w:w="260" w:type="dxa"/>
            <w:vAlign w:val="bottom"/>
            <w:tcBorders>
              <w:bottom w:val="single" w:sz="8" w:color="CCEEFF"/>
            </w:tcBorders>
          </w:tcPr>
          <w:p>
            <w:pPr>
              <w:spacing w:after="0"/>
              <w:rPr>
                <w:sz w:val="7"/>
                <w:szCs w:val="7"/>
                <w:color w:val="auto"/>
              </w:rPr>
            </w:pPr>
          </w:p>
        </w:tc>
        <w:tc>
          <w:tcPr>
            <w:tcW w:w="200" w:type="dxa"/>
            <w:vAlign w:val="bottom"/>
            <w:tcBorders>
              <w:bottom w:val="single" w:sz="8" w:color="auto"/>
            </w:tcBorders>
          </w:tcPr>
          <w:p>
            <w:pPr>
              <w:spacing w:after="0"/>
              <w:rPr>
                <w:sz w:val="7"/>
                <w:szCs w:val="7"/>
                <w:color w:val="auto"/>
              </w:rPr>
            </w:pPr>
          </w:p>
        </w:tc>
        <w:tc>
          <w:tcPr>
            <w:tcW w:w="500" w:type="dxa"/>
            <w:vAlign w:val="bottom"/>
            <w:tcBorders>
              <w:bottom w:val="single" w:sz="8" w:color="auto"/>
            </w:tcBorders>
          </w:tcPr>
          <w:p>
            <w:pPr>
              <w:jc w:val="right"/>
              <w:ind w:right="205"/>
              <w:spacing w:after="0" w:line="88" w:lineRule="exact"/>
              <w:rPr>
                <w:sz w:val="20"/>
                <w:szCs w:val="20"/>
                <w:color w:val="auto"/>
              </w:rPr>
            </w:pPr>
            <w:r>
              <w:rPr>
                <w:rFonts w:ascii="Arial" w:cs="Arial" w:eastAsia="Arial" w:hAnsi="Arial"/>
                <w:sz w:val="9"/>
                <w:szCs w:val="9"/>
                <w:b w:val="1"/>
                <w:bCs w:val="1"/>
                <w:color w:val="auto"/>
              </w:rPr>
              <w:t>2012</w:t>
            </w:r>
          </w:p>
        </w:tc>
        <w:tc>
          <w:tcPr>
            <w:tcW w:w="500" w:type="dxa"/>
            <w:vAlign w:val="bottom"/>
            <w:tcBorders>
              <w:bottom w:val="single" w:sz="8" w:color="CCEEFF"/>
            </w:tcBorders>
          </w:tcPr>
          <w:p>
            <w:pPr>
              <w:spacing w:after="0"/>
              <w:rPr>
                <w:sz w:val="7"/>
                <w:szCs w:val="7"/>
                <w:color w:val="auto"/>
              </w:rPr>
            </w:pPr>
          </w:p>
        </w:tc>
        <w:tc>
          <w:tcPr>
            <w:tcW w:w="180" w:type="dxa"/>
            <w:vAlign w:val="bottom"/>
            <w:tcBorders>
              <w:bottom w:val="single" w:sz="8" w:color="auto"/>
            </w:tcBorders>
          </w:tcPr>
          <w:p>
            <w:pPr>
              <w:spacing w:after="0"/>
              <w:rPr>
                <w:sz w:val="7"/>
                <w:szCs w:val="7"/>
                <w:color w:val="auto"/>
              </w:rPr>
            </w:pPr>
          </w:p>
        </w:tc>
        <w:tc>
          <w:tcPr>
            <w:tcW w:w="640" w:type="dxa"/>
            <w:vAlign w:val="bottom"/>
            <w:tcBorders>
              <w:bottom w:val="single" w:sz="8" w:color="auto"/>
            </w:tcBorders>
          </w:tcPr>
          <w:p>
            <w:pPr>
              <w:jc w:val="right"/>
              <w:ind w:right="268"/>
              <w:spacing w:after="0" w:line="88" w:lineRule="exact"/>
              <w:rPr>
                <w:sz w:val="20"/>
                <w:szCs w:val="20"/>
                <w:color w:val="auto"/>
              </w:rPr>
            </w:pPr>
            <w:r>
              <w:rPr>
                <w:rFonts w:ascii="Arial" w:cs="Arial" w:eastAsia="Arial" w:hAnsi="Arial"/>
                <w:sz w:val="9"/>
                <w:szCs w:val="9"/>
                <w:b w:val="1"/>
                <w:bCs w:val="1"/>
                <w:color w:val="auto"/>
              </w:rPr>
              <w:t>2013</w:t>
            </w:r>
          </w:p>
        </w:tc>
        <w:tc>
          <w:tcPr>
            <w:tcW w:w="520" w:type="dxa"/>
            <w:vAlign w:val="bottom"/>
            <w:tcBorders>
              <w:bottom w:val="single" w:sz="8" w:color="CCEEFF"/>
            </w:tcBorders>
          </w:tcPr>
          <w:p>
            <w:pPr>
              <w:spacing w:after="0"/>
              <w:rPr>
                <w:sz w:val="7"/>
                <w:szCs w:val="7"/>
                <w:color w:val="auto"/>
              </w:rPr>
            </w:pPr>
          </w:p>
        </w:tc>
        <w:tc>
          <w:tcPr>
            <w:tcW w:w="220" w:type="dxa"/>
            <w:vAlign w:val="bottom"/>
            <w:tcBorders>
              <w:bottom w:val="single" w:sz="8" w:color="auto"/>
            </w:tcBorders>
          </w:tcPr>
          <w:p>
            <w:pPr>
              <w:spacing w:after="0"/>
              <w:rPr>
                <w:sz w:val="7"/>
                <w:szCs w:val="7"/>
                <w:color w:val="auto"/>
              </w:rPr>
            </w:pPr>
          </w:p>
        </w:tc>
        <w:tc>
          <w:tcPr>
            <w:tcW w:w="600" w:type="dxa"/>
            <w:vAlign w:val="bottom"/>
            <w:tcBorders>
              <w:bottom w:val="single" w:sz="8" w:color="auto"/>
            </w:tcBorders>
          </w:tcPr>
          <w:p>
            <w:pPr>
              <w:jc w:val="right"/>
              <w:ind w:right="265"/>
              <w:spacing w:after="0" w:line="88" w:lineRule="exact"/>
              <w:rPr>
                <w:sz w:val="20"/>
                <w:szCs w:val="20"/>
                <w:color w:val="auto"/>
              </w:rPr>
            </w:pPr>
            <w:r>
              <w:rPr>
                <w:rFonts w:ascii="Arial" w:cs="Arial" w:eastAsia="Arial" w:hAnsi="Arial"/>
                <w:sz w:val="9"/>
                <w:szCs w:val="9"/>
                <w:b w:val="1"/>
                <w:bCs w:val="1"/>
                <w:color w:val="auto"/>
              </w:rPr>
              <w:t>2012</w:t>
            </w:r>
          </w:p>
        </w:tc>
        <w:tc>
          <w:tcPr>
            <w:tcW w:w="120" w:type="dxa"/>
            <w:vAlign w:val="bottom"/>
            <w:tcBorders>
              <w:bottom w:val="single" w:sz="8" w:color="CCEEFF"/>
            </w:tcBorders>
          </w:tcPr>
          <w:p>
            <w:pPr>
              <w:spacing w:after="0"/>
              <w:rPr>
                <w:sz w:val="7"/>
                <w:szCs w:val="7"/>
                <w:color w:val="auto"/>
              </w:rPr>
            </w:pPr>
          </w:p>
        </w:tc>
      </w:tr>
      <w:tr>
        <w:trPr>
          <w:trHeight w:val="133"/>
        </w:trPr>
        <w:tc>
          <w:tcPr>
            <w:tcW w:w="3120" w:type="dxa"/>
            <w:vAlign w:val="bottom"/>
            <w:shd w:val="clear" w:color="auto" w:fill="CCEEFF"/>
          </w:tcPr>
          <w:p>
            <w:pPr>
              <w:spacing w:after="0" w:line="129" w:lineRule="exact"/>
              <w:rPr>
                <w:sz w:val="20"/>
                <w:szCs w:val="20"/>
                <w:color w:val="auto"/>
              </w:rPr>
            </w:pPr>
            <w:r>
              <w:rPr>
                <w:rFonts w:ascii="Arial" w:cs="Arial" w:eastAsia="Arial" w:hAnsi="Arial"/>
                <w:sz w:val="12"/>
                <w:szCs w:val="12"/>
                <w:color w:val="auto"/>
              </w:rPr>
              <w:t>Macau Operations</w:t>
            </w:r>
          </w:p>
        </w:tc>
        <w:tc>
          <w:tcPr>
            <w:tcW w:w="2780" w:type="dxa"/>
            <w:vAlign w:val="bottom"/>
            <w:shd w:val="clear" w:color="auto" w:fill="CCEEFF"/>
          </w:tcPr>
          <w:p>
            <w:pPr>
              <w:spacing w:after="0"/>
              <w:rPr>
                <w:sz w:val="11"/>
                <w:szCs w:val="11"/>
                <w:color w:val="auto"/>
              </w:rPr>
            </w:pPr>
          </w:p>
        </w:tc>
        <w:tc>
          <w:tcPr>
            <w:tcW w:w="140" w:type="dxa"/>
            <w:vAlign w:val="bottom"/>
            <w:shd w:val="clear" w:color="auto" w:fill="CCEEFF"/>
          </w:tcPr>
          <w:p>
            <w:pPr>
              <w:jc w:val="right"/>
              <w:ind w:right="77"/>
              <w:spacing w:after="0"/>
              <w:rPr>
                <w:sz w:val="20"/>
                <w:szCs w:val="20"/>
                <w:color w:val="auto"/>
              </w:rPr>
            </w:pPr>
            <w:r>
              <w:rPr>
                <w:rFonts w:ascii="Arial" w:cs="Arial" w:eastAsia="Arial" w:hAnsi="Arial"/>
                <w:sz w:val="5"/>
                <w:szCs w:val="5"/>
                <w:color w:val="auto"/>
                <w:w w:val="70"/>
              </w:rPr>
              <w:t>$</w:t>
            </w:r>
          </w:p>
        </w:tc>
        <w:tc>
          <w:tcPr>
            <w:tcW w:w="540" w:type="dxa"/>
            <w:vAlign w:val="bottom"/>
            <w:shd w:val="clear" w:color="auto" w:fill="CCEEFF"/>
          </w:tcPr>
          <w:p>
            <w:pPr>
              <w:jc w:val="right"/>
              <w:spacing w:after="0" w:line="133" w:lineRule="exact"/>
              <w:rPr>
                <w:sz w:val="20"/>
                <w:szCs w:val="20"/>
                <w:color w:val="auto"/>
              </w:rPr>
            </w:pPr>
            <w:r>
              <w:rPr>
                <w:rFonts w:ascii="Arial" w:cs="Arial" w:eastAsia="Arial" w:hAnsi="Arial"/>
                <w:sz w:val="12"/>
                <w:szCs w:val="12"/>
                <w:color w:val="auto"/>
              </w:rPr>
              <w:t>329,106</w:t>
            </w:r>
          </w:p>
        </w:tc>
        <w:tc>
          <w:tcPr>
            <w:tcW w:w="24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200" w:type="dxa"/>
            <w:vAlign w:val="bottom"/>
            <w:shd w:val="clear" w:color="auto" w:fill="CCEEFF"/>
          </w:tcPr>
          <w:p>
            <w:pPr>
              <w:jc w:val="right"/>
              <w:ind w:right="93"/>
              <w:spacing w:after="0"/>
              <w:rPr>
                <w:sz w:val="20"/>
                <w:szCs w:val="20"/>
                <w:color w:val="auto"/>
              </w:rPr>
            </w:pPr>
            <w:r>
              <w:rPr>
                <w:rFonts w:ascii="Arial" w:cs="Arial" w:eastAsia="Arial" w:hAnsi="Arial"/>
                <w:sz w:val="9"/>
                <w:szCs w:val="9"/>
                <w:color w:val="auto"/>
                <w:w w:val="78"/>
              </w:rPr>
              <w:t>$</w:t>
            </w:r>
          </w:p>
        </w:tc>
        <w:tc>
          <w:tcPr>
            <w:tcW w:w="500" w:type="dxa"/>
            <w:vAlign w:val="bottom"/>
            <w:shd w:val="clear" w:color="auto" w:fill="CCEEFF"/>
          </w:tcPr>
          <w:p>
            <w:pPr>
              <w:jc w:val="right"/>
              <w:spacing w:after="0" w:line="133" w:lineRule="exact"/>
              <w:rPr>
                <w:sz w:val="20"/>
                <w:szCs w:val="20"/>
                <w:color w:val="auto"/>
              </w:rPr>
            </w:pPr>
            <w:r>
              <w:rPr>
                <w:rFonts w:ascii="Arial" w:cs="Arial" w:eastAsia="Arial" w:hAnsi="Arial"/>
                <w:sz w:val="12"/>
                <w:szCs w:val="12"/>
                <w:color w:val="auto"/>
              </w:rPr>
              <w:t>292,161</w:t>
            </w:r>
          </w:p>
        </w:tc>
        <w:tc>
          <w:tcPr>
            <w:tcW w:w="500" w:type="dxa"/>
            <w:vAlign w:val="bottom"/>
            <w:shd w:val="clear" w:color="auto" w:fill="CCEEFF"/>
          </w:tcPr>
          <w:p>
            <w:pPr>
              <w:spacing w:after="0"/>
              <w:rPr>
                <w:sz w:val="11"/>
                <w:szCs w:val="11"/>
                <w:color w:val="auto"/>
              </w:rPr>
            </w:pPr>
          </w:p>
        </w:tc>
        <w:tc>
          <w:tcPr>
            <w:tcW w:w="180" w:type="dxa"/>
            <w:vAlign w:val="bottom"/>
            <w:shd w:val="clear" w:color="auto" w:fill="CCEEFF"/>
          </w:tcPr>
          <w:p>
            <w:pPr>
              <w:jc w:val="right"/>
              <w:ind w:right="73"/>
              <w:spacing w:after="0"/>
              <w:rPr>
                <w:sz w:val="20"/>
                <w:szCs w:val="20"/>
                <w:color w:val="auto"/>
              </w:rPr>
            </w:pPr>
            <w:r>
              <w:rPr>
                <w:rFonts w:ascii="Arial" w:cs="Arial" w:eastAsia="Arial" w:hAnsi="Arial"/>
                <w:sz w:val="9"/>
                <w:szCs w:val="9"/>
                <w:color w:val="auto"/>
                <w:w w:val="78"/>
              </w:rPr>
              <w:t>$</w:t>
            </w:r>
          </w:p>
        </w:tc>
        <w:tc>
          <w:tcPr>
            <w:tcW w:w="640" w:type="dxa"/>
            <w:vAlign w:val="bottom"/>
            <w:shd w:val="clear" w:color="auto" w:fill="CCEEFF"/>
          </w:tcPr>
          <w:p>
            <w:pPr>
              <w:jc w:val="right"/>
              <w:spacing w:after="0" w:line="133" w:lineRule="exact"/>
              <w:rPr>
                <w:sz w:val="20"/>
                <w:szCs w:val="20"/>
                <w:color w:val="auto"/>
              </w:rPr>
            </w:pPr>
            <w:r>
              <w:rPr>
                <w:rFonts w:ascii="Arial" w:cs="Arial" w:eastAsia="Arial" w:hAnsi="Arial"/>
                <w:sz w:val="12"/>
                <w:szCs w:val="12"/>
                <w:color w:val="auto"/>
              </w:rPr>
              <w:t>949,905</w:t>
            </w:r>
          </w:p>
        </w:tc>
        <w:tc>
          <w:tcPr>
            <w:tcW w:w="520" w:type="dxa"/>
            <w:vAlign w:val="bottom"/>
            <w:shd w:val="clear" w:color="auto" w:fill="CCEEFF"/>
          </w:tcPr>
          <w:p>
            <w:pPr>
              <w:spacing w:after="0"/>
              <w:rPr>
                <w:sz w:val="11"/>
                <w:szCs w:val="11"/>
                <w:color w:val="auto"/>
              </w:rPr>
            </w:pPr>
          </w:p>
        </w:tc>
        <w:tc>
          <w:tcPr>
            <w:tcW w:w="220" w:type="dxa"/>
            <w:vAlign w:val="bottom"/>
            <w:shd w:val="clear" w:color="auto" w:fill="CCEEFF"/>
          </w:tcPr>
          <w:p>
            <w:pPr>
              <w:jc w:val="right"/>
              <w:ind w:right="157"/>
              <w:spacing w:after="0"/>
              <w:rPr>
                <w:sz w:val="20"/>
                <w:szCs w:val="20"/>
                <w:color w:val="auto"/>
              </w:rPr>
            </w:pPr>
            <w:r>
              <w:rPr>
                <w:rFonts w:ascii="Arial" w:cs="Arial" w:eastAsia="Arial" w:hAnsi="Arial"/>
                <w:sz w:val="5"/>
                <w:szCs w:val="5"/>
                <w:color w:val="auto"/>
                <w:w w:val="70"/>
              </w:rPr>
              <w:t>$</w:t>
            </w:r>
          </w:p>
        </w:tc>
        <w:tc>
          <w:tcPr>
            <w:tcW w:w="600" w:type="dxa"/>
            <w:vAlign w:val="bottom"/>
            <w:shd w:val="clear" w:color="auto" w:fill="CCEEFF"/>
          </w:tcPr>
          <w:p>
            <w:pPr>
              <w:jc w:val="right"/>
              <w:spacing w:after="0" w:line="133" w:lineRule="exact"/>
              <w:rPr>
                <w:sz w:val="20"/>
                <w:szCs w:val="20"/>
                <w:color w:val="auto"/>
              </w:rPr>
            </w:pPr>
            <w:r>
              <w:rPr>
                <w:rFonts w:ascii="Arial" w:cs="Arial" w:eastAsia="Arial" w:hAnsi="Arial"/>
                <w:sz w:val="12"/>
                <w:szCs w:val="12"/>
                <w:color w:val="auto"/>
              </w:rPr>
              <w:t>884,144</w:t>
            </w:r>
          </w:p>
        </w:tc>
        <w:tc>
          <w:tcPr>
            <w:tcW w:w="120" w:type="dxa"/>
            <w:vAlign w:val="bottom"/>
            <w:shd w:val="clear" w:color="auto" w:fill="CCEEFF"/>
          </w:tcPr>
          <w:p>
            <w:pPr>
              <w:spacing w:after="0"/>
              <w:rPr>
                <w:sz w:val="11"/>
                <w:szCs w:val="11"/>
                <w:color w:val="auto"/>
              </w:rPr>
            </w:pPr>
          </w:p>
        </w:tc>
      </w:tr>
      <w:tr>
        <w:trPr>
          <w:trHeight w:val="144"/>
        </w:trPr>
        <w:tc>
          <w:tcPr>
            <w:tcW w:w="3120" w:type="dxa"/>
            <w:vAlign w:val="bottom"/>
          </w:tcPr>
          <w:p>
            <w:pPr>
              <w:spacing w:after="0"/>
              <w:rPr>
                <w:sz w:val="20"/>
                <w:szCs w:val="20"/>
                <w:color w:val="auto"/>
              </w:rPr>
            </w:pPr>
            <w:r>
              <w:rPr>
                <w:rFonts w:ascii="Arial" w:cs="Arial" w:eastAsia="Arial" w:hAnsi="Arial"/>
                <w:sz w:val="12"/>
                <w:szCs w:val="12"/>
                <w:color w:val="auto"/>
              </w:rPr>
              <w:t>Las Vegas Operations</w:t>
            </w:r>
          </w:p>
        </w:tc>
        <w:tc>
          <w:tcPr>
            <w:tcW w:w="2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Arial" w:cs="Arial" w:eastAsia="Arial" w:hAnsi="Arial"/>
                <w:sz w:val="12"/>
                <w:szCs w:val="12"/>
                <w:color w:val="auto"/>
              </w:rPr>
              <w:t>106,515</w:t>
            </w:r>
          </w:p>
        </w:tc>
        <w:tc>
          <w:tcPr>
            <w:tcW w:w="2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00" w:type="dxa"/>
            <w:vAlign w:val="bottom"/>
          </w:tcPr>
          <w:p>
            <w:pPr>
              <w:jc w:val="right"/>
              <w:spacing w:after="0"/>
              <w:rPr>
                <w:sz w:val="20"/>
                <w:szCs w:val="20"/>
                <w:color w:val="auto"/>
              </w:rPr>
            </w:pPr>
            <w:r>
              <w:rPr>
                <w:rFonts w:ascii="Arial" w:cs="Arial" w:eastAsia="Arial" w:hAnsi="Arial"/>
                <w:sz w:val="12"/>
                <w:szCs w:val="12"/>
                <w:color w:val="auto"/>
              </w:rPr>
              <w:t>110,390</w:t>
            </w:r>
          </w:p>
        </w:tc>
        <w:tc>
          <w:tcPr>
            <w:tcW w:w="5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rPr>
              <w:t>362,529</w:t>
            </w:r>
          </w:p>
        </w:tc>
        <w:tc>
          <w:tcPr>
            <w:tcW w:w="5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2"/>
                <w:szCs w:val="12"/>
                <w:color w:val="auto"/>
              </w:rPr>
              <w:t>293,193</w:t>
            </w:r>
          </w:p>
        </w:tc>
      </w:tr>
      <w:tr>
        <w:trPr>
          <w:trHeight w:val="20"/>
        </w:trPr>
        <w:tc>
          <w:tcPr>
            <w:tcW w:w="312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49"/>
        </w:trPr>
        <w:tc>
          <w:tcPr>
            <w:tcW w:w="3120" w:type="dxa"/>
            <w:vAlign w:val="bottom"/>
            <w:shd w:val="clear" w:color="auto" w:fill="CCEEFF"/>
          </w:tcPr>
          <w:p>
            <w:pPr>
              <w:spacing w:after="0"/>
              <w:rPr>
                <w:sz w:val="12"/>
                <w:szCs w:val="12"/>
                <w:color w:val="auto"/>
              </w:rPr>
            </w:pPr>
          </w:p>
        </w:tc>
        <w:tc>
          <w:tcPr>
            <w:tcW w:w="2920" w:type="dxa"/>
            <w:vAlign w:val="bottom"/>
            <w:gridSpan w:val="2"/>
            <w:shd w:val="clear" w:color="auto" w:fill="CCEEFF"/>
          </w:tcPr>
          <w:p>
            <w:pPr>
              <w:jc w:val="right"/>
              <w:ind w:right="77"/>
              <w:spacing w:after="0"/>
              <w:rPr>
                <w:sz w:val="20"/>
                <w:szCs w:val="20"/>
                <w:color w:val="auto"/>
              </w:rPr>
            </w:pPr>
            <w:r>
              <w:rPr>
                <w:rFonts w:ascii="Arial" w:cs="Arial" w:eastAsia="Arial" w:hAnsi="Arial"/>
                <w:sz w:val="12"/>
                <w:szCs w:val="12"/>
                <w:color w:val="auto"/>
              </w:rPr>
              <w:t>$</w:t>
            </w:r>
          </w:p>
        </w:tc>
        <w:tc>
          <w:tcPr>
            <w:tcW w:w="78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435,621</w:t>
            </w:r>
          </w:p>
        </w:tc>
        <w:tc>
          <w:tcPr>
            <w:tcW w:w="460" w:type="dxa"/>
            <w:vAlign w:val="bottom"/>
            <w:gridSpan w:val="2"/>
            <w:shd w:val="clear" w:color="auto" w:fill="CCEEFF"/>
          </w:tcPr>
          <w:p>
            <w:pPr>
              <w:jc w:val="right"/>
              <w:ind w:right="93"/>
              <w:spacing w:after="0"/>
              <w:rPr>
                <w:sz w:val="20"/>
                <w:szCs w:val="20"/>
                <w:color w:val="auto"/>
              </w:rPr>
            </w:pPr>
            <w:r>
              <w:rPr>
                <w:rFonts w:ascii="Arial" w:cs="Arial" w:eastAsia="Arial" w:hAnsi="Arial"/>
                <w:sz w:val="12"/>
                <w:szCs w:val="12"/>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402,551</w:t>
            </w:r>
          </w:p>
        </w:tc>
        <w:tc>
          <w:tcPr>
            <w:tcW w:w="680" w:type="dxa"/>
            <w:vAlign w:val="bottom"/>
            <w:gridSpan w:val="2"/>
            <w:shd w:val="clear" w:color="auto" w:fill="CCEEFF"/>
          </w:tcPr>
          <w:p>
            <w:pPr>
              <w:jc w:val="right"/>
              <w:ind w:right="73"/>
              <w:spacing w:after="0"/>
              <w:rPr>
                <w:sz w:val="20"/>
                <w:szCs w:val="20"/>
                <w:color w:val="auto"/>
              </w:rPr>
            </w:pPr>
            <w:r>
              <w:rPr>
                <w:rFonts w:ascii="Arial" w:cs="Arial" w:eastAsia="Arial" w:hAnsi="Arial"/>
                <w:sz w:val="12"/>
                <w:szCs w:val="12"/>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1,312,434</w:t>
            </w:r>
          </w:p>
        </w:tc>
        <w:tc>
          <w:tcPr>
            <w:tcW w:w="740" w:type="dxa"/>
            <w:vAlign w:val="bottom"/>
            <w:gridSpan w:val="2"/>
            <w:shd w:val="clear" w:color="auto" w:fill="CCEEFF"/>
          </w:tcPr>
          <w:p>
            <w:pPr>
              <w:jc w:val="right"/>
              <w:ind w:right="157"/>
              <w:spacing w:after="0"/>
              <w:rPr>
                <w:sz w:val="20"/>
                <w:szCs w:val="20"/>
                <w:color w:val="auto"/>
              </w:rPr>
            </w:pPr>
            <w:r>
              <w:rPr>
                <w:rFonts w:ascii="Arial" w:cs="Arial" w:eastAsia="Arial" w:hAnsi="Arial"/>
                <w:sz w:val="12"/>
                <w:szCs w:val="12"/>
                <w:color w:val="auto"/>
              </w:rPr>
              <w:t>$</w:t>
            </w: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1,177,337</w:t>
            </w:r>
          </w:p>
        </w:tc>
      </w:tr>
      <w:tr>
        <w:trPr>
          <w:trHeight w:val="250"/>
        </w:trPr>
        <w:tc>
          <w:tcPr>
            <w:tcW w:w="3120" w:type="dxa"/>
            <w:vAlign w:val="bottom"/>
          </w:tcPr>
          <w:p>
            <w:pPr>
              <w:spacing w:after="0"/>
              <w:rPr>
                <w:sz w:val="21"/>
                <w:szCs w:val="21"/>
                <w:color w:val="auto"/>
              </w:rPr>
            </w:pPr>
          </w:p>
        </w:tc>
        <w:tc>
          <w:tcPr>
            <w:tcW w:w="2780" w:type="dxa"/>
            <w:vAlign w:val="bottom"/>
          </w:tcPr>
          <w:p>
            <w:pPr>
              <w:jc w:val="right"/>
              <w:ind w:right="501"/>
              <w:spacing w:after="0"/>
              <w:rPr>
                <w:sz w:val="20"/>
                <w:szCs w:val="20"/>
                <w:color w:val="auto"/>
              </w:rPr>
            </w:pPr>
            <w:r>
              <w:rPr>
                <w:rFonts w:ascii="Arial" w:cs="Arial" w:eastAsia="Arial" w:hAnsi="Arial"/>
                <w:sz w:val="12"/>
                <w:szCs w:val="12"/>
                <w:color w:val="auto"/>
              </w:rPr>
              <w:t>46</w:t>
            </w:r>
          </w:p>
        </w:tc>
        <w:tc>
          <w:tcPr>
            <w:tcW w:w="140" w:type="dxa"/>
            <w:vAlign w:val="bottom"/>
            <w:tcBorders>
              <w:top w:val="single" w:sz="8" w:color="auto"/>
            </w:tcBorders>
          </w:tcPr>
          <w:p>
            <w:pPr>
              <w:spacing w:after="0"/>
              <w:rPr>
                <w:sz w:val="21"/>
                <w:szCs w:val="21"/>
                <w:color w:val="auto"/>
              </w:rPr>
            </w:pPr>
          </w:p>
        </w:tc>
        <w:tc>
          <w:tcPr>
            <w:tcW w:w="540" w:type="dxa"/>
            <w:vAlign w:val="bottom"/>
            <w:tcBorders>
              <w:top w:val="single" w:sz="8" w:color="auto"/>
            </w:tcBorders>
          </w:tcPr>
          <w:p>
            <w:pPr>
              <w:spacing w:after="0"/>
              <w:rPr>
                <w:sz w:val="21"/>
                <w:szCs w:val="21"/>
                <w:color w:val="auto"/>
              </w:rPr>
            </w:pPr>
          </w:p>
        </w:tc>
        <w:tc>
          <w:tcPr>
            <w:tcW w:w="2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00" w:type="dxa"/>
            <w:vAlign w:val="bottom"/>
            <w:tcBorders>
              <w:top w:val="single" w:sz="8" w:color="auto"/>
            </w:tcBorders>
          </w:tcPr>
          <w:p>
            <w:pPr>
              <w:spacing w:after="0"/>
              <w:rPr>
                <w:sz w:val="21"/>
                <w:szCs w:val="21"/>
                <w:color w:val="auto"/>
              </w:rPr>
            </w:pPr>
          </w:p>
        </w:tc>
        <w:tc>
          <w:tcPr>
            <w:tcW w:w="500" w:type="dxa"/>
            <w:vAlign w:val="bottom"/>
            <w:tcBorders>
              <w:top w:val="single" w:sz="8" w:color="auto"/>
            </w:tcBorders>
          </w:tcPr>
          <w:p>
            <w:pPr>
              <w:spacing w:after="0"/>
              <w:rPr>
                <w:sz w:val="21"/>
                <w:szCs w:val="21"/>
                <w:color w:val="auto"/>
              </w:rPr>
            </w:pPr>
          </w:p>
        </w:tc>
        <w:tc>
          <w:tcPr>
            <w:tcW w:w="500" w:type="dxa"/>
            <w:vAlign w:val="bottom"/>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640" w:type="dxa"/>
            <w:vAlign w:val="bottom"/>
            <w:tcBorders>
              <w:top w:val="single" w:sz="8" w:color="auto"/>
            </w:tcBorders>
          </w:tcPr>
          <w:p>
            <w:pPr>
              <w:spacing w:after="0"/>
              <w:rPr>
                <w:sz w:val="21"/>
                <w:szCs w:val="21"/>
                <w:color w:val="auto"/>
              </w:rPr>
            </w:pPr>
          </w:p>
        </w:tc>
        <w:tc>
          <w:tcPr>
            <w:tcW w:w="520" w:type="dxa"/>
            <w:vAlign w:val="bottom"/>
          </w:tcPr>
          <w:p>
            <w:pPr>
              <w:spacing w:after="0"/>
              <w:rPr>
                <w:sz w:val="21"/>
                <w:szCs w:val="21"/>
                <w:color w:val="auto"/>
              </w:rPr>
            </w:pPr>
          </w:p>
        </w:tc>
        <w:tc>
          <w:tcPr>
            <w:tcW w:w="220" w:type="dxa"/>
            <w:vAlign w:val="bottom"/>
            <w:tcBorders>
              <w:top w:val="single" w:sz="8" w:color="auto"/>
            </w:tcBorders>
          </w:tcPr>
          <w:p>
            <w:pPr>
              <w:spacing w:after="0"/>
              <w:rPr>
                <w:sz w:val="21"/>
                <w:szCs w:val="21"/>
                <w:color w:val="auto"/>
              </w:rPr>
            </w:pPr>
          </w:p>
        </w:tc>
        <w:tc>
          <w:tcPr>
            <w:tcW w:w="60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r>
    </w:tbl>
    <w:p>
      <w:pPr>
        <w:sectPr>
          <w:pgSz w:w="11900" w:h="16838" w:orient="portrait"/>
          <w:cols w:equalWidth="0" w:num="1">
            <w:col w:w="11460"/>
          </w:cols>
          <w:pgMar w:left="220" w:top="354" w:right="219" w:bottom="1440" w:gutter="0" w:footer="0" w:header="0"/>
        </w:sectPr>
      </w:pPr>
    </w:p>
    <w:bookmarkStart w:id="46" w:name="page47"/>
    <w:bookmarkEnd w:id="46"/>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121920</wp:posOffset>
            </wp:positionH>
            <wp:positionV relativeFrom="page">
              <wp:posOffset>88900</wp:posOffset>
            </wp:positionV>
            <wp:extent cx="7329170" cy="298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329170" cy="29845"/>
                    </a:xfrm>
                    <a:prstGeom prst="rect">
                      <a:avLst/>
                    </a:prstGeom>
                    <a:noFill/>
                  </pic:spPr>
                </pic:pic>
              </a:graphicData>
            </a:graphic>
          </wp:anchor>
        </w:drawing>
      </w:r>
      <w:hyperlink w:anchor="page2">
        <w:r>
          <w:rPr>
            <w:rFonts w:ascii="Arial" w:cs="Arial" w:eastAsia="Arial" w:hAnsi="Arial"/>
            <w:sz w:val="12"/>
            <w:szCs w:val="12"/>
            <w:b w:val="1"/>
            <w:bCs w:val="1"/>
            <w:u w:val="single" w:color="auto"/>
            <w:color w:val="0000EE"/>
          </w:rPr>
          <w:t>Table of Contents</w:t>
        </w:r>
      </w:hyperlink>
    </w:p>
    <w:p>
      <w:pPr>
        <w:spacing w:after="0" w:line="209" w:lineRule="exact"/>
        <w:rPr>
          <w:sz w:val="20"/>
          <w:szCs w:val="20"/>
          <w:color w:val="auto"/>
        </w:rPr>
      </w:pPr>
    </w:p>
    <w:p>
      <w:pPr>
        <w:ind w:right="540" w:firstLine="459"/>
        <w:spacing w:after="0" w:line="268" w:lineRule="auto"/>
        <w:rPr>
          <w:sz w:val="20"/>
          <w:szCs w:val="20"/>
          <w:color w:val="auto"/>
        </w:rPr>
      </w:pPr>
      <w:r>
        <w:rPr>
          <w:rFonts w:ascii="Arial" w:cs="Arial" w:eastAsia="Arial" w:hAnsi="Arial"/>
          <w:sz w:val="12"/>
          <w:szCs w:val="12"/>
          <w:color w:val="auto"/>
        </w:rPr>
        <w:t>For the three months ended September 30, 2013, the Adjusted Property EBITDA at our Macau Operations benefitted from strong table games results in both the general casino and the VIP casino. For the three months ended September 30, 2013, the Adjusted Property EBITDA at our Las Vegas Operations was negatively impacted by a decrease in profitability at our nightclubs.</w:t>
      </w:r>
    </w:p>
    <w:p>
      <w:pPr>
        <w:spacing w:after="0" w:line="88" w:lineRule="exact"/>
        <w:rPr>
          <w:sz w:val="20"/>
          <w:szCs w:val="20"/>
          <w:color w:val="auto"/>
        </w:rPr>
      </w:pPr>
    </w:p>
    <w:p>
      <w:pPr>
        <w:ind w:right="20" w:firstLine="459"/>
        <w:spacing w:after="0" w:line="268" w:lineRule="auto"/>
        <w:rPr>
          <w:sz w:val="20"/>
          <w:szCs w:val="20"/>
          <w:color w:val="auto"/>
        </w:rPr>
      </w:pPr>
      <w:r>
        <w:rPr>
          <w:rFonts w:ascii="Arial" w:cs="Arial" w:eastAsia="Arial" w:hAnsi="Arial"/>
          <w:sz w:val="12"/>
          <w:szCs w:val="12"/>
          <w:color w:val="auto"/>
        </w:rPr>
        <w:t>For the nine months ended September 30, 2013, both our Macau and Las Vegas Operations benefitted from stronger operating results primarily in the casino department due to an increase in our table games win percentage. Refer to the discussions above regarding the specific details of our results of operations.</w:t>
      </w:r>
    </w:p>
    <w:p>
      <w:pPr>
        <w:spacing w:after="0" w:line="140"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Liquidity and Capital Resources</w:t>
      </w:r>
    </w:p>
    <w:p>
      <w:pPr>
        <w:spacing w:after="0" w:line="62"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Cash Flow from Operations</w:t>
      </w:r>
    </w:p>
    <w:p>
      <w:pPr>
        <w:spacing w:after="0" w:line="60" w:lineRule="exact"/>
        <w:rPr>
          <w:sz w:val="20"/>
          <w:szCs w:val="20"/>
          <w:color w:val="auto"/>
        </w:rPr>
      </w:pPr>
    </w:p>
    <w:p>
      <w:pPr>
        <w:ind w:firstLine="459"/>
        <w:spacing w:after="0" w:line="368" w:lineRule="auto"/>
        <w:rPr>
          <w:sz w:val="20"/>
          <w:szCs w:val="20"/>
          <w:color w:val="auto"/>
        </w:rPr>
      </w:pPr>
      <w:r>
        <w:rPr>
          <w:rFonts w:ascii="Arial" w:cs="Arial" w:eastAsia="Arial" w:hAnsi="Arial"/>
          <w:sz w:val="9"/>
          <w:szCs w:val="9"/>
          <w:color w:val="auto"/>
        </w:rPr>
        <w:t>Our operating cash flows primarily consist of our operating income generated by our Macau and Las Vegas Operations (excluding depreciation and other non-cash charges), interest paid, and changes in working capital accounts such as receivables, inventories, prepaid expenses, and payables. Our table games play both in Macau and Las Vegas is a mix of cash play and credit play, while our slot machine play is conducted primarily on a cash basis. A significant portion of our table games revenue is attributable to the play of a limited number of premium international customers who gamble on credit. The ability to collect these gaming receivables may impact our operating cash flow for the period. Our rooms, food and beverage, and entertainment, retail, and other revenue is conducted primarily on a cash basis or as a trade receivable. Accordingly, operating cash flows will be impacted by changes in operating income and accounts receivables.</w:t>
      </w:r>
    </w:p>
    <w:p>
      <w:pPr>
        <w:spacing w:after="0" w:line="50" w:lineRule="exact"/>
        <w:rPr>
          <w:sz w:val="20"/>
          <w:szCs w:val="20"/>
          <w:color w:val="auto"/>
        </w:rPr>
      </w:pPr>
    </w:p>
    <w:p>
      <w:pPr>
        <w:ind w:right="40" w:firstLine="459"/>
        <w:spacing w:after="0" w:line="259" w:lineRule="auto"/>
        <w:rPr>
          <w:sz w:val="20"/>
          <w:szCs w:val="20"/>
          <w:color w:val="auto"/>
        </w:rPr>
      </w:pPr>
      <w:r>
        <w:rPr>
          <w:rFonts w:ascii="Arial" w:cs="Arial" w:eastAsia="Arial" w:hAnsi="Arial"/>
          <w:sz w:val="12"/>
          <w:szCs w:val="12"/>
          <w:color w:val="auto"/>
        </w:rPr>
        <w:t>Net cash provided by operations for the nine months ended September 30, 2013, was $1,281.3 million compared to $989.2 million provided by operations for the nine months ended September 30, 2012. Cash flow from operations improved due to significant changes in ordinary working capital accounts such as accounts payables and accrued expenses. Also benefitting operating cash flow was increased operating income that was driven by stronger operating results in the casino department.</w:t>
      </w:r>
    </w:p>
    <w:p>
      <w:pPr>
        <w:spacing w:after="0" w:line="148"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Investing Activities</w:t>
      </w:r>
    </w:p>
    <w:p>
      <w:pPr>
        <w:spacing w:after="0" w:line="60" w:lineRule="exact"/>
        <w:rPr>
          <w:sz w:val="20"/>
          <w:szCs w:val="20"/>
          <w:color w:val="auto"/>
        </w:rPr>
      </w:pPr>
    </w:p>
    <w:p>
      <w:pPr>
        <w:ind w:right="20" w:firstLine="459"/>
        <w:spacing w:after="0" w:line="256" w:lineRule="auto"/>
        <w:rPr>
          <w:sz w:val="20"/>
          <w:szCs w:val="20"/>
          <w:color w:val="auto"/>
        </w:rPr>
      </w:pPr>
      <w:r>
        <w:rPr>
          <w:rFonts w:ascii="Arial" w:cs="Arial" w:eastAsia="Arial" w:hAnsi="Arial"/>
          <w:sz w:val="12"/>
          <w:szCs w:val="12"/>
          <w:color w:val="auto"/>
        </w:rPr>
        <w:t>Capital expenditures were approximately $324.8 million for the nine months ended September 30, 2013. During the nine months ended September 30, 2013, our capital expenditures, net of construction payables and retention, included approximately $249 million of site preparation costs and piling work for Wynn Palace and various other renovations at our resorts. Capital expenditures for the nine months ended September 30, 2012 were approximately $168.3 million and related to various renovations at our resorts, a one-time payment of $50 million in consideration of an unrelated third party’s relinquishment of certain rights in and to any future development on the Cotai land that we are using for constructing Wynn Palace, as well as approximately $35 million of site preparation costs for Wynn Palace.</w:t>
      </w:r>
    </w:p>
    <w:p>
      <w:pPr>
        <w:spacing w:after="0" w:line="150"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Financing Activities</w:t>
      </w:r>
    </w:p>
    <w:p>
      <w:pPr>
        <w:spacing w:after="0" w:line="60" w:lineRule="exact"/>
        <w:rPr>
          <w:sz w:val="20"/>
          <w:szCs w:val="20"/>
          <w:color w:val="auto"/>
        </w:rPr>
      </w:pPr>
    </w:p>
    <w:p>
      <w:pPr>
        <w:ind w:left="220"/>
        <w:spacing w:after="0"/>
        <w:rPr>
          <w:sz w:val="20"/>
          <w:szCs w:val="20"/>
          <w:color w:val="auto"/>
        </w:rPr>
      </w:pPr>
      <w:r>
        <w:rPr>
          <w:rFonts w:ascii="Arial" w:cs="Arial" w:eastAsia="Arial" w:hAnsi="Arial"/>
          <w:sz w:val="12"/>
          <w:szCs w:val="12"/>
          <w:i w:val="1"/>
          <w:iCs w:val="1"/>
          <w:color w:val="auto"/>
        </w:rPr>
        <w:t>Macau Operations</w:t>
      </w:r>
    </w:p>
    <w:p>
      <w:pPr>
        <w:spacing w:after="0" w:line="60" w:lineRule="exact"/>
        <w:rPr>
          <w:sz w:val="20"/>
          <w:szCs w:val="20"/>
          <w:color w:val="auto"/>
        </w:rPr>
      </w:pPr>
    </w:p>
    <w:p>
      <w:pPr>
        <w:ind w:right="120" w:firstLine="459"/>
        <w:spacing w:after="0" w:line="259" w:lineRule="auto"/>
        <w:rPr>
          <w:sz w:val="20"/>
          <w:szCs w:val="20"/>
          <w:color w:val="auto"/>
        </w:rPr>
      </w:pPr>
      <w:r>
        <w:rPr>
          <w:rFonts w:ascii="Arial" w:cs="Arial" w:eastAsia="Arial" w:hAnsi="Arial"/>
          <w:sz w:val="12"/>
          <w:szCs w:val="12"/>
          <w:color w:val="auto"/>
        </w:rPr>
        <w:t>On July 30, 2013, Wynn Macau, S.A. exercised its option to increase the senior term loan facility by US$200 million equivalent pursuant to the terms and provisions of the Amended Wynn Macau Credit Facilities (as defined below). The US$200 million equivalent was fully funded as of July 31, 2013 and is required to be used for the payment of certain Wynn Palace related construction and development costs. The additional US$200 million equivalent will mature on July 31, 2018 and will bear interest at HIBOR plus a margin between 1.75% to 2.50% based on Wynn Macau’s leverage ratio.</w:t>
      </w:r>
    </w:p>
    <w:p>
      <w:pPr>
        <w:spacing w:after="0" w:line="94" w:lineRule="exact"/>
        <w:rPr>
          <w:sz w:val="20"/>
          <w:szCs w:val="20"/>
          <w:color w:val="auto"/>
        </w:rPr>
      </w:pPr>
    </w:p>
    <w:p>
      <w:pPr>
        <w:ind w:right="20" w:firstLine="459"/>
        <w:spacing w:after="0" w:line="268" w:lineRule="auto"/>
        <w:rPr>
          <w:sz w:val="20"/>
          <w:szCs w:val="20"/>
          <w:color w:val="auto"/>
        </w:rPr>
      </w:pPr>
      <w:r>
        <w:rPr>
          <w:rFonts w:ascii="Arial" w:cs="Arial" w:eastAsia="Arial" w:hAnsi="Arial"/>
          <w:sz w:val="12"/>
          <w:szCs w:val="12"/>
          <w:color w:val="auto"/>
        </w:rPr>
        <w:t>As of September 30, 2013, our Wynn Macau credit facilities, as amended, (collectively the “Amended Wynn Macau Credit Facilities”) consisted of a US$950 million equivalent fully funded senior secured term loan facility (the “Wynn Macau Senior Term Loan”) and a US$1.55 billion equivalent senior secured revolving credit</w:t>
      </w:r>
    </w:p>
    <w:p>
      <w:pPr>
        <w:spacing w:after="0" w:line="79"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47</w:t>
      </w:r>
    </w:p>
    <w:p>
      <w:pPr>
        <w:sectPr>
          <w:pgSz w:w="11900" w:h="16838" w:orient="portrait"/>
          <w:cols w:equalWidth="0" w:num="1">
            <w:col w:w="11460"/>
          </w:cols>
          <w:pgMar w:left="220" w:top="354" w:right="219" w:bottom="1440" w:gutter="0" w:footer="0" w:header="0"/>
        </w:sectPr>
      </w:pPr>
    </w:p>
    <w:bookmarkStart w:id="47" w:name="page48"/>
    <w:bookmarkEnd w:id="47"/>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121920</wp:posOffset>
            </wp:positionH>
            <wp:positionV relativeFrom="page">
              <wp:posOffset>88900</wp:posOffset>
            </wp:positionV>
            <wp:extent cx="7329170" cy="298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329170" cy="29845"/>
                    </a:xfrm>
                    <a:prstGeom prst="rect">
                      <a:avLst/>
                    </a:prstGeom>
                    <a:noFill/>
                  </pic:spPr>
                </pic:pic>
              </a:graphicData>
            </a:graphic>
          </wp:anchor>
        </w:drawing>
      </w:r>
      <w:hyperlink w:anchor="page2">
        <w:r>
          <w:rPr>
            <w:rFonts w:ascii="Arial" w:cs="Arial" w:eastAsia="Arial" w:hAnsi="Arial"/>
            <w:sz w:val="12"/>
            <w:szCs w:val="12"/>
            <w:b w:val="1"/>
            <w:bCs w:val="1"/>
            <w:u w:val="single" w:color="auto"/>
            <w:color w:val="0000EE"/>
          </w:rPr>
          <w:t>Table of Contents</w:t>
        </w:r>
      </w:hyperlink>
    </w:p>
    <w:p>
      <w:pPr>
        <w:spacing w:after="0" w:line="209" w:lineRule="exact"/>
        <w:rPr>
          <w:sz w:val="20"/>
          <w:szCs w:val="20"/>
          <w:color w:val="auto"/>
        </w:rPr>
      </w:pPr>
    </w:p>
    <w:p>
      <w:pPr>
        <w:ind w:right="480"/>
        <w:spacing w:after="0" w:line="268" w:lineRule="auto"/>
        <w:rPr>
          <w:sz w:val="20"/>
          <w:szCs w:val="20"/>
          <w:color w:val="auto"/>
        </w:rPr>
      </w:pPr>
      <w:r>
        <w:rPr>
          <w:rFonts w:ascii="Arial" w:cs="Arial" w:eastAsia="Arial" w:hAnsi="Arial"/>
          <w:sz w:val="12"/>
          <w:szCs w:val="12"/>
          <w:color w:val="auto"/>
        </w:rPr>
        <w:t>facility (the “Wynn Macau Senior Revolver”). Borrowings under the Amended Wynn Macau Credit Facilities, which consist of both Hong Kong Dollars and United States Dollar tranches, were used to refinance Wynn Macau’s existing indebtedness, and will be used to fund the design, development, construction and pre-opening expenses of Wynn Palace, and for general corporate purposes.</w:t>
      </w:r>
    </w:p>
    <w:p>
      <w:pPr>
        <w:spacing w:after="0" w:line="88" w:lineRule="exact"/>
        <w:rPr>
          <w:sz w:val="20"/>
          <w:szCs w:val="20"/>
          <w:color w:val="auto"/>
        </w:rPr>
      </w:pPr>
    </w:p>
    <w:p>
      <w:pPr>
        <w:ind w:left="460"/>
        <w:spacing w:after="0"/>
        <w:rPr>
          <w:sz w:val="20"/>
          <w:szCs w:val="20"/>
          <w:color w:val="auto"/>
        </w:rPr>
      </w:pPr>
      <w:r>
        <w:rPr>
          <w:rFonts w:ascii="Arial" w:cs="Arial" w:eastAsia="Arial" w:hAnsi="Arial"/>
          <w:sz w:val="11"/>
          <w:szCs w:val="11"/>
          <w:color w:val="auto"/>
        </w:rPr>
        <w:t>As of September 30, 2013, there were no amounts outstanding under the Wynn Macau Senior Revolver. Accordingly, the Company has availability of US$1.55 billion under the Amended Wynn Macau Credit Facilities.</w:t>
      </w:r>
    </w:p>
    <w:p>
      <w:pPr>
        <w:spacing w:after="0" w:line="126" w:lineRule="exact"/>
        <w:rPr>
          <w:sz w:val="20"/>
          <w:szCs w:val="20"/>
          <w:color w:val="auto"/>
        </w:rPr>
      </w:pPr>
    </w:p>
    <w:p>
      <w:pPr>
        <w:ind w:right="40" w:firstLine="459"/>
        <w:spacing w:after="0" w:line="314" w:lineRule="auto"/>
        <w:rPr>
          <w:sz w:val="20"/>
          <w:szCs w:val="20"/>
          <w:color w:val="auto"/>
        </w:rPr>
      </w:pPr>
      <w:r>
        <w:rPr>
          <w:rFonts w:ascii="Arial" w:cs="Arial" w:eastAsia="Arial" w:hAnsi="Arial"/>
          <w:sz w:val="11"/>
          <w:szCs w:val="11"/>
          <w:color w:val="auto"/>
        </w:rPr>
        <w:t>On October 16, 2013, Wynn Macau, Limited issued $600 million aggregate principal amount of 5.25% Senior Notes due 2021 (the “2021 Notes”). Wynn Macau, Limited received net proceeds of approximately $591.5 million from the offering of the 2021 Notes after deducting commissions and estimated expenses of the offering and will use the net proceeds for working capital requirements and general corporate purposes.</w:t>
      </w:r>
    </w:p>
    <w:p>
      <w:pPr>
        <w:spacing w:after="0" w:line="119" w:lineRule="exact"/>
        <w:rPr>
          <w:sz w:val="20"/>
          <w:szCs w:val="20"/>
          <w:color w:val="auto"/>
        </w:rPr>
      </w:pPr>
    </w:p>
    <w:p>
      <w:pPr>
        <w:ind w:left="220"/>
        <w:spacing w:after="0"/>
        <w:rPr>
          <w:sz w:val="20"/>
          <w:szCs w:val="20"/>
          <w:color w:val="auto"/>
        </w:rPr>
      </w:pPr>
      <w:r>
        <w:rPr>
          <w:rFonts w:ascii="Arial" w:cs="Arial" w:eastAsia="Arial" w:hAnsi="Arial"/>
          <w:sz w:val="12"/>
          <w:szCs w:val="12"/>
          <w:i w:val="1"/>
          <w:iCs w:val="1"/>
          <w:color w:val="auto"/>
        </w:rPr>
        <w:t>Las Vegas Operations</w:t>
      </w:r>
    </w:p>
    <w:p>
      <w:pPr>
        <w:spacing w:after="0" w:line="60" w:lineRule="exact"/>
        <w:rPr>
          <w:sz w:val="20"/>
          <w:szCs w:val="20"/>
          <w:color w:val="auto"/>
        </w:rPr>
      </w:pPr>
    </w:p>
    <w:p>
      <w:pPr>
        <w:ind w:right="180" w:firstLine="459"/>
        <w:spacing w:after="0" w:line="438" w:lineRule="auto"/>
        <w:rPr>
          <w:sz w:val="20"/>
          <w:szCs w:val="20"/>
          <w:color w:val="auto"/>
        </w:rPr>
      </w:pPr>
      <w:r>
        <w:rPr>
          <w:rFonts w:ascii="Arial" w:cs="Arial" w:eastAsia="Arial" w:hAnsi="Arial"/>
          <w:sz w:val="9"/>
          <w:szCs w:val="9"/>
          <w:color w:val="auto"/>
        </w:rPr>
        <w:t>On May 15, 2013, Wynn Las Vegas, LLC commenced the tender offer for any and all of the outstanding $500 million aggregate principal amount of the 2017 Notes of Wynn Las Vegas and Wynn Las Vegas Capital Corp., an indirect wholly owned subsidiary of Wynn Resorts, Limited (together with Wynn Las Vegas, the “Issuers”), and a solicitation of consents to certain proposed amendments to the indenture (the “2017 Indenture”) governing the 2017 Notes.</w:t>
      </w:r>
    </w:p>
    <w:p>
      <w:pPr>
        <w:spacing w:after="0" w:line="19" w:lineRule="exact"/>
        <w:rPr>
          <w:sz w:val="20"/>
          <w:szCs w:val="20"/>
          <w:color w:val="auto"/>
        </w:rPr>
      </w:pPr>
    </w:p>
    <w:p>
      <w:pPr>
        <w:ind w:right="100" w:firstLine="459"/>
        <w:spacing w:after="0" w:line="287" w:lineRule="auto"/>
        <w:rPr>
          <w:sz w:val="20"/>
          <w:szCs w:val="20"/>
          <w:color w:val="auto"/>
        </w:rPr>
      </w:pPr>
      <w:r>
        <w:rPr>
          <w:rFonts w:ascii="Arial" w:cs="Arial" w:eastAsia="Arial" w:hAnsi="Arial"/>
          <w:sz w:val="11"/>
          <w:szCs w:val="11"/>
          <w:color w:val="auto"/>
        </w:rPr>
        <w:t>The tender offer expired on May 21, 2013 and at the time of expiration, Wynn Las Vegas had received valid tenders with respect to approximately $274.7 million of the $500 million aggregate principal amount of the 2017 Notes outstanding. On May 22, 2013, note holders who validly tendered their 2017 Notes received the total consideration of $1,071.45 for each $1,000 principal amount of 2017 Notes, the premium portion of which totaled approximately $19.6 million. In accordance with accounting standards, the tender offer premium was expensed and is included in loss on extinguishment of debt in the accompanying Condensed Consolidated Statements of Income. In addition, upon the tender offer completion, the Issuers entered into a supplemental indenture, which eliminated substantially all of the restrictive covenants and certain events of default from the 2017 Indenture.</w:t>
      </w:r>
    </w:p>
    <w:p>
      <w:pPr>
        <w:spacing w:after="0" w:line="80" w:lineRule="exact"/>
        <w:rPr>
          <w:sz w:val="20"/>
          <w:szCs w:val="20"/>
          <w:color w:val="auto"/>
        </w:rPr>
      </w:pPr>
    </w:p>
    <w:p>
      <w:pPr>
        <w:ind w:right="160" w:firstLine="459"/>
        <w:spacing w:after="0" w:line="268" w:lineRule="auto"/>
        <w:rPr>
          <w:sz w:val="20"/>
          <w:szCs w:val="20"/>
          <w:color w:val="auto"/>
        </w:rPr>
      </w:pPr>
      <w:r>
        <w:rPr>
          <w:rFonts w:ascii="Arial" w:cs="Arial" w:eastAsia="Arial" w:hAnsi="Arial"/>
          <w:sz w:val="12"/>
          <w:szCs w:val="12"/>
          <w:color w:val="auto"/>
        </w:rPr>
        <w:t>Also in connection with this transaction, unamortized debt issue costs and original issue discount related to the 2017 Notes totaling $6.7 million were expensed and are included in loss on extinguishment of debt in the accompanying Condensed Consolidated Statements of Income.</w:t>
      </w:r>
    </w:p>
    <w:p>
      <w:pPr>
        <w:spacing w:after="0" w:line="88" w:lineRule="exact"/>
        <w:rPr>
          <w:sz w:val="20"/>
          <w:szCs w:val="20"/>
          <w:color w:val="auto"/>
        </w:rPr>
      </w:pPr>
    </w:p>
    <w:p>
      <w:pPr>
        <w:ind w:firstLine="459"/>
        <w:spacing w:after="0" w:line="323" w:lineRule="auto"/>
        <w:rPr>
          <w:sz w:val="20"/>
          <w:szCs w:val="20"/>
          <w:color w:val="auto"/>
        </w:rPr>
      </w:pPr>
      <w:r>
        <w:rPr>
          <w:rFonts w:ascii="Arial" w:cs="Arial" w:eastAsia="Arial" w:hAnsi="Arial"/>
          <w:sz w:val="10"/>
          <w:szCs w:val="10"/>
          <w:color w:val="auto"/>
        </w:rPr>
        <w:t xml:space="preserve">Separately, on May 22, 2013, the Issuers completed its issuance of $500 million aggregate principal amount of 4 </w:t>
      </w:r>
      <w:r>
        <w:rPr>
          <w:rFonts w:ascii="Arial" w:cs="Arial" w:eastAsia="Arial" w:hAnsi="Arial"/>
          <w:sz w:val="6"/>
          <w:szCs w:val="6"/>
          <w:color w:val="auto"/>
        </w:rPr>
        <w:t>1</w:t>
      </w:r>
      <w:r>
        <w:rPr>
          <w:rFonts w:ascii="Arial" w:cs="Arial" w:eastAsia="Arial" w:hAnsi="Arial"/>
          <w:sz w:val="10"/>
          <w:szCs w:val="10"/>
          <w:color w:val="auto"/>
        </w:rPr>
        <w:t>/</w:t>
      </w:r>
      <w:r>
        <w:rPr>
          <w:rFonts w:ascii="Arial" w:cs="Arial" w:eastAsia="Arial" w:hAnsi="Arial"/>
          <w:sz w:val="6"/>
          <w:szCs w:val="6"/>
          <w:color w:val="auto"/>
        </w:rPr>
        <w:t>4</w:t>
      </w:r>
      <w:r>
        <w:rPr>
          <w:rFonts w:ascii="Arial" w:cs="Arial" w:eastAsia="Arial" w:hAnsi="Arial"/>
          <w:sz w:val="10"/>
          <w:szCs w:val="10"/>
          <w:color w:val="auto"/>
        </w:rPr>
        <w:t>% Senior Notes due 2023 (the“2023 Notes”) pursuant to an indenture, dated as of May 22, 2013 (the “2023 Indenture”), among the Issuers, all of the Issuers’ subsidiaries, other than Wynn Las Vegas Capital Corp. which was a co-issuer, and U.S. Bank National Association, as trustee. The 2023 Notes were issued at par. The Issuers used the net proceeds from the 2023 Notes to cover the cost of purchasing the 2017 Notes tendered in the tender offer. In addition, the Issuers satisfied and discharged the 2017 Indenture and, in November 2013, used the remaining net proceeds to redeem any and all of the 2017 Notes not previously tendered. In connection with the issuance of the 2023 Notes, the Company capitalized approximately $4.1 million of financing costs.</w:t>
      </w:r>
    </w:p>
    <w:p>
      <w:pPr>
        <w:spacing w:after="0" w:line="120" w:lineRule="exact"/>
        <w:rPr>
          <w:sz w:val="20"/>
          <w:szCs w:val="20"/>
          <w:color w:val="auto"/>
        </w:rPr>
      </w:pPr>
    </w:p>
    <w:p>
      <w:pPr>
        <w:ind w:left="220"/>
        <w:spacing w:after="0"/>
        <w:rPr>
          <w:sz w:val="20"/>
          <w:szCs w:val="20"/>
          <w:color w:val="auto"/>
        </w:rPr>
      </w:pPr>
      <w:r>
        <w:rPr>
          <w:rFonts w:ascii="Arial" w:cs="Arial" w:eastAsia="Arial" w:hAnsi="Arial"/>
          <w:sz w:val="12"/>
          <w:szCs w:val="12"/>
          <w:i w:val="1"/>
          <w:iCs w:val="1"/>
          <w:color w:val="auto"/>
        </w:rPr>
        <w:t>Wynn Resorts Redemption Price Promissory Note</w:t>
      </w:r>
    </w:p>
    <w:p>
      <w:pPr>
        <w:spacing w:after="0" w:line="60" w:lineRule="exact"/>
        <w:rPr>
          <w:sz w:val="20"/>
          <w:szCs w:val="20"/>
          <w:color w:val="auto"/>
        </w:rPr>
      </w:pPr>
    </w:p>
    <w:p>
      <w:pPr>
        <w:jc w:val="both"/>
        <w:ind w:right="80" w:firstLine="459"/>
        <w:spacing w:after="0" w:line="256" w:lineRule="auto"/>
        <w:rPr>
          <w:sz w:val="20"/>
          <w:szCs w:val="20"/>
          <w:color w:val="auto"/>
        </w:rPr>
      </w:pPr>
      <w:r>
        <w:rPr>
          <w:rFonts w:ascii="Arial" w:cs="Arial" w:eastAsia="Arial" w:hAnsi="Arial"/>
          <w:sz w:val="12"/>
          <w:szCs w:val="12"/>
          <w:color w:val="auto"/>
        </w:rPr>
        <w:t>Based on the Board of Directors’ finding of “unsuitability,” on February 18, 2012, we redeemed and cancelled Aruze USA, Inc.’s 24,549,222 shares of Wynn Resorts’ common stock. Following a finding of “unsuitability,” our articles of incorporation authorize redemption at “fair value” of the shares held by unsuitable persons. We engaged an independent financial advisor to assist in the fair value calculation and concluded that a discount to the then current trading price was appropriate because of, among other things, restrictions on most of the shares which were subject to the terms of an existing stockholder agreement. Pursuant to the articles of incorporation, we issued the Redemption Note to Aruze USA, Inc., a former stockholder and related party, in</w:t>
      </w:r>
    </w:p>
    <w:p>
      <w:pPr>
        <w:spacing w:after="0" w:line="87"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48</w:t>
      </w:r>
    </w:p>
    <w:p>
      <w:pPr>
        <w:sectPr>
          <w:pgSz w:w="11900" w:h="16838" w:orient="portrait"/>
          <w:cols w:equalWidth="0" w:num="1">
            <w:col w:w="11480"/>
          </w:cols>
          <w:pgMar w:left="220" w:top="354" w:right="199" w:bottom="1440" w:gutter="0" w:footer="0" w:header="0"/>
        </w:sectPr>
      </w:pPr>
    </w:p>
    <w:bookmarkStart w:id="48" w:name="page49"/>
    <w:bookmarkEnd w:id="48"/>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121920</wp:posOffset>
            </wp:positionH>
            <wp:positionV relativeFrom="page">
              <wp:posOffset>88900</wp:posOffset>
            </wp:positionV>
            <wp:extent cx="7329170" cy="298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329170" cy="29845"/>
                    </a:xfrm>
                    <a:prstGeom prst="rect">
                      <a:avLst/>
                    </a:prstGeom>
                    <a:noFill/>
                  </pic:spPr>
                </pic:pic>
              </a:graphicData>
            </a:graphic>
          </wp:anchor>
        </w:drawing>
      </w:r>
      <w:hyperlink w:anchor="page2">
        <w:r>
          <w:rPr>
            <w:rFonts w:ascii="Arial" w:cs="Arial" w:eastAsia="Arial" w:hAnsi="Arial"/>
            <w:sz w:val="12"/>
            <w:szCs w:val="12"/>
            <w:b w:val="1"/>
            <w:bCs w:val="1"/>
            <w:u w:val="single" w:color="auto"/>
            <w:color w:val="0000EE"/>
          </w:rPr>
          <w:t>Table of Contents</w:t>
        </w:r>
      </w:hyperlink>
    </w:p>
    <w:p>
      <w:pPr>
        <w:spacing w:after="0" w:line="209" w:lineRule="exact"/>
        <w:rPr>
          <w:sz w:val="20"/>
          <w:szCs w:val="20"/>
          <w:color w:val="auto"/>
        </w:rPr>
      </w:pPr>
    </w:p>
    <w:p>
      <w:pPr>
        <w:ind w:right="80"/>
        <w:spacing w:after="0" w:line="255" w:lineRule="auto"/>
        <w:rPr>
          <w:sz w:val="20"/>
          <w:szCs w:val="20"/>
          <w:color w:val="auto"/>
        </w:rPr>
      </w:pPr>
      <w:r>
        <w:rPr>
          <w:rFonts w:ascii="Arial" w:cs="Arial" w:eastAsia="Arial" w:hAnsi="Arial"/>
          <w:sz w:val="12"/>
          <w:szCs w:val="12"/>
          <w:color w:val="auto"/>
        </w:rPr>
        <w:t>redemption of the shares. The Redemption Note has a principal amount of approximately $1.94 billion, matures on February 18, 2022 and bears interest at the rate of 2% per annum, payable annually in arrears on each anniversary of the date of the Redemption Note. We may, in our sole and absolute discretion, at any time and from time to time, and without penalty or premium, prepay the whole or any portion of the principal or interest due under the Redemption Note. In no instance shall any payment obligation under the Redemption Note be accelerated except in the sole and absolute discretion of Wynn Resorts or as specifically mandated by law. The indebtedness evidenced by the Redemption Note is and shall be subordinated in right of payment, to the extent and in the manner provided in the Redemption Note, to the prior payment in full of all existing and future obligations of Wynn Resorts and any of its affiliates in respect of indebtedness for borrowed money of any kind or nature.</w:t>
      </w:r>
    </w:p>
    <w:p>
      <w:pPr>
        <w:spacing w:after="0" w:line="96" w:lineRule="exact"/>
        <w:rPr>
          <w:sz w:val="20"/>
          <w:szCs w:val="20"/>
          <w:color w:val="auto"/>
        </w:rPr>
      </w:pPr>
    </w:p>
    <w:p>
      <w:pPr>
        <w:ind w:firstLine="459"/>
        <w:spacing w:after="0" w:line="280" w:lineRule="auto"/>
        <w:rPr>
          <w:sz w:val="20"/>
          <w:szCs w:val="20"/>
          <w:color w:val="auto"/>
        </w:rPr>
      </w:pPr>
      <w:r>
        <w:rPr>
          <w:rFonts w:ascii="Arial" w:cs="Arial" w:eastAsia="Arial" w:hAnsi="Arial"/>
          <w:sz w:val="11"/>
          <w:szCs w:val="11"/>
          <w:color w:val="auto"/>
        </w:rPr>
        <w:t>We recorded the fair value of the Redemption Note at its estimated present value of approximately $1.94 billion in accordance with applicable accounting guidance. In determining this fair value, we considered the stated maturity of the Redemption Note, its stated interest rate, and the uncertainty of the related cash flows of the Redemption Note as well as the potential effects of the following: uncertainties surrounding the potential outcome and timing of pending litigation with Aruze USA, Inc. and its affiliates (see Note 15 – “Commitments and Contingencies”); the outcome of ongoing investigations by the Nevada Gaming Control Board and/or other governmental regulatory agencies; and other potential legal and regulatory actions. In addition, in the furtherance of various future business objectives, we considered our ability, at our sole option, to prepay the Redemption Note at any time in accordance with its terms without penalty. Accordingly, we reasonably determined that the estimated life of the Redemption Note could be less than the contractual life of the Redemption Note. When considering the appropriate rate of interest to be used to determine fair value for accounting purposes and in light of the uncertainty in the timing of the cash flows, we used observable inputs from a range of trading values of financial instruments with terms and lives similar to the estimated life and terms of the Redemption Note. As a result of this analysis, we concluded the Redemption Note’s stated rate of 2% approximated a market rate.</w:t>
      </w:r>
    </w:p>
    <w:p>
      <w:pPr>
        <w:spacing w:after="0" w:line="138"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Capital Resources</w:t>
      </w:r>
    </w:p>
    <w:p>
      <w:pPr>
        <w:spacing w:after="0" w:line="60" w:lineRule="exact"/>
        <w:rPr>
          <w:sz w:val="20"/>
          <w:szCs w:val="20"/>
          <w:color w:val="auto"/>
        </w:rPr>
      </w:pPr>
    </w:p>
    <w:p>
      <w:pPr>
        <w:ind w:right="40" w:firstLine="459"/>
        <w:spacing w:after="0" w:line="355" w:lineRule="auto"/>
        <w:rPr>
          <w:sz w:val="20"/>
          <w:szCs w:val="20"/>
          <w:color w:val="auto"/>
        </w:rPr>
      </w:pPr>
      <w:r>
        <w:rPr>
          <w:rFonts w:ascii="Arial" w:cs="Arial" w:eastAsia="Arial" w:hAnsi="Arial"/>
          <w:sz w:val="9"/>
          <w:szCs w:val="9"/>
          <w:color w:val="auto"/>
        </w:rPr>
        <w:t>At September 30, 2013 we had approximately $2 billion of cash and cash equivalents and $255.7 million of available for sale investments in foreign and domestic debt securities with maturities of up to two years. Our cash is available for operations, debt service and extinguishment, development activities, general corporate purposes and enhancements to our resorts. In addition, at September 30, 2013 we had $443 million of restricted cash consisting of funds held for the purpose of redeeming, in November 2013, the portion of the 2017 Notes that were not tendered in May 2013 and also consisting of proceeds from our financing activities that were restricted by the agreements governing our debt instruments for the payment of certain Wynn Palace related construction and development costs. Of our total unrestricted cash and investments, Wynn Macau, Limited and its subsidiaries held $1,096.7 million and $13 million in cash and available for sale investments, respectively, of which we own 72.3%. If our portion of this cash was repatriated to the U.S. on September 30, 2013, approximately two-thirds of this amount would be subject to U.S. tax in the year of repatriation. Wynn Resorts, Limited, which is not a guarantor of the debt of its subsidiaries, held $730 million and $242.7 million of cash and available for sale investments, respectively. Wynn Las Vegas, LLC held cash balances of $214.5 million.</w:t>
      </w:r>
    </w:p>
    <w:p>
      <w:pPr>
        <w:spacing w:after="0" w:line="54" w:lineRule="exact"/>
        <w:rPr>
          <w:sz w:val="20"/>
          <w:szCs w:val="20"/>
          <w:color w:val="auto"/>
        </w:rPr>
      </w:pPr>
    </w:p>
    <w:p>
      <w:pPr>
        <w:jc w:val="both"/>
        <w:ind w:right="40" w:firstLine="459"/>
        <w:spacing w:after="0" w:line="268" w:lineRule="auto"/>
        <w:rPr>
          <w:sz w:val="20"/>
          <w:szCs w:val="20"/>
          <w:color w:val="auto"/>
        </w:rPr>
      </w:pPr>
      <w:r>
        <w:rPr>
          <w:rFonts w:ascii="Arial" w:cs="Arial" w:eastAsia="Arial" w:hAnsi="Arial"/>
          <w:sz w:val="12"/>
          <w:szCs w:val="12"/>
          <w:color w:val="auto"/>
        </w:rPr>
        <w:t>On July 31, 2012, Wynn Macau, S.A. amended and restated its credit facilities, dated September 14, 2004 to expand the availability under the Wynn Macau, S.A. senior secured bank facility to US$2.3 billion equivalent, consisting of a US$750 million equivalent fully funded senior term loan facility and a US$1.55 billion equivalent senior secured revolving credit facility.</w:t>
      </w:r>
    </w:p>
    <w:p>
      <w:pPr>
        <w:spacing w:after="0" w:line="88" w:lineRule="exact"/>
        <w:rPr>
          <w:sz w:val="20"/>
          <w:szCs w:val="20"/>
          <w:color w:val="auto"/>
        </w:rPr>
      </w:pPr>
    </w:p>
    <w:p>
      <w:pPr>
        <w:jc w:val="both"/>
        <w:ind w:right="20" w:firstLine="459"/>
        <w:spacing w:after="0" w:line="259" w:lineRule="auto"/>
        <w:rPr>
          <w:sz w:val="20"/>
          <w:szCs w:val="20"/>
          <w:color w:val="auto"/>
        </w:rPr>
      </w:pPr>
      <w:r>
        <w:rPr>
          <w:rFonts w:ascii="Arial" w:cs="Arial" w:eastAsia="Arial" w:hAnsi="Arial"/>
          <w:sz w:val="12"/>
          <w:szCs w:val="12"/>
          <w:color w:val="auto"/>
        </w:rPr>
        <w:t>On July 30, 2013, Wynn Macau, S.A. exercised its option to increase the senior term loan facility by US$200 million equivalent pursuant to the terms and provisions of the Amended Wynn Macau Credit Facilities. The US$200 million equivalent was fully funded as of July 31, 2013 and is required to be used for the payment of certain Wynn Palace related construction and development costs. The additional US$200 million equivalent will mature on July 31, 2018 and will bear interest at HIBOR plus a margin between 1.75% to 2.50% based on Wynn Macau’s leverage ratio.</w:t>
      </w:r>
    </w:p>
    <w:p>
      <w:pPr>
        <w:spacing w:after="0" w:line="85"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49</w:t>
      </w:r>
    </w:p>
    <w:p>
      <w:pPr>
        <w:sectPr>
          <w:pgSz w:w="11900" w:h="16838" w:orient="portrait"/>
          <w:cols w:equalWidth="0" w:num="1">
            <w:col w:w="11460"/>
          </w:cols>
          <w:pgMar w:left="220" w:top="354" w:right="219" w:bottom="1440" w:gutter="0" w:footer="0" w:header="0"/>
        </w:sectPr>
      </w:pPr>
    </w:p>
    <w:bookmarkStart w:id="49" w:name="page50"/>
    <w:bookmarkEnd w:id="49"/>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121920</wp:posOffset>
            </wp:positionH>
            <wp:positionV relativeFrom="page">
              <wp:posOffset>88900</wp:posOffset>
            </wp:positionV>
            <wp:extent cx="7329170" cy="298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329170" cy="29845"/>
                    </a:xfrm>
                    <a:prstGeom prst="rect">
                      <a:avLst/>
                    </a:prstGeom>
                    <a:noFill/>
                  </pic:spPr>
                </pic:pic>
              </a:graphicData>
            </a:graphic>
          </wp:anchor>
        </w:drawing>
      </w:r>
      <w:hyperlink w:anchor="page2">
        <w:r>
          <w:rPr>
            <w:rFonts w:ascii="Arial" w:cs="Arial" w:eastAsia="Arial" w:hAnsi="Arial"/>
            <w:sz w:val="12"/>
            <w:szCs w:val="12"/>
            <w:b w:val="1"/>
            <w:bCs w:val="1"/>
            <w:u w:val="single" w:color="auto"/>
            <w:color w:val="0000EE"/>
          </w:rPr>
          <w:t>Table of Contents</w:t>
        </w:r>
      </w:hyperlink>
    </w:p>
    <w:p>
      <w:pPr>
        <w:spacing w:after="0" w:line="209" w:lineRule="exact"/>
        <w:rPr>
          <w:sz w:val="20"/>
          <w:szCs w:val="20"/>
          <w:color w:val="auto"/>
        </w:rPr>
      </w:pPr>
    </w:p>
    <w:p>
      <w:pPr>
        <w:ind w:left="460"/>
        <w:spacing w:after="0"/>
        <w:rPr>
          <w:sz w:val="20"/>
          <w:szCs w:val="20"/>
          <w:color w:val="auto"/>
        </w:rPr>
      </w:pPr>
      <w:r>
        <w:rPr>
          <w:rFonts w:ascii="Arial" w:cs="Arial" w:eastAsia="Arial" w:hAnsi="Arial"/>
          <w:sz w:val="11"/>
          <w:szCs w:val="11"/>
          <w:color w:val="auto"/>
        </w:rPr>
        <w:t>As of September 30, 2013, there were no amounts outstanding under the Wynn Macau Senior Revolver. Accordingly, the Company has availability of US$1.55 billion under the Amended Wynn Macau Credit Facilities.</w:t>
      </w:r>
    </w:p>
    <w:p>
      <w:pPr>
        <w:spacing w:after="0" w:line="126" w:lineRule="exact"/>
        <w:rPr>
          <w:sz w:val="20"/>
          <w:szCs w:val="20"/>
          <w:color w:val="auto"/>
        </w:rPr>
      </w:pPr>
    </w:p>
    <w:p>
      <w:pPr>
        <w:ind w:right="400" w:firstLine="459"/>
        <w:spacing w:after="0" w:line="268" w:lineRule="auto"/>
        <w:rPr>
          <w:sz w:val="20"/>
          <w:szCs w:val="20"/>
          <w:color w:val="auto"/>
        </w:rPr>
      </w:pPr>
      <w:r>
        <w:rPr>
          <w:rFonts w:ascii="Arial" w:cs="Arial" w:eastAsia="Arial" w:hAnsi="Arial"/>
          <w:sz w:val="12"/>
          <w:szCs w:val="12"/>
          <w:color w:val="auto"/>
        </w:rPr>
        <w:t>On October 16, 2013, Wynn Macau, Limited issued the 2021 Notes. Wynn Macau, Limited received net proceeds of approximately $591.5 million from the offering of the 2021 Notes after deducting commissions and estimated expenses of the offering and will use the net proceeds for working capital requirements and general corporate purposes.</w:t>
      </w:r>
    </w:p>
    <w:p>
      <w:pPr>
        <w:spacing w:after="0" w:line="88" w:lineRule="exact"/>
        <w:rPr>
          <w:sz w:val="20"/>
          <w:szCs w:val="20"/>
          <w:color w:val="auto"/>
        </w:rPr>
      </w:pPr>
    </w:p>
    <w:p>
      <w:pPr>
        <w:ind w:right="20" w:firstLine="459"/>
        <w:spacing w:after="0" w:line="268" w:lineRule="auto"/>
        <w:rPr>
          <w:sz w:val="20"/>
          <w:szCs w:val="20"/>
          <w:color w:val="auto"/>
        </w:rPr>
      </w:pPr>
      <w:r>
        <w:rPr>
          <w:rFonts w:ascii="Arial" w:cs="Arial" w:eastAsia="Arial" w:hAnsi="Arial"/>
          <w:sz w:val="12"/>
          <w:szCs w:val="12"/>
          <w:color w:val="auto"/>
        </w:rPr>
        <w:t>We believe that cash flow from operations, availability under our bank credit facility and our existing cash balances will be adequate to satisfy our anticipated uses of capital for the remainder of 2013. If any additional financing became necessary, we cannot provide assurance that future borrowings will be available.</w:t>
      </w:r>
    </w:p>
    <w:p>
      <w:pPr>
        <w:spacing w:after="0" w:line="88" w:lineRule="exact"/>
        <w:rPr>
          <w:sz w:val="20"/>
          <w:szCs w:val="20"/>
          <w:color w:val="auto"/>
        </w:rPr>
      </w:pPr>
    </w:p>
    <w:p>
      <w:pPr>
        <w:ind w:left="460"/>
        <w:spacing w:after="0"/>
        <w:rPr>
          <w:sz w:val="20"/>
          <w:szCs w:val="20"/>
          <w:color w:val="auto"/>
        </w:rPr>
      </w:pPr>
      <w:r>
        <w:rPr>
          <w:rFonts w:ascii="Arial" w:cs="Arial" w:eastAsia="Arial" w:hAnsi="Arial"/>
          <w:sz w:val="11"/>
          <w:szCs w:val="11"/>
          <w:color w:val="auto"/>
        </w:rPr>
        <w:t>Cash and cash equivalents include cash in bank and fixed deposits, investments in money market funds, domestic and foreign bank time deposits and commercial paper, all with maturities of less than 90 days.</w:t>
      </w:r>
    </w:p>
    <w:p>
      <w:pPr>
        <w:spacing w:after="0" w:line="126" w:lineRule="exact"/>
        <w:rPr>
          <w:sz w:val="20"/>
          <w:szCs w:val="20"/>
          <w:color w:val="auto"/>
        </w:rPr>
      </w:pPr>
    </w:p>
    <w:p>
      <w:pPr>
        <w:ind w:firstLine="459"/>
        <w:spacing w:after="0" w:line="294" w:lineRule="auto"/>
        <w:rPr>
          <w:sz w:val="20"/>
          <w:szCs w:val="20"/>
          <w:color w:val="auto"/>
        </w:rPr>
      </w:pPr>
      <w:r>
        <w:rPr>
          <w:rFonts w:ascii="Arial" w:cs="Arial" w:eastAsia="Arial" w:hAnsi="Arial"/>
          <w:sz w:val="11"/>
          <w:szCs w:val="11"/>
          <w:color w:val="auto"/>
        </w:rPr>
        <w:t>We continually seek out new opportunities for additional gaming or related businesses, in the United States, and worldwide. On November 11, 2013, we announced that our Board had elected to withdraw the previously-filed application for a gaming license in Pennsylvania. We have made an application for a gaming license in Massachusetts and have announced a potential project in that jurisdiction. The process is competitive and we do not expect to know the outcome until 2014. Proceeding with this project will require significant expenditure of Company funds. In addition, we are exploring various international jurisdictions for expansion opportunities.</w:t>
      </w:r>
    </w:p>
    <w:p>
      <w:pPr>
        <w:spacing w:after="0" w:line="130" w:lineRule="exact"/>
        <w:rPr>
          <w:sz w:val="20"/>
          <w:szCs w:val="20"/>
          <w:color w:val="auto"/>
        </w:rPr>
      </w:pPr>
    </w:p>
    <w:p>
      <w:pPr>
        <w:ind w:left="220"/>
        <w:spacing w:after="0"/>
        <w:rPr>
          <w:sz w:val="20"/>
          <w:szCs w:val="20"/>
          <w:color w:val="auto"/>
        </w:rPr>
      </w:pPr>
      <w:r>
        <w:rPr>
          <w:rFonts w:ascii="Arial" w:cs="Arial" w:eastAsia="Arial" w:hAnsi="Arial"/>
          <w:sz w:val="12"/>
          <w:szCs w:val="12"/>
          <w:i w:val="1"/>
          <w:iCs w:val="1"/>
          <w:color w:val="auto"/>
        </w:rPr>
        <w:t>Off Balance Sheet Arrangements</w:t>
      </w:r>
    </w:p>
    <w:p>
      <w:pPr>
        <w:spacing w:after="0" w:line="60" w:lineRule="exact"/>
        <w:rPr>
          <w:sz w:val="20"/>
          <w:szCs w:val="20"/>
          <w:color w:val="auto"/>
        </w:rPr>
      </w:pPr>
    </w:p>
    <w:p>
      <w:pPr>
        <w:ind w:right="100" w:firstLine="459"/>
        <w:spacing w:after="0" w:line="268" w:lineRule="auto"/>
        <w:rPr>
          <w:sz w:val="20"/>
          <w:szCs w:val="20"/>
          <w:color w:val="auto"/>
        </w:rPr>
      </w:pPr>
      <w:r>
        <w:rPr>
          <w:rFonts w:ascii="Arial" w:cs="Arial" w:eastAsia="Arial" w:hAnsi="Arial"/>
          <w:sz w:val="12"/>
          <w:szCs w:val="12"/>
          <w:color w:val="auto"/>
        </w:rPr>
        <w:t>We have not entered into any transactions with special purpose entities nor do we engage in any derivatives except for previously discussed interest rate swaps. We do not have any retained or contingent interest in assets transferred to an unconsolidated entity. At September 30, 2013, we had unsecured outstanding letters of credit totaling $15.8 million.</w:t>
      </w:r>
    </w:p>
    <w:p>
      <w:pPr>
        <w:spacing w:after="0" w:line="142" w:lineRule="exact"/>
        <w:rPr>
          <w:sz w:val="20"/>
          <w:szCs w:val="20"/>
          <w:color w:val="auto"/>
        </w:rPr>
      </w:pPr>
    </w:p>
    <w:p>
      <w:pPr>
        <w:ind w:left="220"/>
        <w:spacing w:after="0"/>
        <w:rPr>
          <w:sz w:val="20"/>
          <w:szCs w:val="20"/>
          <w:color w:val="auto"/>
        </w:rPr>
      </w:pPr>
      <w:r>
        <w:rPr>
          <w:rFonts w:ascii="Arial" w:cs="Arial" w:eastAsia="Arial" w:hAnsi="Arial"/>
          <w:sz w:val="12"/>
          <w:szCs w:val="12"/>
          <w:i w:val="1"/>
          <w:iCs w:val="1"/>
          <w:color w:val="auto"/>
        </w:rPr>
        <w:t>Contractual Obligations and Commitments</w:t>
      </w:r>
    </w:p>
    <w:p>
      <w:pPr>
        <w:spacing w:after="0" w:line="60" w:lineRule="exact"/>
        <w:rPr>
          <w:sz w:val="20"/>
          <w:szCs w:val="20"/>
          <w:color w:val="auto"/>
        </w:rPr>
      </w:pPr>
    </w:p>
    <w:p>
      <w:pPr>
        <w:ind w:right="80" w:firstLine="459"/>
        <w:spacing w:after="0" w:line="268" w:lineRule="auto"/>
        <w:rPr>
          <w:sz w:val="20"/>
          <w:szCs w:val="20"/>
          <w:color w:val="auto"/>
        </w:rPr>
      </w:pPr>
      <w:r>
        <w:rPr>
          <w:rFonts w:ascii="Arial" w:cs="Arial" w:eastAsia="Arial" w:hAnsi="Arial"/>
          <w:sz w:val="12"/>
          <w:szCs w:val="12"/>
          <w:color w:val="auto"/>
        </w:rPr>
        <w:t>There have been no material changes outside the ordinary course of our business during the nine months ended September 30, 2013 to our contractual obligations or off balance sheet arrangements as disclosed in our Annual Report on Form 10-K for the year ended December 31, 2012, except as discussed above under “Financing Activities.”</w:t>
      </w:r>
    </w:p>
    <w:p>
      <w:pPr>
        <w:spacing w:after="0" w:line="142" w:lineRule="exact"/>
        <w:rPr>
          <w:sz w:val="20"/>
          <w:szCs w:val="20"/>
          <w:color w:val="auto"/>
        </w:rPr>
      </w:pPr>
    </w:p>
    <w:p>
      <w:pPr>
        <w:ind w:left="220"/>
        <w:spacing w:after="0"/>
        <w:rPr>
          <w:sz w:val="20"/>
          <w:szCs w:val="20"/>
          <w:color w:val="auto"/>
        </w:rPr>
      </w:pPr>
      <w:r>
        <w:rPr>
          <w:rFonts w:ascii="Arial" w:cs="Arial" w:eastAsia="Arial" w:hAnsi="Arial"/>
          <w:sz w:val="12"/>
          <w:szCs w:val="12"/>
          <w:i w:val="1"/>
          <w:iCs w:val="1"/>
          <w:color w:val="auto"/>
        </w:rPr>
        <w:t>Other Liquidity Matters</w:t>
      </w:r>
    </w:p>
    <w:p>
      <w:pPr>
        <w:spacing w:after="0" w:line="60" w:lineRule="exact"/>
        <w:rPr>
          <w:sz w:val="20"/>
          <w:szCs w:val="20"/>
          <w:color w:val="auto"/>
        </w:rPr>
      </w:pPr>
    </w:p>
    <w:p>
      <w:pPr>
        <w:ind w:right="20" w:firstLine="459"/>
        <w:spacing w:after="0" w:line="283" w:lineRule="auto"/>
        <w:rPr>
          <w:sz w:val="20"/>
          <w:szCs w:val="20"/>
          <w:color w:val="auto"/>
        </w:rPr>
      </w:pPr>
      <w:r>
        <w:rPr>
          <w:rFonts w:ascii="Arial" w:cs="Arial" w:eastAsia="Arial" w:hAnsi="Arial"/>
          <w:sz w:val="11"/>
          <w:szCs w:val="11"/>
          <w:color w:val="auto"/>
        </w:rPr>
        <w:t>Wynn Resorts is a holding company and, as a result, our ability to pay dividends is highly dependent on our ability to obtain funds and our subsidiaries’ ability to provide funds to us. Restrictions imposed by our Wynn Las Vegas and Wynn Macau debt instruments significantly restrict our ability to pay dividends. Specifically, Wynn Las Vegas, LLC and certain of its subsidiaries are restricted under the indentures governing its notes from making certain “restricted payments” as defined in the indentures. These restricted payments include the payment of dividends or distributions to any direct or indirect holders of equity interests of Wynn Las Vegas, LLC. These restricted payments may not be made unless certain financial and non-financial criteria have been satisfied. While the Amended Wynn Macau Credit Facilities contain similar restrictions, Wynn Macau is currently in compliance with all requirements, namely satisfaction of its leverage ratio, which must be met in order to pay dividends and is presently able to pay dividends in accordance with the Amended Wynn Macau Credit Facilities.</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1"/>
          <w:szCs w:val="11"/>
          <w:color w:val="auto"/>
        </w:rPr>
        <w:t>Wynn Las Vegas, LLC intends to fund its operations and capital requirements from cash on hand and operating cash flow. We cannot assure you however, that our Las Vegas Operations will generate sufficient cash</w:t>
      </w:r>
    </w:p>
    <w:p>
      <w:pPr>
        <w:spacing w:after="0" w:line="117" w:lineRule="exact"/>
        <w:rPr>
          <w:sz w:val="20"/>
          <w:szCs w:val="20"/>
          <w:color w:val="auto"/>
        </w:rPr>
      </w:pPr>
    </w:p>
    <w:p>
      <w:pPr>
        <w:ind w:left="5680"/>
        <w:spacing w:after="0"/>
        <w:rPr>
          <w:sz w:val="20"/>
          <w:szCs w:val="20"/>
          <w:color w:val="auto"/>
        </w:rPr>
      </w:pPr>
      <w:r>
        <w:rPr>
          <w:rFonts w:ascii="Arial" w:cs="Arial" w:eastAsia="Arial" w:hAnsi="Arial"/>
          <w:sz w:val="12"/>
          <w:szCs w:val="12"/>
          <w:color w:val="auto"/>
        </w:rPr>
        <w:t>50</w:t>
      </w:r>
    </w:p>
    <w:p>
      <w:pPr>
        <w:sectPr>
          <w:pgSz w:w="11900" w:h="16838" w:orient="portrait"/>
          <w:cols w:equalWidth="0" w:num="1">
            <w:col w:w="11480"/>
          </w:cols>
          <w:pgMar w:left="220" w:top="354" w:right="199" w:bottom="1440" w:gutter="0" w:footer="0" w:header="0"/>
        </w:sectPr>
      </w:pPr>
    </w:p>
    <w:bookmarkStart w:id="50" w:name="page51"/>
    <w:bookmarkEnd w:id="50"/>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121920</wp:posOffset>
            </wp:positionH>
            <wp:positionV relativeFrom="page">
              <wp:posOffset>88900</wp:posOffset>
            </wp:positionV>
            <wp:extent cx="7329170" cy="298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329170" cy="29845"/>
                    </a:xfrm>
                    <a:prstGeom prst="rect">
                      <a:avLst/>
                    </a:prstGeom>
                    <a:noFill/>
                  </pic:spPr>
                </pic:pic>
              </a:graphicData>
            </a:graphic>
          </wp:anchor>
        </w:drawing>
      </w:r>
      <w:hyperlink w:anchor="page2">
        <w:r>
          <w:rPr>
            <w:rFonts w:ascii="Arial" w:cs="Arial" w:eastAsia="Arial" w:hAnsi="Arial"/>
            <w:sz w:val="12"/>
            <w:szCs w:val="12"/>
            <w:b w:val="1"/>
            <w:bCs w:val="1"/>
            <w:u w:val="single" w:color="auto"/>
            <w:color w:val="0000EE"/>
          </w:rPr>
          <w:t>Table of Contents</w:t>
        </w:r>
      </w:hyperlink>
    </w:p>
    <w:p>
      <w:pPr>
        <w:spacing w:after="0" w:line="209" w:lineRule="exact"/>
        <w:rPr>
          <w:sz w:val="20"/>
          <w:szCs w:val="20"/>
          <w:color w:val="auto"/>
        </w:rPr>
      </w:pPr>
    </w:p>
    <w:p>
      <w:pPr>
        <w:ind w:right="20"/>
        <w:spacing w:after="0" w:line="314" w:lineRule="auto"/>
        <w:rPr>
          <w:sz w:val="20"/>
          <w:szCs w:val="20"/>
          <w:color w:val="auto"/>
        </w:rPr>
      </w:pPr>
      <w:r>
        <w:rPr>
          <w:rFonts w:ascii="Arial" w:cs="Arial" w:eastAsia="Arial" w:hAnsi="Arial"/>
          <w:sz w:val="10"/>
          <w:szCs w:val="10"/>
          <w:color w:val="auto"/>
        </w:rPr>
        <w:t xml:space="preserve">flow from operations or the availability of additional indebtedness will be sufficient to enable us to service and repay Wynn Las Vegas, LLC’s indebtedness and to fund its other liquidity needs. Similarly, we expect that our Macau Operations will fund Wynn Macau, S.A.’s debt service obligations with existing cash, operating cash flow and availability under the Amended Wynn Macau Credit Facilities. However, we cannot assure you that operating cash flows will be sufficient to do so. We may refinance all or a portion of our indebtedness on or before maturity. We cannot assure you that we will be able to refinance any of the indebtedness on acceptable terms or at all. Certain legal matters may also impact our liquidity. As described in our Notes to Condensed Consolidated Financial Statements, Note 15 – “Commitments and Contingencies”, Elaine Wynn has submitted a cross claim against Steve Wynn and Kazuo Okada. The indentures governing the Existing Notes (other than the 5 </w:t>
      </w:r>
      <w:r>
        <w:rPr>
          <w:rFonts w:ascii="Arial" w:cs="Arial" w:eastAsia="Arial" w:hAnsi="Arial"/>
          <w:sz w:val="6"/>
          <w:szCs w:val="6"/>
          <w:color w:val="auto"/>
        </w:rPr>
        <w:t>3</w:t>
      </w:r>
      <w:r>
        <w:rPr>
          <w:rFonts w:ascii="Arial" w:cs="Arial" w:eastAsia="Arial" w:hAnsi="Arial"/>
          <w:sz w:val="10"/>
          <w:szCs w:val="10"/>
          <w:color w:val="auto"/>
        </w:rPr>
        <w:t>/</w:t>
      </w:r>
      <w:r>
        <w:rPr>
          <w:rFonts w:ascii="Arial" w:cs="Arial" w:eastAsia="Arial" w:hAnsi="Arial"/>
          <w:sz w:val="6"/>
          <w:szCs w:val="6"/>
          <w:color w:val="auto"/>
        </w:rPr>
        <w:t>8</w:t>
      </w:r>
      <w:r>
        <w:rPr>
          <w:rFonts w:ascii="Arial" w:cs="Arial" w:eastAsia="Arial" w:hAnsi="Arial"/>
          <w:sz w:val="10"/>
          <w:szCs w:val="10"/>
          <w:color w:val="auto"/>
        </w:rPr>
        <w:t>% First Mortgage Notes due 2022) and the 2023 Notes provide that if Steve Wynn, together with certain related parties, in the aggregate beneficially owns a lesser percentage of the outstanding common stock of Wynn Resorts than are beneficially owned by any other person, a change of control will have occurred. If Elaine Wynn prevails in her cross claim, Steve Wynn would not beneficially own or control Elaine Wynn’s shares and a change in control may result under our debt documents.</w:t>
      </w:r>
    </w:p>
    <w:p>
      <w:pPr>
        <w:spacing w:after="0" w:line="214" w:lineRule="exact"/>
        <w:rPr>
          <w:sz w:val="20"/>
          <w:szCs w:val="20"/>
          <w:color w:val="auto"/>
        </w:rPr>
      </w:pPr>
    </w:p>
    <w:p>
      <w:pPr>
        <w:ind w:firstLine="459"/>
        <w:spacing w:after="0" w:line="259" w:lineRule="auto"/>
        <w:rPr>
          <w:sz w:val="20"/>
          <w:szCs w:val="20"/>
          <w:color w:val="auto"/>
        </w:rPr>
      </w:pPr>
      <w:r>
        <w:rPr>
          <w:rFonts w:ascii="Arial" w:cs="Arial" w:eastAsia="Arial" w:hAnsi="Arial"/>
          <w:sz w:val="12"/>
          <w:szCs w:val="12"/>
          <w:color w:val="auto"/>
        </w:rPr>
        <w:t>New business developments or other unforeseen events may occur, resulting in the need to raise additional funds. We continue to explore opportunities to develop additional gaming or related businesses in domestic and international markets. There can be no assurances regarding the business prospects with respect to any other opportunity. Any new development would require us to obtain additional financing. We may decide to conduct any such development through Wynn Resorts or through subsidiaries separate from the Las Vegas or Macau-related entities.</w:t>
      </w:r>
    </w:p>
    <w:p>
      <w:pPr>
        <w:spacing w:after="0" w:line="94" w:lineRule="exact"/>
        <w:rPr>
          <w:sz w:val="20"/>
          <w:szCs w:val="20"/>
          <w:color w:val="auto"/>
        </w:rPr>
      </w:pPr>
    </w:p>
    <w:p>
      <w:pPr>
        <w:ind w:right="40" w:firstLine="459"/>
        <w:spacing w:after="0" w:line="287" w:lineRule="auto"/>
        <w:rPr>
          <w:sz w:val="20"/>
          <w:szCs w:val="20"/>
          <w:color w:val="auto"/>
        </w:rPr>
      </w:pPr>
      <w:r>
        <w:rPr>
          <w:rFonts w:ascii="Arial" w:cs="Arial" w:eastAsia="Arial" w:hAnsi="Arial"/>
          <w:sz w:val="11"/>
          <w:szCs w:val="11"/>
          <w:color w:val="auto"/>
        </w:rPr>
        <w:t>The Company’s articles of incorporation provide that, to the extent required by the gaming authority making the determination of unsuitability or to the extent the Board of Directors determines, in its sole discretion, that a person is likely to jeopardize the Company’s or any affiliate’s application for, receipt of, approval for, right to the use of, or entitlement to, any gaming license, shares of Wynn Resorts’ capital stock that are owned or controlled by an unsuitable person or its affiliates are subject to redemption by the Company. The redemption price may be paid in cash, by promissory note or both, as required by the applicable gaming authority and, if not, as we elect. Any promissory note that we issue to an unsuitable person or its affiliate in exchange for its shares could increase our debt to equity ratio and would increase our leverage ratio.</w:t>
      </w:r>
    </w:p>
    <w:p>
      <w:pPr>
        <w:spacing w:after="0" w:line="80" w:lineRule="exact"/>
        <w:rPr>
          <w:sz w:val="20"/>
          <w:szCs w:val="20"/>
          <w:color w:val="auto"/>
        </w:rPr>
      </w:pPr>
    </w:p>
    <w:p>
      <w:pPr>
        <w:jc w:val="both"/>
        <w:ind w:right="180" w:firstLine="459"/>
        <w:spacing w:after="0" w:line="294" w:lineRule="auto"/>
        <w:rPr>
          <w:sz w:val="20"/>
          <w:szCs w:val="20"/>
          <w:color w:val="auto"/>
        </w:rPr>
      </w:pPr>
      <w:r>
        <w:rPr>
          <w:rFonts w:ascii="Arial" w:cs="Arial" w:eastAsia="Arial" w:hAnsi="Arial"/>
          <w:sz w:val="11"/>
          <w:szCs w:val="11"/>
          <w:color w:val="auto"/>
        </w:rPr>
        <w:t>On February 18, 2012, the Board of Directors of Wynn Resorts determined that Aruze USA, Inc., Universal Entertainment Corporation and Mr. Kazuo Okada are “unsuitable” under the provision of our articles of incorporation and redeemed and cancelled all of Aruze USA, Inc.’s, 24,549,222 shares of Wynn Resorts’ common stock. Pursuant to our articles of incorporation, we issued the Redemption Note to Aruze USA, Inc. in redemption of the shares. For additional information on the redemption and the Redemption Note, see Notes to Condensed Consolidated Financial Statements, Note 15 – “Commitments and Contingencies.”</w:t>
      </w:r>
    </w:p>
    <w:p>
      <w:pPr>
        <w:spacing w:after="0" w:line="128"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Critical Accounting Policies</w:t>
      </w:r>
    </w:p>
    <w:p>
      <w:pPr>
        <w:spacing w:after="0" w:line="62" w:lineRule="exact"/>
        <w:rPr>
          <w:sz w:val="20"/>
          <w:szCs w:val="20"/>
          <w:color w:val="auto"/>
        </w:rPr>
      </w:pPr>
    </w:p>
    <w:p>
      <w:pPr>
        <w:ind w:right="460" w:firstLine="459"/>
        <w:spacing w:after="0" w:line="268" w:lineRule="auto"/>
        <w:rPr>
          <w:sz w:val="20"/>
          <w:szCs w:val="20"/>
          <w:color w:val="auto"/>
        </w:rPr>
      </w:pPr>
      <w:r>
        <w:rPr>
          <w:rFonts w:ascii="Arial" w:cs="Arial" w:eastAsia="Arial" w:hAnsi="Arial"/>
          <w:sz w:val="12"/>
          <w:szCs w:val="12"/>
          <w:color w:val="auto"/>
        </w:rPr>
        <w:t>A description of our critical accounting policies is included in Item 7 of our Annual Report on Form 10-K for the year ended December 31, 2012. There has been no material change to these policies for the nine months ended September 30, 2013.</w:t>
      </w:r>
    </w:p>
    <w:p>
      <w:pPr>
        <w:spacing w:after="0" w:line="140"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Recently Issued Accounting Standards</w:t>
      </w:r>
    </w:p>
    <w:p>
      <w:pPr>
        <w:spacing w:after="0" w:line="62" w:lineRule="exact"/>
        <w:rPr>
          <w:sz w:val="20"/>
          <w:szCs w:val="20"/>
          <w:color w:val="auto"/>
        </w:rPr>
      </w:pPr>
    </w:p>
    <w:p>
      <w:pPr>
        <w:ind w:right="80" w:firstLine="459"/>
        <w:spacing w:after="0" w:line="294" w:lineRule="auto"/>
        <w:rPr>
          <w:sz w:val="20"/>
          <w:szCs w:val="20"/>
          <w:color w:val="auto"/>
        </w:rPr>
      </w:pPr>
      <w:r>
        <w:rPr>
          <w:rFonts w:ascii="Arial" w:cs="Arial" w:eastAsia="Arial" w:hAnsi="Arial"/>
          <w:sz w:val="11"/>
          <w:szCs w:val="11"/>
          <w:color w:val="auto"/>
        </w:rPr>
        <w:t>In July 2013, the Financial Accounting Standards Board (“FASB”) issued an accounting standards update that amends the presentation requirements of an unrecognized tax benefit when a loss or other carryforward exists. The update would require the netting of unrecognized tax benefits against a deferred tax asset for a loss or other carryforward that would apply in settlement of the uncertain tax positions. The effective date for this update is for the annual and interim periods beginning after December 15, 2013. The Company is currently evaluating the impact, if any, of adopting this statement on its condensed consolidated financial statements.</w:t>
      </w:r>
    </w:p>
    <w:p>
      <w:pPr>
        <w:spacing w:after="0" w:line="67" w:lineRule="exact"/>
        <w:rPr>
          <w:sz w:val="20"/>
          <w:szCs w:val="20"/>
          <w:color w:val="auto"/>
        </w:rPr>
      </w:pPr>
    </w:p>
    <w:p>
      <w:pPr>
        <w:jc w:val="center"/>
        <w:ind w:right="-39"/>
        <w:spacing w:after="0"/>
        <w:rPr>
          <w:sz w:val="20"/>
          <w:szCs w:val="20"/>
          <w:color w:val="auto"/>
        </w:rPr>
      </w:pPr>
      <w:r>
        <w:rPr>
          <w:rFonts w:ascii="Arial" w:cs="Arial" w:eastAsia="Arial" w:hAnsi="Arial"/>
          <w:sz w:val="12"/>
          <w:szCs w:val="12"/>
          <w:color w:val="auto"/>
        </w:rPr>
        <w:t>51</w:t>
      </w:r>
    </w:p>
    <w:p>
      <w:pPr>
        <w:sectPr>
          <w:pgSz w:w="11900" w:h="16838" w:orient="portrait"/>
          <w:cols w:equalWidth="0" w:num="1">
            <w:col w:w="11420"/>
          </w:cols>
          <w:pgMar w:left="220" w:top="354" w:right="259" w:bottom="1440" w:gutter="0" w:footer="0" w:header="0"/>
        </w:sectPr>
      </w:pPr>
    </w:p>
    <w:bookmarkStart w:id="51" w:name="page52"/>
    <w:bookmarkEnd w:id="51"/>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121920</wp:posOffset>
            </wp:positionH>
            <wp:positionV relativeFrom="page">
              <wp:posOffset>88900</wp:posOffset>
            </wp:positionV>
            <wp:extent cx="7329170" cy="298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329170" cy="29845"/>
                    </a:xfrm>
                    <a:prstGeom prst="rect">
                      <a:avLst/>
                    </a:prstGeom>
                    <a:noFill/>
                  </pic:spPr>
                </pic:pic>
              </a:graphicData>
            </a:graphic>
          </wp:anchor>
        </w:drawing>
      </w:r>
      <w:hyperlink w:anchor="page2">
        <w:r>
          <w:rPr>
            <w:rFonts w:ascii="Arial" w:cs="Arial" w:eastAsia="Arial" w:hAnsi="Arial"/>
            <w:sz w:val="12"/>
            <w:szCs w:val="12"/>
            <w:b w:val="1"/>
            <w:bCs w:val="1"/>
            <w:u w:val="single" w:color="auto"/>
            <w:color w:val="0000EE"/>
          </w:rPr>
          <w:t>Table of Contents</w:t>
        </w:r>
      </w:hyperlink>
    </w:p>
    <w:p>
      <w:pPr>
        <w:spacing w:after="0" w:line="209" w:lineRule="exact"/>
        <w:rPr>
          <w:sz w:val="20"/>
          <w:szCs w:val="20"/>
          <w:color w:val="auto"/>
        </w:rPr>
      </w:pPr>
    </w:p>
    <w:p>
      <w:pPr>
        <w:jc w:val="both"/>
        <w:ind w:right="180" w:firstLine="459"/>
        <w:spacing w:after="0" w:line="294" w:lineRule="auto"/>
        <w:rPr>
          <w:sz w:val="20"/>
          <w:szCs w:val="20"/>
          <w:color w:val="auto"/>
        </w:rPr>
      </w:pPr>
      <w:r>
        <w:rPr>
          <w:rFonts w:ascii="Arial" w:cs="Arial" w:eastAsia="Arial" w:hAnsi="Arial"/>
          <w:sz w:val="11"/>
          <w:szCs w:val="11"/>
          <w:color w:val="auto"/>
        </w:rPr>
        <w:t>In February 2013, the FASB issued an accounting standards update that amends the presentation requirements for reclassifications out of accumulated other comprehensive income. The amendment would require an entity to present amounts reclassified out of accumulated other comprehensive income by component either on the face of the statement where net income is presented or in the notes. This update is effective prospectively for reporting periods beginning after December 15, 2012. We have adopted this update; see Notes to Condensed Consolidated Financial Statements, Note 4 – “Accumulated Other Comprehensive Income.”</w:t>
      </w:r>
    </w:p>
    <w:p>
      <w:pPr>
        <w:spacing w:after="0" w:line="76" w:lineRule="exact"/>
        <w:rPr>
          <w:sz w:val="20"/>
          <w:szCs w:val="20"/>
          <w:color w:val="auto"/>
        </w:rPr>
      </w:pPr>
    </w:p>
    <w:p>
      <w:pPr>
        <w:ind w:right="40" w:firstLine="459"/>
        <w:spacing w:after="0" w:line="259" w:lineRule="auto"/>
        <w:rPr>
          <w:sz w:val="20"/>
          <w:szCs w:val="20"/>
          <w:color w:val="auto"/>
        </w:rPr>
      </w:pPr>
      <w:r>
        <w:rPr>
          <w:rFonts w:ascii="Arial" w:cs="Arial" w:eastAsia="Arial" w:hAnsi="Arial"/>
          <w:sz w:val="12"/>
          <w:szCs w:val="12"/>
          <w:color w:val="auto"/>
        </w:rPr>
        <w:t>In July 2012, the FASB issued an accounting standards update that is intended to simplify the guidance for testing the decline in the realizable value (impairment) of indefinite-lived intangible assets other than goodwill. The update allows for the consideration of qualitative factors in determining whether it is necessary to perform quantitative impairment tests. The effective date for this update is for the years and interim impairment tests performed for years beginning after September 15, 2012. The adoption of this update did not have a material impact on our financial statements.</w:t>
      </w:r>
    </w:p>
    <w:p>
      <w:pPr>
        <w:spacing w:after="0" w:line="146"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Item 3. Quantitative and Qualitative Disclosures About Market Risk</w:t>
      </w:r>
    </w:p>
    <w:p>
      <w:pPr>
        <w:spacing w:after="0" w:line="62" w:lineRule="exact"/>
        <w:rPr>
          <w:sz w:val="20"/>
          <w:szCs w:val="20"/>
          <w:color w:val="auto"/>
        </w:rPr>
      </w:pPr>
    </w:p>
    <w:p>
      <w:pPr>
        <w:ind w:left="460"/>
        <w:spacing w:after="0"/>
        <w:rPr>
          <w:sz w:val="20"/>
          <w:szCs w:val="20"/>
          <w:color w:val="auto"/>
        </w:rPr>
      </w:pPr>
      <w:r>
        <w:rPr>
          <w:rFonts w:ascii="Arial" w:cs="Arial" w:eastAsia="Arial" w:hAnsi="Arial"/>
          <w:sz w:val="12"/>
          <w:szCs w:val="12"/>
          <w:color w:val="auto"/>
        </w:rPr>
        <w:t>Market risk is the risk of loss arising from adverse changes in market rates and prices, such as interest rates, foreign currency exchange rates and commodity prices.</w:t>
      </w:r>
    </w:p>
    <w:p>
      <w:pPr>
        <w:spacing w:after="0" w:line="168" w:lineRule="exact"/>
        <w:rPr>
          <w:sz w:val="20"/>
          <w:szCs w:val="20"/>
          <w:color w:val="auto"/>
        </w:rPr>
      </w:pPr>
    </w:p>
    <w:p>
      <w:pPr>
        <w:ind w:left="220"/>
        <w:spacing w:after="0"/>
        <w:rPr>
          <w:sz w:val="20"/>
          <w:szCs w:val="20"/>
          <w:color w:val="auto"/>
        </w:rPr>
      </w:pPr>
      <w:r>
        <w:rPr>
          <w:rFonts w:ascii="Arial" w:cs="Arial" w:eastAsia="Arial" w:hAnsi="Arial"/>
          <w:sz w:val="12"/>
          <w:szCs w:val="12"/>
          <w:i w:val="1"/>
          <w:iCs w:val="1"/>
          <w:color w:val="auto"/>
        </w:rPr>
        <w:t>Interest Rate Risks</w:t>
      </w:r>
    </w:p>
    <w:p>
      <w:pPr>
        <w:spacing w:after="0" w:line="60" w:lineRule="exact"/>
        <w:rPr>
          <w:sz w:val="20"/>
          <w:szCs w:val="20"/>
          <w:color w:val="auto"/>
        </w:rPr>
      </w:pPr>
    </w:p>
    <w:p>
      <w:pPr>
        <w:ind w:right="460" w:firstLine="459"/>
        <w:spacing w:after="0" w:line="294" w:lineRule="auto"/>
        <w:rPr>
          <w:sz w:val="20"/>
          <w:szCs w:val="20"/>
          <w:color w:val="auto"/>
        </w:rPr>
      </w:pPr>
      <w:r>
        <w:rPr>
          <w:rFonts w:ascii="Arial" w:cs="Arial" w:eastAsia="Arial" w:hAnsi="Arial"/>
          <w:sz w:val="11"/>
          <w:szCs w:val="11"/>
          <w:color w:val="auto"/>
        </w:rPr>
        <w:t>One of our primary exposures to market risk is interest rate risk associated with our debt facilities that bear interest based on floating rates. We attempt to manage interest rate risk by managing the mix of long-term fixed rate borrowings and variable rate borrowings, and using hedging activities. We cannot assure you that these risk management strategies will have the desired effect, and interest rate fluctuations could have a negative impact on our results of operations. We do not use derivative financial instruments, other financial instruments or derivative commodity instruments for trading or speculative purposes.</w:t>
      </w:r>
    </w:p>
    <w:p>
      <w:pPr>
        <w:spacing w:after="0" w:line="130" w:lineRule="exact"/>
        <w:rPr>
          <w:sz w:val="20"/>
          <w:szCs w:val="20"/>
          <w:color w:val="auto"/>
        </w:rPr>
      </w:pPr>
    </w:p>
    <w:p>
      <w:pPr>
        <w:ind w:left="220"/>
        <w:spacing w:after="0"/>
        <w:rPr>
          <w:sz w:val="20"/>
          <w:szCs w:val="20"/>
          <w:color w:val="auto"/>
        </w:rPr>
      </w:pPr>
      <w:r>
        <w:rPr>
          <w:rFonts w:ascii="Arial" w:cs="Arial" w:eastAsia="Arial" w:hAnsi="Arial"/>
          <w:sz w:val="12"/>
          <w:szCs w:val="12"/>
          <w:i w:val="1"/>
          <w:iCs w:val="1"/>
          <w:color w:val="auto"/>
        </w:rPr>
        <w:t>Interest Rate Swap Information</w:t>
      </w:r>
    </w:p>
    <w:p>
      <w:pPr>
        <w:spacing w:after="0" w:line="60" w:lineRule="exact"/>
        <w:rPr>
          <w:sz w:val="20"/>
          <w:szCs w:val="20"/>
          <w:color w:val="auto"/>
        </w:rPr>
      </w:pPr>
    </w:p>
    <w:p>
      <w:pPr>
        <w:ind w:firstLine="459"/>
        <w:spacing w:after="0" w:line="438" w:lineRule="auto"/>
        <w:rPr>
          <w:sz w:val="20"/>
          <w:szCs w:val="20"/>
          <w:color w:val="auto"/>
        </w:rPr>
      </w:pPr>
      <w:r>
        <w:rPr>
          <w:rFonts w:ascii="Arial" w:cs="Arial" w:eastAsia="Arial" w:hAnsi="Arial"/>
          <w:sz w:val="9"/>
          <w:szCs w:val="9"/>
          <w:color w:val="auto"/>
        </w:rPr>
        <w:t>We have entered into floating-for-fixed interest rate swap arrangements relating to certain of our floating-rate debt facilities. We measure the fair value of our interest rate swaps on a recurring basis. Changes in the fair values of these interest rate swaps for each reporting period recorded are, and will continue to be, recognized as an increase or (decrease) in swap fair value in our Condensed Consolidated Statements of Income as the swaps do not qualify for hedge accounting.</w:t>
      </w:r>
    </w:p>
    <w:p>
      <w:pPr>
        <w:spacing w:after="0" w:line="73" w:lineRule="exact"/>
        <w:rPr>
          <w:sz w:val="20"/>
          <w:szCs w:val="20"/>
          <w:color w:val="auto"/>
        </w:rPr>
      </w:pPr>
    </w:p>
    <w:p>
      <w:pPr>
        <w:ind w:left="220"/>
        <w:spacing w:after="0"/>
        <w:rPr>
          <w:sz w:val="20"/>
          <w:szCs w:val="20"/>
          <w:color w:val="auto"/>
        </w:rPr>
      </w:pPr>
      <w:r>
        <w:rPr>
          <w:rFonts w:ascii="Arial" w:cs="Arial" w:eastAsia="Arial" w:hAnsi="Arial"/>
          <w:sz w:val="12"/>
          <w:szCs w:val="12"/>
          <w:i w:val="1"/>
          <w:iCs w:val="1"/>
          <w:color w:val="auto"/>
        </w:rPr>
        <w:t>Wynn Macau</w:t>
      </w:r>
    </w:p>
    <w:p>
      <w:pPr>
        <w:spacing w:after="0" w:line="60" w:lineRule="exact"/>
        <w:rPr>
          <w:sz w:val="20"/>
          <w:szCs w:val="20"/>
          <w:color w:val="auto"/>
        </w:rPr>
      </w:pPr>
    </w:p>
    <w:p>
      <w:pPr>
        <w:ind w:right="20" w:firstLine="459"/>
        <w:spacing w:after="0" w:line="256" w:lineRule="auto"/>
        <w:rPr>
          <w:sz w:val="20"/>
          <w:szCs w:val="20"/>
          <w:color w:val="auto"/>
        </w:rPr>
      </w:pPr>
      <w:r>
        <w:rPr>
          <w:rFonts w:ascii="Arial" w:cs="Arial" w:eastAsia="Arial" w:hAnsi="Arial"/>
          <w:sz w:val="12"/>
          <w:szCs w:val="12"/>
          <w:color w:val="auto"/>
        </w:rPr>
        <w:t>We currently have three interest rate swap agreements intended to hedge a portion of the underlying interest rate risk on borrowings under the Amended Wynn Macau Credit Facilities. Under two of the swap agreements, we pay a fixed interest rate (excluding the applicable interest margin) of 0.73% on notional amounts corresponding to borrowings of HK$3.95 billion (approximately US$509.4 million) incurred under the Amended Wynn Macau Credit Facilities in exchange for receipts on the same amount at a variable interest rate based on the applicable HIBOR at the time of payment. These interest rate swaps fix the all-in interest rate on such amounts at 2.48% to 3.23%. These interest rate swap agreements mature in July 2017.</w:t>
      </w:r>
    </w:p>
    <w:p>
      <w:pPr>
        <w:spacing w:after="0" w:line="96" w:lineRule="exact"/>
        <w:rPr>
          <w:sz w:val="20"/>
          <w:szCs w:val="20"/>
          <w:color w:val="auto"/>
        </w:rPr>
      </w:pPr>
    </w:p>
    <w:p>
      <w:pPr>
        <w:ind w:firstLine="459"/>
        <w:spacing w:after="0" w:line="259" w:lineRule="auto"/>
        <w:rPr>
          <w:sz w:val="20"/>
          <w:szCs w:val="20"/>
          <w:color w:val="auto"/>
        </w:rPr>
      </w:pPr>
      <w:r>
        <w:rPr>
          <w:rFonts w:ascii="Arial" w:cs="Arial" w:eastAsia="Arial" w:hAnsi="Arial"/>
          <w:sz w:val="12"/>
          <w:szCs w:val="12"/>
          <w:color w:val="auto"/>
        </w:rPr>
        <w:t>Under the third swap agreement, we pay a fixed interest rate (excluding the applicable interest margin) of 0.6763% on notional amounts corresponding to borrowings of US$243.75 million incurred under the Amended Wynn Macau Credit Facilities in exchange for receipts on the same amount at a variable rate based on the applicable LIBOR at the time of payment. This interest rate swap fixes the all-in interest rate on such amounts at 2.4263% to 3.1763%. This interest rate swap agreement matures in July 2017.</w:t>
      </w:r>
    </w:p>
    <w:p>
      <w:pPr>
        <w:spacing w:after="0" w:line="148" w:lineRule="exact"/>
        <w:rPr>
          <w:sz w:val="20"/>
          <w:szCs w:val="20"/>
          <w:color w:val="auto"/>
        </w:rPr>
      </w:pPr>
    </w:p>
    <w:p>
      <w:pPr>
        <w:ind w:left="220"/>
        <w:spacing w:after="0"/>
        <w:rPr>
          <w:sz w:val="20"/>
          <w:szCs w:val="20"/>
          <w:color w:val="auto"/>
        </w:rPr>
      </w:pPr>
      <w:r>
        <w:rPr>
          <w:rFonts w:ascii="Arial" w:cs="Arial" w:eastAsia="Arial" w:hAnsi="Arial"/>
          <w:sz w:val="12"/>
          <w:szCs w:val="12"/>
          <w:i w:val="1"/>
          <w:iCs w:val="1"/>
          <w:color w:val="auto"/>
        </w:rPr>
        <w:t>Interest Rate Sensitivity</w:t>
      </w:r>
    </w:p>
    <w:p>
      <w:pPr>
        <w:spacing w:after="0" w:line="60" w:lineRule="exact"/>
        <w:rPr>
          <w:sz w:val="20"/>
          <w:szCs w:val="20"/>
          <w:color w:val="auto"/>
        </w:rPr>
      </w:pPr>
    </w:p>
    <w:p>
      <w:pPr>
        <w:ind w:right="180" w:firstLine="459"/>
        <w:spacing w:after="0" w:line="268" w:lineRule="auto"/>
        <w:rPr>
          <w:sz w:val="20"/>
          <w:szCs w:val="20"/>
          <w:color w:val="auto"/>
        </w:rPr>
      </w:pPr>
      <w:r>
        <w:rPr>
          <w:rFonts w:ascii="Arial" w:cs="Arial" w:eastAsia="Arial" w:hAnsi="Arial"/>
          <w:sz w:val="12"/>
          <w:szCs w:val="12"/>
          <w:color w:val="auto"/>
        </w:rPr>
        <w:t>As of September 30, 2013, approximately 96% of our long-term debt was based on fixed rates. Based on our borrowings as of September 30, 2013, an assumed 1% change in the variable rates would cause our annual interest cost to change by $2.3 million.</w:t>
      </w:r>
    </w:p>
    <w:p>
      <w:pPr>
        <w:spacing w:after="0" w:line="79"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52</w:t>
      </w:r>
    </w:p>
    <w:p>
      <w:pPr>
        <w:sectPr>
          <w:pgSz w:w="11900" w:h="16838" w:orient="portrait"/>
          <w:cols w:equalWidth="0" w:num="1">
            <w:col w:w="11460"/>
          </w:cols>
          <w:pgMar w:left="220" w:top="354" w:right="219" w:bottom="1440" w:gutter="0" w:footer="0" w:header="0"/>
        </w:sectPr>
      </w:pPr>
    </w:p>
    <w:bookmarkStart w:id="52" w:name="page53"/>
    <w:bookmarkEnd w:id="52"/>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121920</wp:posOffset>
            </wp:positionH>
            <wp:positionV relativeFrom="page">
              <wp:posOffset>88900</wp:posOffset>
            </wp:positionV>
            <wp:extent cx="7329170" cy="298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329170" cy="29845"/>
                    </a:xfrm>
                    <a:prstGeom prst="rect">
                      <a:avLst/>
                    </a:prstGeom>
                    <a:noFill/>
                  </pic:spPr>
                </pic:pic>
              </a:graphicData>
            </a:graphic>
          </wp:anchor>
        </w:drawing>
      </w:r>
      <w:hyperlink w:anchor="page2">
        <w:r>
          <w:rPr>
            <w:rFonts w:ascii="Arial" w:cs="Arial" w:eastAsia="Arial" w:hAnsi="Arial"/>
            <w:sz w:val="12"/>
            <w:szCs w:val="12"/>
            <w:b w:val="1"/>
            <w:bCs w:val="1"/>
            <w:u w:val="single" w:color="auto"/>
            <w:color w:val="0000EE"/>
          </w:rPr>
          <w:t>Table of Contents</w:t>
        </w:r>
      </w:hyperlink>
    </w:p>
    <w:p>
      <w:pPr>
        <w:spacing w:after="0" w:line="209" w:lineRule="exact"/>
        <w:rPr>
          <w:sz w:val="20"/>
          <w:szCs w:val="20"/>
          <w:color w:val="auto"/>
        </w:rPr>
      </w:pPr>
    </w:p>
    <w:p>
      <w:pPr>
        <w:ind w:left="220"/>
        <w:spacing w:after="0"/>
        <w:rPr>
          <w:sz w:val="20"/>
          <w:szCs w:val="20"/>
          <w:color w:val="auto"/>
        </w:rPr>
      </w:pPr>
      <w:r>
        <w:rPr>
          <w:rFonts w:ascii="Arial" w:cs="Arial" w:eastAsia="Arial" w:hAnsi="Arial"/>
          <w:sz w:val="12"/>
          <w:szCs w:val="12"/>
          <w:i w:val="1"/>
          <w:iCs w:val="1"/>
          <w:color w:val="auto"/>
        </w:rPr>
        <w:t>Foreign Currency Risks</w:t>
      </w:r>
    </w:p>
    <w:p>
      <w:pPr>
        <w:spacing w:after="0" w:line="60" w:lineRule="exact"/>
        <w:rPr>
          <w:sz w:val="20"/>
          <w:szCs w:val="20"/>
          <w:color w:val="auto"/>
        </w:rPr>
      </w:pPr>
    </w:p>
    <w:p>
      <w:pPr>
        <w:ind w:right="40" w:firstLine="459"/>
        <w:spacing w:after="0" w:line="256" w:lineRule="auto"/>
        <w:rPr>
          <w:sz w:val="20"/>
          <w:szCs w:val="20"/>
          <w:color w:val="auto"/>
        </w:rPr>
      </w:pPr>
      <w:r>
        <w:rPr>
          <w:rFonts w:ascii="Arial" w:cs="Arial" w:eastAsia="Arial" w:hAnsi="Arial"/>
          <w:sz w:val="12"/>
          <w:szCs w:val="12"/>
          <w:color w:val="auto"/>
        </w:rPr>
        <w:t>The currency delineated in Wynn Macau’s concession agreement with the government of Macau is the Macau pataca. The Macau pataca, which is not a freely convertible currency, is linked to the Hong Kong dollar, and in many cases the two are used interchangeably in Macau. The Hong Kong dollar is linked to the U.S. dollar and the exchange rate between these two currencies has remained relatively stable over the past several years. However, the exchange linkages of the Hong Kong dollar and the Macau pataca, and the Hong Kong dollar and the U.S. dollar, are subject to potential changes due to, among other things, changes in Chinese governmental policies and international economic and political developments.</w:t>
      </w:r>
    </w:p>
    <w:p>
      <w:pPr>
        <w:spacing w:after="0" w:line="96" w:lineRule="exact"/>
        <w:rPr>
          <w:sz w:val="20"/>
          <w:szCs w:val="20"/>
          <w:color w:val="auto"/>
        </w:rPr>
      </w:pPr>
    </w:p>
    <w:p>
      <w:pPr>
        <w:ind w:right="120" w:firstLine="459"/>
        <w:spacing w:after="0" w:line="268" w:lineRule="auto"/>
        <w:rPr>
          <w:sz w:val="20"/>
          <w:szCs w:val="20"/>
          <w:color w:val="auto"/>
        </w:rPr>
      </w:pPr>
      <w:r>
        <w:rPr>
          <w:rFonts w:ascii="Arial" w:cs="Arial" w:eastAsia="Arial" w:hAnsi="Arial"/>
          <w:sz w:val="12"/>
          <w:szCs w:val="12"/>
          <w:color w:val="auto"/>
        </w:rPr>
        <w:t>If the Hong Kong dollar and the Macau pataca are not linked to the U.S. dollar in the future, severe fluctuations in the exchange rate for these currencies may result. We cannot assure you that the current rate of exchange fixed by the applicable monetary authorities for these currencies will remain at the same level.</w:t>
      </w:r>
    </w:p>
    <w:p>
      <w:pPr>
        <w:spacing w:after="0" w:line="88" w:lineRule="exact"/>
        <w:rPr>
          <w:sz w:val="20"/>
          <w:szCs w:val="20"/>
          <w:color w:val="auto"/>
        </w:rPr>
      </w:pPr>
    </w:p>
    <w:p>
      <w:pPr>
        <w:ind w:right="140" w:firstLine="459"/>
        <w:spacing w:after="0" w:line="254" w:lineRule="auto"/>
        <w:rPr>
          <w:sz w:val="20"/>
          <w:szCs w:val="20"/>
          <w:color w:val="auto"/>
        </w:rPr>
      </w:pPr>
      <w:r>
        <w:rPr>
          <w:rFonts w:ascii="Arial" w:cs="Arial" w:eastAsia="Arial" w:hAnsi="Arial"/>
          <w:sz w:val="12"/>
          <w:szCs w:val="12"/>
          <w:color w:val="auto"/>
        </w:rPr>
        <w:t>Because many of Wynn Macau’s payment and expenditure obligations are in Macau patacas, in the event of unfavorable Macau pataca or Hong Kong dollar rate changes, Wynn Macau’s obligations, as denominated in U.S. dollars, would increase. In addition, because we expect that most of the revenues for any casino that Wynn Macau operates in Macau will be in Hong Kong dollars, we are subject to foreign exchange risk with respect to the exchange rate between the Hong Kong dollar and the U.S. dollar. Also, because our Macau-related entities incur U.S. dollar-denominated debt, fluctuations in the exchange rates of the Macau pataca or the Hong Kong dollar, in relation to the U.S. dollar, could have adverse effects on Wynn Macau’s results of operations, financial condition and ability to service its debt. To date, we have not engaged in hedging activities intended to protect against foreign currency risk. Approximately 55% of our cash balances are denominated in foreign currencies, primarily the Hong Kong Dollar. Based on our balances at September 30, 2013, an assumed 1% change in the US dollar/Hong Kong dollar exchange rate would cause a foreign currency transaction gain/loss of approximately $10.9 million.</w:t>
      </w:r>
    </w:p>
    <w:p>
      <w:pPr>
        <w:spacing w:after="0" w:line="149"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Item 4. Controls and Procedures</w:t>
      </w:r>
    </w:p>
    <w:p>
      <w:pPr>
        <w:spacing w:after="0" w:line="62" w:lineRule="exact"/>
        <w:rPr>
          <w:sz w:val="20"/>
          <w:szCs w:val="20"/>
          <w:color w:val="auto"/>
        </w:rPr>
      </w:pPr>
    </w:p>
    <w:p>
      <w:pPr>
        <w:ind w:firstLine="451"/>
        <w:spacing w:after="0" w:line="280" w:lineRule="auto"/>
        <w:tabs>
          <w:tab w:leader="none" w:pos="619" w:val="left"/>
        </w:tabs>
        <w:numPr>
          <w:ilvl w:val="0"/>
          <w:numId w:val="22"/>
        </w:numPr>
        <w:rPr>
          <w:rFonts w:ascii="Arial" w:cs="Arial" w:eastAsia="Arial" w:hAnsi="Arial"/>
          <w:sz w:val="11"/>
          <w:szCs w:val="11"/>
          <w:color w:val="auto"/>
        </w:rPr>
      </w:pPr>
      <w:r>
        <w:rPr>
          <w:rFonts w:ascii="Arial" w:cs="Arial" w:eastAsia="Arial" w:hAnsi="Arial"/>
          <w:sz w:val="11"/>
          <w:szCs w:val="11"/>
          <w:i w:val="1"/>
          <w:iCs w:val="1"/>
          <w:color w:val="auto"/>
        </w:rPr>
        <w:t>Disclosure Controls and Procedures</w:t>
      </w:r>
      <w:r>
        <w:rPr>
          <w:rFonts w:ascii="Arial" w:cs="Arial" w:eastAsia="Arial" w:hAnsi="Arial"/>
          <w:sz w:val="11"/>
          <w:szCs w:val="11"/>
          <w:color w:val="auto"/>
        </w:rPr>
        <w:t>. The Company’s management, with the participation of the Company’s Chief Executive Officer and Chief Financial Officer, has evaluated the effectiveness of the Company’s disclosure controls</w:t>
      </w:r>
      <w:r>
        <w:rPr>
          <w:rFonts w:ascii="Arial" w:cs="Arial" w:eastAsia="Arial" w:hAnsi="Arial"/>
          <w:sz w:val="11"/>
          <w:szCs w:val="11"/>
          <w:i w:val="1"/>
          <w:iCs w:val="1"/>
          <w:color w:val="auto"/>
        </w:rPr>
        <w:t xml:space="preserve"> </w:t>
      </w:r>
      <w:r>
        <w:rPr>
          <w:rFonts w:ascii="Arial" w:cs="Arial" w:eastAsia="Arial" w:hAnsi="Arial"/>
          <w:sz w:val="11"/>
          <w:szCs w:val="11"/>
          <w:color w:val="auto"/>
        </w:rPr>
        <w:t>and procedures (as such term is defined in Rules 13a-15(e) and 15d-15(e) under the Securities Exchange Act of 1934, as amended (the “Exchange Act”)) as of the end of the period covered by this report. In designing and evaluating the disclosure controls and procedures, management recognized that any controls and procedures, no matter how well designed and operated, can only provide reasonable assurance of achieving the desired control objectives and management is required to apply its judgment in evaluating the cost-benefit relationship of possible controls and procedures. Based on such evaluation, the Company’s Chief Executive Officer and Chief Financial Officer have concluded that, as of the end of such period, the Company’s disclosure controls and procedures were effective, at the reasonable assurance level, in recording, processing, summarizing and reporting, on a timely basis, information required to be disclosed by the Company in the reports that it files or submits under the Exchange Act and were effective in ensuring that information required to be disclosed by the Company in the reports that it files or submits under the Exchange Act is accumulated and communicated to the Company’s management, including the Company’s Chief Executive Officer and Chief Financial Officer, as appropriate to allow timely decisions regarding required disclosure.</w:t>
      </w:r>
    </w:p>
    <w:p>
      <w:pPr>
        <w:spacing w:after="0" w:line="83" w:lineRule="exact"/>
        <w:rPr>
          <w:rFonts w:ascii="Arial" w:cs="Arial" w:eastAsia="Arial" w:hAnsi="Arial"/>
          <w:sz w:val="11"/>
          <w:szCs w:val="11"/>
          <w:color w:val="auto"/>
        </w:rPr>
      </w:pPr>
    </w:p>
    <w:p>
      <w:pPr>
        <w:ind w:right="80" w:firstLine="451"/>
        <w:spacing w:after="0" w:line="268" w:lineRule="auto"/>
        <w:tabs>
          <w:tab w:leader="none" w:pos="625" w:val="left"/>
        </w:tabs>
        <w:numPr>
          <w:ilvl w:val="0"/>
          <w:numId w:val="22"/>
        </w:numPr>
        <w:rPr>
          <w:rFonts w:ascii="Arial" w:cs="Arial" w:eastAsia="Arial" w:hAnsi="Arial"/>
          <w:sz w:val="12"/>
          <w:szCs w:val="12"/>
          <w:color w:val="auto"/>
        </w:rPr>
      </w:pPr>
      <w:r>
        <w:rPr>
          <w:rFonts w:ascii="Arial" w:cs="Arial" w:eastAsia="Arial" w:hAnsi="Arial"/>
          <w:sz w:val="12"/>
          <w:szCs w:val="12"/>
          <w:i w:val="1"/>
          <w:iCs w:val="1"/>
          <w:color w:val="auto"/>
        </w:rPr>
        <w:t>Internal Control Over Financial Reporting</w:t>
      </w:r>
      <w:r>
        <w:rPr>
          <w:rFonts w:ascii="Arial" w:cs="Arial" w:eastAsia="Arial" w:hAnsi="Arial"/>
          <w:sz w:val="12"/>
          <w:szCs w:val="12"/>
          <w:color w:val="auto"/>
        </w:rPr>
        <w:t>. There were no changes in our internal control over financial reporting (as such term is defined in Rules 13a-15(f) and 15d-15(f) under the Exchange Act) during the quarter to which this</w:t>
      </w:r>
      <w:r>
        <w:rPr>
          <w:rFonts w:ascii="Arial" w:cs="Arial" w:eastAsia="Arial" w:hAnsi="Arial"/>
          <w:sz w:val="12"/>
          <w:szCs w:val="12"/>
          <w:i w:val="1"/>
          <w:iCs w:val="1"/>
          <w:color w:val="auto"/>
        </w:rPr>
        <w:t xml:space="preserve"> </w:t>
      </w:r>
      <w:r>
        <w:rPr>
          <w:rFonts w:ascii="Arial" w:cs="Arial" w:eastAsia="Arial" w:hAnsi="Arial"/>
          <w:sz w:val="12"/>
          <w:szCs w:val="12"/>
          <w:color w:val="auto"/>
        </w:rPr>
        <w:t>report relates that materially affected, or are reasonably likely to materially affect, our internal control over financial reporting.</w:t>
      </w:r>
    </w:p>
    <w:p>
      <w:pPr>
        <w:spacing w:after="0" w:line="79"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53</w:t>
      </w:r>
    </w:p>
    <w:p>
      <w:pPr>
        <w:sectPr>
          <w:pgSz w:w="11900" w:h="16838" w:orient="portrait"/>
          <w:cols w:equalWidth="0" w:num="1">
            <w:col w:w="11440"/>
          </w:cols>
          <w:pgMar w:left="220" w:top="354" w:right="239" w:bottom="1440" w:gutter="0" w:footer="0" w:header="0"/>
        </w:sectPr>
      </w:pPr>
    </w:p>
    <w:bookmarkStart w:id="53" w:name="page54"/>
    <w:bookmarkEnd w:id="53"/>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121920</wp:posOffset>
            </wp:positionH>
            <wp:positionV relativeFrom="page">
              <wp:posOffset>88900</wp:posOffset>
            </wp:positionV>
            <wp:extent cx="7329170" cy="298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329170" cy="29845"/>
                    </a:xfrm>
                    <a:prstGeom prst="rect">
                      <a:avLst/>
                    </a:prstGeom>
                    <a:noFill/>
                  </pic:spPr>
                </pic:pic>
              </a:graphicData>
            </a:graphic>
          </wp:anchor>
        </w:drawing>
      </w:r>
      <w:hyperlink w:anchor="page2">
        <w:r>
          <w:rPr>
            <w:rFonts w:ascii="Arial" w:cs="Arial" w:eastAsia="Arial" w:hAnsi="Arial"/>
            <w:sz w:val="12"/>
            <w:szCs w:val="12"/>
            <w:b w:val="1"/>
            <w:bCs w:val="1"/>
            <w:u w:val="single" w:color="auto"/>
            <w:color w:val="0000EE"/>
          </w:rPr>
          <w:t>Table of Contents</w:t>
        </w:r>
      </w:hyperlink>
    </w:p>
    <w:p>
      <w:pPr>
        <w:spacing w:after="0" w:line="207"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Part II – OTHER INFORMATION</w:t>
      </w:r>
    </w:p>
    <w:p>
      <w:pPr>
        <w:spacing w:after="0" w:line="60"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Item 1. Legal Proceedings</w:t>
      </w:r>
    </w:p>
    <w:p>
      <w:pPr>
        <w:spacing w:after="0" w:line="62" w:lineRule="exact"/>
        <w:rPr>
          <w:sz w:val="20"/>
          <w:szCs w:val="20"/>
          <w:color w:val="auto"/>
        </w:rPr>
      </w:pPr>
    </w:p>
    <w:p>
      <w:pPr>
        <w:ind w:right="220" w:firstLine="459"/>
        <w:spacing w:after="0" w:line="268" w:lineRule="auto"/>
        <w:rPr>
          <w:sz w:val="20"/>
          <w:szCs w:val="20"/>
          <w:color w:val="auto"/>
        </w:rPr>
      </w:pPr>
      <w:r>
        <w:rPr>
          <w:rFonts w:ascii="Arial" w:cs="Arial" w:eastAsia="Arial" w:hAnsi="Arial"/>
          <w:sz w:val="12"/>
          <w:szCs w:val="12"/>
          <w:color w:val="auto"/>
        </w:rPr>
        <w:t>We are occasionally party to lawsuits. As with all litigation, no assurance can be provided as to the outcome of such matters and we note that litigation inherently involves significant costs. For information regarding the Company’s legal proceedings see Note 15 – “Commitments and Contingencies” to our Condensed Consolidated Financial Statements in this Quarterly Report on Form 10-Q.</w:t>
      </w:r>
    </w:p>
    <w:p>
      <w:pPr>
        <w:spacing w:after="0" w:line="140"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Item 1A. Risk Factors</w:t>
      </w:r>
    </w:p>
    <w:p>
      <w:pPr>
        <w:spacing w:after="0" w:line="62" w:lineRule="exact"/>
        <w:rPr>
          <w:sz w:val="20"/>
          <w:szCs w:val="20"/>
          <w:color w:val="auto"/>
        </w:rPr>
      </w:pPr>
    </w:p>
    <w:p>
      <w:pPr>
        <w:ind w:left="460"/>
        <w:spacing w:after="0"/>
        <w:rPr>
          <w:sz w:val="20"/>
          <w:szCs w:val="20"/>
          <w:color w:val="auto"/>
        </w:rPr>
      </w:pPr>
      <w:r>
        <w:rPr>
          <w:rFonts w:ascii="Arial" w:cs="Arial" w:eastAsia="Arial" w:hAnsi="Arial"/>
          <w:sz w:val="9"/>
          <w:szCs w:val="9"/>
          <w:color w:val="auto"/>
        </w:rPr>
        <w:t>A description of our risk factors can be found in Item 1A of our Annual Report on Form 10-K for the year ended December 31, 2012. There were no material changes to those risk factors during the nine months ended September 30,</w:t>
      </w:r>
    </w:p>
    <w:p>
      <w:pPr>
        <w:spacing w:after="0" w:line="45" w:lineRule="exact"/>
        <w:rPr>
          <w:sz w:val="20"/>
          <w:szCs w:val="20"/>
          <w:color w:val="auto"/>
        </w:rPr>
      </w:pPr>
    </w:p>
    <w:p>
      <w:pPr>
        <w:spacing w:after="0"/>
        <w:rPr>
          <w:sz w:val="20"/>
          <w:szCs w:val="20"/>
          <w:color w:val="auto"/>
        </w:rPr>
      </w:pPr>
      <w:r>
        <w:rPr>
          <w:rFonts w:ascii="Arial" w:cs="Arial" w:eastAsia="Arial" w:hAnsi="Arial"/>
          <w:sz w:val="12"/>
          <w:szCs w:val="12"/>
          <w:color w:val="auto"/>
        </w:rPr>
        <w:t>2013.</w:t>
      </w:r>
    </w:p>
    <w:p>
      <w:pPr>
        <w:spacing w:after="0" w:line="162"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Item 2. Unregistered Sales of Equity Securities and Use of Proceeds</w:t>
      </w:r>
    </w:p>
    <w:p>
      <w:pPr>
        <w:spacing w:after="0" w:line="62" w:lineRule="exact"/>
        <w:rPr>
          <w:sz w:val="20"/>
          <w:szCs w:val="20"/>
          <w:color w:val="auto"/>
        </w:rPr>
      </w:pPr>
    </w:p>
    <w:p>
      <w:pPr>
        <w:ind w:left="220"/>
        <w:spacing w:after="0"/>
        <w:rPr>
          <w:sz w:val="20"/>
          <w:szCs w:val="20"/>
          <w:color w:val="auto"/>
        </w:rPr>
      </w:pPr>
      <w:r>
        <w:rPr>
          <w:rFonts w:ascii="Arial" w:cs="Arial" w:eastAsia="Arial" w:hAnsi="Arial"/>
          <w:sz w:val="12"/>
          <w:szCs w:val="12"/>
          <w:i w:val="1"/>
          <w:iCs w:val="1"/>
          <w:color w:val="auto"/>
        </w:rPr>
        <w:t>Dividend Restrictions</w:t>
      </w:r>
    </w:p>
    <w:p>
      <w:pPr>
        <w:spacing w:after="0" w:line="60" w:lineRule="exact"/>
        <w:rPr>
          <w:sz w:val="20"/>
          <w:szCs w:val="20"/>
          <w:color w:val="auto"/>
        </w:rPr>
      </w:pPr>
    </w:p>
    <w:p>
      <w:pPr>
        <w:ind w:firstLine="459"/>
        <w:spacing w:after="0" w:line="277" w:lineRule="auto"/>
        <w:rPr>
          <w:sz w:val="20"/>
          <w:szCs w:val="20"/>
          <w:color w:val="auto"/>
        </w:rPr>
      </w:pPr>
      <w:r>
        <w:rPr>
          <w:rFonts w:ascii="Arial" w:cs="Arial" w:eastAsia="Arial" w:hAnsi="Arial"/>
          <w:sz w:val="11"/>
          <w:szCs w:val="11"/>
          <w:color w:val="auto"/>
        </w:rPr>
        <w:t>In November 2009, our Board of Directors approved the commencement of a regular quarterly cash dividend program. On January 31, 2013 the Company announced a cash dividend of $1.00 per share, payable on February 28, 2013 to stockholders of record as of February 14, 2013. On April 25, 2013 the Company announced a cash dividend of $1.00 per share, payable on May 23, 2013 to stockholders of record as of May 9, 2013. On July 29, 2013 the Company announced a cash dividend of $1.00 per share, payable on August 26, 2013 to stockholders of record as of August 12, 2013. On October 24, 2013, the Company announced a cash dividend of $1.00 per share, payable on November 21, 2013 to stockholders of record as of November 7, 2013. On November 5, 2013 the Company announced a cash dividend of $3.00 per share payable on December 6, 2013 to stockholders of record on November 20, 2013. Wynn Resorts is a holding company and, as a result, our ability to pay dividends is dependent on our ability to obtain funds and our subsidiaries’ ability to provide funds to us. Restrictions imposed by our subsidiaries’ debt instruments significantly restrict certain key subsidiaries holding a majority of our assets, including Wynn Las Vegas, LLC and Wynn Macau, S.A. from making dividends or distributions to Wynn Resorts. Specifically, Wynn Las Vegas, LLC and certain of its subsidiaries are restricted under the indentures governing its notes from making certain “restricted payments” as defined in the indentures. These restricted payments include the payment of dividends or distributions to any direct or indirect holders of equity interests of Wynn Las Vegas, LLC. Restricted payments cannot be made unless certain financial and non-financial criteria have been satisfied. While the Amended Wynn Macau Credit Facilities contain similar restrictions, Wynn Macau is currently in compliance with all requirements, namely satisfaction of its leverage ratio, which must be met in order to pay dividends and is presently able to pay dividends in accordance with the Amended Wynn Macau Credit Facilities. On March 28, 2013, the Wynn Macau, Limited Board of Directors recommended the payment of a HK$1.24 per share dividend that was approved by the shareholders of Wynn Macau, Limited at their annual meeting on May 16, 2013 and subsequently paid on June 6, 2013. On August 23, 2013, the Wynn Macau, Limited Board of Directors approved a dividend of HK$0.50 per share that was paid on September 23, 2013.</w:t>
      </w:r>
    </w:p>
    <w:p>
      <w:pPr>
        <w:spacing w:after="0" w:line="142" w:lineRule="exact"/>
        <w:rPr>
          <w:sz w:val="20"/>
          <w:szCs w:val="20"/>
          <w:color w:val="auto"/>
        </w:rPr>
      </w:pPr>
    </w:p>
    <w:p>
      <w:pPr>
        <w:ind w:left="220"/>
        <w:spacing w:after="0"/>
        <w:rPr>
          <w:sz w:val="20"/>
          <w:szCs w:val="20"/>
          <w:color w:val="auto"/>
        </w:rPr>
      </w:pPr>
      <w:r>
        <w:rPr>
          <w:rFonts w:ascii="Arial" w:cs="Arial" w:eastAsia="Arial" w:hAnsi="Arial"/>
          <w:sz w:val="12"/>
          <w:szCs w:val="12"/>
          <w:i w:val="1"/>
          <w:iCs w:val="1"/>
          <w:color w:val="auto"/>
        </w:rPr>
        <w:t>Issuer Purchases of Equity Securities</w:t>
      </w:r>
    </w:p>
    <w:p>
      <w:pPr>
        <w:spacing w:after="0" w:line="60" w:lineRule="exact"/>
        <w:rPr>
          <w:sz w:val="20"/>
          <w:szCs w:val="20"/>
          <w:color w:val="auto"/>
        </w:rPr>
      </w:pPr>
    </w:p>
    <w:p>
      <w:pPr>
        <w:ind w:left="460"/>
        <w:spacing w:after="0"/>
        <w:rPr>
          <w:sz w:val="20"/>
          <w:szCs w:val="20"/>
          <w:color w:val="auto"/>
        </w:rPr>
      </w:pPr>
      <w:r>
        <w:rPr>
          <w:rFonts w:ascii="Arial" w:cs="Arial" w:eastAsia="Arial" w:hAnsi="Arial"/>
          <w:sz w:val="12"/>
          <w:szCs w:val="12"/>
          <w:color w:val="auto"/>
        </w:rPr>
        <w:t>In July 2013, the Company repurchased a total of 684 shares at an average price of $131.99 per share in satisfaction of tax withholding obligations on vested restricted stock.</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54</w:t>
      </w:r>
    </w:p>
    <w:p>
      <w:pPr>
        <w:sectPr>
          <w:pgSz w:w="11900" w:h="16838" w:orient="portrait"/>
          <w:cols w:equalWidth="0" w:num="1">
            <w:col w:w="11460"/>
          </w:cols>
          <w:pgMar w:left="220" w:top="354" w:right="219" w:bottom="1440" w:gutter="0" w:footer="0" w:header="0"/>
        </w:sectPr>
      </w:pPr>
    </w:p>
    <w:bookmarkStart w:id="54" w:name="page55"/>
    <w:bookmarkEnd w:id="54"/>
    <w:p>
      <w:pPr>
        <w:ind w:left="8"/>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121920</wp:posOffset>
            </wp:positionH>
            <wp:positionV relativeFrom="page">
              <wp:posOffset>88900</wp:posOffset>
            </wp:positionV>
            <wp:extent cx="7329170" cy="298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329170" cy="29845"/>
                    </a:xfrm>
                    <a:prstGeom prst="rect">
                      <a:avLst/>
                    </a:prstGeom>
                    <a:noFill/>
                  </pic:spPr>
                </pic:pic>
              </a:graphicData>
            </a:graphic>
          </wp:anchor>
        </w:drawing>
      </w:r>
      <w:hyperlink w:anchor="page2">
        <w:r>
          <w:rPr>
            <w:rFonts w:ascii="Arial" w:cs="Arial" w:eastAsia="Arial" w:hAnsi="Arial"/>
            <w:sz w:val="12"/>
            <w:szCs w:val="12"/>
            <w:b w:val="1"/>
            <w:bCs w:val="1"/>
            <w:u w:val="single" w:color="auto"/>
            <w:color w:val="0000EE"/>
          </w:rPr>
          <w:t>Table of Contents</w:t>
        </w:r>
      </w:hyperlink>
    </w:p>
    <w:p>
      <w:pPr>
        <w:spacing w:after="0" w:line="207" w:lineRule="exact"/>
        <w:rPr>
          <w:sz w:val="20"/>
          <w:szCs w:val="20"/>
          <w:color w:val="auto"/>
        </w:rPr>
      </w:pPr>
    </w:p>
    <w:p>
      <w:pPr>
        <w:ind w:left="8"/>
        <w:spacing w:after="0"/>
        <w:rPr>
          <w:sz w:val="20"/>
          <w:szCs w:val="20"/>
          <w:color w:val="auto"/>
        </w:rPr>
      </w:pPr>
      <w:r>
        <w:rPr>
          <w:rFonts w:ascii="Arial" w:cs="Arial" w:eastAsia="Arial" w:hAnsi="Arial"/>
          <w:sz w:val="12"/>
          <w:szCs w:val="12"/>
          <w:b w:val="1"/>
          <w:bCs w:val="1"/>
          <w:color w:val="auto"/>
        </w:rPr>
        <w:t>Item 6. Exhibits</w:t>
      </w:r>
    </w:p>
    <w:p>
      <w:pPr>
        <w:spacing w:after="0" w:line="62" w:lineRule="exact"/>
        <w:rPr>
          <w:sz w:val="20"/>
          <w:szCs w:val="20"/>
          <w:color w:val="auto"/>
        </w:rPr>
      </w:pPr>
    </w:p>
    <w:p>
      <w:pPr>
        <w:ind w:left="928" w:hanging="469"/>
        <w:spacing w:after="0"/>
        <w:tabs>
          <w:tab w:leader="none" w:pos="928" w:val="left"/>
        </w:tabs>
        <w:numPr>
          <w:ilvl w:val="0"/>
          <w:numId w:val="23"/>
        </w:numPr>
        <w:rPr>
          <w:rFonts w:ascii="Arial" w:cs="Arial" w:eastAsia="Arial" w:hAnsi="Arial"/>
          <w:sz w:val="12"/>
          <w:szCs w:val="12"/>
          <w:color w:val="auto"/>
        </w:rPr>
      </w:pPr>
      <w:r>
        <w:rPr>
          <w:rFonts w:ascii="Arial" w:cs="Arial" w:eastAsia="Arial" w:hAnsi="Arial"/>
          <w:sz w:val="12"/>
          <w:szCs w:val="12"/>
          <w:color w:val="auto"/>
        </w:rPr>
        <w:t>Exhibits</w:t>
      </w:r>
    </w:p>
    <w:p>
      <w:pPr>
        <w:spacing w:after="0" w:line="220" w:lineRule="exact"/>
        <w:rPr>
          <w:sz w:val="20"/>
          <w:szCs w:val="20"/>
          <w:color w:val="auto"/>
        </w:rPr>
      </w:pPr>
    </w:p>
    <w:tbl>
      <w:tblPr>
        <w:tblLayout w:type="fixed"/>
        <w:tblInd w:w="8" w:type="dxa"/>
        <w:tblCellMar>
          <w:top w:w="0" w:type="dxa"/>
          <w:left w:w="0" w:type="dxa"/>
          <w:bottom w:w="0" w:type="dxa"/>
          <w:right w:w="0" w:type="dxa"/>
        </w:tblCellMar>
      </w:tblPr>
      <w:tr>
        <w:trPr>
          <w:trHeight w:val="150"/>
        </w:trPr>
        <w:tc>
          <w:tcPr>
            <w:tcW w:w="300" w:type="dxa"/>
            <w:vAlign w:val="bottom"/>
          </w:tcPr>
          <w:p>
            <w:pPr>
              <w:spacing w:after="0"/>
              <w:rPr>
                <w:sz w:val="13"/>
                <w:szCs w:val="13"/>
                <w:color w:val="auto"/>
              </w:rPr>
            </w:pPr>
          </w:p>
        </w:tc>
        <w:tc>
          <w:tcPr>
            <w:tcW w:w="7880" w:type="dxa"/>
            <w:vAlign w:val="bottom"/>
            <w:gridSpan w:val="2"/>
          </w:tcPr>
          <w:p>
            <w:pPr>
              <w:ind w:left="4980"/>
              <w:spacing w:after="0"/>
              <w:rPr>
                <w:sz w:val="20"/>
                <w:szCs w:val="20"/>
                <w:color w:val="auto"/>
              </w:rPr>
            </w:pPr>
            <w:r>
              <w:rPr>
                <w:rFonts w:ascii="Arial" w:cs="Arial" w:eastAsia="Arial" w:hAnsi="Arial"/>
                <w:sz w:val="12"/>
                <w:szCs w:val="12"/>
                <w:b w:val="1"/>
                <w:bCs w:val="1"/>
                <w:color w:val="auto"/>
              </w:rPr>
              <w:t>EXHIBIT INDEX</w:t>
            </w:r>
          </w:p>
        </w:tc>
      </w:tr>
      <w:tr>
        <w:trPr>
          <w:trHeight w:val="227"/>
        </w:trPr>
        <w:tc>
          <w:tcPr>
            <w:tcW w:w="300" w:type="dxa"/>
            <w:vAlign w:val="bottom"/>
          </w:tcPr>
          <w:p>
            <w:pPr>
              <w:jc w:val="center"/>
              <w:spacing w:after="0"/>
              <w:rPr>
                <w:sz w:val="20"/>
                <w:szCs w:val="20"/>
                <w:color w:val="auto"/>
              </w:rPr>
            </w:pPr>
            <w:r>
              <w:rPr>
                <w:rFonts w:ascii="Arial" w:cs="Arial" w:eastAsia="Arial" w:hAnsi="Arial"/>
                <w:sz w:val="9"/>
                <w:szCs w:val="9"/>
                <w:b w:val="1"/>
                <w:bCs w:val="1"/>
                <w:color w:val="auto"/>
                <w:w w:val="93"/>
              </w:rPr>
              <w:t>Exhibit</w:t>
            </w:r>
          </w:p>
        </w:tc>
        <w:tc>
          <w:tcPr>
            <w:tcW w:w="7400" w:type="dxa"/>
            <w:vAlign w:val="bottom"/>
          </w:tcPr>
          <w:p>
            <w:pPr>
              <w:spacing w:after="0"/>
              <w:rPr>
                <w:sz w:val="19"/>
                <w:szCs w:val="19"/>
                <w:color w:val="auto"/>
              </w:rPr>
            </w:pPr>
          </w:p>
        </w:tc>
        <w:tc>
          <w:tcPr>
            <w:tcW w:w="480" w:type="dxa"/>
            <w:vAlign w:val="bottom"/>
          </w:tcPr>
          <w:p>
            <w:pPr>
              <w:spacing w:after="0"/>
              <w:rPr>
                <w:sz w:val="19"/>
                <w:szCs w:val="19"/>
                <w:color w:val="auto"/>
              </w:rPr>
            </w:pPr>
          </w:p>
        </w:tc>
      </w:tr>
      <w:tr>
        <w:trPr>
          <w:trHeight w:val="108"/>
        </w:trPr>
        <w:tc>
          <w:tcPr>
            <w:tcW w:w="300" w:type="dxa"/>
            <w:vAlign w:val="bottom"/>
            <w:tcBorders>
              <w:bottom w:val="single" w:sz="8" w:color="auto"/>
            </w:tcBorders>
          </w:tcPr>
          <w:p>
            <w:pPr>
              <w:jc w:val="center"/>
              <w:spacing w:after="0"/>
              <w:rPr>
                <w:sz w:val="20"/>
                <w:szCs w:val="20"/>
                <w:color w:val="auto"/>
              </w:rPr>
            </w:pPr>
            <w:r>
              <w:rPr>
                <w:rFonts w:ascii="Arial" w:cs="Arial" w:eastAsia="Arial" w:hAnsi="Arial"/>
                <w:sz w:val="9"/>
                <w:szCs w:val="9"/>
                <w:b w:val="1"/>
                <w:bCs w:val="1"/>
                <w:color w:val="auto"/>
                <w:w w:val="96"/>
              </w:rPr>
              <w:t>No.</w:t>
            </w:r>
          </w:p>
        </w:tc>
        <w:tc>
          <w:tcPr>
            <w:tcW w:w="7400" w:type="dxa"/>
            <w:vAlign w:val="bottom"/>
          </w:tcPr>
          <w:p>
            <w:pPr>
              <w:spacing w:after="0"/>
              <w:rPr>
                <w:sz w:val="9"/>
                <w:szCs w:val="9"/>
                <w:color w:val="auto"/>
              </w:rPr>
            </w:pPr>
          </w:p>
        </w:tc>
        <w:tc>
          <w:tcPr>
            <w:tcW w:w="480" w:type="dxa"/>
            <w:vAlign w:val="bottom"/>
            <w:tcBorders>
              <w:bottom w:val="single" w:sz="8" w:color="auto"/>
            </w:tcBorders>
          </w:tcPr>
          <w:p>
            <w:pPr>
              <w:spacing w:after="0"/>
              <w:rPr>
                <w:sz w:val="20"/>
                <w:szCs w:val="20"/>
                <w:color w:val="auto"/>
              </w:rPr>
            </w:pPr>
            <w:r>
              <w:rPr>
                <w:rFonts w:ascii="Arial" w:cs="Arial" w:eastAsia="Arial" w:hAnsi="Arial"/>
                <w:sz w:val="9"/>
                <w:szCs w:val="9"/>
                <w:b w:val="1"/>
                <w:bCs w:val="1"/>
                <w:color w:val="auto"/>
                <w:w w:val="92"/>
              </w:rPr>
              <w:t>Description</w:t>
            </w:r>
          </w:p>
        </w:tc>
      </w:tr>
    </w:tbl>
    <w:p>
      <w:pPr>
        <w:spacing w:after="0" w:line="66" w:lineRule="exact"/>
        <w:rPr>
          <w:sz w:val="20"/>
          <w:szCs w:val="20"/>
          <w:color w:val="auto"/>
        </w:rPr>
      </w:pPr>
    </w:p>
    <w:p>
      <w:pPr>
        <w:ind w:left="168"/>
        <w:spacing w:after="0"/>
        <w:rPr>
          <w:sz w:val="20"/>
          <w:szCs w:val="20"/>
          <w:color w:val="auto"/>
        </w:rPr>
      </w:pPr>
      <w:r>
        <w:rPr>
          <w:rFonts w:ascii="Arial" w:cs="Arial" w:eastAsia="Arial" w:hAnsi="Arial"/>
          <w:sz w:val="12"/>
          <w:szCs w:val="12"/>
          <w:color w:val="auto"/>
        </w:rPr>
        <w:t>3.1 Second Amended and Restated Articles of Incorporation of the Registrant. (1)</w:t>
      </w:r>
    </w:p>
    <w:p>
      <w:pPr>
        <w:spacing w:after="0" w:line="78" w:lineRule="exact"/>
        <w:rPr>
          <w:sz w:val="20"/>
          <w:szCs w:val="20"/>
          <w:color w:val="auto"/>
        </w:rPr>
      </w:pPr>
    </w:p>
    <w:p>
      <w:pPr>
        <w:ind w:left="168"/>
        <w:spacing w:after="0"/>
        <w:rPr>
          <w:sz w:val="20"/>
          <w:szCs w:val="20"/>
          <w:color w:val="auto"/>
        </w:rPr>
      </w:pPr>
      <w:r>
        <w:rPr>
          <w:rFonts w:ascii="Arial" w:cs="Arial" w:eastAsia="Arial" w:hAnsi="Arial"/>
          <w:sz w:val="12"/>
          <w:szCs w:val="12"/>
          <w:color w:val="auto"/>
        </w:rPr>
        <w:t>3.2 Sixth Amended and Restated Bylaws of the Registrant, as amended. (2)</w:t>
      </w:r>
    </w:p>
    <w:p>
      <w:pPr>
        <w:spacing w:after="0" w:line="78" w:lineRule="exact"/>
        <w:rPr>
          <w:sz w:val="20"/>
          <w:szCs w:val="20"/>
          <w:color w:val="auto"/>
        </w:rPr>
      </w:pPr>
    </w:p>
    <w:p>
      <w:pPr>
        <w:ind w:left="68"/>
        <w:spacing w:after="0"/>
        <w:rPr>
          <w:sz w:val="20"/>
          <w:szCs w:val="20"/>
          <w:color w:val="auto"/>
        </w:rPr>
      </w:pPr>
      <w:r>
        <w:rPr>
          <w:rFonts w:ascii="Arial" w:cs="Arial" w:eastAsia="Arial" w:hAnsi="Arial"/>
          <w:sz w:val="12"/>
          <w:szCs w:val="12"/>
          <w:color w:val="auto"/>
        </w:rPr>
        <w:t>*31.1 Certification of Chief Executive Officer of Periodic Report Pursuant to Rule 13a – 14(a) and</w:t>
      </w:r>
    </w:p>
    <w:p>
      <w:pPr>
        <w:spacing w:after="0" w:line="10" w:lineRule="exact"/>
        <w:rPr>
          <w:sz w:val="20"/>
          <w:szCs w:val="20"/>
          <w:color w:val="auto"/>
        </w:rPr>
      </w:pPr>
    </w:p>
    <w:p>
      <w:pPr>
        <w:ind w:left="348"/>
        <w:spacing w:after="0"/>
        <w:rPr>
          <w:sz w:val="20"/>
          <w:szCs w:val="20"/>
          <w:color w:val="auto"/>
        </w:rPr>
      </w:pPr>
      <w:r>
        <w:rPr>
          <w:rFonts w:ascii="Arial" w:cs="Arial" w:eastAsia="Arial" w:hAnsi="Arial"/>
          <w:sz w:val="12"/>
          <w:szCs w:val="12"/>
          <w:color w:val="auto"/>
        </w:rPr>
        <w:t>Rule 15d – 14(a).</w:t>
      </w:r>
    </w:p>
    <w:p>
      <w:pPr>
        <w:spacing w:after="0" w:line="74" w:lineRule="exact"/>
        <w:rPr>
          <w:sz w:val="20"/>
          <w:szCs w:val="20"/>
          <w:color w:val="auto"/>
        </w:rPr>
      </w:pPr>
    </w:p>
    <w:p>
      <w:pPr>
        <w:ind w:left="68"/>
        <w:spacing w:after="0"/>
        <w:rPr>
          <w:sz w:val="20"/>
          <w:szCs w:val="20"/>
          <w:color w:val="auto"/>
        </w:rPr>
      </w:pPr>
      <w:r>
        <w:rPr>
          <w:rFonts w:ascii="Arial" w:cs="Arial" w:eastAsia="Arial" w:hAnsi="Arial"/>
          <w:sz w:val="12"/>
          <w:szCs w:val="12"/>
          <w:color w:val="auto"/>
        </w:rPr>
        <w:t>*31.2 Certification of Chief Financial Officer of Periodic Report Pursuant to Rule 13a – 14(a) and</w:t>
      </w:r>
    </w:p>
    <w:p>
      <w:pPr>
        <w:spacing w:after="0" w:line="10" w:lineRule="exact"/>
        <w:rPr>
          <w:sz w:val="20"/>
          <w:szCs w:val="20"/>
          <w:color w:val="auto"/>
        </w:rPr>
      </w:pPr>
    </w:p>
    <w:p>
      <w:pPr>
        <w:ind w:left="348"/>
        <w:spacing w:after="0"/>
        <w:rPr>
          <w:sz w:val="20"/>
          <w:szCs w:val="20"/>
          <w:color w:val="auto"/>
        </w:rPr>
      </w:pPr>
      <w:r>
        <w:rPr>
          <w:rFonts w:ascii="Arial" w:cs="Arial" w:eastAsia="Arial" w:hAnsi="Arial"/>
          <w:sz w:val="12"/>
          <w:szCs w:val="12"/>
          <w:color w:val="auto"/>
        </w:rPr>
        <w:t>Rule 15d – 14(a).</w:t>
      </w:r>
    </w:p>
    <w:p>
      <w:pPr>
        <w:spacing w:after="0" w:line="74" w:lineRule="exact"/>
        <w:rPr>
          <w:sz w:val="20"/>
          <w:szCs w:val="20"/>
          <w:color w:val="auto"/>
        </w:rPr>
      </w:pPr>
    </w:p>
    <w:p>
      <w:pPr>
        <w:ind w:left="68"/>
        <w:spacing w:after="0"/>
        <w:tabs>
          <w:tab w:leader="none" w:pos="328" w:val="left"/>
        </w:tabs>
        <w:rPr>
          <w:sz w:val="20"/>
          <w:szCs w:val="20"/>
          <w:color w:val="auto"/>
        </w:rPr>
      </w:pPr>
      <w:r>
        <w:rPr>
          <w:rFonts w:ascii="Arial" w:cs="Arial" w:eastAsia="Arial" w:hAnsi="Arial"/>
          <w:sz w:val="12"/>
          <w:szCs w:val="12"/>
          <w:color w:val="auto"/>
        </w:rPr>
        <w:t>*32</w:t>
      </w:r>
      <w:r>
        <w:rPr>
          <w:sz w:val="20"/>
          <w:szCs w:val="20"/>
          <w:color w:val="auto"/>
        </w:rPr>
        <w:tab/>
      </w:r>
      <w:r>
        <w:rPr>
          <w:rFonts w:ascii="Arial" w:cs="Arial" w:eastAsia="Arial" w:hAnsi="Arial"/>
          <w:sz w:val="9"/>
          <w:szCs w:val="9"/>
          <w:color w:val="auto"/>
        </w:rPr>
        <w:t>Certification of CEO and CFO Pursuant to 18 U.S.C. Section 1350.</w:t>
      </w:r>
    </w:p>
    <w:p>
      <w:pPr>
        <w:spacing w:after="0" w:line="78" w:lineRule="exact"/>
        <w:rPr>
          <w:sz w:val="20"/>
          <w:szCs w:val="20"/>
          <w:color w:val="auto"/>
        </w:rPr>
      </w:pPr>
    </w:p>
    <w:p>
      <w:pPr>
        <w:ind w:left="348" w:hanging="339"/>
        <w:spacing w:after="0" w:line="386" w:lineRule="auto"/>
        <w:tabs>
          <w:tab w:leader="none" w:pos="328" w:val="left"/>
        </w:tabs>
        <w:rPr>
          <w:sz w:val="20"/>
          <w:szCs w:val="20"/>
          <w:color w:val="auto"/>
        </w:rPr>
      </w:pPr>
      <w:r>
        <w:rPr>
          <w:rFonts w:ascii="Arial" w:cs="Arial" w:eastAsia="Arial" w:hAnsi="Arial"/>
          <w:sz w:val="9"/>
          <w:szCs w:val="9"/>
          <w:color w:val="auto"/>
        </w:rPr>
        <w:t>*101</w:t>
        <w:tab/>
        <w:t>The following financial information from the Company’s Quarterly Report on Form 10-Q for the quarter ended September 30, 2013, filed with the SEC on November 12, 2013 formatted in Extensible Business Reporting Language (XBRL) December 31, 2012, (ii) the Condensed Consolidated Statements of Income for the three and nine months ended September 30, 2013 and 2012, (iii) the Condensed Consolidated Statements of Comprehensive Income for the three and nine Statements of Cash Flows for the nine months ended September 30, 2013 and 2012, (v) the Condensed Consolidated Statement of Stockholders’ Equity at September 30, 2013 and (vi) Notes to Condensed Consolidated Financial Statement</w:t>
      </w:r>
    </w:p>
    <w:p>
      <w:pPr>
        <w:spacing w:after="0" w:line="5" w:lineRule="exact"/>
        <w:rPr>
          <w:sz w:val="20"/>
          <w:szCs w:val="20"/>
          <w:color w:val="auto"/>
        </w:rPr>
      </w:pPr>
    </w:p>
    <w:p>
      <w:pPr>
        <w:ind w:left="8"/>
        <w:spacing w:after="0"/>
        <w:rPr>
          <w:sz w:val="20"/>
          <w:szCs w:val="20"/>
          <w:color w:val="auto"/>
        </w:rPr>
      </w:pPr>
      <w:r>
        <w:rPr>
          <w:rFonts w:ascii="Arial" w:cs="Arial" w:eastAsia="Arial" w:hAnsi="Arial"/>
          <w:sz w:val="9"/>
          <w:szCs w:val="9"/>
          <w:color w:val="auto"/>
        </w:rPr>
        <w:t>Wynn Resorts, Limited agrees to furnish to the U.S. Securities and Exchange Commission, upon request, a copy of each agreement with respect to long-term debt not filed herewith in reliance upon the exemption from filing applicable to any serie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75565</wp:posOffset>
            </wp:positionV>
            <wp:extent cx="732155" cy="571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32155" cy="5715"/>
                    </a:xfrm>
                    <a:prstGeom prst="rect">
                      <a:avLst/>
                    </a:prstGeom>
                    <a:noFill/>
                  </pic:spPr>
                </pic:pic>
              </a:graphicData>
            </a:graphic>
          </wp:anchor>
        </w:drawing>
      </w:r>
    </w:p>
    <w:p>
      <w:pPr>
        <w:spacing w:after="0" w:line="120" w:lineRule="exact"/>
        <w:rPr>
          <w:sz w:val="20"/>
          <w:szCs w:val="20"/>
          <w:color w:val="auto"/>
        </w:rPr>
      </w:pPr>
    </w:p>
    <w:p>
      <w:pPr>
        <w:ind w:left="468" w:hanging="468"/>
        <w:spacing w:after="0"/>
        <w:tabs>
          <w:tab w:leader="none" w:pos="468" w:val="left"/>
        </w:tabs>
        <w:numPr>
          <w:ilvl w:val="0"/>
          <w:numId w:val="24"/>
        </w:numPr>
        <w:rPr>
          <w:rFonts w:ascii="Arial" w:cs="Arial" w:eastAsia="Arial" w:hAnsi="Arial"/>
          <w:sz w:val="12"/>
          <w:szCs w:val="12"/>
          <w:color w:val="auto"/>
        </w:rPr>
      </w:pPr>
      <w:r>
        <w:rPr>
          <w:rFonts w:ascii="Arial" w:cs="Arial" w:eastAsia="Arial" w:hAnsi="Arial"/>
          <w:sz w:val="12"/>
          <w:szCs w:val="12"/>
          <w:color w:val="auto"/>
        </w:rPr>
        <w:t>Filed herewith.</w:t>
      </w:r>
    </w:p>
    <w:p>
      <w:pPr>
        <w:spacing w:after="0" w:line="10" w:lineRule="exact"/>
        <w:rPr>
          <w:sz w:val="20"/>
          <w:szCs w:val="20"/>
          <w:color w:val="auto"/>
        </w:rPr>
      </w:pPr>
    </w:p>
    <w:p>
      <w:pPr>
        <w:ind w:left="468" w:hanging="468"/>
        <w:spacing w:after="0"/>
        <w:tabs>
          <w:tab w:leader="none" w:pos="468" w:val="left"/>
        </w:tabs>
        <w:numPr>
          <w:ilvl w:val="0"/>
          <w:numId w:val="25"/>
        </w:numPr>
        <w:rPr>
          <w:rFonts w:ascii="Arial" w:cs="Arial" w:eastAsia="Arial" w:hAnsi="Arial"/>
          <w:sz w:val="12"/>
          <w:szCs w:val="12"/>
          <w:color w:val="auto"/>
        </w:rPr>
      </w:pPr>
      <w:r>
        <w:rPr>
          <w:rFonts w:ascii="Arial" w:cs="Arial" w:eastAsia="Arial" w:hAnsi="Arial"/>
          <w:sz w:val="12"/>
          <w:szCs w:val="12"/>
          <w:color w:val="auto"/>
        </w:rPr>
        <w:t>Previously filed with Amendment No. 4 to the Form S-1 filed by the Registrant on October 7, 2002 (File No. 333-90600) and incorporated herein by reference.</w:t>
      </w:r>
    </w:p>
    <w:p>
      <w:pPr>
        <w:spacing w:after="0" w:line="6" w:lineRule="exact"/>
        <w:rPr>
          <w:rFonts w:ascii="Arial" w:cs="Arial" w:eastAsia="Arial" w:hAnsi="Arial"/>
          <w:sz w:val="12"/>
          <w:szCs w:val="12"/>
          <w:color w:val="auto"/>
        </w:rPr>
      </w:pPr>
    </w:p>
    <w:p>
      <w:pPr>
        <w:ind w:left="468" w:hanging="468"/>
        <w:spacing w:after="0"/>
        <w:tabs>
          <w:tab w:leader="none" w:pos="468" w:val="left"/>
        </w:tabs>
        <w:numPr>
          <w:ilvl w:val="0"/>
          <w:numId w:val="25"/>
        </w:numPr>
        <w:rPr>
          <w:rFonts w:ascii="Arial" w:cs="Arial" w:eastAsia="Arial" w:hAnsi="Arial"/>
          <w:sz w:val="12"/>
          <w:szCs w:val="12"/>
          <w:color w:val="auto"/>
        </w:rPr>
      </w:pPr>
      <w:r>
        <w:rPr>
          <w:rFonts w:ascii="Arial" w:cs="Arial" w:eastAsia="Arial" w:hAnsi="Arial"/>
          <w:sz w:val="12"/>
          <w:szCs w:val="12"/>
          <w:color w:val="auto"/>
        </w:rPr>
        <w:t>Previously filed with the Current Report on Form 8-K filed by the Registrant on September 12, 2013 and incorporated herein by reference.</w:t>
      </w:r>
    </w:p>
    <w:p>
      <w:pPr>
        <w:spacing w:after="0" w:line="101" w:lineRule="exact"/>
        <w:rPr>
          <w:sz w:val="20"/>
          <w:szCs w:val="20"/>
          <w:color w:val="auto"/>
        </w:rPr>
      </w:pPr>
    </w:p>
    <w:p>
      <w:pPr>
        <w:jc w:val="center"/>
        <w:ind w:right="52"/>
        <w:spacing w:after="0"/>
        <w:rPr>
          <w:sz w:val="20"/>
          <w:szCs w:val="20"/>
          <w:color w:val="auto"/>
        </w:rPr>
      </w:pPr>
      <w:r>
        <w:rPr>
          <w:rFonts w:ascii="Arial" w:cs="Arial" w:eastAsia="Arial" w:hAnsi="Arial"/>
          <w:sz w:val="12"/>
          <w:szCs w:val="12"/>
          <w:color w:val="auto"/>
        </w:rPr>
        <w:t>55</w:t>
      </w:r>
    </w:p>
    <w:p>
      <w:pPr>
        <w:sectPr>
          <w:pgSz w:w="11900" w:h="16838" w:orient="portrait"/>
          <w:cols w:equalWidth="0" w:num="1">
            <w:col w:w="11548"/>
          </w:cols>
          <w:pgMar w:left="212" w:top="354" w:right="139" w:bottom="1440" w:gutter="0" w:footer="0" w:header="0"/>
        </w:sectPr>
      </w:pPr>
    </w:p>
    <w:bookmarkStart w:id="55" w:name="page56"/>
    <w:bookmarkEnd w:id="55"/>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121920</wp:posOffset>
            </wp:positionH>
            <wp:positionV relativeFrom="page">
              <wp:posOffset>88900</wp:posOffset>
            </wp:positionV>
            <wp:extent cx="7329170" cy="298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329170" cy="29845"/>
                    </a:xfrm>
                    <a:prstGeom prst="rect">
                      <a:avLst/>
                    </a:prstGeom>
                    <a:noFill/>
                  </pic:spPr>
                </pic:pic>
              </a:graphicData>
            </a:graphic>
          </wp:anchor>
        </w:drawing>
      </w:r>
      <w:hyperlink w:anchor="page2">
        <w:r>
          <w:rPr>
            <w:rFonts w:ascii="Arial" w:cs="Arial" w:eastAsia="Arial" w:hAnsi="Arial"/>
            <w:sz w:val="12"/>
            <w:szCs w:val="12"/>
            <w:b w:val="1"/>
            <w:bCs w:val="1"/>
            <w:u w:val="single" w:color="auto"/>
            <w:color w:val="0000EE"/>
          </w:rPr>
          <w:t>Table of Contents</w:t>
        </w:r>
      </w:hyperlink>
    </w:p>
    <w:p>
      <w:pPr>
        <w:spacing w:after="0" w:line="207" w:lineRule="exact"/>
        <w:rPr>
          <w:sz w:val="20"/>
          <w:szCs w:val="20"/>
          <w:color w:val="auto"/>
        </w:rPr>
      </w:pPr>
    </w:p>
    <w:p>
      <w:pPr>
        <w:ind w:left="5400"/>
        <w:spacing w:after="0"/>
        <w:rPr>
          <w:sz w:val="20"/>
          <w:szCs w:val="20"/>
          <w:color w:val="auto"/>
        </w:rPr>
      </w:pPr>
      <w:r>
        <w:rPr>
          <w:rFonts w:ascii="Arial" w:cs="Arial" w:eastAsia="Arial" w:hAnsi="Arial"/>
          <w:sz w:val="12"/>
          <w:szCs w:val="12"/>
          <w:b w:val="1"/>
          <w:bCs w:val="1"/>
          <w:color w:val="auto"/>
        </w:rPr>
        <w:t>SIGNATURE</w:t>
      </w:r>
    </w:p>
    <w:p>
      <w:pPr>
        <w:spacing w:after="0" w:line="116" w:lineRule="exact"/>
        <w:rPr>
          <w:sz w:val="20"/>
          <w:szCs w:val="20"/>
          <w:color w:val="auto"/>
        </w:rPr>
      </w:pPr>
    </w:p>
    <w:p>
      <w:pPr>
        <w:ind w:left="460"/>
        <w:spacing w:after="0"/>
        <w:rPr>
          <w:sz w:val="20"/>
          <w:szCs w:val="20"/>
          <w:color w:val="auto"/>
        </w:rPr>
      </w:pPr>
      <w:r>
        <w:rPr>
          <w:rFonts w:ascii="Arial" w:cs="Arial" w:eastAsia="Arial" w:hAnsi="Arial"/>
          <w:sz w:val="9"/>
          <w:szCs w:val="9"/>
          <w:color w:val="auto"/>
        </w:rPr>
        <w:t>Pursuant to the requirements of the Securities Exchange Act of 1934, the Registrant has duly caused this report to be signed on its behalf by the undersigned, thereunto duly authorized.</w:t>
      </w:r>
    </w:p>
    <w:p>
      <w:pPr>
        <w:spacing w:after="0" w:line="174" w:lineRule="exact"/>
        <w:rPr>
          <w:sz w:val="20"/>
          <w:szCs w:val="20"/>
          <w:color w:val="auto"/>
        </w:rPr>
      </w:pPr>
    </w:p>
    <w:p>
      <w:pPr>
        <w:ind w:left="6480"/>
        <w:spacing w:after="0"/>
        <w:rPr>
          <w:sz w:val="20"/>
          <w:szCs w:val="20"/>
          <w:color w:val="auto"/>
        </w:rPr>
      </w:pPr>
      <w:r>
        <w:rPr>
          <w:rFonts w:ascii="Arial" w:cs="Arial" w:eastAsia="Arial" w:hAnsi="Arial"/>
          <w:sz w:val="12"/>
          <w:szCs w:val="12"/>
          <w:b w:val="1"/>
          <w:bCs w:val="1"/>
          <w:color w:val="auto"/>
        </w:rPr>
        <w:t>WYNN RESORTS, LIMITED</w:t>
      </w:r>
    </w:p>
    <w:p>
      <w:pPr>
        <w:spacing w:after="0" w:line="152" w:lineRule="exact"/>
        <w:rPr>
          <w:sz w:val="20"/>
          <w:szCs w:val="20"/>
          <w:color w:val="auto"/>
        </w:rPr>
      </w:pPr>
    </w:p>
    <w:p>
      <w:pPr>
        <w:spacing w:after="0"/>
        <w:tabs>
          <w:tab w:leader="none" w:pos="5960" w:val="left"/>
          <w:tab w:leader="none" w:pos="6460" w:val="left"/>
        </w:tabs>
        <w:rPr>
          <w:sz w:val="20"/>
          <w:szCs w:val="20"/>
          <w:color w:val="auto"/>
        </w:rPr>
      </w:pPr>
      <w:r>
        <w:rPr>
          <w:rFonts w:ascii="Arial" w:cs="Arial" w:eastAsia="Arial" w:hAnsi="Arial"/>
          <w:sz w:val="12"/>
          <w:szCs w:val="12"/>
          <w:color w:val="auto"/>
        </w:rPr>
        <w:t>Dated: November 12, 2013</w:t>
      </w:r>
      <w:r>
        <w:rPr>
          <w:sz w:val="20"/>
          <w:szCs w:val="20"/>
          <w:color w:val="auto"/>
        </w:rPr>
        <w:tab/>
      </w:r>
      <w:r>
        <w:rPr>
          <w:rFonts w:ascii="Arial" w:cs="Arial" w:eastAsia="Arial" w:hAnsi="Arial"/>
          <w:sz w:val="12"/>
          <w:szCs w:val="12"/>
          <w:color w:val="auto"/>
        </w:rPr>
        <w:t>By:</w:t>
      </w:r>
      <w:r>
        <w:rPr>
          <w:sz w:val="20"/>
          <w:szCs w:val="20"/>
          <w:color w:val="auto"/>
        </w:rPr>
        <w:tab/>
      </w:r>
      <w:r>
        <w:rPr>
          <w:rFonts w:ascii="Arial" w:cs="Arial" w:eastAsia="Arial" w:hAnsi="Arial"/>
          <w:sz w:val="9"/>
          <w:szCs w:val="9"/>
          <w:color w:val="auto"/>
        </w:rPr>
        <w:t>/s/ Matt Maddox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4078605</wp:posOffset>
            </wp:positionH>
            <wp:positionV relativeFrom="paragraph">
              <wp:posOffset>7620</wp:posOffset>
            </wp:positionV>
            <wp:extent cx="3208655" cy="571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3208655" cy="5715"/>
                    </a:xfrm>
                    <a:prstGeom prst="rect">
                      <a:avLst/>
                    </a:prstGeom>
                    <a:noFill/>
                  </pic:spPr>
                </pic:pic>
              </a:graphicData>
            </a:graphic>
          </wp:anchor>
        </w:drawing>
      </w:r>
    </w:p>
    <w:p>
      <w:pPr>
        <w:spacing w:after="0" w:line="4" w:lineRule="exact"/>
        <w:rPr>
          <w:sz w:val="20"/>
          <w:szCs w:val="20"/>
          <w:color w:val="auto"/>
        </w:rPr>
      </w:pPr>
    </w:p>
    <w:p>
      <w:pPr>
        <w:ind w:left="5980"/>
        <w:spacing w:after="0"/>
        <w:rPr>
          <w:sz w:val="20"/>
          <w:szCs w:val="20"/>
          <w:color w:val="auto"/>
        </w:rPr>
      </w:pPr>
      <w:r>
        <w:rPr>
          <w:rFonts w:ascii="Arial" w:cs="Arial" w:eastAsia="Arial" w:hAnsi="Arial"/>
          <w:sz w:val="12"/>
          <w:szCs w:val="12"/>
          <w:color w:val="auto"/>
        </w:rPr>
        <w:t>Matt Maddox</w:t>
      </w:r>
    </w:p>
    <w:p>
      <w:pPr>
        <w:spacing w:after="0" w:line="10" w:lineRule="exact"/>
        <w:rPr>
          <w:sz w:val="20"/>
          <w:szCs w:val="20"/>
          <w:color w:val="auto"/>
        </w:rPr>
      </w:pPr>
    </w:p>
    <w:p>
      <w:pPr>
        <w:ind w:left="5980"/>
        <w:spacing w:after="0"/>
        <w:rPr>
          <w:sz w:val="20"/>
          <w:szCs w:val="20"/>
          <w:color w:val="auto"/>
        </w:rPr>
      </w:pPr>
      <w:r>
        <w:rPr>
          <w:rFonts w:ascii="Arial" w:cs="Arial" w:eastAsia="Arial" w:hAnsi="Arial"/>
          <w:sz w:val="12"/>
          <w:szCs w:val="12"/>
          <w:color w:val="auto"/>
        </w:rPr>
        <w:t>President, Chief Financial Officer and Treasurer</w:t>
      </w:r>
    </w:p>
    <w:p>
      <w:pPr>
        <w:spacing w:after="0" w:line="6" w:lineRule="exact"/>
        <w:rPr>
          <w:sz w:val="20"/>
          <w:szCs w:val="20"/>
          <w:color w:val="auto"/>
        </w:rPr>
      </w:pPr>
    </w:p>
    <w:p>
      <w:pPr>
        <w:ind w:left="5980"/>
        <w:spacing w:after="0"/>
        <w:rPr>
          <w:sz w:val="20"/>
          <w:szCs w:val="20"/>
          <w:color w:val="auto"/>
        </w:rPr>
      </w:pPr>
      <w:r>
        <w:rPr>
          <w:rFonts w:ascii="Arial" w:cs="Arial" w:eastAsia="Arial" w:hAnsi="Arial"/>
          <w:sz w:val="12"/>
          <w:szCs w:val="12"/>
          <w:color w:val="auto"/>
        </w:rPr>
        <w:t>(Principal Financial Officer)</w:t>
      </w:r>
    </w:p>
    <w:p>
      <w:pPr>
        <w:spacing w:after="0" w:line="101" w:lineRule="exact"/>
        <w:rPr>
          <w:sz w:val="20"/>
          <w:szCs w:val="20"/>
          <w:color w:val="auto"/>
        </w:rPr>
      </w:pPr>
    </w:p>
    <w:p>
      <w:pPr>
        <w:ind w:left="5680"/>
        <w:spacing w:after="0"/>
        <w:rPr>
          <w:sz w:val="20"/>
          <w:szCs w:val="20"/>
          <w:color w:val="auto"/>
        </w:rPr>
      </w:pPr>
      <w:r>
        <w:rPr>
          <w:rFonts w:ascii="Arial" w:cs="Arial" w:eastAsia="Arial" w:hAnsi="Arial"/>
          <w:sz w:val="12"/>
          <w:szCs w:val="12"/>
          <w:color w:val="auto"/>
        </w:rPr>
        <w:t>56</w:t>
      </w:r>
    </w:p>
    <w:p>
      <w:pPr>
        <w:sectPr>
          <w:pgSz w:w="11900" w:h="16838" w:orient="portrait"/>
          <w:cols w:equalWidth="0" w:num="1">
            <w:col w:w="10239"/>
          </w:cols>
          <w:pgMar w:left="220" w:top="354" w:right="1440" w:bottom="1440" w:gutter="0" w:footer="0" w:header="0"/>
        </w:sectPr>
      </w:pPr>
    </w:p>
    <w:bookmarkStart w:id="56" w:name="page57"/>
    <w:bookmarkEnd w:id="56"/>
    <w:p>
      <w:pPr>
        <w:jc w:val="right"/>
        <w:spacing w:after="0"/>
        <w:rPr>
          <w:sz w:val="20"/>
          <w:szCs w:val="20"/>
          <w:color w:val="auto"/>
        </w:rPr>
      </w:pPr>
      <w:r>
        <w:rPr>
          <w:rFonts w:ascii="Arial" w:cs="Arial" w:eastAsia="Arial" w:hAnsi="Arial"/>
          <w:sz w:val="12"/>
          <w:szCs w:val="12"/>
          <w:b w:val="1"/>
          <w:bCs w:val="1"/>
          <w:color w:val="auto"/>
        </w:rPr>
        <w:t>Exhibit 31.1</w:t>
      </w:r>
    </w:p>
    <w:p>
      <w:pPr>
        <w:spacing w:after="0" w:line="114" w:lineRule="exact"/>
        <w:rPr>
          <w:sz w:val="20"/>
          <w:szCs w:val="20"/>
          <w:color w:val="auto"/>
        </w:rPr>
      </w:pPr>
    </w:p>
    <w:p>
      <w:pPr>
        <w:jc w:val="center"/>
        <w:ind w:right="-7"/>
        <w:spacing w:after="0"/>
        <w:rPr>
          <w:sz w:val="20"/>
          <w:szCs w:val="20"/>
          <w:color w:val="auto"/>
        </w:rPr>
      </w:pPr>
      <w:r>
        <w:rPr>
          <w:rFonts w:ascii="Arial" w:cs="Arial" w:eastAsia="Arial" w:hAnsi="Arial"/>
          <w:sz w:val="12"/>
          <w:szCs w:val="12"/>
          <w:b w:val="1"/>
          <w:bCs w:val="1"/>
          <w:color w:val="auto"/>
        </w:rPr>
        <w:t>Certification of the Chief Executive Officer</w:t>
      </w:r>
    </w:p>
    <w:p>
      <w:pPr>
        <w:spacing w:after="0" w:line="12" w:lineRule="exact"/>
        <w:rPr>
          <w:sz w:val="20"/>
          <w:szCs w:val="20"/>
          <w:color w:val="auto"/>
        </w:rPr>
      </w:pPr>
    </w:p>
    <w:p>
      <w:pPr>
        <w:jc w:val="center"/>
        <w:ind w:right="-7"/>
        <w:spacing w:after="0"/>
        <w:rPr>
          <w:sz w:val="20"/>
          <w:szCs w:val="20"/>
          <w:color w:val="auto"/>
        </w:rPr>
      </w:pPr>
      <w:r>
        <w:rPr>
          <w:rFonts w:ascii="Arial" w:cs="Arial" w:eastAsia="Arial" w:hAnsi="Arial"/>
          <w:sz w:val="12"/>
          <w:szCs w:val="12"/>
          <w:b w:val="1"/>
          <w:bCs w:val="1"/>
          <w:color w:val="auto"/>
        </w:rPr>
        <w:t>Pursuant to Section 302 of the Sarbanes-Oxley Act of 2002</w:t>
      </w:r>
    </w:p>
    <w:p>
      <w:pPr>
        <w:spacing w:after="0" w:line="110" w:lineRule="exact"/>
        <w:rPr>
          <w:sz w:val="20"/>
          <w:szCs w:val="20"/>
          <w:color w:val="auto"/>
        </w:rPr>
      </w:pPr>
    </w:p>
    <w:p>
      <w:pPr>
        <w:ind w:left="8"/>
        <w:spacing w:after="0"/>
        <w:rPr>
          <w:sz w:val="20"/>
          <w:szCs w:val="20"/>
          <w:color w:val="auto"/>
        </w:rPr>
      </w:pPr>
      <w:r>
        <w:rPr>
          <w:rFonts w:ascii="Arial" w:cs="Arial" w:eastAsia="Arial" w:hAnsi="Arial"/>
          <w:sz w:val="12"/>
          <w:szCs w:val="12"/>
          <w:color w:val="auto"/>
        </w:rPr>
        <w:t>I, Stephen A. Wynn, certify that:</w:t>
      </w:r>
    </w:p>
    <w:p>
      <w:pPr>
        <w:spacing w:after="0" w:line="60" w:lineRule="exact"/>
        <w:rPr>
          <w:sz w:val="20"/>
          <w:szCs w:val="20"/>
          <w:color w:val="auto"/>
        </w:rPr>
      </w:pPr>
    </w:p>
    <w:p>
      <w:pPr>
        <w:ind w:left="468" w:hanging="468"/>
        <w:spacing w:after="0"/>
        <w:tabs>
          <w:tab w:leader="none" w:pos="468" w:val="left"/>
        </w:tabs>
        <w:numPr>
          <w:ilvl w:val="0"/>
          <w:numId w:val="26"/>
        </w:numPr>
        <w:rPr>
          <w:rFonts w:ascii="Arial" w:cs="Arial" w:eastAsia="Arial" w:hAnsi="Arial"/>
          <w:sz w:val="12"/>
          <w:szCs w:val="12"/>
          <w:color w:val="auto"/>
        </w:rPr>
      </w:pPr>
      <w:r>
        <w:rPr>
          <w:rFonts w:ascii="Arial" w:cs="Arial" w:eastAsia="Arial" w:hAnsi="Arial"/>
          <w:sz w:val="12"/>
          <w:szCs w:val="12"/>
          <w:color w:val="auto"/>
        </w:rPr>
        <w:t>I have reviewed this Quarterly Report on Form 10-Q of Wynn Resorts, Limited;</w:t>
      </w:r>
    </w:p>
    <w:p>
      <w:pPr>
        <w:spacing w:after="0" w:line="60" w:lineRule="exact"/>
        <w:rPr>
          <w:rFonts w:ascii="Arial" w:cs="Arial" w:eastAsia="Arial" w:hAnsi="Arial"/>
          <w:sz w:val="12"/>
          <w:szCs w:val="12"/>
          <w:color w:val="auto"/>
        </w:rPr>
      </w:pPr>
    </w:p>
    <w:p>
      <w:pPr>
        <w:ind w:left="468" w:right="80" w:hanging="468"/>
        <w:spacing w:after="0" w:line="268" w:lineRule="auto"/>
        <w:tabs>
          <w:tab w:leader="none" w:pos="468" w:val="left"/>
        </w:tabs>
        <w:numPr>
          <w:ilvl w:val="0"/>
          <w:numId w:val="26"/>
        </w:numPr>
        <w:rPr>
          <w:rFonts w:ascii="Arial" w:cs="Arial" w:eastAsia="Arial" w:hAnsi="Arial"/>
          <w:sz w:val="12"/>
          <w:szCs w:val="12"/>
          <w:color w:val="auto"/>
        </w:rPr>
      </w:pPr>
      <w:r>
        <w:rPr>
          <w:rFonts w:ascii="Arial" w:cs="Arial" w:eastAsia="Arial" w:hAnsi="Arial"/>
          <w:sz w:val="12"/>
          <w:szCs w:val="12"/>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34" w:lineRule="exact"/>
        <w:rPr>
          <w:rFonts w:ascii="Arial" w:cs="Arial" w:eastAsia="Arial" w:hAnsi="Arial"/>
          <w:sz w:val="12"/>
          <w:szCs w:val="12"/>
          <w:color w:val="auto"/>
        </w:rPr>
      </w:pPr>
    </w:p>
    <w:p>
      <w:pPr>
        <w:ind w:left="468" w:right="100" w:hanging="468"/>
        <w:spacing w:after="0" w:line="268" w:lineRule="auto"/>
        <w:tabs>
          <w:tab w:leader="none" w:pos="468" w:val="left"/>
        </w:tabs>
        <w:numPr>
          <w:ilvl w:val="0"/>
          <w:numId w:val="26"/>
        </w:numPr>
        <w:rPr>
          <w:rFonts w:ascii="Arial" w:cs="Arial" w:eastAsia="Arial" w:hAnsi="Arial"/>
          <w:sz w:val="12"/>
          <w:szCs w:val="12"/>
          <w:color w:val="auto"/>
        </w:rPr>
      </w:pPr>
      <w:r>
        <w:rPr>
          <w:rFonts w:ascii="Arial" w:cs="Arial" w:eastAsia="Arial" w:hAnsi="Arial"/>
          <w:sz w:val="12"/>
          <w:szCs w:val="12"/>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4" w:lineRule="exact"/>
        <w:rPr>
          <w:rFonts w:ascii="Arial" w:cs="Arial" w:eastAsia="Arial" w:hAnsi="Arial"/>
          <w:sz w:val="12"/>
          <w:szCs w:val="12"/>
          <w:color w:val="auto"/>
        </w:rPr>
      </w:pPr>
    </w:p>
    <w:p>
      <w:pPr>
        <w:ind w:left="468" w:right="60" w:hanging="468"/>
        <w:spacing w:after="0" w:line="268" w:lineRule="auto"/>
        <w:tabs>
          <w:tab w:leader="none" w:pos="468" w:val="left"/>
        </w:tabs>
        <w:numPr>
          <w:ilvl w:val="0"/>
          <w:numId w:val="26"/>
        </w:numPr>
        <w:rPr>
          <w:rFonts w:ascii="Arial" w:cs="Arial" w:eastAsia="Arial" w:hAnsi="Arial"/>
          <w:sz w:val="12"/>
          <w:szCs w:val="12"/>
          <w:color w:val="auto"/>
        </w:rPr>
      </w:pPr>
      <w:r>
        <w:rPr>
          <w:rFonts w:ascii="Arial" w:cs="Arial" w:eastAsia="Arial" w:hAnsi="Arial"/>
          <w:sz w:val="12"/>
          <w:szCs w:val="12"/>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34" w:lineRule="exact"/>
        <w:rPr>
          <w:rFonts w:ascii="Arial" w:cs="Arial" w:eastAsia="Arial" w:hAnsi="Arial"/>
          <w:sz w:val="12"/>
          <w:szCs w:val="12"/>
          <w:color w:val="auto"/>
        </w:rPr>
      </w:pPr>
    </w:p>
    <w:p>
      <w:pPr>
        <w:ind w:left="928" w:right="600" w:hanging="469"/>
        <w:spacing w:after="0" w:line="268" w:lineRule="auto"/>
        <w:tabs>
          <w:tab w:leader="none" w:pos="928" w:val="left"/>
        </w:tabs>
        <w:numPr>
          <w:ilvl w:val="1"/>
          <w:numId w:val="26"/>
        </w:numPr>
        <w:rPr>
          <w:rFonts w:ascii="Arial" w:cs="Arial" w:eastAsia="Arial" w:hAnsi="Arial"/>
          <w:sz w:val="12"/>
          <w:szCs w:val="12"/>
          <w:color w:val="auto"/>
        </w:rPr>
      </w:pPr>
      <w:r>
        <w:rPr>
          <w:rFonts w:ascii="Arial" w:cs="Arial" w:eastAsia="Arial" w:hAnsi="Arial"/>
          <w:sz w:val="12"/>
          <w:szCs w:val="12"/>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34" w:lineRule="exact"/>
        <w:rPr>
          <w:rFonts w:ascii="Arial" w:cs="Arial" w:eastAsia="Arial" w:hAnsi="Arial"/>
          <w:sz w:val="12"/>
          <w:szCs w:val="12"/>
          <w:color w:val="auto"/>
        </w:rPr>
      </w:pPr>
    </w:p>
    <w:p>
      <w:pPr>
        <w:ind w:left="928" w:right="360" w:hanging="469"/>
        <w:spacing w:after="0" w:line="268" w:lineRule="auto"/>
        <w:tabs>
          <w:tab w:leader="none" w:pos="928" w:val="left"/>
        </w:tabs>
        <w:numPr>
          <w:ilvl w:val="1"/>
          <w:numId w:val="26"/>
        </w:numPr>
        <w:rPr>
          <w:rFonts w:ascii="Arial" w:cs="Arial" w:eastAsia="Arial" w:hAnsi="Arial"/>
          <w:sz w:val="12"/>
          <w:szCs w:val="12"/>
          <w:color w:val="auto"/>
        </w:rPr>
      </w:pPr>
      <w:r>
        <w:rPr>
          <w:rFonts w:ascii="Arial" w:cs="Arial" w:eastAsia="Arial" w:hAnsi="Arial"/>
          <w:sz w:val="12"/>
          <w:szCs w:val="12"/>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34" w:lineRule="exact"/>
        <w:rPr>
          <w:rFonts w:ascii="Arial" w:cs="Arial" w:eastAsia="Arial" w:hAnsi="Arial"/>
          <w:sz w:val="12"/>
          <w:szCs w:val="12"/>
          <w:color w:val="auto"/>
        </w:rPr>
      </w:pPr>
    </w:p>
    <w:p>
      <w:pPr>
        <w:ind w:left="928" w:right="380" w:hanging="469"/>
        <w:spacing w:after="0" w:line="268" w:lineRule="auto"/>
        <w:tabs>
          <w:tab w:leader="none" w:pos="928" w:val="left"/>
        </w:tabs>
        <w:numPr>
          <w:ilvl w:val="1"/>
          <w:numId w:val="26"/>
        </w:numPr>
        <w:rPr>
          <w:rFonts w:ascii="Arial" w:cs="Arial" w:eastAsia="Arial" w:hAnsi="Arial"/>
          <w:sz w:val="12"/>
          <w:szCs w:val="12"/>
          <w:color w:val="auto"/>
        </w:rPr>
      </w:pPr>
      <w:r>
        <w:rPr>
          <w:rFonts w:ascii="Arial" w:cs="Arial" w:eastAsia="Arial" w:hAnsi="Arial"/>
          <w:sz w:val="12"/>
          <w:szCs w:val="12"/>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34" w:lineRule="exact"/>
        <w:rPr>
          <w:rFonts w:ascii="Arial" w:cs="Arial" w:eastAsia="Arial" w:hAnsi="Arial"/>
          <w:sz w:val="12"/>
          <w:szCs w:val="12"/>
          <w:color w:val="auto"/>
        </w:rPr>
      </w:pPr>
    </w:p>
    <w:p>
      <w:pPr>
        <w:ind w:left="928" w:right="80" w:hanging="469"/>
        <w:spacing w:after="0" w:line="268" w:lineRule="auto"/>
        <w:tabs>
          <w:tab w:leader="none" w:pos="928" w:val="left"/>
        </w:tabs>
        <w:numPr>
          <w:ilvl w:val="1"/>
          <w:numId w:val="26"/>
        </w:numPr>
        <w:rPr>
          <w:rFonts w:ascii="Arial" w:cs="Arial" w:eastAsia="Arial" w:hAnsi="Arial"/>
          <w:sz w:val="12"/>
          <w:szCs w:val="12"/>
          <w:color w:val="auto"/>
        </w:rPr>
      </w:pPr>
      <w:r>
        <w:rPr>
          <w:rFonts w:ascii="Arial" w:cs="Arial" w:eastAsia="Arial" w:hAnsi="Arial"/>
          <w:sz w:val="12"/>
          <w:szCs w:val="12"/>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34" w:lineRule="exact"/>
        <w:rPr>
          <w:rFonts w:ascii="Arial" w:cs="Arial" w:eastAsia="Arial" w:hAnsi="Arial"/>
          <w:sz w:val="12"/>
          <w:szCs w:val="12"/>
          <w:color w:val="auto"/>
        </w:rPr>
      </w:pPr>
    </w:p>
    <w:p>
      <w:pPr>
        <w:ind w:left="468" w:right="160" w:hanging="468"/>
        <w:spacing w:after="0" w:line="268" w:lineRule="auto"/>
        <w:tabs>
          <w:tab w:leader="none" w:pos="468" w:val="left"/>
        </w:tabs>
        <w:numPr>
          <w:ilvl w:val="0"/>
          <w:numId w:val="26"/>
        </w:numPr>
        <w:rPr>
          <w:rFonts w:ascii="Arial" w:cs="Arial" w:eastAsia="Arial" w:hAnsi="Arial"/>
          <w:sz w:val="12"/>
          <w:szCs w:val="12"/>
          <w:color w:val="auto"/>
        </w:rPr>
      </w:pPr>
      <w:r>
        <w:rPr>
          <w:rFonts w:ascii="Arial" w:cs="Arial" w:eastAsia="Arial" w:hAnsi="Arial"/>
          <w:sz w:val="12"/>
          <w:szCs w:val="12"/>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34" w:lineRule="exact"/>
        <w:rPr>
          <w:rFonts w:ascii="Arial" w:cs="Arial" w:eastAsia="Arial" w:hAnsi="Arial"/>
          <w:sz w:val="12"/>
          <w:szCs w:val="12"/>
          <w:color w:val="auto"/>
        </w:rPr>
      </w:pPr>
    </w:p>
    <w:p>
      <w:pPr>
        <w:ind w:left="928" w:right="200" w:hanging="469"/>
        <w:spacing w:after="0" w:line="268" w:lineRule="auto"/>
        <w:tabs>
          <w:tab w:leader="none" w:pos="928" w:val="left"/>
        </w:tabs>
        <w:numPr>
          <w:ilvl w:val="1"/>
          <w:numId w:val="26"/>
        </w:numPr>
        <w:rPr>
          <w:rFonts w:ascii="Arial" w:cs="Arial" w:eastAsia="Arial" w:hAnsi="Arial"/>
          <w:sz w:val="12"/>
          <w:szCs w:val="12"/>
          <w:color w:val="auto"/>
        </w:rPr>
      </w:pPr>
      <w:r>
        <w:rPr>
          <w:rFonts w:ascii="Arial" w:cs="Arial" w:eastAsia="Arial" w:hAnsi="Arial"/>
          <w:sz w:val="12"/>
          <w:szCs w:val="12"/>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4" w:lineRule="exact"/>
        <w:rPr>
          <w:rFonts w:ascii="Arial" w:cs="Arial" w:eastAsia="Arial" w:hAnsi="Arial"/>
          <w:sz w:val="12"/>
          <w:szCs w:val="12"/>
          <w:color w:val="auto"/>
        </w:rPr>
      </w:pPr>
    </w:p>
    <w:p>
      <w:pPr>
        <w:ind w:left="928" w:hanging="469"/>
        <w:spacing w:after="0"/>
        <w:tabs>
          <w:tab w:leader="none" w:pos="928" w:val="left"/>
        </w:tabs>
        <w:numPr>
          <w:ilvl w:val="1"/>
          <w:numId w:val="26"/>
        </w:numPr>
        <w:rPr>
          <w:rFonts w:ascii="Arial" w:cs="Arial" w:eastAsia="Arial" w:hAnsi="Arial"/>
          <w:sz w:val="12"/>
          <w:szCs w:val="12"/>
          <w:color w:val="auto"/>
        </w:rPr>
      </w:pPr>
      <w:r>
        <w:rPr>
          <w:rFonts w:ascii="Arial" w:cs="Arial" w:eastAsia="Arial" w:hAnsi="Arial"/>
          <w:sz w:val="12"/>
          <w:szCs w:val="12"/>
          <w:color w:val="auto"/>
        </w:rPr>
        <w:t>Any fraud, whether or not material, that involves management or other employees who have a significant role in the registrant’s internal control over financial reporting.</w:t>
      </w:r>
    </w:p>
    <w:p>
      <w:pPr>
        <w:spacing w:after="0" w:line="114" w:lineRule="exact"/>
        <w:rPr>
          <w:sz w:val="20"/>
          <w:szCs w:val="20"/>
          <w:color w:val="auto"/>
        </w:rPr>
      </w:pPr>
    </w:p>
    <w:p>
      <w:pPr>
        <w:ind w:left="8"/>
        <w:spacing w:after="0"/>
        <w:rPr>
          <w:sz w:val="20"/>
          <w:szCs w:val="20"/>
          <w:color w:val="auto"/>
        </w:rPr>
      </w:pPr>
      <w:r>
        <w:rPr>
          <w:rFonts w:ascii="Arial" w:cs="Arial" w:eastAsia="Arial" w:hAnsi="Arial"/>
          <w:sz w:val="12"/>
          <w:szCs w:val="12"/>
          <w:color w:val="auto"/>
        </w:rPr>
        <w:t>Date: November 12, 2013</w:t>
      </w:r>
    </w:p>
    <w:p>
      <w:pPr>
        <w:spacing w:after="0" w:line="141" w:lineRule="exact"/>
        <w:rPr>
          <w:sz w:val="20"/>
          <w:szCs w:val="20"/>
          <w:color w:val="auto"/>
        </w:rPr>
      </w:pPr>
    </w:p>
    <w:p>
      <w:pPr>
        <w:ind w:left="6888"/>
        <w:spacing w:after="0"/>
        <w:rPr>
          <w:sz w:val="20"/>
          <w:szCs w:val="20"/>
          <w:color w:val="auto"/>
        </w:rPr>
      </w:pPr>
      <w:r>
        <w:rPr>
          <w:rFonts w:ascii="Arial" w:cs="Arial" w:eastAsia="Arial" w:hAnsi="Arial"/>
          <w:sz w:val="12"/>
          <w:szCs w:val="12"/>
          <w:color w:val="auto"/>
        </w:rPr>
        <w:t>/s/ Stephen A. Wynn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4375150</wp:posOffset>
            </wp:positionH>
            <wp:positionV relativeFrom="paragraph">
              <wp:posOffset>7620</wp:posOffset>
            </wp:positionV>
            <wp:extent cx="2917190" cy="571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2917190" cy="5715"/>
                    </a:xfrm>
                    <a:prstGeom prst="rect">
                      <a:avLst/>
                    </a:prstGeom>
                    <a:noFill/>
                  </pic:spPr>
                </pic:pic>
              </a:graphicData>
            </a:graphic>
          </wp:anchor>
        </w:drawing>
      </w:r>
    </w:p>
    <w:p>
      <w:pPr>
        <w:spacing w:after="0" w:line="4" w:lineRule="exact"/>
        <w:rPr>
          <w:sz w:val="20"/>
          <w:szCs w:val="20"/>
          <w:color w:val="auto"/>
        </w:rPr>
      </w:pPr>
    </w:p>
    <w:p>
      <w:pPr>
        <w:ind w:left="6888"/>
        <w:spacing w:after="0"/>
        <w:rPr>
          <w:sz w:val="20"/>
          <w:szCs w:val="20"/>
          <w:color w:val="auto"/>
        </w:rPr>
      </w:pPr>
      <w:r>
        <w:rPr>
          <w:rFonts w:ascii="Arial" w:cs="Arial" w:eastAsia="Arial" w:hAnsi="Arial"/>
          <w:sz w:val="12"/>
          <w:szCs w:val="12"/>
          <w:color w:val="auto"/>
        </w:rPr>
        <w:t>Stephen A. Wynn</w:t>
      </w:r>
    </w:p>
    <w:p>
      <w:pPr>
        <w:spacing w:after="0" w:line="10" w:lineRule="exact"/>
        <w:rPr>
          <w:sz w:val="20"/>
          <w:szCs w:val="20"/>
          <w:color w:val="auto"/>
        </w:rPr>
      </w:pPr>
    </w:p>
    <w:p>
      <w:pPr>
        <w:ind w:left="6888"/>
        <w:spacing w:after="0"/>
        <w:rPr>
          <w:sz w:val="20"/>
          <w:szCs w:val="20"/>
          <w:color w:val="auto"/>
        </w:rPr>
      </w:pPr>
      <w:r>
        <w:rPr>
          <w:rFonts w:ascii="Arial" w:cs="Arial" w:eastAsia="Arial" w:hAnsi="Arial"/>
          <w:sz w:val="12"/>
          <w:szCs w:val="12"/>
          <w:color w:val="auto"/>
        </w:rPr>
        <w:t>Chairman of the Board and</w:t>
      </w:r>
    </w:p>
    <w:p>
      <w:pPr>
        <w:spacing w:after="0" w:line="6" w:lineRule="exact"/>
        <w:rPr>
          <w:sz w:val="20"/>
          <w:szCs w:val="20"/>
          <w:color w:val="auto"/>
        </w:rPr>
      </w:pPr>
    </w:p>
    <w:p>
      <w:pPr>
        <w:ind w:left="6888"/>
        <w:spacing w:after="0"/>
        <w:rPr>
          <w:sz w:val="20"/>
          <w:szCs w:val="20"/>
          <w:color w:val="auto"/>
        </w:rPr>
      </w:pPr>
      <w:r>
        <w:rPr>
          <w:rFonts w:ascii="Arial" w:cs="Arial" w:eastAsia="Arial" w:hAnsi="Arial"/>
          <w:sz w:val="12"/>
          <w:szCs w:val="12"/>
          <w:color w:val="auto"/>
        </w:rPr>
        <w:t>Chief Executive Officer</w:t>
      </w:r>
    </w:p>
    <w:p>
      <w:pPr>
        <w:spacing w:after="0" w:line="6" w:lineRule="exact"/>
        <w:rPr>
          <w:sz w:val="20"/>
          <w:szCs w:val="20"/>
          <w:color w:val="auto"/>
        </w:rPr>
      </w:pPr>
    </w:p>
    <w:p>
      <w:pPr>
        <w:ind w:left="6888"/>
        <w:spacing w:after="0"/>
        <w:rPr>
          <w:sz w:val="20"/>
          <w:szCs w:val="20"/>
          <w:color w:val="auto"/>
        </w:rPr>
      </w:pPr>
      <w:r>
        <w:rPr>
          <w:rFonts w:ascii="Arial" w:cs="Arial" w:eastAsia="Arial" w:hAnsi="Arial"/>
          <w:sz w:val="12"/>
          <w:szCs w:val="12"/>
          <w:color w:val="auto"/>
        </w:rPr>
        <w:t>(Principal Executive Officer)</w:t>
      </w:r>
    </w:p>
    <w:p>
      <w:pPr>
        <w:sectPr>
          <w:pgSz w:w="11900" w:h="16838" w:orient="portrait"/>
          <w:cols w:equalWidth="0" w:num="1">
            <w:col w:w="11488"/>
          </w:cols>
          <w:pgMar w:left="212" w:top="131" w:right="199" w:bottom="1440" w:gutter="0" w:footer="0" w:header="0"/>
        </w:sectPr>
      </w:pPr>
    </w:p>
    <w:bookmarkStart w:id="57" w:name="page58"/>
    <w:bookmarkEnd w:id="57"/>
    <w:p>
      <w:pPr>
        <w:jc w:val="right"/>
        <w:spacing w:after="0"/>
        <w:rPr>
          <w:sz w:val="20"/>
          <w:szCs w:val="20"/>
          <w:color w:val="auto"/>
        </w:rPr>
      </w:pPr>
      <w:r>
        <w:rPr>
          <w:rFonts w:ascii="Arial" w:cs="Arial" w:eastAsia="Arial" w:hAnsi="Arial"/>
          <w:sz w:val="12"/>
          <w:szCs w:val="12"/>
          <w:b w:val="1"/>
          <w:bCs w:val="1"/>
          <w:color w:val="auto"/>
        </w:rPr>
        <w:t>Exhibit 31.2</w:t>
      </w:r>
    </w:p>
    <w:p>
      <w:pPr>
        <w:spacing w:after="0" w:line="114" w:lineRule="exact"/>
        <w:rPr>
          <w:sz w:val="20"/>
          <w:szCs w:val="20"/>
          <w:color w:val="auto"/>
        </w:rPr>
      </w:pPr>
    </w:p>
    <w:p>
      <w:pPr>
        <w:jc w:val="center"/>
        <w:ind w:right="-7"/>
        <w:spacing w:after="0"/>
        <w:rPr>
          <w:sz w:val="20"/>
          <w:szCs w:val="20"/>
          <w:color w:val="auto"/>
        </w:rPr>
      </w:pPr>
      <w:r>
        <w:rPr>
          <w:rFonts w:ascii="Arial" w:cs="Arial" w:eastAsia="Arial" w:hAnsi="Arial"/>
          <w:sz w:val="12"/>
          <w:szCs w:val="12"/>
          <w:b w:val="1"/>
          <w:bCs w:val="1"/>
          <w:color w:val="auto"/>
        </w:rPr>
        <w:t>Certification of the Chief Financial Officer</w:t>
      </w:r>
    </w:p>
    <w:p>
      <w:pPr>
        <w:spacing w:after="0" w:line="12" w:lineRule="exact"/>
        <w:rPr>
          <w:sz w:val="20"/>
          <w:szCs w:val="20"/>
          <w:color w:val="auto"/>
        </w:rPr>
      </w:pPr>
    </w:p>
    <w:p>
      <w:pPr>
        <w:jc w:val="center"/>
        <w:ind w:right="-7"/>
        <w:spacing w:after="0"/>
        <w:rPr>
          <w:sz w:val="20"/>
          <w:szCs w:val="20"/>
          <w:color w:val="auto"/>
        </w:rPr>
      </w:pPr>
      <w:r>
        <w:rPr>
          <w:rFonts w:ascii="Arial" w:cs="Arial" w:eastAsia="Arial" w:hAnsi="Arial"/>
          <w:sz w:val="12"/>
          <w:szCs w:val="12"/>
          <w:b w:val="1"/>
          <w:bCs w:val="1"/>
          <w:color w:val="auto"/>
        </w:rPr>
        <w:t>Pursuant to Section 302 of the Sarbanes-Oxley Act of 2002</w:t>
      </w:r>
    </w:p>
    <w:p>
      <w:pPr>
        <w:spacing w:after="0" w:line="110" w:lineRule="exact"/>
        <w:rPr>
          <w:sz w:val="20"/>
          <w:szCs w:val="20"/>
          <w:color w:val="auto"/>
        </w:rPr>
      </w:pPr>
    </w:p>
    <w:p>
      <w:pPr>
        <w:ind w:left="8"/>
        <w:spacing w:after="0"/>
        <w:rPr>
          <w:sz w:val="20"/>
          <w:szCs w:val="20"/>
          <w:color w:val="auto"/>
        </w:rPr>
      </w:pPr>
      <w:r>
        <w:rPr>
          <w:rFonts w:ascii="Arial" w:cs="Arial" w:eastAsia="Arial" w:hAnsi="Arial"/>
          <w:sz w:val="12"/>
          <w:szCs w:val="12"/>
          <w:color w:val="auto"/>
        </w:rPr>
        <w:t>I, Matt Maddox, certify that:</w:t>
      </w:r>
    </w:p>
    <w:p>
      <w:pPr>
        <w:spacing w:after="0" w:line="60" w:lineRule="exact"/>
        <w:rPr>
          <w:sz w:val="20"/>
          <w:szCs w:val="20"/>
          <w:color w:val="auto"/>
        </w:rPr>
      </w:pPr>
    </w:p>
    <w:p>
      <w:pPr>
        <w:ind w:left="468" w:hanging="468"/>
        <w:spacing w:after="0"/>
        <w:tabs>
          <w:tab w:leader="none" w:pos="468" w:val="left"/>
        </w:tabs>
        <w:numPr>
          <w:ilvl w:val="0"/>
          <w:numId w:val="27"/>
        </w:numPr>
        <w:rPr>
          <w:rFonts w:ascii="Arial" w:cs="Arial" w:eastAsia="Arial" w:hAnsi="Arial"/>
          <w:sz w:val="12"/>
          <w:szCs w:val="12"/>
          <w:color w:val="auto"/>
        </w:rPr>
      </w:pPr>
      <w:r>
        <w:rPr>
          <w:rFonts w:ascii="Arial" w:cs="Arial" w:eastAsia="Arial" w:hAnsi="Arial"/>
          <w:sz w:val="12"/>
          <w:szCs w:val="12"/>
          <w:color w:val="auto"/>
        </w:rPr>
        <w:t>I have reviewed this Quarterly Report on Form 10-Q of Wynn Resorts, Limited;</w:t>
      </w:r>
    </w:p>
    <w:p>
      <w:pPr>
        <w:spacing w:after="0" w:line="60" w:lineRule="exact"/>
        <w:rPr>
          <w:rFonts w:ascii="Arial" w:cs="Arial" w:eastAsia="Arial" w:hAnsi="Arial"/>
          <w:sz w:val="12"/>
          <w:szCs w:val="12"/>
          <w:color w:val="auto"/>
        </w:rPr>
      </w:pPr>
    </w:p>
    <w:p>
      <w:pPr>
        <w:ind w:left="468" w:right="80" w:hanging="468"/>
        <w:spacing w:after="0" w:line="268" w:lineRule="auto"/>
        <w:tabs>
          <w:tab w:leader="none" w:pos="468" w:val="left"/>
        </w:tabs>
        <w:numPr>
          <w:ilvl w:val="0"/>
          <w:numId w:val="27"/>
        </w:numPr>
        <w:rPr>
          <w:rFonts w:ascii="Arial" w:cs="Arial" w:eastAsia="Arial" w:hAnsi="Arial"/>
          <w:sz w:val="12"/>
          <w:szCs w:val="12"/>
          <w:color w:val="auto"/>
        </w:rPr>
      </w:pPr>
      <w:r>
        <w:rPr>
          <w:rFonts w:ascii="Arial" w:cs="Arial" w:eastAsia="Arial" w:hAnsi="Arial"/>
          <w:sz w:val="12"/>
          <w:szCs w:val="12"/>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34" w:lineRule="exact"/>
        <w:rPr>
          <w:rFonts w:ascii="Arial" w:cs="Arial" w:eastAsia="Arial" w:hAnsi="Arial"/>
          <w:sz w:val="12"/>
          <w:szCs w:val="12"/>
          <w:color w:val="auto"/>
        </w:rPr>
      </w:pPr>
    </w:p>
    <w:p>
      <w:pPr>
        <w:ind w:left="468" w:right="100" w:hanging="468"/>
        <w:spacing w:after="0" w:line="268" w:lineRule="auto"/>
        <w:tabs>
          <w:tab w:leader="none" w:pos="468" w:val="left"/>
        </w:tabs>
        <w:numPr>
          <w:ilvl w:val="0"/>
          <w:numId w:val="27"/>
        </w:numPr>
        <w:rPr>
          <w:rFonts w:ascii="Arial" w:cs="Arial" w:eastAsia="Arial" w:hAnsi="Arial"/>
          <w:sz w:val="12"/>
          <w:szCs w:val="12"/>
          <w:color w:val="auto"/>
        </w:rPr>
      </w:pPr>
      <w:r>
        <w:rPr>
          <w:rFonts w:ascii="Arial" w:cs="Arial" w:eastAsia="Arial" w:hAnsi="Arial"/>
          <w:sz w:val="12"/>
          <w:szCs w:val="12"/>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4" w:lineRule="exact"/>
        <w:rPr>
          <w:rFonts w:ascii="Arial" w:cs="Arial" w:eastAsia="Arial" w:hAnsi="Arial"/>
          <w:sz w:val="12"/>
          <w:szCs w:val="12"/>
          <w:color w:val="auto"/>
        </w:rPr>
      </w:pPr>
    </w:p>
    <w:p>
      <w:pPr>
        <w:ind w:left="468" w:right="60" w:hanging="468"/>
        <w:spacing w:after="0" w:line="268" w:lineRule="auto"/>
        <w:tabs>
          <w:tab w:leader="none" w:pos="468" w:val="left"/>
        </w:tabs>
        <w:numPr>
          <w:ilvl w:val="0"/>
          <w:numId w:val="27"/>
        </w:numPr>
        <w:rPr>
          <w:rFonts w:ascii="Arial" w:cs="Arial" w:eastAsia="Arial" w:hAnsi="Arial"/>
          <w:sz w:val="12"/>
          <w:szCs w:val="12"/>
          <w:color w:val="auto"/>
        </w:rPr>
      </w:pPr>
      <w:r>
        <w:rPr>
          <w:rFonts w:ascii="Arial" w:cs="Arial" w:eastAsia="Arial" w:hAnsi="Arial"/>
          <w:sz w:val="12"/>
          <w:szCs w:val="12"/>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34" w:lineRule="exact"/>
        <w:rPr>
          <w:rFonts w:ascii="Arial" w:cs="Arial" w:eastAsia="Arial" w:hAnsi="Arial"/>
          <w:sz w:val="12"/>
          <w:szCs w:val="12"/>
          <w:color w:val="auto"/>
        </w:rPr>
      </w:pPr>
    </w:p>
    <w:p>
      <w:pPr>
        <w:ind w:left="928" w:right="600" w:hanging="469"/>
        <w:spacing w:after="0" w:line="268" w:lineRule="auto"/>
        <w:tabs>
          <w:tab w:leader="none" w:pos="928" w:val="left"/>
        </w:tabs>
        <w:numPr>
          <w:ilvl w:val="1"/>
          <w:numId w:val="27"/>
        </w:numPr>
        <w:rPr>
          <w:rFonts w:ascii="Arial" w:cs="Arial" w:eastAsia="Arial" w:hAnsi="Arial"/>
          <w:sz w:val="12"/>
          <w:szCs w:val="12"/>
          <w:color w:val="auto"/>
        </w:rPr>
      </w:pPr>
      <w:r>
        <w:rPr>
          <w:rFonts w:ascii="Arial" w:cs="Arial" w:eastAsia="Arial" w:hAnsi="Arial"/>
          <w:sz w:val="12"/>
          <w:szCs w:val="12"/>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34" w:lineRule="exact"/>
        <w:rPr>
          <w:rFonts w:ascii="Arial" w:cs="Arial" w:eastAsia="Arial" w:hAnsi="Arial"/>
          <w:sz w:val="12"/>
          <w:szCs w:val="12"/>
          <w:color w:val="auto"/>
        </w:rPr>
      </w:pPr>
    </w:p>
    <w:p>
      <w:pPr>
        <w:ind w:left="928" w:right="360" w:hanging="469"/>
        <w:spacing w:after="0" w:line="268" w:lineRule="auto"/>
        <w:tabs>
          <w:tab w:leader="none" w:pos="928" w:val="left"/>
        </w:tabs>
        <w:numPr>
          <w:ilvl w:val="1"/>
          <w:numId w:val="27"/>
        </w:numPr>
        <w:rPr>
          <w:rFonts w:ascii="Arial" w:cs="Arial" w:eastAsia="Arial" w:hAnsi="Arial"/>
          <w:sz w:val="12"/>
          <w:szCs w:val="12"/>
          <w:color w:val="auto"/>
        </w:rPr>
      </w:pPr>
      <w:r>
        <w:rPr>
          <w:rFonts w:ascii="Arial" w:cs="Arial" w:eastAsia="Arial" w:hAnsi="Arial"/>
          <w:sz w:val="12"/>
          <w:szCs w:val="12"/>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34" w:lineRule="exact"/>
        <w:rPr>
          <w:rFonts w:ascii="Arial" w:cs="Arial" w:eastAsia="Arial" w:hAnsi="Arial"/>
          <w:sz w:val="12"/>
          <w:szCs w:val="12"/>
          <w:color w:val="auto"/>
        </w:rPr>
      </w:pPr>
    </w:p>
    <w:p>
      <w:pPr>
        <w:ind w:left="928" w:right="380" w:hanging="469"/>
        <w:spacing w:after="0" w:line="268" w:lineRule="auto"/>
        <w:tabs>
          <w:tab w:leader="none" w:pos="928" w:val="left"/>
        </w:tabs>
        <w:numPr>
          <w:ilvl w:val="1"/>
          <w:numId w:val="27"/>
        </w:numPr>
        <w:rPr>
          <w:rFonts w:ascii="Arial" w:cs="Arial" w:eastAsia="Arial" w:hAnsi="Arial"/>
          <w:sz w:val="12"/>
          <w:szCs w:val="12"/>
          <w:color w:val="auto"/>
        </w:rPr>
      </w:pPr>
      <w:r>
        <w:rPr>
          <w:rFonts w:ascii="Arial" w:cs="Arial" w:eastAsia="Arial" w:hAnsi="Arial"/>
          <w:sz w:val="12"/>
          <w:szCs w:val="12"/>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34" w:lineRule="exact"/>
        <w:rPr>
          <w:rFonts w:ascii="Arial" w:cs="Arial" w:eastAsia="Arial" w:hAnsi="Arial"/>
          <w:sz w:val="12"/>
          <w:szCs w:val="12"/>
          <w:color w:val="auto"/>
        </w:rPr>
      </w:pPr>
    </w:p>
    <w:p>
      <w:pPr>
        <w:ind w:left="928" w:right="80" w:hanging="469"/>
        <w:spacing w:after="0" w:line="268" w:lineRule="auto"/>
        <w:tabs>
          <w:tab w:leader="none" w:pos="928" w:val="left"/>
        </w:tabs>
        <w:numPr>
          <w:ilvl w:val="1"/>
          <w:numId w:val="27"/>
        </w:numPr>
        <w:rPr>
          <w:rFonts w:ascii="Arial" w:cs="Arial" w:eastAsia="Arial" w:hAnsi="Arial"/>
          <w:sz w:val="12"/>
          <w:szCs w:val="12"/>
          <w:color w:val="auto"/>
        </w:rPr>
      </w:pPr>
      <w:r>
        <w:rPr>
          <w:rFonts w:ascii="Arial" w:cs="Arial" w:eastAsia="Arial" w:hAnsi="Arial"/>
          <w:sz w:val="12"/>
          <w:szCs w:val="12"/>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34" w:lineRule="exact"/>
        <w:rPr>
          <w:rFonts w:ascii="Arial" w:cs="Arial" w:eastAsia="Arial" w:hAnsi="Arial"/>
          <w:sz w:val="12"/>
          <w:szCs w:val="12"/>
          <w:color w:val="auto"/>
        </w:rPr>
      </w:pPr>
    </w:p>
    <w:p>
      <w:pPr>
        <w:ind w:left="468" w:right="160" w:hanging="468"/>
        <w:spacing w:after="0" w:line="268" w:lineRule="auto"/>
        <w:tabs>
          <w:tab w:leader="none" w:pos="468" w:val="left"/>
        </w:tabs>
        <w:numPr>
          <w:ilvl w:val="0"/>
          <w:numId w:val="27"/>
        </w:numPr>
        <w:rPr>
          <w:rFonts w:ascii="Arial" w:cs="Arial" w:eastAsia="Arial" w:hAnsi="Arial"/>
          <w:sz w:val="12"/>
          <w:szCs w:val="12"/>
          <w:color w:val="auto"/>
        </w:rPr>
      </w:pPr>
      <w:r>
        <w:rPr>
          <w:rFonts w:ascii="Arial" w:cs="Arial" w:eastAsia="Arial" w:hAnsi="Arial"/>
          <w:sz w:val="12"/>
          <w:szCs w:val="12"/>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34" w:lineRule="exact"/>
        <w:rPr>
          <w:rFonts w:ascii="Arial" w:cs="Arial" w:eastAsia="Arial" w:hAnsi="Arial"/>
          <w:sz w:val="12"/>
          <w:szCs w:val="12"/>
          <w:color w:val="auto"/>
        </w:rPr>
      </w:pPr>
    </w:p>
    <w:p>
      <w:pPr>
        <w:ind w:left="928" w:right="200" w:hanging="469"/>
        <w:spacing w:after="0" w:line="268" w:lineRule="auto"/>
        <w:tabs>
          <w:tab w:leader="none" w:pos="928" w:val="left"/>
        </w:tabs>
        <w:numPr>
          <w:ilvl w:val="1"/>
          <w:numId w:val="27"/>
        </w:numPr>
        <w:rPr>
          <w:rFonts w:ascii="Arial" w:cs="Arial" w:eastAsia="Arial" w:hAnsi="Arial"/>
          <w:sz w:val="12"/>
          <w:szCs w:val="12"/>
          <w:color w:val="auto"/>
        </w:rPr>
      </w:pPr>
      <w:r>
        <w:rPr>
          <w:rFonts w:ascii="Arial" w:cs="Arial" w:eastAsia="Arial" w:hAnsi="Arial"/>
          <w:sz w:val="12"/>
          <w:szCs w:val="12"/>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4" w:lineRule="exact"/>
        <w:rPr>
          <w:rFonts w:ascii="Arial" w:cs="Arial" w:eastAsia="Arial" w:hAnsi="Arial"/>
          <w:sz w:val="12"/>
          <w:szCs w:val="12"/>
          <w:color w:val="auto"/>
        </w:rPr>
      </w:pPr>
    </w:p>
    <w:p>
      <w:pPr>
        <w:ind w:left="928" w:hanging="469"/>
        <w:spacing w:after="0"/>
        <w:tabs>
          <w:tab w:leader="none" w:pos="928" w:val="left"/>
        </w:tabs>
        <w:numPr>
          <w:ilvl w:val="1"/>
          <w:numId w:val="27"/>
        </w:numPr>
        <w:rPr>
          <w:rFonts w:ascii="Arial" w:cs="Arial" w:eastAsia="Arial" w:hAnsi="Arial"/>
          <w:sz w:val="12"/>
          <w:szCs w:val="12"/>
          <w:color w:val="auto"/>
        </w:rPr>
      </w:pPr>
      <w:r>
        <w:rPr>
          <w:rFonts w:ascii="Arial" w:cs="Arial" w:eastAsia="Arial" w:hAnsi="Arial"/>
          <w:sz w:val="12"/>
          <w:szCs w:val="12"/>
          <w:color w:val="auto"/>
        </w:rPr>
        <w:t>Any fraud, whether or not material, that involves management or other employees who have a significant role in the registrant’s internal control over financial reporting.</w:t>
      </w:r>
    </w:p>
    <w:p>
      <w:pPr>
        <w:spacing w:after="0" w:line="114" w:lineRule="exact"/>
        <w:rPr>
          <w:sz w:val="20"/>
          <w:szCs w:val="20"/>
          <w:color w:val="auto"/>
        </w:rPr>
      </w:pPr>
    </w:p>
    <w:p>
      <w:pPr>
        <w:ind w:left="8"/>
        <w:spacing w:after="0"/>
        <w:rPr>
          <w:sz w:val="20"/>
          <w:szCs w:val="20"/>
          <w:color w:val="auto"/>
        </w:rPr>
      </w:pPr>
      <w:r>
        <w:rPr>
          <w:rFonts w:ascii="Arial" w:cs="Arial" w:eastAsia="Arial" w:hAnsi="Arial"/>
          <w:sz w:val="12"/>
          <w:szCs w:val="12"/>
          <w:color w:val="auto"/>
        </w:rPr>
        <w:t>Date: November 12, 2013</w:t>
      </w:r>
    </w:p>
    <w:p>
      <w:pPr>
        <w:spacing w:after="0" w:line="141" w:lineRule="exact"/>
        <w:rPr>
          <w:sz w:val="20"/>
          <w:szCs w:val="20"/>
          <w:color w:val="auto"/>
        </w:rPr>
      </w:pPr>
    </w:p>
    <w:p>
      <w:pPr>
        <w:ind w:left="6888"/>
        <w:spacing w:after="0"/>
        <w:rPr>
          <w:sz w:val="20"/>
          <w:szCs w:val="20"/>
          <w:color w:val="auto"/>
        </w:rPr>
      </w:pPr>
      <w:r>
        <w:rPr>
          <w:rFonts w:ascii="Arial" w:cs="Arial" w:eastAsia="Arial" w:hAnsi="Arial"/>
          <w:sz w:val="12"/>
          <w:szCs w:val="12"/>
          <w:color w:val="auto"/>
        </w:rPr>
        <w:t>/s/ Matt Maddox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4375150</wp:posOffset>
            </wp:positionH>
            <wp:positionV relativeFrom="paragraph">
              <wp:posOffset>7620</wp:posOffset>
            </wp:positionV>
            <wp:extent cx="2917190" cy="571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2917190" cy="5715"/>
                    </a:xfrm>
                    <a:prstGeom prst="rect">
                      <a:avLst/>
                    </a:prstGeom>
                    <a:noFill/>
                  </pic:spPr>
                </pic:pic>
              </a:graphicData>
            </a:graphic>
          </wp:anchor>
        </w:drawing>
      </w:r>
    </w:p>
    <w:p>
      <w:pPr>
        <w:spacing w:after="0" w:line="4" w:lineRule="exact"/>
        <w:rPr>
          <w:sz w:val="20"/>
          <w:szCs w:val="20"/>
          <w:color w:val="auto"/>
        </w:rPr>
      </w:pPr>
    </w:p>
    <w:p>
      <w:pPr>
        <w:ind w:left="6888"/>
        <w:spacing w:after="0"/>
        <w:rPr>
          <w:sz w:val="20"/>
          <w:szCs w:val="20"/>
          <w:color w:val="auto"/>
        </w:rPr>
      </w:pPr>
      <w:r>
        <w:rPr>
          <w:rFonts w:ascii="Arial" w:cs="Arial" w:eastAsia="Arial" w:hAnsi="Arial"/>
          <w:sz w:val="12"/>
          <w:szCs w:val="12"/>
          <w:color w:val="auto"/>
        </w:rPr>
        <w:t>Matt Maddox</w:t>
      </w:r>
    </w:p>
    <w:p>
      <w:pPr>
        <w:spacing w:after="0" w:line="10" w:lineRule="exact"/>
        <w:rPr>
          <w:sz w:val="20"/>
          <w:szCs w:val="20"/>
          <w:color w:val="auto"/>
        </w:rPr>
      </w:pPr>
    </w:p>
    <w:p>
      <w:pPr>
        <w:ind w:left="6888"/>
        <w:spacing w:after="0"/>
        <w:rPr>
          <w:sz w:val="20"/>
          <w:szCs w:val="20"/>
          <w:color w:val="auto"/>
        </w:rPr>
      </w:pPr>
      <w:r>
        <w:rPr>
          <w:rFonts w:ascii="Arial" w:cs="Arial" w:eastAsia="Arial" w:hAnsi="Arial"/>
          <w:sz w:val="12"/>
          <w:szCs w:val="12"/>
          <w:color w:val="auto"/>
        </w:rPr>
        <w:t>President, Chief Financial Officer and Treasurer</w:t>
      </w:r>
    </w:p>
    <w:p>
      <w:pPr>
        <w:spacing w:after="0" w:line="6" w:lineRule="exact"/>
        <w:rPr>
          <w:sz w:val="20"/>
          <w:szCs w:val="20"/>
          <w:color w:val="auto"/>
        </w:rPr>
      </w:pPr>
    </w:p>
    <w:p>
      <w:pPr>
        <w:ind w:left="6888"/>
        <w:spacing w:after="0"/>
        <w:rPr>
          <w:sz w:val="20"/>
          <w:szCs w:val="20"/>
          <w:color w:val="auto"/>
        </w:rPr>
      </w:pPr>
      <w:r>
        <w:rPr>
          <w:rFonts w:ascii="Arial" w:cs="Arial" w:eastAsia="Arial" w:hAnsi="Arial"/>
          <w:sz w:val="12"/>
          <w:szCs w:val="12"/>
          <w:color w:val="auto"/>
        </w:rPr>
        <w:t>(Principal Financial Officer)</w:t>
      </w:r>
    </w:p>
    <w:p>
      <w:pPr>
        <w:sectPr>
          <w:pgSz w:w="11900" w:h="16838" w:orient="portrait"/>
          <w:cols w:equalWidth="0" w:num="1">
            <w:col w:w="11488"/>
          </w:cols>
          <w:pgMar w:left="212" w:top="131" w:right="199" w:bottom="1440" w:gutter="0" w:footer="0" w:header="0"/>
        </w:sectPr>
      </w:pPr>
    </w:p>
    <w:bookmarkStart w:id="58" w:name="page59"/>
    <w:bookmarkEnd w:id="58"/>
    <w:p>
      <w:pPr>
        <w:jc w:val="right"/>
        <w:spacing w:after="0"/>
        <w:rPr>
          <w:sz w:val="20"/>
          <w:szCs w:val="20"/>
          <w:color w:val="auto"/>
        </w:rPr>
      </w:pPr>
      <w:r>
        <w:rPr>
          <w:rFonts w:ascii="Arial" w:cs="Arial" w:eastAsia="Arial" w:hAnsi="Arial"/>
          <w:sz w:val="12"/>
          <w:szCs w:val="12"/>
          <w:b w:val="1"/>
          <w:bCs w:val="1"/>
          <w:color w:val="auto"/>
        </w:rPr>
        <w:t>Exhibit 32</w:t>
      </w:r>
    </w:p>
    <w:p>
      <w:pPr>
        <w:spacing w:after="0" w:line="114" w:lineRule="exact"/>
        <w:rPr>
          <w:sz w:val="20"/>
          <w:szCs w:val="20"/>
          <w:color w:val="auto"/>
        </w:rPr>
      </w:pPr>
    </w:p>
    <w:p>
      <w:pPr>
        <w:ind w:left="4668"/>
        <w:spacing w:after="0"/>
        <w:rPr>
          <w:sz w:val="20"/>
          <w:szCs w:val="20"/>
          <w:color w:val="auto"/>
        </w:rPr>
      </w:pPr>
      <w:r>
        <w:rPr>
          <w:rFonts w:ascii="Arial" w:cs="Arial" w:eastAsia="Arial" w:hAnsi="Arial"/>
          <w:sz w:val="12"/>
          <w:szCs w:val="12"/>
          <w:b w:val="1"/>
          <w:bCs w:val="1"/>
          <w:color w:val="auto"/>
        </w:rPr>
        <w:t>Certification of CEO and CFO Pursuant to</w:t>
      </w:r>
    </w:p>
    <w:p>
      <w:pPr>
        <w:spacing w:after="0" w:line="12" w:lineRule="exact"/>
        <w:rPr>
          <w:sz w:val="20"/>
          <w:szCs w:val="20"/>
          <w:color w:val="auto"/>
        </w:rPr>
      </w:pPr>
    </w:p>
    <w:p>
      <w:pPr>
        <w:ind w:left="4568"/>
        <w:spacing w:after="0"/>
        <w:rPr>
          <w:sz w:val="20"/>
          <w:szCs w:val="20"/>
          <w:color w:val="auto"/>
        </w:rPr>
      </w:pPr>
      <w:r>
        <w:rPr>
          <w:rFonts w:ascii="Arial" w:cs="Arial" w:eastAsia="Arial" w:hAnsi="Arial"/>
          <w:sz w:val="12"/>
          <w:szCs w:val="12"/>
          <w:b w:val="1"/>
          <w:bCs w:val="1"/>
          <w:color w:val="auto"/>
        </w:rPr>
        <w:t>18 U.S.C. Section 1350, as Adopted Pursuant to</w:t>
      </w:r>
    </w:p>
    <w:p>
      <w:pPr>
        <w:spacing w:after="0" w:line="6" w:lineRule="exact"/>
        <w:rPr>
          <w:sz w:val="20"/>
          <w:szCs w:val="20"/>
          <w:color w:val="auto"/>
        </w:rPr>
      </w:pPr>
    </w:p>
    <w:p>
      <w:pPr>
        <w:ind w:left="4588"/>
        <w:spacing w:after="0"/>
        <w:rPr>
          <w:sz w:val="20"/>
          <w:szCs w:val="20"/>
          <w:color w:val="auto"/>
        </w:rPr>
      </w:pPr>
      <w:r>
        <w:rPr>
          <w:rFonts w:ascii="Arial" w:cs="Arial" w:eastAsia="Arial" w:hAnsi="Arial"/>
          <w:sz w:val="12"/>
          <w:szCs w:val="12"/>
          <w:b w:val="1"/>
          <w:bCs w:val="1"/>
          <w:color w:val="auto"/>
        </w:rPr>
        <w:t>Section 906 of the Sarbanes-Oxley Act of 2002</w:t>
      </w:r>
    </w:p>
    <w:p>
      <w:pPr>
        <w:spacing w:after="0" w:line="110" w:lineRule="exact"/>
        <w:rPr>
          <w:sz w:val="20"/>
          <w:szCs w:val="20"/>
          <w:color w:val="auto"/>
        </w:rPr>
      </w:pPr>
    </w:p>
    <w:p>
      <w:pPr>
        <w:ind w:left="8" w:right="140" w:firstLine="459"/>
        <w:spacing w:after="0" w:line="259" w:lineRule="auto"/>
        <w:rPr>
          <w:sz w:val="20"/>
          <w:szCs w:val="20"/>
          <w:color w:val="auto"/>
        </w:rPr>
      </w:pPr>
      <w:r>
        <w:rPr>
          <w:rFonts w:ascii="Arial" w:cs="Arial" w:eastAsia="Arial" w:hAnsi="Arial"/>
          <w:sz w:val="12"/>
          <w:szCs w:val="12"/>
          <w:color w:val="auto"/>
        </w:rPr>
        <w:t>In connection with the Quarterly Report on Form 10-Q of Wynn Resorts, Limited (the “Company”) for the quarter ended September 30, 2013 as filed with the Securities and Exchange Commission on the date hereof (the “Report”), Stephen A. Wynn, as Chief Executive Officer of the Company and Matt Maddox, as Chief Financial Officer of the Company, each hereby certifies, pursuant to 18 U.S.C. Section 1350, as adopted pursuant to Section 906 of the Sarbanes-Oxley Act of 2002, that, to the best of his knowledge:</w:t>
      </w:r>
    </w:p>
    <w:p>
      <w:pPr>
        <w:spacing w:after="0" w:line="40" w:lineRule="exact"/>
        <w:rPr>
          <w:sz w:val="20"/>
          <w:szCs w:val="20"/>
          <w:color w:val="auto"/>
        </w:rPr>
      </w:pPr>
    </w:p>
    <w:p>
      <w:pPr>
        <w:ind w:left="468" w:hanging="468"/>
        <w:spacing w:after="0"/>
        <w:tabs>
          <w:tab w:leader="none" w:pos="468" w:val="left"/>
        </w:tabs>
        <w:numPr>
          <w:ilvl w:val="0"/>
          <w:numId w:val="28"/>
        </w:numPr>
        <w:rPr>
          <w:rFonts w:ascii="Arial" w:cs="Arial" w:eastAsia="Arial" w:hAnsi="Arial"/>
          <w:sz w:val="12"/>
          <w:szCs w:val="12"/>
          <w:color w:val="auto"/>
        </w:rPr>
      </w:pPr>
      <w:r>
        <w:rPr>
          <w:rFonts w:ascii="Arial" w:cs="Arial" w:eastAsia="Arial" w:hAnsi="Arial"/>
          <w:sz w:val="12"/>
          <w:szCs w:val="12"/>
          <w:color w:val="auto"/>
        </w:rPr>
        <w:t>The Report fully complies with the requirements of Section 13(a) or 15(d) of the Securities Exchange Act of 1934; and</w:t>
      </w:r>
    </w:p>
    <w:p>
      <w:pPr>
        <w:spacing w:after="0" w:line="60" w:lineRule="exact"/>
        <w:rPr>
          <w:rFonts w:ascii="Arial" w:cs="Arial" w:eastAsia="Arial" w:hAnsi="Arial"/>
          <w:sz w:val="12"/>
          <w:szCs w:val="12"/>
          <w:color w:val="auto"/>
        </w:rPr>
      </w:pPr>
    </w:p>
    <w:p>
      <w:pPr>
        <w:ind w:left="468" w:hanging="468"/>
        <w:spacing w:after="0"/>
        <w:tabs>
          <w:tab w:leader="none" w:pos="468" w:val="left"/>
        </w:tabs>
        <w:numPr>
          <w:ilvl w:val="0"/>
          <w:numId w:val="28"/>
        </w:numPr>
        <w:rPr>
          <w:rFonts w:ascii="Arial" w:cs="Arial" w:eastAsia="Arial" w:hAnsi="Arial"/>
          <w:sz w:val="12"/>
          <w:szCs w:val="12"/>
          <w:color w:val="auto"/>
        </w:rPr>
      </w:pPr>
      <w:r>
        <w:rPr>
          <w:rFonts w:ascii="Arial" w:cs="Arial" w:eastAsia="Arial" w:hAnsi="Arial"/>
          <w:sz w:val="12"/>
          <w:szCs w:val="12"/>
          <w:color w:val="auto"/>
        </w:rPr>
        <w:t>The information contained in the Report fairly presents, in all material respects, the financial condition and results of operations of the Company.</w:t>
      </w:r>
    </w:p>
    <w:p>
      <w:pPr>
        <w:spacing w:after="0" w:line="141" w:lineRule="exact"/>
        <w:rPr>
          <w:sz w:val="20"/>
          <w:szCs w:val="20"/>
          <w:color w:val="auto"/>
        </w:rPr>
      </w:pPr>
    </w:p>
    <w:p>
      <w:pPr>
        <w:ind w:left="8"/>
        <w:spacing w:after="0"/>
        <w:rPr>
          <w:sz w:val="20"/>
          <w:szCs w:val="20"/>
          <w:color w:val="auto"/>
        </w:rPr>
      </w:pPr>
      <w:r>
        <w:rPr>
          <w:rFonts w:ascii="Arial" w:cs="Arial" w:eastAsia="Arial" w:hAnsi="Arial"/>
          <w:sz w:val="12"/>
          <w:szCs w:val="12"/>
          <w:color w:val="auto"/>
        </w:rPr>
        <w:t>/s/ Stephen A. Wynn</w:t>
      </w:r>
    </w:p>
    <w:p>
      <w:pPr>
        <w:spacing w:after="0" w:line="10" w:lineRule="exact"/>
        <w:rPr>
          <w:sz w:val="20"/>
          <w:szCs w:val="20"/>
          <w:color w:val="auto"/>
        </w:rPr>
      </w:pPr>
    </w:p>
    <w:tbl>
      <w:tblPr>
        <w:tblLayout w:type="fixed"/>
        <w:tblInd w:w="8" w:type="dxa"/>
        <w:tblCellMar>
          <w:top w:w="0" w:type="dxa"/>
          <w:left w:w="0" w:type="dxa"/>
          <w:bottom w:w="0" w:type="dxa"/>
          <w:right w:w="0" w:type="dxa"/>
        </w:tblCellMar>
      </w:tblPr>
      <w:tr>
        <w:trPr>
          <w:trHeight w:val="138"/>
        </w:trPr>
        <w:tc>
          <w:tcPr>
            <w:tcW w:w="500" w:type="dxa"/>
            <w:vAlign w:val="bottom"/>
            <w:tcBorders>
              <w:top w:val="single" w:sz="8" w:color="auto"/>
            </w:tcBorders>
          </w:tcPr>
          <w:p>
            <w:pPr>
              <w:spacing w:after="0"/>
              <w:rPr>
                <w:sz w:val="20"/>
                <w:szCs w:val="20"/>
                <w:color w:val="auto"/>
              </w:rPr>
            </w:pPr>
            <w:r>
              <w:rPr>
                <w:rFonts w:ascii="Arial" w:cs="Arial" w:eastAsia="Arial" w:hAnsi="Arial"/>
                <w:sz w:val="12"/>
                <w:szCs w:val="12"/>
                <w:color w:val="auto"/>
              </w:rPr>
              <w:t>Name:</w:t>
            </w:r>
          </w:p>
        </w:tc>
        <w:tc>
          <w:tcPr>
            <w:tcW w:w="4080" w:type="dxa"/>
            <w:vAlign w:val="bottom"/>
            <w:tcBorders>
              <w:top w:val="single" w:sz="8" w:color="auto"/>
            </w:tcBorders>
          </w:tcPr>
          <w:p>
            <w:pPr>
              <w:ind w:left="180"/>
              <w:spacing w:after="0"/>
              <w:rPr>
                <w:sz w:val="20"/>
                <w:szCs w:val="20"/>
                <w:color w:val="auto"/>
              </w:rPr>
            </w:pPr>
            <w:r>
              <w:rPr>
                <w:rFonts w:ascii="Arial" w:cs="Arial" w:eastAsia="Arial" w:hAnsi="Arial"/>
                <w:sz w:val="12"/>
                <w:szCs w:val="12"/>
                <w:color w:val="auto"/>
              </w:rPr>
              <w:t>Stephen A. Wynn</w:t>
            </w:r>
          </w:p>
        </w:tc>
      </w:tr>
      <w:tr>
        <w:trPr>
          <w:trHeight w:val="144"/>
        </w:trPr>
        <w:tc>
          <w:tcPr>
            <w:tcW w:w="500" w:type="dxa"/>
            <w:vAlign w:val="bottom"/>
          </w:tcPr>
          <w:p>
            <w:pPr>
              <w:spacing w:after="0"/>
              <w:rPr>
                <w:sz w:val="20"/>
                <w:szCs w:val="20"/>
                <w:color w:val="auto"/>
              </w:rPr>
            </w:pPr>
            <w:r>
              <w:rPr>
                <w:rFonts w:ascii="Arial" w:cs="Arial" w:eastAsia="Arial" w:hAnsi="Arial"/>
                <w:sz w:val="12"/>
                <w:szCs w:val="12"/>
                <w:color w:val="auto"/>
              </w:rPr>
              <w:t>Title:</w:t>
            </w:r>
          </w:p>
        </w:tc>
        <w:tc>
          <w:tcPr>
            <w:tcW w:w="4080" w:type="dxa"/>
            <w:vAlign w:val="bottom"/>
          </w:tcPr>
          <w:p>
            <w:pPr>
              <w:ind w:left="180"/>
              <w:spacing w:after="0"/>
              <w:rPr>
                <w:sz w:val="20"/>
                <w:szCs w:val="20"/>
                <w:color w:val="auto"/>
              </w:rPr>
            </w:pPr>
            <w:r>
              <w:rPr>
                <w:rFonts w:ascii="Arial" w:cs="Arial" w:eastAsia="Arial" w:hAnsi="Arial"/>
                <w:sz w:val="12"/>
                <w:szCs w:val="12"/>
                <w:color w:val="auto"/>
              </w:rPr>
              <w:t>Chairman and Chief Executive Officer</w:t>
            </w:r>
          </w:p>
        </w:tc>
      </w:tr>
      <w:tr>
        <w:trPr>
          <w:trHeight w:val="144"/>
        </w:trPr>
        <w:tc>
          <w:tcPr>
            <w:tcW w:w="500" w:type="dxa"/>
            <w:vAlign w:val="bottom"/>
          </w:tcPr>
          <w:p>
            <w:pPr>
              <w:spacing w:after="0"/>
              <w:rPr>
                <w:sz w:val="12"/>
                <w:szCs w:val="12"/>
                <w:color w:val="auto"/>
              </w:rPr>
            </w:pPr>
          </w:p>
        </w:tc>
        <w:tc>
          <w:tcPr>
            <w:tcW w:w="4080" w:type="dxa"/>
            <w:vAlign w:val="bottom"/>
          </w:tcPr>
          <w:p>
            <w:pPr>
              <w:ind w:left="180"/>
              <w:spacing w:after="0"/>
              <w:rPr>
                <w:sz w:val="20"/>
                <w:szCs w:val="20"/>
                <w:color w:val="auto"/>
              </w:rPr>
            </w:pPr>
            <w:r>
              <w:rPr>
                <w:rFonts w:ascii="Arial" w:cs="Arial" w:eastAsia="Arial" w:hAnsi="Arial"/>
                <w:sz w:val="12"/>
                <w:szCs w:val="12"/>
                <w:color w:val="auto"/>
              </w:rPr>
              <w:t>(Principal Executive Officer)</w:t>
            </w:r>
          </w:p>
        </w:tc>
      </w:tr>
      <w:tr>
        <w:trPr>
          <w:trHeight w:val="148"/>
        </w:trPr>
        <w:tc>
          <w:tcPr>
            <w:tcW w:w="500" w:type="dxa"/>
            <w:vAlign w:val="bottom"/>
          </w:tcPr>
          <w:p>
            <w:pPr>
              <w:spacing w:after="0"/>
              <w:rPr>
                <w:sz w:val="20"/>
                <w:szCs w:val="20"/>
                <w:color w:val="auto"/>
              </w:rPr>
            </w:pPr>
            <w:r>
              <w:rPr>
                <w:rFonts w:ascii="Arial" w:cs="Arial" w:eastAsia="Arial" w:hAnsi="Arial"/>
                <w:sz w:val="12"/>
                <w:szCs w:val="12"/>
                <w:color w:val="auto"/>
              </w:rPr>
              <w:t>Date:</w:t>
            </w:r>
          </w:p>
        </w:tc>
        <w:tc>
          <w:tcPr>
            <w:tcW w:w="4080" w:type="dxa"/>
            <w:vAlign w:val="bottom"/>
          </w:tcPr>
          <w:p>
            <w:pPr>
              <w:ind w:left="180"/>
              <w:spacing w:after="0"/>
              <w:rPr>
                <w:sz w:val="20"/>
                <w:szCs w:val="20"/>
                <w:color w:val="auto"/>
              </w:rPr>
            </w:pPr>
            <w:r>
              <w:rPr>
                <w:rFonts w:ascii="Arial" w:cs="Arial" w:eastAsia="Arial" w:hAnsi="Arial"/>
                <w:sz w:val="12"/>
                <w:szCs w:val="12"/>
                <w:color w:val="auto"/>
              </w:rPr>
              <w:t>November 12, 2013</w:t>
            </w:r>
          </w:p>
        </w:tc>
      </w:tr>
      <w:tr>
        <w:trPr>
          <w:trHeight w:val="280"/>
        </w:trPr>
        <w:tc>
          <w:tcPr>
            <w:tcW w:w="4580" w:type="dxa"/>
            <w:vAlign w:val="bottom"/>
            <w:tcBorders>
              <w:bottom w:val="single" w:sz="8" w:color="auto"/>
            </w:tcBorders>
            <w:gridSpan w:val="2"/>
          </w:tcPr>
          <w:p>
            <w:pPr>
              <w:spacing w:after="0"/>
              <w:rPr>
                <w:sz w:val="20"/>
                <w:szCs w:val="20"/>
                <w:color w:val="auto"/>
              </w:rPr>
            </w:pPr>
            <w:r>
              <w:rPr>
                <w:rFonts w:ascii="Arial" w:cs="Arial" w:eastAsia="Arial" w:hAnsi="Arial"/>
                <w:sz w:val="12"/>
                <w:szCs w:val="12"/>
                <w:color w:val="auto"/>
              </w:rPr>
              <w:t>/s/ Matt Maddox</w:t>
            </w:r>
          </w:p>
        </w:tc>
      </w:tr>
      <w:tr>
        <w:trPr>
          <w:trHeight w:val="137"/>
        </w:trPr>
        <w:tc>
          <w:tcPr>
            <w:tcW w:w="500" w:type="dxa"/>
            <w:vAlign w:val="bottom"/>
          </w:tcPr>
          <w:p>
            <w:pPr>
              <w:spacing w:after="0" w:line="137" w:lineRule="exact"/>
              <w:rPr>
                <w:sz w:val="20"/>
                <w:szCs w:val="20"/>
                <w:color w:val="auto"/>
              </w:rPr>
            </w:pPr>
            <w:r>
              <w:rPr>
                <w:rFonts w:ascii="Arial" w:cs="Arial" w:eastAsia="Arial" w:hAnsi="Arial"/>
                <w:sz w:val="12"/>
                <w:szCs w:val="12"/>
                <w:color w:val="auto"/>
              </w:rPr>
              <w:t>Name:</w:t>
            </w:r>
          </w:p>
        </w:tc>
        <w:tc>
          <w:tcPr>
            <w:tcW w:w="4080" w:type="dxa"/>
            <w:vAlign w:val="bottom"/>
          </w:tcPr>
          <w:p>
            <w:pPr>
              <w:ind w:left="180"/>
              <w:spacing w:after="0" w:line="137" w:lineRule="exact"/>
              <w:rPr>
                <w:sz w:val="20"/>
                <w:szCs w:val="20"/>
                <w:color w:val="auto"/>
              </w:rPr>
            </w:pPr>
            <w:r>
              <w:rPr>
                <w:rFonts w:ascii="Arial" w:cs="Arial" w:eastAsia="Arial" w:hAnsi="Arial"/>
                <w:sz w:val="12"/>
                <w:szCs w:val="12"/>
                <w:color w:val="auto"/>
              </w:rPr>
              <w:t>Matt Maddox</w:t>
            </w:r>
          </w:p>
        </w:tc>
      </w:tr>
      <w:tr>
        <w:trPr>
          <w:trHeight w:val="144"/>
        </w:trPr>
        <w:tc>
          <w:tcPr>
            <w:tcW w:w="500" w:type="dxa"/>
            <w:vAlign w:val="bottom"/>
          </w:tcPr>
          <w:p>
            <w:pPr>
              <w:spacing w:after="0"/>
              <w:rPr>
                <w:sz w:val="20"/>
                <w:szCs w:val="20"/>
                <w:color w:val="auto"/>
              </w:rPr>
            </w:pPr>
            <w:r>
              <w:rPr>
                <w:rFonts w:ascii="Arial" w:cs="Arial" w:eastAsia="Arial" w:hAnsi="Arial"/>
                <w:sz w:val="12"/>
                <w:szCs w:val="12"/>
                <w:color w:val="auto"/>
              </w:rPr>
              <w:t>Title:</w:t>
            </w:r>
          </w:p>
        </w:tc>
        <w:tc>
          <w:tcPr>
            <w:tcW w:w="4080" w:type="dxa"/>
            <w:vAlign w:val="bottom"/>
          </w:tcPr>
          <w:p>
            <w:pPr>
              <w:ind w:left="180"/>
              <w:spacing w:after="0"/>
              <w:rPr>
                <w:sz w:val="20"/>
                <w:szCs w:val="20"/>
                <w:color w:val="auto"/>
              </w:rPr>
            </w:pPr>
            <w:r>
              <w:rPr>
                <w:rFonts w:ascii="Arial" w:cs="Arial" w:eastAsia="Arial" w:hAnsi="Arial"/>
                <w:sz w:val="12"/>
                <w:szCs w:val="12"/>
                <w:color w:val="auto"/>
              </w:rPr>
              <w:t>President, Chief Financial Officer and Treasurer</w:t>
            </w:r>
          </w:p>
        </w:tc>
      </w:tr>
      <w:tr>
        <w:trPr>
          <w:trHeight w:val="144"/>
        </w:trPr>
        <w:tc>
          <w:tcPr>
            <w:tcW w:w="500" w:type="dxa"/>
            <w:vAlign w:val="bottom"/>
          </w:tcPr>
          <w:p>
            <w:pPr>
              <w:spacing w:after="0"/>
              <w:rPr>
                <w:sz w:val="12"/>
                <w:szCs w:val="12"/>
                <w:color w:val="auto"/>
              </w:rPr>
            </w:pPr>
          </w:p>
        </w:tc>
        <w:tc>
          <w:tcPr>
            <w:tcW w:w="4080" w:type="dxa"/>
            <w:vAlign w:val="bottom"/>
          </w:tcPr>
          <w:p>
            <w:pPr>
              <w:ind w:left="180"/>
              <w:spacing w:after="0"/>
              <w:rPr>
                <w:sz w:val="20"/>
                <w:szCs w:val="20"/>
                <w:color w:val="auto"/>
              </w:rPr>
            </w:pPr>
            <w:r>
              <w:rPr>
                <w:rFonts w:ascii="Arial" w:cs="Arial" w:eastAsia="Arial" w:hAnsi="Arial"/>
                <w:sz w:val="12"/>
                <w:szCs w:val="12"/>
                <w:color w:val="auto"/>
              </w:rPr>
              <w:t>(Principal Financial Officer)</w:t>
            </w:r>
          </w:p>
        </w:tc>
      </w:tr>
      <w:tr>
        <w:trPr>
          <w:trHeight w:val="148"/>
        </w:trPr>
        <w:tc>
          <w:tcPr>
            <w:tcW w:w="500" w:type="dxa"/>
            <w:vAlign w:val="bottom"/>
          </w:tcPr>
          <w:p>
            <w:pPr>
              <w:spacing w:after="0"/>
              <w:rPr>
                <w:sz w:val="20"/>
                <w:szCs w:val="20"/>
                <w:color w:val="auto"/>
              </w:rPr>
            </w:pPr>
            <w:r>
              <w:rPr>
                <w:rFonts w:ascii="Arial" w:cs="Arial" w:eastAsia="Arial" w:hAnsi="Arial"/>
                <w:sz w:val="12"/>
                <w:szCs w:val="12"/>
                <w:color w:val="auto"/>
              </w:rPr>
              <w:t>Date:</w:t>
            </w:r>
          </w:p>
        </w:tc>
        <w:tc>
          <w:tcPr>
            <w:tcW w:w="4080" w:type="dxa"/>
            <w:vAlign w:val="bottom"/>
          </w:tcPr>
          <w:p>
            <w:pPr>
              <w:ind w:left="180"/>
              <w:spacing w:after="0"/>
              <w:rPr>
                <w:sz w:val="20"/>
                <w:szCs w:val="20"/>
                <w:color w:val="auto"/>
              </w:rPr>
            </w:pPr>
            <w:r>
              <w:rPr>
                <w:rFonts w:ascii="Arial" w:cs="Arial" w:eastAsia="Arial" w:hAnsi="Arial"/>
                <w:sz w:val="12"/>
                <w:szCs w:val="12"/>
                <w:color w:val="auto"/>
              </w:rPr>
              <w:t>November 12, 2013</w:t>
            </w:r>
          </w:p>
        </w:tc>
      </w:tr>
    </w:tbl>
    <w:p>
      <w:pPr>
        <w:spacing w:after="0" w:line="104" w:lineRule="exact"/>
        <w:rPr>
          <w:sz w:val="20"/>
          <w:szCs w:val="20"/>
          <w:color w:val="auto"/>
        </w:rPr>
      </w:pPr>
    </w:p>
    <w:p>
      <w:pPr>
        <w:ind w:left="8" w:right="60"/>
        <w:spacing w:after="0" w:line="314" w:lineRule="auto"/>
        <w:rPr>
          <w:sz w:val="20"/>
          <w:szCs w:val="20"/>
          <w:color w:val="auto"/>
        </w:rPr>
      </w:pPr>
      <w:r>
        <w:rPr>
          <w:rFonts w:ascii="Arial" w:cs="Arial" w:eastAsia="Arial" w:hAnsi="Arial"/>
          <w:sz w:val="11"/>
          <w:szCs w:val="11"/>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Wynn Resorts, Limited and will be retained by Wynn Resorts, Limited and furnished to the Securities and Exchange Commission or its staff upon request.</w:t>
      </w:r>
    </w:p>
    <w:sectPr>
      <w:pgSz w:w="11900" w:h="16838" w:orient="portrait"/>
      <w:cols w:equalWidth="0" w:num="1">
        <w:col w:w="11488"/>
      </w:cols>
      <w:pgMar w:left="212" w:top="131" w:right="1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FDCC233"/>
    <w:multiLevelType w:val="hybridMultilevel"/>
    <w:lvl w:ilvl="0">
      <w:lvlJc w:val="left"/>
      <w:lvlText w:val="☒"/>
      <w:numFmt w:val="bullet"/>
      <w:start w:val="1"/>
    </w:lvl>
  </w:abstractNum>
  <w:abstractNum w:abstractNumId="1">
    <w:nsid w:val="1BEFD79F"/>
    <w:multiLevelType w:val="hybridMultilevel"/>
    <w:lvl w:ilvl="0">
      <w:lvlJc w:val="left"/>
      <w:lvlText w:val="☐"/>
      <w:numFmt w:val="bullet"/>
      <w:start w:val="1"/>
    </w:lvl>
  </w:abstractNum>
  <w:abstractNum w:abstractNumId="2">
    <w:nsid w:val="41A7C4C9"/>
    <w:multiLevelType w:val="hybridMultilevel"/>
    <w:lvl w:ilvl="0">
      <w:lvlJc w:val="left"/>
      <w:lvlText w:val="%1."/>
      <w:numFmt w:val="decimal"/>
      <w:start w:val="1"/>
    </w:lvl>
  </w:abstractNum>
  <w:abstractNum w:abstractNumId="3">
    <w:nsid w:val="6B68079A"/>
    <w:multiLevelType w:val="hybridMultilevel"/>
    <w:lvl w:ilvl="0">
      <w:lvlJc w:val="left"/>
      <w:lvlText w:val="%1."/>
      <w:numFmt w:val="decimal"/>
      <w:start w:val="2"/>
    </w:lvl>
  </w:abstractNum>
  <w:abstractNum w:abstractNumId="4">
    <w:nsid w:val="4E6AFB66"/>
    <w:multiLevelType w:val="hybridMultilevel"/>
    <w:lvl w:ilvl="0">
      <w:lvlJc w:val="left"/>
      <w:lvlText w:val="%1."/>
      <w:numFmt w:val="decimal"/>
      <w:start w:val="3"/>
    </w:lvl>
  </w:abstractNum>
  <w:abstractNum w:abstractNumId="5">
    <w:nsid w:val="25E45D32"/>
    <w:multiLevelType w:val="hybridMultilevel"/>
    <w:lvl w:ilvl="0">
      <w:lvlJc w:val="left"/>
      <w:lvlText w:val="%1."/>
      <w:numFmt w:val="decimal"/>
      <w:start w:val="4"/>
    </w:lvl>
  </w:abstractNum>
  <w:abstractNum w:abstractNumId="6">
    <w:nsid w:val="519B500D"/>
    <w:multiLevelType w:val="hybridMultilevel"/>
    <w:lvl w:ilvl="0">
      <w:lvlJc w:val="left"/>
      <w:lvlText w:val="%1."/>
      <w:numFmt w:val="decimal"/>
      <w:start w:val="5"/>
    </w:lvl>
  </w:abstractNum>
  <w:abstractNum w:abstractNumId="7">
    <w:nsid w:val="431BD7B7"/>
    <w:multiLevelType w:val="hybridMultilevel"/>
    <w:lvl w:ilvl="0">
      <w:lvlJc w:val="left"/>
      <w:lvlText w:val="%1."/>
      <w:numFmt w:val="decimal"/>
      <w:start w:val="6"/>
    </w:lvl>
  </w:abstractNum>
  <w:abstractNum w:abstractNumId="8">
    <w:nsid w:val="3F2DBA31"/>
    <w:multiLevelType w:val="hybridMultilevel"/>
    <w:lvl w:ilvl="0">
      <w:lvlJc w:val="left"/>
      <w:lvlText w:val="%1."/>
      <w:numFmt w:val="decimal"/>
      <w:start w:val="7"/>
    </w:lvl>
  </w:abstractNum>
  <w:abstractNum w:abstractNumId="9">
    <w:nsid w:val="7C83E458"/>
    <w:multiLevelType w:val="hybridMultilevel"/>
    <w:lvl w:ilvl="0">
      <w:lvlJc w:val="left"/>
      <w:lvlText w:val="%1."/>
      <w:numFmt w:val="decimal"/>
      <w:start w:val="9"/>
    </w:lvl>
  </w:abstractNum>
  <w:abstractNum w:abstractNumId="10">
    <w:nsid w:val="257130A3"/>
    <w:multiLevelType w:val="hybridMultilevel"/>
    <w:lvl w:ilvl="0">
      <w:lvlJc w:val="left"/>
      <w:lvlText w:val="%1."/>
      <w:numFmt w:val="decimal"/>
      <w:start w:val="11"/>
    </w:lvl>
  </w:abstractNum>
  <w:abstractNum w:abstractNumId="11">
    <w:nsid w:val="62BBD95A"/>
    <w:multiLevelType w:val="hybridMultilevel"/>
    <w:lvl w:ilvl="0">
      <w:lvlJc w:val="left"/>
      <w:lvlText w:val="%1."/>
      <w:numFmt w:val="decimal"/>
      <w:start w:val="15"/>
    </w:lvl>
  </w:abstractNum>
  <w:abstractNum w:abstractNumId="12">
    <w:nsid w:val="436C6125"/>
    <w:multiLevelType w:val="hybridMultilevel"/>
    <w:lvl w:ilvl="0">
      <w:lvlJc w:val="left"/>
      <w:lvlText w:val="(%1)"/>
      <w:numFmt w:val="lowerLetter"/>
      <w:start w:val="2"/>
    </w:lvl>
  </w:abstractNum>
  <w:abstractNum w:abstractNumId="13">
    <w:nsid w:val="628C895D"/>
    <w:multiLevelType w:val="hybridMultilevel"/>
    <w:lvl w:ilvl="0">
      <w:lvlJc w:val="left"/>
      <w:lvlText w:val="(%1)"/>
      <w:numFmt w:val="decimal"/>
      <w:start w:val="1"/>
    </w:lvl>
  </w:abstractNum>
  <w:abstractNum w:abstractNumId="14">
    <w:nsid w:val="333AB105"/>
    <w:multiLevelType w:val="hybridMultilevel"/>
    <w:lvl w:ilvl="0">
      <w:lvlJc w:val="left"/>
      <w:lvlText w:val="•"/>
      <w:numFmt w:val="bullet"/>
      <w:start w:val="1"/>
    </w:lvl>
  </w:abstractNum>
  <w:abstractNum w:abstractNumId="15">
    <w:nsid w:val="721DA317"/>
    <w:multiLevelType w:val="hybridMultilevel"/>
    <w:lvl w:ilvl="0">
      <w:lvlJc w:val="left"/>
      <w:lvlText w:val="•"/>
      <w:numFmt w:val="bullet"/>
      <w:start w:val="1"/>
    </w:lvl>
  </w:abstractNum>
  <w:abstractNum w:abstractNumId="16">
    <w:nsid w:val="2443A858"/>
    <w:multiLevelType w:val="hybridMultilevel"/>
    <w:lvl w:ilvl="0">
      <w:lvlJc w:val="left"/>
      <w:lvlText w:val="•"/>
      <w:numFmt w:val="bullet"/>
      <w:start w:val="1"/>
    </w:lvl>
  </w:abstractNum>
  <w:abstractNum w:abstractNumId="17">
    <w:nsid w:val="2D1D5AE9"/>
    <w:multiLevelType w:val="hybridMultilevel"/>
    <w:lvl w:ilvl="0">
      <w:lvlJc w:val="left"/>
      <w:lvlText w:val="•"/>
      <w:numFmt w:val="bullet"/>
      <w:start w:val="1"/>
    </w:lvl>
  </w:abstractNum>
  <w:abstractNum w:abstractNumId="18">
    <w:nsid w:val="6763845E"/>
    <w:multiLevelType w:val="hybridMultilevel"/>
    <w:lvl w:ilvl="0">
      <w:lvlJc w:val="left"/>
      <w:lvlText w:val="•"/>
      <w:numFmt w:val="bullet"/>
      <w:start w:val="1"/>
    </w:lvl>
  </w:abstractNum>
  <w:abstractNum w:abstractNumId="19">
    <w:nsid w:val="75A2A8D4"/>
    <w:multiLevelType w:val="hybridMultilevel"/>
    <w:lvl w:ilvl="0">
      <w:lvlJc w:val="left"/>
      <w:lvlText w:val="(%1)"/>
      <w:numFmt w:val="decimal"/>
      <w:start w:val="1"/>
    </w:lvl>
  </w:abstractNum>
  <w:abstractNum w:abstractNumId="20">
    <w:nsid w:val="8EDBDAB"/>
    <w:multiLevelType w:val="hybridMultilevel"/>
    <w:lvl w:ilvl="0">
      <w:lvlJc w:val="left"/>
      <w:lvlText w:val="(%1)"/>
      <w:numFmt w:val="decimal"/>
      <w:start w:val="1"/>
    </w:lvl>
  </w:abstractNum>
  <w:abstractNum w:abstractNumId="21">
    <w:nsid w:val="79838CB2"/>
    <w:multiLevelType w:val="hybridMultilevel"/>
    <w:lvl w:ilvl="0">
      <w:lvlJc w:val="left"/>
      <w:lvlText w:val="(%1)"/>
      <w:numFmt w:val="lowerLetter"/>
      <w:start w:val="1"/>
    </w:lvl>
  </w:abstractNum>
  <w:abstractNum w:abstractNumId="22">
    <w:nsid w:val="4353D0CD"/>
    <w:multiLevelType w:val="hybridMultilevel"/>
    <w:lvl w:ilvl="0">
      <w:lvlJc w:val="left"/>
      <w:lvlText w:val="(%1)"/>
      <w:numFmt w:val="lowerLetter"/>
      <w:start w:val="1"/>
    </w:lvl>
  </w:abstractNum>
  <w:abstractNum w:abstractNumId="23">
    <w:nsid w:val="B03E0C6"/>
    <w:multiLevelType w:val="hybridMultilevel"/>
    <w:lvl w:ilvl="0">
      <w:lvlJc w:val="left"/>
      <w:lvlText w:val="*"/>
      <w:numFmt w:val="bullet"/>
      <w:start w:val="1"/>
    </w:lvl>
  </w:abstractNum>
  <w:abstractNum w:abstractNumId="24">
    <w:nsid w:val="189A769B"/>
    <w:multiLevelType w:val="hybridMultilevel"/>
    <w:lvl w:ilvl="0">
      <w:lvlJc w:val="left"/>
      <w:lvlText w:val="(%1)"/>
      <w:numFmt w:val="decimal"/>
      <w:start w:val="1"/>
    </w:lvl>
  </w:abstractNum>
  <w:abstractNum w:abstractNumId="25">
    <w:nsid w:val="54E49EB4"/>
    <w:multiLevelType w:val="hybridMultilevel"/>
    <w:lvl w:ilvl="0">
      <w:lvlJc w:val="left"/>
      <w:lvlText w:val="%1."/>
      <w:numFmt w:val="decimal"/>
      <w:start w:val="1"/>
    </w:lvl>
    <w:lvl w:ilvl="1">
      <w:lvlJc w:val="left"/>
      <w:lvlText w:val="%2)"/>
      <w:numFmt w:val="lowerLetter"/>
      <w:start w:val="1"/>
    </w:lvl>
  </w:abstractNum>
  <w:abstractNum w:abstractNumId="26">
    <w:nsid w:val="71F32454"/>
    <w:multiLevelType w:val="hybridMultilevel"/>
    <w:lvl w:ilvl="0">
      <w:lvlJc w:val="left"/>
      <w:lvlText w:val="%1."/>
      <w:numFmt w:val="decimal"/>
      <w:start w:val="1"/>
    </w:lvl>
    <w:lvl w:ilvl="1">
      <w:lvlJc w:val="left"/>
      <w:lvlText w:val="%2)"/>
      <w:numFmt w:val="lowerLetter"/>
      <w:start w:val="1"/>
    </w:lvl>
  </w:abstractNum>
  <w:abstractNum w:abstractNumId="27">
    <w:nsid w:val="2CA88611"/>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2019-12-07T04:17:17Z</dcterms:created>
  <dcterms:modified xsi:type="dcterms:W3CDTF">2019-12-07T04:17:17Z</dcterms:modified>
</cp:coreProperties>
</file>