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8-K</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CURRENT REPORT</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Date of Report (Date of earliest event reported): August 1, 2006</w:t>
      </w:r>
    </w:p>
    <w:p>
      <w:pPr>
        <w:spacing w:after="0" w:line="18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WYNN RESORTS, LIMITED</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3" w:right="1440" w:bottom="41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5"/>
          <w:szCs w:val="15"/>
          <w:color w:val="auto"/>
        </w:rPr>
        <w:t>Nevada</w:t>
      </w:r>
    </w:p>
    <w:p>
      <w:pPr>
        <w:spacing w:after="0" w:line="4"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15"/>
          <w:szCs w:val="15"/>
          <w:color w:val="auto"/>
        </w:rPr>
        <w:t>46-0484987</w:t>
      </w:r>
    </w:p>
    <w:p>
      <w:pPr>
        <w:spacing w:after="0" w:line="4"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14"/>
          <w:szCs w:val="14"/>
          <w:color w:val="auto"/>
        </w:rPr>
        <w:t>(I.R.S. Employer Identification No.)</w:t>
      </w:r>
    </w:p>
    <w:p>
      <w:pPr>
        <w:spacing w:after="0" w:line="13" w:lineRule="exact"/>
        <w:rPr>
          <w:sz w:val="24"/>
          <w:szCs w:val="24"/>
          <w:color w:val="auto"/>
        </w:rPr>
      </w:pPr>
    </w:p>
    <w:p>
      <w:pPr>
        <w:sectPr>
          <w:pgSz w:w="11900" w:h="16838" w:orient="portrait"/>
          <w:cols w:equalWidth="0" w:num="3">
            <w:col w:w="3120" w:space="720"/>
            <w:col w:w="2320" w:space="720"/>
            <w:col w:w="3339"/>
          </w:cols>
          <w:pgMar w:left="240" w:top="403" w:right="1440" w:bottom="414"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incorporation)</w:t>
      </w:r>
    </w:p>
    <w:p>
      <w:pPr>
        <w:sectPr>
          <w:pgSz w:w="11900" w:h="16838" w:orient="portrait"/>
          <w:cols w:equalWidth="0" w:num="1">
            <w:col w:w="10219"/>
          </w:cols>
          <w:pgMar w:left="240" w:top="403" w:right="1440" w:bottom="414" w:gutter="0" w:footer="0" w:header="0"/>
          <w:type w:val="continuous"/>
        </w:sectPr>
      </w:pPr>
    </w:p>
    <w:p>
      <w:pPr>
        <w:spacing w:after="0" w:line="184"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WYNN LAS VEGAS, LLC</w:t>
      </w:r>
    </w:p>
    <w:p>
      <w:pPr>
        <w:spacing w:after="0" w:line="4"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403" w:right="1440" w:bottom="414" w:gutter="0" w:footer="0" w:header="0"/>
          <w:type w:val="continuous"/>
        </w:sectPr>
      </w:pPr>
    </w:p>
    <w:p>
      <w:pPr>
        <w:spacing w:after="0" w:line="184"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5"/>
          <w:szCs w:val="15"/>
          <w:color w:val="auto"/>
        </w:rPr>
        <w:t>Nevada</w:t>
      </w:r>
    </w:p>
    <w:p>
      <w:pPr>
        <w:spacing w:after="0" w:line="4"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15"/>
          <w:szCs w:val="15"/>
          <w:color w:val="auto"/>
        </w:rPr>
        <w:t>88-0494878</w:t>
      </w:r>
    </w:p>
    <w:p>
      <w:pPr>
        <w:spacing w:after="0" w:line="4" w:lineRule="exact"/>
        <w:rPr>
          <w:sz w:val="24"/>
          <w:szCs w:val="24"/>
          <w:color w:val="auto"/>
        </w:rPr>
      </w:pPr>
    </w:p>
    <w:p>
      <w:pPr>
        <w:jc w:val="center"/>
        <w:ind w:right="119"/>
        <w:spacing w:after="0"/>
        <w:rPr>
          <w:sz w:val="20"/>
          <w:szCs w:val="20"/>
          <w:color w:val="auto"/>
        </w:rPr>
      </w:pPr>
      <w:r>
        <w:rPr>
          <w:rFonts w:ascii="Courier New" w:cs="Courier New" w:eastAsia="Courier New" w:hAnsi="Courier New"/>
          <w:sz w:val="14"/>
          <w:szCs w:val="14"/>
          <w:color w:val="auto"/>
        </w:rPr>
        <w:t>(I.R.S. Employer Identification No.)</w:t>
      </w:r>
    </w:p>
    <w:p>
      <w:pPr>
        <w:spacing w:after="0" w:line="13" w:lineRule="exact"/>
        <w:rPr>
          <w:sz w:val="24"/>
          <w:szCs w:val="24"/>
          <w:color w:val="auto"/>
        </w:rPr>
      </w:pPr>
    </w:p>
    <w:p>
      <w:pPr>
        <w:sectPr>
          <w:pgSz w:w="11900" w:h="16838" w:orient="portrait"/>
          <w:cols w:equalWidth="0" w:num="3">
            <w:col w:w="3120" w:space="720"/>
            <w:col w:w="2320" w:space="720"/>
            <w:col w:w="3339"/>
          </w:cols>
          <w:pgMar w:left="240" w:top="403" w:right="1440" w:bottom="414"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incorporation)</w:t>
      </w:r>
    </w:p>
    <w:p>
      <w:pPr>
        <w:sectPr>
          <w:pgSz w:w="11900" w:h="16838" w:orient="portrait"/>
          <w:cols w:equalWidth="0" w:num="1">
            <w:col w:w="10219"/>
          </w:cols>
          <w:pgMar w:left="240" w:top="403" w:right="1440" w:bottom="414" w:gutter="0" w:footer="0" w:header="0"/>
          <w:type w:val="continuous"/>
        </w:sectPr>
      </w:pPr>
    </w:p>
    <w:p>
      <w:pPr>
        <w:spacing w:after="0" w:line="18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3131 Las Vegas Boulevard South</w:t>
      </w:r>
    </w:p>
    <w:p>
      <w:pPr>
        <w:spacing w:after="0" w:line="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Las Vegas, 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7320" w:space="720"/>
            <w:col w:w="2179"/>
          </w:cols>
          <w:pgMar w:left="240" w:top="403" w:right="1440" w:bottom="414" w:gutter="0" w:footer="0" w:header="0"/>
          <w:type w:val="continuous"/>
        </w:sectPr>
      </w:pPr>
    </w:p>
    <w:p>
      <w:pPr>
        <w:spacing w:after="0" w:line="15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(702) 770-7555</w:t>
      </w:r>
    </w:p>
    <w:p>
      <w:pPr>
        <w:spacing w:after="0" w:line="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403" w:right="1440" w:bottom="414" w:gutter="0" w:footer="0" w:header="0"/>
          <w:type w:val="continuous"/>
        </w:sectPr>
      </w:pPr>
    </w:p>
    <w:p>
      <w:pPr>
        <w:spacing w:after="0" w:line="18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Not Applicable</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6" w:lineRule="exact"/>
        <w:rPr>
          <w:sz w:val="24"/>
          <w:szCs w:val="24"/>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Check the appropriate box below if the Form 8-K is intended to simultaneously satisfy the filing obligation of the registrant under any of the following provisions:</w:t>
      </w:r>
    </w:p>
    <w:p>
      <w:pPr>
        <w:spacing w:after="0" w:line="176" w:lineRule="exact"/>
        <w:rPr>
          <w:sz w:val="24"/>
          <w:szCs w:val="24"/>
          <w:color w:val="auto"/>
        </w:rPr>
      </w:pPr>
    </w:p>
    <w:p>
      <w:pPr>
        <w:ind w:left="520" w:right="3699" w:hanging="536"/>
        <w:spacing w:after="0"/>
        <w:tabs>
          <w:tab w:leader="none" w:pos="500" w:val="left"/>
        </w:tabs>
        <w:rPr>
          <w:sz w:val="20"/>
          <w:szCs w:val="20"/>
          <w:color w:val="auto"/>
        </w:rPr>
      </w:pPr>
      <w:r>
        <w:rPr>
          <w:rFonts w:ascii="Courier New" w:cs="Courier New" w:eastAsia="Courier New" w:hAnsi="Courier New"/>
          <w:sz w:val="15"/>
          <w:szCs w:val="15"/>
          <w:color w:val="auto"/>
        </w:rPr>
        <w:t>[_]</w:t>
        <w:tab/>
        <w:t>Written communication pursuant to Rule 425 under the Securities Act (17 CFR 230.425)</w:t>
      </w:r>
    </w:p>
    <w:p>
      <w:pPr>
        <w:spacing w:after="0" w:line="176" w:lineRule="exact"/>
        <w:rPr>
          <w:sz w:val="24"/>
          <w:szCs w:val="24"/>
          <w:color w:val="auto"/>
        </w:rPr>
      </w:pPr>
    </w:p>
    <w:p>
      <w:pPr>
        <w:ind w:left="520" w:right="3779" w:hanging="536"/>
        <w:spacing w:after="0"/>
        <w:tabs>
          <w:tab w:leader="none" w:pos="500" w:val="left"/>
        </w:tabs>
        <w:rPr>
          <w:sz w:val="20"/>
          <w:szCs w:val="20"/>
          <w:color w:val="auto"/>
        </w:rPr>
      </w:pPr>
      <w:r>
        <w:rPr>
          <w:rFonts w:ascii="Courier New" w:cs="Courier New" w:eastAsia="Courier New" w:hAnsi="Courier New"/>
          <w:sz w:val="15"/>
          <w:szCs w:val="15"/>
          <w:color w:val="auto"/>
        </w:rPr>
        <w:t>[_]</w:t>
        <w:tab/>
        <w:t>Soliciting material pursuant to Rule 14a-12 under the Exchange Act (17 CFR 240.14a-12)</w:t>
      </w:r>
    </w:p>
    <w:p>
      <w:pPr>
        <w:spacing w:after="0" w:line="176" w:lineRule="exact"/>
        <w:rPr>
          <w:sz w:val="24"/>
          <w:szCs w:val="24"/>
          <w:color w:val="auto"/>
        </w:rPr>
      </w:pPr>
    </w:p>
    <w:p>
      <w:pPr>
        <w:ind w:left="520" w:right="3699" w:hanging="536"/>
        <w:spacing w:after="0"/>
        <w:tabs>
          <w:tab w:leader="none" w:pos="500" w:val="left"/>
        </w:tabs>
        <w:rPr>
          <w:sz w:val="20"/>
          <w:szCs w:val="20"/>
          <w:color w:val="auto"/>
        </w:rPr>
      </w:pPr>
      <w:r>
        <w:rPr>
          <w:rFonts w:ascii="Courier New" w:cs="Courier New" w:eastAsia="Courier New" w:hAnsi="Courier New"/>
          <w:sz w:val="15"/>
          <w:szCs w:val="15"/>
          <w:color w:val="auto"/>
        </w:rPr>
        <w:t>[_]</w:t>
        <w:tab/>
        <w:t>Pre-commencement communications pursuant to Rule 14d-2(b) under the Exchange Act (17 CFR 240.14d-2(b))</w:t>
      </w:r>
    </w:p>
    <w:p>
      <w:pPr>
        <w:spacing w:after="0" w:line="176" w:lineRule="exact"/>
        <w:rPr>
          <w:sz w:val="24"/>
          <w:szCs w:val="24"/>
          <w:color w:val="auto"/>
        </w:rPr>
      </w:pPr>
    </w:p>
    <w:p>
      <w:pPr>
        <w:ind w:left="520" w:right="3599" w:hanging="536"/>
        <w:spacing w:after="0"/>
        <w:tabs>
          <w:tab w:leader="none" w:pos="500" w:val="left"/>
        </w:tabs>
        <w:rPr>
          <w:sz w:val="20"/>
          <w:szCs w:val="20"/>
          <w:color w:val="auto"/>
        </w:rPr>
      </w:pPr>
      <w:r>
        <w:rPr>
          <w:rFonts w:ascii="Courier New" w:cs="Courier New" w:eastAsia="Courier New" w:hAnsi="Courier New"/>
          <w:sz w:val="15"/>
          <w:szCs w:val="15"/>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2.02</w:t>
      </w:r>
      <w:r>
        <w:rPr>
          <w:sz w:val="20"/>
          <w:szCs w:val="20"/>
          <w:color w:val="auto"/>
        </w:rPr>
        <w:tab/>
      </w:r>
      <w:r>
        <w:rPr>
          <w:rFonts w:ascii="Courier New" w:cs="Courier New" w:eastAsia="Courier New" w:hAnsi="Courier New"/>
          <w:sz w:val="14"/>
          <w:szCs w:val="14"/>
          <w:color w:val="auto"/>
        </w:rPr>
        <w:t>Results of Operations and Financial Condition.</w:t>
      </w:r>
    </w:p>
    <w:p>
      <w:pPr>
        <w:spacing w:after="0" w:line="176" w:lineRule="exact"/>
        <w:rPr>
          <w:sz w:val="24"/>
          <w:szCs w:val="24"/>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On August 1, 2006, Wynn Resorts, Limited issued a press release announcing its results of operations for the second quarter of 2006.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76" w:lineRule="exact"/>
        <w:rPr>
          <w:sz w:val="24"/>
          <w:szCs w:val="24"/>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7.01.</w:t>
      </w:r>
      <w:r>
        <w:rPr>
          <w:sz w:val="20"/>
          <w:szCs w:val="20"/>
          <w:color w:val="auto"/>
        </w:rPr>
        <w:tab/>
      </w:r>
      <w:r>
        <w:rPr>
          <w:rFonts w:ascii="Courier New" w:cs="Courier New" w:eastAsia="Courier New" w:hAnsi="Courier New"/>
          <w:sz w:val="14"/>
          <w:szCs w:val="14"/>
          <w:color w:val="auto"/>
        </w:rPr>
        <w:t>Regulation FD Disclosure.</w:t>
      </w:r>
    </w:p>
    <w:p>
      <w:pPr>
        <w:spacing w:after="0" w:line="176" w:lineRule="exact"/>
        <w:rPr>
          <w:sz w:val="24"/>
          <w:szCs w:val="24"/>
          <w:color w:val="auto"/>
        </w:rPr>
      </w:pPr>
    </w:p>
    <w:p>
      <w:pPr>
        <w:ind w:right="3159"/>
        <w:spacing w:after="0"/>
        <w:rPr>
          <w:sz w:val="20"/>
          <w:szCs w:val="20"/>
          <w:color w:val="auto"/>
        </w:rPr>
      </w:pPr>
      <w:r>
        <w:rPr>
          <w:rFonts w:ascii="Courier New" w:cs="Courier New" w:eastAsia="Courier New" w:hAnsi="Courier New"/>
          <w:sz w:val="15"/>
          <w:szCs w:val="15"/>
          <w:color w:val="auto"/>
        </w:rPr>
        <w:t>The information set forth under Item 2.02 of this report is incorporated herein by reference.</w:t>
      </w:r>
    </w:p>
    <w:p>
      <w:pPr>
        <w:sectPr>
          <w:pgSz w:w="11900" w:h="16838" w:orient="portrait"/>
          <w:cols w:equalWidth="0" w:num="1">
            <w:col w:w="10219"/>
          </w:cols>
          <w:pgMar w:left="240" w:top="403" w:right="1440" w:bottom="414" w:gutter="0" w:footer="0" w:header="0"/>
          <w:type w:val="continuous"/>
        </w:sectPr>
      </w:pP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9.01.</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Financial Statements and Exhibits.</w:t>
      </w:r>
    </w:p>
    <w:p>
      <w:pPr>
        <w:spacing w:after="0" w:line="185" w:lineRule="exact"/>
        <w:rPr>
          <w:sz w:val="24"/>
          <w:szCs w:val="24"/>
          <w:color w:val="auto"/>
        </w:rPr>
      </w:pPr>
    </w:p>
    <w:p>
      <w:pPr>
        <w:sectPr>
          <w:pgSz w:w="11900" w:h="16838" w:orient="portrait"/>
          <w:cols w:equalWidth="0" w:num="2">
            <w:col w:w="880" w:space="720"/>
            <w:col w:w="8619"/>
          </w:cols>
          <w:pgMar w:left="240" w:top="403" w:right="1440" w:bottom="41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Exhibits:</w:t>
      </w:r>
    </w:p>
    <w:p>
      <w:pPr>
        <w:spacing w:after="0" w:line="185" w:lineRule="exact"/>
        <w:rPr>
          <w:sz w:val="24"/>
          <w:szCs w:val="24"/>
          <w:color w:val="auto"/>
        </w:rPr>
      </w:pPr>
    </w:p>
    <w:p>
      <w:pPr>
        <w:sectPr>
          <w:pgSz w:w="11900" w:h="16838" w:orient="portrait"/>
          <w:cols w:equalWidth="0" w:num="2">
            <w:col w:w="1060" w:space="720"/>
            <w:col w:w="8439"/>
          </w:cols>
          <w:pgMar w:left="240" w:top="403" w:right="1440" w:bottom="414"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4"/>
          <w:szCs w:val="24"/>
          <w:color w:val="auto"/>
        </w:rPr>
      </w:pPr>
    </w:p>
    <w:p>
      <w:pPr>
        <w:ind w:left="160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4"/>
          <w:szCs w:val="24"/>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sectPr>
          <w:pgSz w:w="11900" w:h="16838" w:orient="portrait"/>
          <w:cols w:equalWidth="0" w:num="2">
            <w:col w:w="2760" w:space="720"/>
            <w:col w:w="6739"/>
          </w:cols>
          <w:pgMar w:left="240" w:top="403" w:right="1440" w:bottom="414" w:gutter="0" w:footer="0" w:header="0"/>
          <w:type w:val="continuous"/>
        </w:sectPr>
      </w:pPr>
    </w:p>
    <w:p>
      <w:pPr>
        <w:ind w:left="178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Press release, dated August 1, 2006,</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Wynn Resorts, Limited.</w:t>
      </w:r>
    </w:p>
    <w:p>
      <w:pPr>
        <w:sectPr>
          <w:pgSz w:w="11900" w:h="16838" w:orient="portrait"/>
          <w:cols w:equalWidth="0" w:num="2">
            <w:col w:w="2760" w:space="720"/>
            <w:col w:w="6739"/>
          </w:cols>
          <w:pgMar w:left="240" w:top="403" w:right="1440" w:bottom="414"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1, 2006</w:t>
      </w:r>
    </w:p>
    <w:p>
      <w:pPr>
        <w:spacing w:after="0" w:line="17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Wynn Resorts, Limited</w:t>
      </w:r>
    </w:p>
    <w:p>
      <w:pPr>
        <w:spacing w:after="0" w:line="346" w:lineRule="exact"/>
        <w:rPr>
          <w:sz w:val="20"/>
          <w:szCs w:val="20"/>
          <w:color w:val="auto"/>
        </w:rPr>
      </w:pPr>
    </w:p>
    <w:p>
      <w:pPr>
        <w:jc w:val="center"/>
        <w:ind w:right="139"/>
        <w:spacing w:after="0"/>
        <w:tabs>
          <w:tab w:leader="none" w:pos="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Strzemp</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John Strzemp</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805" w:right="1440" w:bottom="1440" w:gutter="0" w:footer="0" w:header="0"/>
        </w:sectPr>
      </w:pPr>
    </w:p>
    <w:bookmarkStart w:id="2" w:name="page3"/>
    <w:bookmarkEnd w:id="2"/>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August 1, 2006</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WYNN LAS VEGAS, LLC</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Wynn Resorts Holdings, LLC,</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its sole member</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Wynn Resorts, Limited,</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its sole member</w:t>
      </w:r>
    </w:p>
    <w:p>
      <w:pPr>
        <w:spacing w:after="0" w:line="174" w:lineRule="exact"/>
        <w:rPr>
          <w:sz w:val="20"/>
          <w:szCs w:val="20"/>
          <w:color w:val="auto"/>
        </w:rPr>
      </w:pPr>
    </w:p>
    <w:p>
      <w:pPr>
        <w:ind w:left="3840"/>
        <w:spacing w:after="0"/>
        <w:tabs>
          <w:tab w:leader="none" w:pos="4260" w:val="left"/>
        </w:tabs>
        <w:rPr>
          <w:sz w:val="20"/>
          <w:szCs w:val="20"/>
          <w:color w:val="auto"/>
        </w:rPr>
      </w:pPr>
      <w:r>
        <w:rPr>
          <w:rFonts w:ascii="Courier New" w:cs="Courier New" w:eastAsia="Courier New" w:hAnsi="Courier New"/>
          <w:sz w:val="15"/>
          <w:szCs w:val="15"/>
          <w:color w:val="auto"/>
        </w:rPr>
        <w:t>By:</w:t>
        <w:tab/>
        <w:t>/s/ John Strzemp</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John Strzemp</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805" w:right="1440" w:bottom="1440" w:gutter="0" w:footer="0" w:header="0"/>
        </w:sectPr>
      </w:pPr>
    </w:p>
    <w:bookmarkStart w:id="3" w:name="page4"/>
    <w:bookmarkEnd w:id="3"/>
    <w:p>
      <w:pPr>
        <w:spacing w:after="0" w:line="2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Exhibit 99.1</w:t>
      </w:r>
    </w:p>
    <w:p>
      <w:pPr>
        <w:spacing w:after="0" w:line="346"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Wynn Resorts, Limited Reports Second Quarter Results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LAS VEGAS, August 1, 2006 (BUSINESS WIRE) -- Wynn Resorts, Limited (Nasdaq:</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WYNN) today reported financial results for the quarter ended June 30, 2006.</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Net Revenues for the quarter were $273.4 million and adjusted net loss (excluding $15.2 million in pre-opening expenses, property charges and increase in swap fair value) was $4.9 million, or $0.05 per share (adjusted EPS) (1). On a US GAAP (Generally Accepted Accounting Principles) basis, net loss was $20.1 million, or $0.20 per share.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Wynn Las Vegas Second Quarter Results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quarter ended June 30, 2006, Wynn Las Vegas generated adjusted EBITDA</w:t>
      </w:r>
    </w:p>
    <w:p>
      <w:pPr>
        <w:spacing w:after="0" w:line="2" w:lineRule="exact"/>
        <w:rPr>
          <w:sz w:val="20"/>
          <w:szCs w:val="20"/>
          <w:color w:val="auto"/>
        </w:rPr>
      </w:pPr>
    </w:p>
    <w:p>
      <w:pPr>
        <w:ind w:left="348"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$73.2 million, representing a 26.8% margin on second quarter net</w:t>
      </w:r>
    </w:p>
    <w:p>
      <w:pPr>
        <w:spacing w:after="0" w:line="3" w:lineRule="exact"/>
        <w:rPr>
          <w:rFonts w:ascii="Courier New" w:cs="Courier New" w:eastAsia="Courier New" w:hAnsi="Courier New"/>
          <w:sz w:val="15"/>
          <w:szCs w:val="15"/>
          <w:color w:val="auto"/>
        </w:rPr>
      </w:pPr>
    </w:p>
    <w:p>
      <w:pPr>
        <w:ind w:left="8"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The lower margins in the quarter resulted primarily from low hold percentage in the casino in June.</w:t>
      </w:r>
    </w:p>
    <w:p>
      <w:pPr>
        <w:spacing w:after="0" w:line="176"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Net gaming revenues in the second quarter of 2006 were $113.5 million. Table games drop was $466.1 million, with win per table per day (before discounts) of $7,187 for the quarter. Table games win percentage of 19.8% was on the lower-end of the property's expected range of 19% to 22%. Slot machine win per unit per day was $240 on handle (volume) of $907 million in the quarter. Although slot handle maintained its pace with historical levels, win percentage was lower than in previous quarters (but within the normal expected range of 5% to 6%), resulting in the decline in win per unit per day for the quarter.</w:t>
      </w:r>
    </w:p>
    <w:p>
      <w:pPr>
        <w:spacing w:after="0" w:line="163"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Gross non-gaming revenues for the quarter were $196.3 million, a 2.4% increase from the first quarter of 2006. Wynn Las Vegas' room revenues were $69.2 million with an Average Daily Rate (ADR) of $293 and occupancy of 95.7%, generating revenue per available room (REVPAR) of $280 for the period. Other non-gaming revenues for the second quarter of 2006 included food and beverage revenues of approximately $77.7 million, retail revenues of approximately $19.3 million, entertainment revenues of approximately $17.1 million, and other revenues from outlets, including the spa and salon, of approximately $13.0 million.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Wynn Macau</w:t>
      </w:r>
    </w:p>
    <w:p>
      <w:pPr>
        <w:spacing w:after="0" w:line="176" w:lineRule="exact"/>
        <w:rPr>
          <w:sz w:val="20"/>
          <w:szCs w:val="20"/>
          <w:color w:val="auto"/>
        </w:rPr>
      </w:pPr>
    </w:p>
    <w:p>
      <w:pPr>
        <w:ind w:left="8" w:right="3159"/>
        <w:spacing w:after="0" w:line="261" w:lineRule="auto"/>
        <w:rPr>
          <w:sz w:val="20"/>
          <w:szCs w:val="20"/>
          <w:color w:val="auto"/>
        </w:rPr>
      </w:pPr>
      <w:r>
        <w:rPr>
          <w:rFonts w:ascii="Courier New" w:cs="Courier New" w:eastAsia="Courier New" w:hAnsi="Courier New"/>
          <w:sz w:val="14"/>
          <w:szCs w:val="14"/>
          <w:color w:val="auto"/>
        </w:rPr>
        <w:t>Wynn Macau is being constructed and will open in phases, with a total project budget of $1.2 billion. The first phase will open in September 2006 and will utilize approximately 11 acres of a total site area of 16 acres of land and features 600 hotel rooms and suites, approximately 210 table games and 380 slot machines in approximately 100,000 square feet of casino gaming space, seven restaurants, approximately 26,000 square feet of retail space, a spa, a salon, entertainment lounges and meeting facilities. The second phase will include approximately 135,000 square feet of additional casino space, one restaurant, retail space, a theater, and a dramatic front feature attraction. The second phase is expected to be completed and open to the public by the end of 2007.</w:t>
      </w:r>
    </w:p>
    <w:p>
      <w:pPr>
        <w:spacing w:after="0" w:line="16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construction of Phase I of Wynn Macau is nearing completion and the majority of the areas has been finished and is being turned over to operations. Hotel room and banquet facility reservations are being accepted and online reservations can be made through www.wynnmacau.com. There are currently 3,500 employees on staff and the remaining 1,500 employees will start by the second week of August. The employees who are on staff are undergoing training by 250 supervisors who are leading the efforts. Several areas such as information technology, security and surveillance and the employee cafeteria, are fully functional.</w:t>
      </w:r>
    </w:p>
    <w:p>
      <w:pPr>
        <w:spacing w:after="0" w:line="178"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As of June 30, 2006, the Company has incurred approximately $716.0 million of a total project budget of approximately $1.2 billion (including the expansion of the second phase).</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We continue to make progress on our land concession discussions for a 54 acre site on Cotai in Macau and expect to finalize those discussions in the third quarter of 2006.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Encore at Wynn Las Vegas</w:t>
      </w:r>
    </w:p>
    <w:p>
      <w:pPr>
        <w:spacing w:after="0" w:line="176" w:lineRule="exact"/>
        <w:rPr>
          <w:sz w:val="20"/>
          <w:szCs w:val="20"/>
          <w:color w:val="auto"/>
        </w:rPr>
      </w:pPr>
    </w:p>
    <w:p>
      <w:pPr>
        <w:ind w:left="8" w:right="3159"/>
        <w:spacing w:after="0" w:line="261" w:lineRule="auto"/>
        <w:rPr>
          <w:sz w:val="20"/>
          <w:szCs w:val="20"/>
          <w:color w:val="auto"/>
        </w:rPr>
      </w:pPr>
      <w:r>
        <w:rPr>
          <w:rFonts w:ascii="Courier New" w:cs="Courier New" w:eastAsia="Courier New" w:hAnsi="Courier New"/>
          <w:sz w:val="14"/>
          <w:szCs w:val="14"/>
          <w:color w:val="auto"/>
        </w:rPr>
        <w:t>We are constructing Encore at Wynn Las Vegas ("Encore") on approximately 20 acres on the Strip, immediately adjacent to Wynn Las Vegas. On March 31, 2006, our lenders approved the $1.74 billion project budget and the related plans and specifications for Encore. Encore includes a 2,042-room hotel tower fully integrated with Wynn Las Vegas, consisting of 132 suites and 1,910 guest rooms, as well as an approximately 54,000 square foot casino, additional convention and meeting space, as well as restaurants, a nightclub, swimming pools, a spa and salon and retail outlets. We commenced construction of Encore on April 28, 2006 and expect it to be completed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 We expect "Monty Python's Spamalot" to begin performances at Wynn Las Vegas in the first quarter of 2007.</w:t>
      </w:r>
    </w:p>
    <w:p>
      <w:pPr>
        <w:spacing w:after="0" w:line="1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Factors Affecting Earnings</w:t>
      </w:r>
    </w:p>
    <w:p>
      <w:pPr>
        <w:spacing w:after="0" w:line="176" w:lineRule="exact"/>
        <w:rPr>
          <w:sz w:val="20"/>
          <w:szCs w:val="20"/>
          <w:color w:val="auto"/>
        </w:rPr>
      </w:pPr>
    </w:p>
    <w:p>
      <w:pPr>
        <w:ind w:left="8" w:right="3339"/>
        <w:spacing w:after="0" w:line="263" w:lineRule="auto"/>
        <w:rPr>
          <w:sz w:val="20"/>
          <w:szCs w:val="20"/>
          <w:color w:val="auto"/>
        </w:rPr>
      </w:pPr>
      <w:r>
        <w:rPr>
          <w:rFonts w:ascii="Courier New" w:cs="Courier New" w:eastAsia="Courier New" w:hAnsi="Courier New"/>
          <w:sz w:val="14"/>
          <w:szCs w:val="14"/>
          <w:color w:val="auto"/>
        </w:rPr>
        <w:t>Depreciation and amortization expenses were $40.5 million during the second quarter. Interest expense, net of $8.6 million in capitalized interest, was $35.3 million for the second quarter of 2006. Pre-opening expenses, primarily related to Wynn Macau, totaled $17.0 million during the quarter. Corporate expenses and other was $11.5 million, including $2.9 million of stock option</w:t>
      </w:r>
    </w:p>
    <w:p>
      <w:pPr>
        <w:sectPr>
          <w:pgSz w:w="11900" w:h="16864" w:orient="portrait"/>
          <w:cols w:equalWidth="0" w:num="1">
            <w:col w:w="10227"/>
          </w:cols>
          <w:pgMar w:left="232" w:top="14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and Capital Expenditures</w:t>
      </w:r>
    </w:p>
    <w:p>
      <w:pPr>
        <w:spacing w:after="0" w:line="34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Our total cash balances at the end of the quarter were $833.5 million, including unrestricted cash balances of $379.0 million and cash balances restricted for our construction and development projects of $454.5 million. Total debt outstanding at the end of the quarter was $2.3 billion, including $224.7 million of Convertible Debentures and $306.0 million of Wynn Macau related debt. Capital expenditures during the second quarter of 2006, net of changes in construction payables and retention, totaled approximately $110 million, of which approximately $80 million was related to Wynn Macau and the remaining was mostly associated with Encore.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Conference Call Information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will hold a conference call to discuss its results on Tuesday, August 1st, 2006 at 1:30 p.m. PT (4:30 p.m. ET). Interested parties are invited to join the call by accessing a live audio webcast at http://www.wynnresorts.com (Investor Relations).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are included in the Company's Annual Report on Form 10-K for the year ended December 31, 2005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Non-GAAP financial measures</w:t>
      </w:r>
    </w:p>
    <w:p>
      <w:pPr>
        <w:spacing w:after="0" w:line="176" w:lineRule="exact"/>
        <w:rPr>
          <w:sz w:val="20"/>
          <w:szCs w:val="20"/>
          <w:color w:val="auto"/>
        </w:rPr>
      </w:pPr>
    </w:p>
    <w:p>
      <w:pPr>
        <w:ind w:left="800" w:right="3259" w:hanging="361"/>
        <w:spacing w:after="0" w:line="242"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net income and adjusted earnings per share ("EPS") are presented exclusively as a supplemental disclosure because management believes that these financial measures are widely used to measure the performance, and as a principal basis for valuation, of gaming companies. These measures are considered by many to be a better indicator on which to base expectations of future results than income or EPS computed in accordance with GAAP.</w:t>
      </w:r>
    </w:p>
    <w:p>
      <w:pPr>
        <w:spacing w:after="0" w:line="176" w:lineRule="exact"/>
        <w:rPr>
          <w:rFonts w:ascii="Courier New" w:cs="Courier New" w:eastAsia="Courier New" w:hAnsi="Courier New"/>
          <w:sz w:val="15"/>
          <w:szCs w:val="15"/>
          <w:color w:val="auto"/>
        </w:rPr>
      </w:pPr>
    </w:p>
    <w:p>
      <w:pPr>
        <w:ind w:left="800" w:right="3159" w:hanging="361"/>
        <w:spacing w:after="0" w:line="242"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is earnings before interest, taxes, depreciation, amortization, pre-opening expenses, property charges, corporate expenses, stock-based compensation,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Wynn Las Vegas and to compare the operating performance of its property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 property charges and corporate expense, which do not relate to the management of specific casino properties. However, Adjusted EBITDA should not be considered as an alternative to operating income, as an indicator of operating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EBITDA. Also, Wynn Resorts, Limited's calculation of Adjusted EBITDA may be different from the calculation methods used by other companies, and therefore, comparability may be limited.</w:t>
      </w:r>
    </w:p>
    <w:p>
      <w:pPr>
        <w:spacing w:after="0" w:line="194" w:lineRule="exact"/>
        <w:rPr>
          <w:rFonts w:ascii="Courier New" w:cs="Courier New" w:eastAsia="Courier New" w:hAnsi="Courier New"/>
          <w:sz w:val="15"/>
          <w:szCs w:val="15"/>
          <w:color w:val="auto"/>
        </w:rPr>
      </w:pPr>
    </w:p>
    <w:p>
      <w:pPr>
        <w:ind w:left="80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Wynn Resorts' calculation of adjusted earnings, adjusted EPS and Adjusted EBITDA may be different from the calculation methods used by other companies and, therefore, comparability may be limited. The Company has included schedules in the tables that accompany this release that reconcile (i) net loss and net loss per share to adjusted net income (loss) and adjusted net income (loss) per share, and (ii) net loss to Adjusted EBITDA.</w:t>
      </w:r>
    </w:p>
    <w:p>
      <w:pPr>
        <w:sectPr>
          <w:pgSz w:w="11900" w:h="16838" w:orient="portrait"/>
          <w:cols w:equalWidth="0" w:num="1">
            <w:col w:w="10219"/>
          </w:cols>
          <w:pgMar w:left="240" w:top="140" w:right="1440" w:bottom="312" w:gutter="0" w:footer="0" w:header="0"/>
        </w:sectPr>
      </w:pPr>
    </w:p>
    <w:bookmarkStart w:id="5" w:name="page6"/>
    <w:bookmarkEnd w:id="5"/>
    <w:p>
      <w:pPr>
        <w:ind w:left="188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Three Months Ended</w:t>
            </w:r>
          </w:p>
        </w:tc>
        <w:tc>
          <w:tcPr>
            <w:tcW w:w="520" w:type="dxa"/>
            <w:vAlign w:val="bottom"/>
          </w:tcPr>
          <w:p>
            <w:pPr>
              <w:spacing w:after="0"/>
              <w:rPr>
                <w:sz w:val="14"/>
                <w:szCs w:val="14"/>
                <w:color w:val="auto"/>
              </w:rPr>
            </w:pPr>
          </w:p>
        </w:tc>
        <w:tc>
          <w:tcPr>
            <w:tcW w:w="2680" w:type="dxa"/>
            <w:vAlign w:val="bottom"/>
            <w:gridSpan w:val="3"/>
          </w:tcPr>
          <w:p>
            <w:pPr>
              <w:jc w:val="center"/>
              <w:ind w:right="445"/>
              <w:spacing w:after="0"/>
              <w:rPr>
                <w:sz w:val="20"/>
                <w:szCs w:val="20"/>
                <w:color w:val="auto"/>
              </w:rPr>
            </w:pPr>
            <w:r>
              <w:rPr>
                <w:rFonts w:ascii="Courier New" w:cs="Courier New" w:eastAsia="Courier New" w:hAnsi="Courier New"/>
                <w:sz w:val="15"/>
                <w:szCs w:val="15"/>
                <w:color w:val="auto"/>
                <w:w w:val="99"/>
              </w:rPr>
              <w:t>Six Months Ended</w:t>
            </w:r>
          </w:p>
        </w:tc>
      </w:tr>
      <w:tr>
        <w:trPr>
          <w:trHeight w:val="172"/>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jc w:val="center"/>
              <w:ind w:left="565"/>
              <w:spacing w:after="0"/>
              <w:rPr>
                <w:sz w:val="20"/>
                <w:szCs w:val="20"/>
                <w:color w:val="auto"/>
              </w:rPr>
            </w:pPr>
            <w:r>
              <w:rPr>
                <w:rFonts w:ascii="Courier New" w:cs="Courier New" w:eastAsia="Courier New" w:hAnsi="Courier New"/>
                <w:sz w:val="15"/>
                <w:szCs w:val="15"/>
                <w:color w:val="auto"/>
                <w:w w:val="99"/>
              </w:rPr>
              <w:t>June 30,</w:t>
            </w:r>
          </w:p>
        </w:tc>
        <w:tc>
          <w:tcPr>
            <w:tcW w:w="1160" w:type="dxa"/>
            <w:vAlign w:val="bottom"/>
          </w:tcPr>
          <w:p>
            <w:pPr>
              <w:spacing w:after="0"/>
              <w:rPr>
                <w:sz w:val="14"/>
                <w:szCs w:val="14"/>
                <w:color w:val="auto"/>
              </w:rPr>
            </w:pP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2005</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2006</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(as restated)</w:t>
            </w:r>
          </w:p>
        </w:tc>
        <w:tc>
          <w:tcPr>
            <w:tcW w:w="52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2006</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restated)</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Casino...........................................</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113,527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98,715</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240,041</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98,715</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Rooms............................................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69,222</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44,632</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137,399</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44,632</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Food and beverage................................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77,686</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48,056</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152,320</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48,056</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Entertainment, retail and other..................</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49,389</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34,651</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98,346</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34,659</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Gross revenues...............................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309,824</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226,054</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628,106</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226,062</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Less promotional allowances......................</w:t>
            </w:r>
          </w:p>
        </w:tc>
        <w:tc>
          <w:tcPr>
            <w:tcW w:w="8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(36,454)</w:t>
            </w:r>
          </w:p>
        </w:tc>
        <w:tc>
          <w:tcPr>
            <w:tcW w:w="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(24,934)</w:t>
            </w:r>
          </w:p>
        </w:tc>
        <w:tc>
          <w:tcPr>
            <w:tcW w:w="5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(77,511)</w:t>
            </w:r>
          </w:p>
        </w:tc>
        <w:tc>
          <w:tcPr>
            <w:tcW w:w="40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(24,934)</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revenues.................................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273,370</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201,120</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550,595</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201,128</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Casino...........................................</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57,920</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42,280</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121,156</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42,280</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Rooms............................................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18,140</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11,780</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35,125</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11,780</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Food and beverage................................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49,423</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33,706</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94,182</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33,706</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Entertainment, retail and other..................</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34,112</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20,262</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66,626</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20,266</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General and administrative.......................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49,011</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31,010</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95,976</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31,014</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Provision for doubtful accounts..................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3,646</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8,599</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6,575</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8,599</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Pre-opening costs................................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17,028</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43,365</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25,974</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81,469</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Depreciation and amortization....................</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40,542</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26,125</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82,327</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29,619</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Contract termination fee.........................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Property charges and other.......................</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2,376</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7,325</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operating costs and expenses..........</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272,198</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217,175</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540,266</w:t>
            </w:r>
          </w:p>
        </w:tc>
        <w:tc>
          <w:tcPr>
            <w:tcW w:w="4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258,843</w:t>
            </w:r>
          </w:p>
        </w:tc>
      </w:tr>
      <w:tr>
        <w:trPr>
          <w:trHeight w:val="344"/>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Equity in income from unconsolidated affiliates......</w:t>
            </w:r>
          </w:p>
        </w:tc>
        <w:tc>
          <w:tcPr>
            <w:tcW w:w="86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511</w:t>
            </w:r>
          </w:p>
        </w:tc>
        <w:tc>
          <w:tcPr>
            <w:tcW w:w="400" w:type="dxa"/>
            <w:vAlign w:val="bottom"/>
          </w:tcPr>
          <w:p>
            <w:pPr>
              <w:spacing w:after="0"/>
              <w:rPr>
                <w:sz w:val="24"/>
                <w:szCs w:val="2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w:t>
            </w:r>
          </w:p>
        </w:tc>
        <w:tc>
          <w:tcPr>
            <w:tcW w:w="52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1,086</w:t>
            </w:r>
          </w:p>
        </w:tc>
        <w:tc>
          <w:tcPr>
            <w:tcW w:w="400" w:type="dxa"/>
            <w:vAlign w:val="bottom"/>
          </w:tcPr>
          <w:p>
            <w:pPr>
              <w:spacing w:after="0"/>
              <w:rPr>
                <w:sz w:val="24"/>
                <w:szCs w:val="2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251</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Operating income/(loss)..............................</w:t>
            </w:r>
          </w:p>
        </w:tc>
        <w:tc>
          <w:tcPr>
            <w:tcW w:w="86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1,683</w:t>
            </w:r>
          </w:p>
        </w:tc>
        <w:tc>
          <w:tcPr>
            <w:tcW w:w="40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(15,804)</w:t>
            </w:r>
          </w:p>
        </w:tc>
        <w:tc>
          <w:tcPr>
            <w:tcW w:w="52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11,415</w:t>
            </w:r>
          </w:p>
        </w:tc>
        <w:tc>
          <w:tcPr>
            <w:tcW w:w="40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(57,464)</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and other income........................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9,617</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6,983</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18,049</w:t>
            </w:r>
          </w:p>
        </w:tc>
        <w:tc>
          <w:tcPr>
            <w:tcW w:w="4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13,165</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(35,307)</w:t>
            </w:r>
          </w:p>
        </w:tc>
        <w:tc>
          <w:tcPr>
            <w:tcW w:w="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(27,143)</w:t>
            </w:r>
          </w:p>
        </w:tc>
        <w:tc>
          <w:tcPr>
            <w:tcW w:w="5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(71,250)</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(29,292)</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Increase/(decrease) in swap fair value...........</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4,246</w:t>
            </w:r>
          </w:p>
        </w:tc>
        <w:tc>
          <w:tcPr>
            <w:tcW w:w="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(5,814)</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10,591</w:t>
            </w:r>
          </w:p>
        </w:tc>
        <w:tc>
          <w:tcPr>
            <w:tcW w:w="4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 income (expense), net.................</w:t>
            </w:r>
          </w:p>
        </w:tc>
        <w:tc>
          <w:tcPr>
            <w:tcW w:w="8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(21,444)</w:t>
            </w:r>
          </w:p>
        </w:tc>
        <w:tc>
          <w:tcPr>
            <w:tcW w:w="40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(25,974)</w:t>
            </w:r>
          </w:p>
        </w:tc>
        <w:tc>
          <w:tcPr>
            <w:tcW w:w="5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(42,610)</w:t>
            </w:r>
          </w:p>
        </w:tc>
        <w:tc>
          <w:tcPr>
            <w:tcW w:w="4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(14,240)</w:t>
            </w:r>
          </w:p>
        </w:tc>
      </w:tr>
      <w:tr>
        <w:trPr>
          <w:trHeight w:val="344"/>
        </w:trPr>
        <w:tc>
          <w:tcPr>
            <w:tcW w:w="486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Loss before income taxes.............................</w:t>
            </w:r>
          </w:p>
        </w:tc>
        <w:tc>
          <w:tcPr>
            <w:tcW w:w="86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(19,761)</w:t>
            </w:r>
          </w:p>
        </w:tc>
        <w:tc>
          <w:tcPr>
            <w:tcW w:w="40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(41,778)</w:t>
            </w:r>
          </w:p>
        </w:tc>
        <w:tc>
          <w:tcPr>
            <w:tcW w:w="52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(31,195)</w:t>
            </w:r>
          </w:p>
        </w:tc>
        <w:tc>
          <w:tcPr>
            <w:tcW w:w="40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(71,704)</w:t>
            </w:r>
          </w:p>
        </w:tc>
      </w:tr>
      <w:tr>
        <w:trPr>
          <w:trHeight w:val="344"/>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Provision for income taxes.......................</w:t>
            </w:r>
          </w:p>
        </w:tc>
        <w:tc>
          <w:tcPr>
            <w:tcW w:w="86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w:t>
            </w:r>
          </w:p>
        </w:tc>
        <w:tc>
          <w:tcPr>
            <w:tcW w:w="400" w:type="dxa"/>
            <w:vAlign w:val="bottom"/>
          </w:tcPr>
          <w:p>
            <w:pPr>
              <w:spacing w:after="0"/>
              <w:rPr>
                <w:sz w:val="24"/>
                <w:szCs w:val="2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w:t>
            </w:r>
          </w:p>
        </w:tc>
        <w:tc>
          <w:tcPr>
            <w:tcW w:w="400" w:type="dxa"/>
            <w:vAlign w:val="bottom"/>
          </w:tcPr>
          <w:p>
            <w:pPr>
              <w:spacing w:after="0"/>
              <w:rPr>
                <w:sz w:val="24"/>
                <w:szCs w:val="2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Net loss.............................................</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(20,070)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(41,778)</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(31,504)</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(71,704)</w:t>
            </w:r>
          </w:p>
        </w:tc>
      </w:tr>
      <w:tr>
        <w:trPr>
          <w:trHeight w:val="172"/>
        </w:trPr>
        <w:tc>
          <w:tcPr>
            <w:tcW w:w="4860" w:type="dxa"/>
            <w:vAlign w:val="bottom"/>
          </w:tcPr>
          <w:p>
            <w:pPr>
              <w:spacing w:after="0"/>
              <w:rPr>
                <w:sz w:val="14"/>
                <w:szCs w:val="14"/>
                <w:color w:val="auto"/>
              </w:rPr>
            </w:pPr>
          </w:p>
        </w:tc>
        <w:tc>
          <w:tcPr>
            <w:tcW w:w="3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Basic and diluted loss per common share: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6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Basic.......................................</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(0.73)</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Diluted.....................................</w:t>
            </w:r>
          </w:p>
        </w:tc>
        <w:tc>
          <w:tcPr>
            <w:tcW w:w="8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(0.73)</w:t>
            </w:r>
          </w:p>
        </w:tc>
      </w:tr>
      <w:tr>
        <w:trPr>
          <w:trHeight w:val="172"/>
        </w:trPr>
        <w:tc>
          <w:tcPr>
            <w:tcW w:w="48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Basic.......................................</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99,830</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98,203</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99,286</w:t>
            </w:r>
          </w:p>
        </w:tc>
        <w:tc>
          <w:tcPr>
            <w:tcW w:w="4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98,132</w:t>
            </w:r>
          </w:p>
        </w:tc>
      </w:tr>
      <w:tr>
        <w:trPr>
          <w:trHeight w:val="172"/>
        </w:trPr>
        <w:tc>
          <w:tcPr>
            <w:tcW w:w="4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Diluted.....................................</w:t>
            </w:r>
          </w:p>
        </w:tc>
        <w:tc>
          <w:tcPr>
            <w:tcW w:w="8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99,830</w:t>
            </w:r>
          </w:p>
        </w:tc>
        <w:tc>
          <w:tcPr>
            <w:tcW w:w="40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98,203</w:t>
            </w:r>
          </w:p>
        </w:tc>
        <w:tc>
          <w:tcPr>
            <w:tcW w:w="5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99,286</w:t>
            </w:r>
          </w:p>
        </w:tc>
        <w:tc>
          <w:tcPr>
            <w:tcW w:w="4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98,132</w:t>
            </w:r>
          </w:p>
        </w:tc>
      </w:tr>
    </w:tbl>
    <w:p>
      <w:pPr>
        <w:sectPr>
          <w:pgSz w:w="11900" w:h="16838" w:orient="portrait"/>
          <w:cols w:equalWidth="0" w:num="1">
            <w:col w:w="11520"/>
          </w:cols>
          <w:pgMar w:left="240" w:top="140" w:right="139" w:bottom="1440" w:gutter="0" w:footer="0" w:header="0"/>
        </w:sectPr>
      </w:pPr>
    </w:p>
    <w:bookmarkStart w:id="6" w:name="page7"/>
    <w:bookmarkEnd w:id="6"/>
    <w:p>
      <w:pPr>
        <w:jc w:val="center"/>
        <w:ind w:right="376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176" w:lineRule="exact"/>
        <w:rPr>
          <w:sz w:val="20"/>
          <w:szCs w:val="20"/>
          <w:color w:val="auto"/>
        </w:rPr>
      </w:pPr>
    </w:p>
    <w:p>
      <w:pPr>
        <w:ind w:left="520" w:right="4380" w:firstLine="716"/>
        <w:spacing w:after="0" w:line="260" w:lineRule="auto"/>
        <w:rPr>
          <w:sz w:val="20"/>
          <w:szCs w:val="20"/>
          <w:color w:val="auto"/>
        </w:rPr>
      </w:pPr>
      <w:r>
        <w:rPr>
          <w:rFonts w:ascii="Courier New" w:cs="Courier New" w:eastAsia="Courier New" w:hAnsi="Courier New"/>
          <w:sz w:val="14"/>
          <w:szCs w:val="14"/>
          <w:color w:val="auto"/>
        </w:rPr>
        <w:t>RECONCILIATION OF NET LOSS AND NET LOSS PER SHARE TO ADJUSTED NET INCOME (LOSS) AND ADJUSTED NET INCOME (LOSS) PER SHARE</w:t>
      </w:r>
    </w:p>
    <w:p>
      <w:pPr>
        <w:ind w:left="294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6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86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12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(20,070)</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(31,504)</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(71,704)</w:t>
            </w:r>
          </w:p>
        </w:tc>
      </w:tr>
      <w:tr>
        <w:trPr>
          <w:trHeight w:val="172"/>
        </w:trPr>
        <w:tc>
          <w:tcPr>
            <w:tcW w:w="4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Pre-opening costs.........................</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17,028</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43,365</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25,974</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81,469</w:t>
            </w:r>
          </w:p>
        </w:tc>
      </w:tr>
      <w:tr>
        <w:trPr>
          <w:trHeight w:val="172"/>
        </w:trPr>
        <w:tc>
          <w:tcPr>
            <w:tcW w:w="4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decrease in swap fair value....</w:t>
            </w:r>
          </w:p>
        </w:tc>
        <w:tc>
          <w:tcPr>
            <w:tcW w:w="5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(4,246)</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5,814</w:t>
            </w:r>
          </w:p>
        </w:tc>
        <w:tc>
          <w:tcPr>
            <w:tcW w:w="440" w:type="dxa"/>
            <w:vAlign w:val="bottom"/>
          </w:tcPr>
          <w:p>
            <w:pPr>
              <w:spacing w:after="0"/>
              <w:rPr>
                <w:sz w:val="14"/>
                <w:szCs w:val="14"/>
                <w:color w:val="auto"/>
              </w:rPr>
            </w:pP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(10,591)</w:t>
            </w:r>
          </w:p>
        </w:tc>
        <w:tc>
          <w:tcPr>
            <w:tcW w:w="5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Property</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charges and other................</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2,376</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7,325</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Avenue Q</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contract termination fee.........</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Adjusted net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income /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(4,912)</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7,449</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(3,796)</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7,988</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 share of</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(0.73)</w:t>
            </w:r>
          </w:p>
        </w:tc>
      </w:tr>
      <w:tr>
        <w:trPr>
          <w:trHeight w:val="172"/>
        </w:trPr>
        <w:tc>
          <w:tcPr>
            <w:tcW w:w="4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Pre-opening costs.........................</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0.17</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0.44</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0.83</w:t>
            </w:r>
          </w:p>
        </w:tc>
      </w:tr>
      <w:tr>
        <w:trPr>
          <w:trHeight w:val="172"/>
        </w:trPr>
        <w:tc>
          <w:tcPr>
            <w:tcW w:w="4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(Increase) decrease in swap fair value....</w:t>
            </w:r>
          </w:p>
        </w:tc>
        <w:tc>
          <w:tcPr>
            <w:tcW w:w="5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0.06</w:t>
            </w:r>
          </w:p>
        </w:tc>
        <w:tc>
          <w:tcPr>
            <w:tcW w:w="440" w:type="dxa"/>
            <w:vAlign w:val="bottom"/>
          </w:tcPr>
          <w:p>
            <w:pPr>
              <w:spacing w:after="0"/>
              <w:rPr>
                <w:sz w:val="14"/>
                <w:szCs w:val="14"/>
                <w:color w:val="auto"/>
              </w:rPr>
            </w:pP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(0.11)</w:t>
            </w:r>
          </w:p>
        </w:tc>
        <w:tc>
          <w:tcPr>
            <w:tcW w:w="5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r>
      <w:tr>
        <w:trPr>
          <w:trHeight w:val="172"/>
        </w:trPr>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Property</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charges and other................</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0.00</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0.07</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0.00</w:t>
            </w:r>
          </w:p>
        </w:tc>
      </w:tr>
      <w:tr>
        <w:trPr>
          <w:trHeight w:val="172"/>
        </w:trPr>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Avenue Q</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contract termination fee.........</w:t>
            </w:r>
          </w:p>
        </w:tc>
        <w:tc>
          <w:tcPr>
            <w:tcW w:w="5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Adjusted net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income /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(0.05)</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r>
      <w:tr>
        <w:trPr>
          <w:trHeight w:val="172"/>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0900"/>
          </w:cols>
          <w:pgMar w:left="240" w:top="633" w:right="759" w:bottom="1440" w:gutter="0" w:footer="0" w:header="0"/>
        </w:sectPr>
      </w:pPr>
    </w:p>
    <w:bookmarkStart w:id="7" w:name="page8"/>
    <w:bookmarkEnd w:id="7"/>
    <w:p>
      <w:pPr>
        <w:ind w:left="188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174"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RECONCILIATION OF NET LOSS TO ADJUSTED EBITDA</w:t>
      </w:r>
    </w:p>
    <w:p>
      <w:pPr>
        <w:spacing w:after="0" w:line="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86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12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spacing w:after="0"/>
              <w:rPr>
                <w:sz w:val="14"/>
                <w:szCs w:val="1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(20,070)</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(31,504)</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(71,704)</w:t>
            </w:r>
          </w:p>
        </w:tc>
      </w:tr>
      <w:tr>
        <w:trPr>
          <w:trHeight w:val="344"/>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Add/(Deduct):</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income taxes</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Interest and other income</w:t>
            </w:r>
          </w:p>
        </w:tc>
        <w:tc>
          <w:tcPr>
            <w:tcW w:w="6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(9,617)</w:t>
            </w:r>
          </w:p>
        </w:tc>
        <w:tc>
          <w:tcPr>
            <w:tcW w:w="5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(6,983)</w:t>
            </w:r>
          </w:p>
        </w:tc>
        <w:tc>
          <w:tcPr>
            <w:tcW w:w="440" w:type="dxa"/>
            <w:vAlign w:val="bottom"/>
          </w:tcPr>
          <w:p>
            <w:pPr>
              <w:spacing w:after="0"/>
              <w:rPr>
                <w:sz w:val="14"/>
                <w:szCs w:val="14"/>
                <w:color w:val="auto"/>
              </w:rPr>
            </w:pP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(18,049)</w:t>
            </w:r>
          </w:p>
        </w:tc>
        <w:tc>
          <w:tcPr>
            <w:tcW w:w="5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(13,165)</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35,307</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27,143</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71,250</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29,292</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(Increase)/decrease in swap fair value</w:t>
            </w:r>
          </w:p>
        </w:tc>
        <w:tc>
          <w:tcPr>
            <w:tcW w:w="6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(4,246)</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5,814</w:t>
            </w:r>
          </w:p>
        </w:tc>
        <w:tc>
          <w:tcPr>
            <w:tcW w:w="440" w:type="dxa"/>
            <w:vAlign w:val="bottom"/>
          </w:tcPr>
          <w:p>
            <w:pPr>
              <w:spacing w:after="0"/>
              <w:rPr>
                <w:sz w:val="14"/>
                <w:szCs w:val="14"/>
                <w:color w:val="auto"/>
              </w:rPr>
            </w:pP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(10,591)</w:t>
            </w:r>
          </w:p>
        </w:tc>
        <w:tc>
          <w:tcPr>
            <w:tcW w:w="5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21,753</w:t>
            </w:r>
          </w:p>
        </w:tc>
        <w:tc>
          <w:tcPr>
            <w:tcW w:w="50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25,974</w:t>
            </w:r>
          </w:p>
        </w:tc>
        <w:tc>
          <w:tcPr>
            <w:tcW w:w="4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42,919</w:t>
            </w:r>
          </w:p>
        </w:tc>
        <w:tc>
          <w:tcPr>
            <w:tcW w:w="50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14,240</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6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1,683</w:t>
            </w:r>
          </w:p>
        </w:tc>
        <w:tc>
          <w:tcPr>
            <w:tcW w:w="50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(15,804)</w:t>
            </w:r>
          </w:p>
        </w:tc>
        <w:tc>
          <w:tcPr>
            <w:tcW w:w="4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11,415</w:t>
            </w:r>
          </w:p>
        </w:tc>
        <w:tc>
          <w:tcPr>
            <w:tcW w:w="50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(57,464)</w:t>
            </w:r>
          </w:p>
        </w:tc>
      </w:tr>
      <w:tr>
        <w:trPr>
          <w:trHeight w:val="344"/>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Add</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Preopening costs:</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Las Vegas</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36,795</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65,886</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Macau</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16,852</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4,124</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25,780</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6,598</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Corporate and other</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2,446</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8,985</w:t>
            </w: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Las Vegas</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37,618</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24,057</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76,568</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25,568</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Macau</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2,131</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1,469</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4,208</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2,934</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Corporate and other</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793</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599</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1,117</w:t>
            </w: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Property charges and other:</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Las Vegas</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2,376</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7,325</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Wynn Macau</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Corporate and other</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Avenue Q contract termination fee</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Corporate expenses and other</w:t>
            </w:r>
          </w:p>
        </w:tc>
        <w:tc>
          <w:tcPr>
            <w:tcW w:w="6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11,533</w:t>
            </w:r>
          </w:p>
        </w:tc>
        <w:tc>
          <w:tcPr>
            <w:tcW w:w="50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5,001</w:t>
            </w:r>
          </w:p>
        </w:tc>
        <w:tc>
          <w:tcPr>
            <w:tcW w:w="4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22,244</w:t>
            </w:r>
          </w:p>
        </w:tc>
        <w:tc>
          <w:tcPr>
            <w:tcW w:w="5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5,001</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71,479</w:t>
            </w:r>
          </w:p>
        </w:tc>
        <w:tc>
          <w:tcPr>
            <w:tcW w:w="50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74,539</w:t>
            </w:r>
          </w:p>
        </w:tc>
        <w:tc>
          <w:tcPr>
            <w:tcW w:w="440" w:type="dxa"/>
            <w:vAlign w:val="bottom"/>
          </w:tcPr>
          <w:p>
            <w:pPr>
              <w:spacing w:after="0"/>
              <w:rPr>
                <w:sz w:val="24"/>
                <w:szCs w:val="2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142,870</w:t>
            </w:r>
          </w:p>
        </w:tc>
        <w:tc>
          <w:tcPr>
            <w:tcW w:w="50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116,199</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Adjusted EBITDA (2)</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73,162</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58,735</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154,285</w:t>
            </w:r>
          </w:p>
        </w:tc>
        <w:tc>
          <w:tcPr>
            <w:tcW w:w="5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58,735</w:t>
            </w:r>
          </w:p>
        </w:tc>
      </w:tr>
      <w:tr>
        <w:trPr>
          <w:trHeight w:val="172"/>
        </w:trPr>
        <w:tc>
          <w:tcPr>
            <w:tcW w:w="4100" w:type="dxa"/>
            <w:vAlign w:val="bottom"/>
          </w:tcPr>
          <w:p>
            <w:pPr>
              <w:spacing w:after="0"/>
              <w:rPr>
                <w:sz w:val="14"/>
                <w:szCs w:val="14"/>
                <w:color w:val="auto"/>
              </w:rPr>
            </w:pPr>
          </w:p>
        </w:tc>
        <w:tc>
          <w:tcPr>
            <w:tcW w:w="6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0900"/>
          </w:cols>
          <w:pgMar w:left="240" w:top="633" w:right="759" w:bottom="1440" w:gutter="0" w:footer="0" w:header="0"/>
        </w:sectPr>
      </w:pPr>
    </w:p>
    <w:bookmarkStart w:id="8" w:name="page9"/>
    <w:bookmarkEnd w:id="8"/>
    <w:p>
      <w:pPr>
        <w:jc w:val="center"/>
        <w:ind w:right="3071"/>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SUPPLEMENTAL DATA SCHEDULE</w:t>
      </w:r>
    </w:p>
    <w:p>
      <w:pPr>
        <w:spacing w:after="0" w:line="346"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Three Months Ended June</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340" w:type="dxa"/>
            <w:vAlign w:val="bottom"/>
          </w:tcPr>
          <w:p>
            <w:pPr>
              <w:spacing w:after="0"/>
              <w:rPr>
                <w:sz w:val="14"/>
                <w:szCs w:val="14"/>
                <w:color w:val="auto"/>
              </w:rPr>
            </w:pPr>
          </w:p>
        </w:tc>
        <w:tc>
          <w:tcPr>
            <w:tcW w:w="26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30, 2006</w:t>
            </w:r>
          </w:p>
        </w:tc>
        <w:tc>
          <w:tcPr>
            <w:tcW w:w="19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June 30, 2006</w:t>
            </w:r>
          </w:p>
        </w:tc>
      </w:tr>
      <w:tr>
        <w:trPr>
          <w:trHeight w:val="172"/>
        </w:trPr>
        <w:tc>
          <w:tcPr>
            <w:tcW w:w="4340" w:type="dxa"/>
            <w:vAlign w:val="bottom"/>
          </w:tcPr>
          <w:p>
            <w:pPr>
              <w:spacing w:after="0"/>
              <w:rPr>
                <w:sz w:val="14"/>
                <w:szCs w:val="14"/>
                <w:color w:val="auto"/>
              </w:rPr>
            </w:pPr>
          </w:p>
        </w:tc>
        <w:tc>
          <w:tcPr>
            <w:tcW w:w="4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340" w:type="dxa"/>
            <w:vAlign w:val="bottom"/>
          </w:tcPr>
          <w:p>
            <w:pPr>
              <w:spacing w:after="0"/>
              <w:rPr>
                <w:sz w:val="20"/>
                <w:szCs w:val="20"/>
                <w:color w:val="auto"/>
              </w:rPr>
            </w:pPr>
            <w:r>
              <w:rPr>
                <w:rFonts w:ascii="Courier New" w:cs="Courier New" w:eastAsia="Courier New" w:hAnsi="Courier New"/>
                <w:sz w:val="15"/>
                <w:szCs w:val="15"/>
                <w:color w:val="auto"/>
              </w:rPr>
              <w:t>Room Statistics for Wynn Las Vegas:</w:t>
            </w:r>
          </w:p>
        </w:tc>
        <w:tc>
          <w:tcPr>
            <w:tcW w:w="26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Occupancy %</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95.6%</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Average Daily Room Rate (ADR)(1)</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$293</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Average Paying Rate (APR)(2)</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Revenue per available room (REVPAR)(3)</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w:t>
            </w:r>
          </w:p>
        </w:tc>
      </w:tr>
      <w:tr>
        <w:trPr>
          <w:trHeight w:val="51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26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Table games win per unit per day(4)</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$7,187</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$7,291</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Table Hold %</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Slot Machine win per unit per day(5)</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Average number of table games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w:t>
            </w:r>
          </w:p>
        </w:tc>
      </w:tr>
      <w:tr>
        <w:trPr>
          <w:trHeight w:val="344"/>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Average number of slot machines</w:t>
            </w:r>
          </w:p>
        </w:tc>
        <w:tc>
          <w:tcPr>
            <w:tcW w:w="2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1,959</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1,955</w:t>
            </w:r>
          </w:p>
        </w:tc>
      </w:tr>
    </w:tbl>
    <w:p>
      <w:pPr>
        <w:spacing w:after="0" w:line="200" w:lineRule="exact"/>
        <w:rPr>
          <w:sz w:val="20"/>
          <w:szCs w:val="20"/>
          <w:color w:val="auto"/>
        </w:rPr>
      </w:pPr>
    </w:p>
    <w:p>
      <w:pPr>
        <w:spacing w:after="0" w:line="320" w:lineRule="exact"/>
        <w:rPr>
          <w:sz w:val="20"/>
          <w:szCs w:val="20"/>
          <w:color w:val="auto"/>
        </w:rPr>
      </w:pPr>
    </w:p>
    <w:p>
      <w:pPr>
        <w:ind w:left="348" w:right="351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ADR is Average Daily Room Rate and is calculated by dividing total room revenue by total rooms occupied.</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 is Average Paying Rate and is calculated by dividing cash room revenue by cash rooms occupied.</w:t>
      </w:r>
    </w:p>
    <w:p>
      <w:pPr>
        <w:spacing w:after="0" w:line="176"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REVPAR is Revenue per Available Room and is calculated by dividing total room revenue by total rooms available.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games win per unit per day is shown before discounts and commissions.</w:t>
      </w:r>
    </w:p>
    <w:p>
      <w:pPr>
        <w:spacing w:after="0" w:line="175" w:lineRule="exact"/>
        <w:rPr>
          <w:rFonts w:ascii="Courier New" w:cs="Courier New" w:eastAsia="Courier New" w:hAnsi="Courier New"/>
          <w:sz w:val="15"/>
          <w:szCs w:val="15"/>
          <w:color w:val="auto"/>
        </w:rPr>
      </w:pPr>
    </w:p>
    <w:p>
      <w:pPr>
        <w:ind w:left="348" w:right="3959"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Slot machine win per unit per day is net of participation fees and progressive accruals.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SOURCE: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Wynn Resorts, Limited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CONTACT: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Samanta Stewart, 702-770-7555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investorrelations@wynnresorts.com</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www.wynnresorts.com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www.wynnlasvegas.com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www.wynnmacau.com</w:t>
      </w:r>
    </w:p>
    <w:sectPr>
      <w:pgSz w:w="11900" w:h="16838" w:orient="portrait"/>
      <w:cols w:equalWidth="0" w:num="1">
        <w:col w:w="10227"/>
      </w:cols>
      <w:pgMar w:left="232" w:top="6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2019-12-15T07:41:51Z</dcterms:created>
  <dcterms:modified xsi:type="dcterms:W3CDTF">2019-12-15T07:41:51Z</dcterms:modified>
</cp:coreProperties>
</file>