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38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38873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59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Billings Craig Scott</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09"/>
        <w:spacing w:after="0"/>
        <w:rPr>
          <w:sz w:val="20"/>
          <w:szCs w:val="20"/>
          <w:color w:val="auto"/>
        </w:rPr>
      </w:pPr>
      <w:r>
        <w:rPr>
          <w:rFonts w:ascii="Times New Roman" w:cs="Times New Roman" w:eastAsia="Times New Roman" w:hAnsi="Times New Roman"/>
          <w:sz w:val="17"/>
          <w:szCs w:val="17"/>
          <w:color w:val="0000FF"/>
        </w:rPr>
        <w:t>CEO</w:t>
      </w:r>
    </w:p>
    <w:p>
      <w:pPr>
        <w:spacing w:after="0" w:line="409" w:lineRule="exact"/>
        <w:rPr>
          <w:sz w:val="24"/>
          <w:szCs w:val="24"/>
          <w:color w:val="auto"/>
        </w:rPr>
      </w:pPr>
    </w:p>
    <w:p>
      <w:pPr>
        <w:sectPr>
          <w:pgSz w:w="11900" w:h="16838" w:orient="portrait"/>
          <w:cols w:equalWidth="0" w:num="3">
            <w:col w:w="3180" w:space="720"/>
            <w:col w:w="3111" w:space="720"/>
            <w:col w:w="3349"/>
          </w:cols>
          <w:pgMar w:left="460" w:top="217" w:right="359" w:bottom="592"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NV</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89109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40"/>
            <w:col w:w="7180"/>
          </w:cols>
          <w:pgMar w:left="460" w:top="217" w:right="359" w:bottom="59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8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1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2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04/15/2025</w:t>
            </w:r>
          </w:p>
        </w:tc>
        <w:tc>
          <w:tcPr>
            <w:tcW w:w="1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w w:val="91"/>
              </w:rPr>
              <w:t>96,189</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204,009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20" w:type="dxa"/>
            <w:vAlign w:val="bottom"/>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04/15/2025</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w:t>
            </w:r>
          </w:p>
        </w:tc>
        <w:tc>
          <w:tcPr>
            <w:tcW w:w="800" w:type="dxa"/>
            <w:vAlign w:val="bottom"/>
            <w:gridSpan w:val="2"/>
          </w:tcPr>
          <w:p>
            <w:pPr>
              <w:ind w:left="200"/>
              <w:spacing w:after="0" w:line="206" w:lineRule="exact"/>
              <w:rPr>
                <w:sz w:val="20"/>
                <w:szCs w:val="20"/>
                <w:color w:val="auto"/>
              </w:rPr>
            </w:pPr>
            <w:r>
              <w:rPr>
                <w:rFonts w:ascii="Times New Roman" w:cs="Times New Roman" w:eastAsia="Times New Roman" w:hAnsi="Times New Roman"/>
                <w:sz w:val="17"/>
                <w:szCs w:val="17"/>
                <w:color w:val="0000FF"/>
                <w:w w:val="91"/>
              </w:rPr>
              <w:t>96,189</w:t>
            </w:r>
            <w:r>
              <w:rPr>
                <w:rFonts w:ascii="Times New Roman" w:cs="Times New Roman" w:eastAsia="Times New Roman" w:hAnsi="Times New Roman"/>
                <w:sz w:val="21"/>
                <w:szCs w:val="21"/>
                <w:color w:val="008000"/>
                <w:w w:val="91"/>
                <w:vertAlign w:val="superscript"/>
              </w:rPr>
              <w:t>(1)</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continue"/>
          </w:tcPr>
          <w:p>
            <w:pPr>
              <w:spacing w:after="0"/>
              <w:rPr>
                <w:sz w:val="17"/>
                <w:szCs w:val="17"/>
                <w:color w:val="auto"/>
              </w:rPr>
            </w:pPr>
          </w:p>
        </w:tc>
        <w:tc>
          <w:tcPr>
            <w:tcW w:w="1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156,189</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gridSpan w:val="10"/>
          </w:tcPr>
          <w:p>
            <w:pPr>
              <w:jc w:val="right"/>
              <w:ind w:right="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01/01/2026</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01/01/2026</w:t>
            </w: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w w:val="94"/>
              </w:rPr>
              <w:t>20,916</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20,916</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01/01/2028</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01/01/2028</w:t>
            </w: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w w:val="94"/>
              </w:rPr>
              <w:t>24,864</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24,864</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01/01/2027</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01/01/2027</w:t>
            </w: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w w:val="94"/>
              </w:rPr>
              <w:t>21,521</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21,521</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$0.01</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-3062605</wp:posOffset>
            </wp:positionV>
            <wp:extent cx="29210" cy="3067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676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gifted by the Reporting Person to an irrevocable trust for the sole benefit of a member of the Reporting Person's immediate family. The Reporting Person has investment control and disclaims beneficial ownership of the shares held by the trust except to the extent of his pecuniary interest therein, and the inclusion of these shares in this report shall not be an admission that the Reporting Person is the beneficial owner of the shares for purposes of Section 16 of the Exchange Act or for any other purpose.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04/17/2025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Craig Scott Billings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-20320</wp:posOffset>
            </wp:positionV>
            <wp:extent cx="1299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921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4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5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9174"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2025-04-17T19:32:12Z</dcterms:created>
  <dcterms:modified xsi:type="dcterms:W3CDTF">2025-04-17T19:32:12Z</dcterms:modified>
</cp:coreProperties>
</file>