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No. </w:t>
      </w:r>
      <w:r>
        <w:rPr>
          <w:rFonts w:ascii="Arial" w:cs="Arial" w:eastAsia="Arial" w:hAnsi="Arial"/>
          <w:sz w:val="18"/>
          <w:szCs w:val="18"/>
          <w:b w:val="1"/>
          <w:bCs w:val="1"/>
          <w:color w:val="auto"/>
        </w:rPr>
        <w:t>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285"/>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49"/>
        </w:trPr>
        <w:tc>
          <w:tcPr>
            <w:tcW w:w="26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78"/>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74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November 1, 2010</w:t>
            </w:r>
          </w:p>
        </w:tc>
        <w:tc>
          <w:tcPr>
            <w:tcW w:w="164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740" w:type="dxa"/>
            <w:vAlign w:val="bottom"/>
          </w:tcPr>
          <w:p>
            <w:pPr>
              <w:spacing w:after="0"/>
              <w:rPr>
                <w:sz w:val="20"/>
                <w:szCs w:val="20"/>
                <w:color w:val="auto"/>
              </w:rPr>
            </w:pPr>
            <w:r>
              <w:rPr>
                <w:rFonts w:ascii="Arial" w:cs="Arial" w:eastAsia="Arial" w:hAnsi="Arial"/>
                <w:sz w:val="18"/>
                <w:szCs w:val="18"/>
                <w:color w:val="auto"/>
              </w:rPr>
              <w:t>0.01 par value</w:t>
            </w:r>
          </w:p>
        </w:tc>
        <w:tc>
          <w:tcPr>
            <w:tcW w:w="2060" w:type="dxa"/>
            <w:vAlign w:val="bottom"/>
          </w:tcPr>
          <w:p>
            <w:pPr>
              <w:jc w:val="right"/>
              <w:ind w:right="522"/>
              <w:spacing w:after="0"/>
              <w:rPr>
                <w:sz w:val="20"/>
                <w:szCs w:val="20"/>
                <w:color w:val="auto"/>
              </w:rPr>
            </w:pPr>
            <w:r>
              <w:rPr>
                <w:rFonts w:ascii="Arial" w:cs="Arial" w:eastAsia="Arial" w:hAnsi="Arial"/>
                <w:sz w:val="18"/>
                <w:szCs w:val="18"/>
                <w:color w:val="auto"/>
              </w:rPr>
              <w:t>123,946,173</w:t>
            </w:r>
          </w:p>
        </w:tc>
        <w:tc>
          <w:tcPr>
            <w:tcW w:w="1640" w:type="dxa"/>
            <w:vAlign w:val="bottom"/>
          </w:tcPr>
          <w:p>
            <w:pPr>
              <w:spacing w:after="0"/>
              <w:rPr>
                <w:sz w:val="18"/>
                <w:szCs w:val="18"/>
                <w:color w:val="auto"/>
              </w:rPr>
            </w:pPr>
          </w:p>
        </w:tc>
      </w:tr>
      <w:tr>
        <w:trPr>
          <w:trHeight w:val="196"/>
        </w:trPr>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34"/>
        </w:trPr>
        <w:tc>
          <w:tcPr>
            <w:tcW w:w="2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620" w:type="dxa"/>
            <w:vAlign w:val="bottom"/>
          </w:tcPr>
          <w:p>
            <w:pPr>
              <w:spacing w:after="0"/>
              <w:rPr>
                <w:sz w:val="19"/>
                <w:szCs w:val="19"/>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24"/>
                <w:szCs w:val="24"/>
                <w:color w:val="auto"/>
              </w:rPr>
            </w:pPr>
          </w:p>
        </w:tc>
      </w:tr>
      <w:tr>
        <w:trPr>
          <w:trHeight w:val="286"/>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(unaudited)—September 30, 2010 and December 31, 2009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(unaudited)—Three and nine months ended September 30, 2010 and 2009</w:t>
              </w:r>
            </w:hyperlink>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(unaudited)—Nine months ended September 30, 2010 and 2009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0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0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Controls and Procedures</w:t>
              </w:r>
            </w:hyperlink>
          </w:p>
        </w:tc>
        <w:tc>
          <w:tcPr>
            <w:tcW w:w="796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4"/>
          </w:tcPr>
          <w:p>
            <w:pPr>
              <w:spacing w:after="0"/>
              <w:rPr>
                <w:rFonts w:ascii="Arial" w:cs="Arial" w:eastAsia="Arial" w:hAnsi="Arial"/>
                <w:sz w:val="18"/>
                <w:szCs w:val="18"/>
                <w:b w:val="1"/>
                <w:bCs w:val="1"/>
                <w:color w:val="0000EE"/>
                <w:w w:val="92"/>
              </w:rPr>
            </w:pPr>
            <w:hyperlink w:anchor="page40">
              <w:r>
                <w:rPr>
                  <w:rFonts w:ascii="Arial" w:cs="Arial" w:eastAsia="Arial" w:hAnsi="Arial"/>
                  <w:sz w:val="18"/>
                  <w:szCs w:val="18"/>
                  <w:b w:val="1"/>
                  <w:bCs w:val="1"/>
                  <w:color w:val="0000EE"/>
                  <w:w w:val="92"/>
                </w:rPr>
                <w:t>Other Information</w:t>
              </w:r>
            </w:hyperlink>
          </w:p>
        </w:tc>
        <w:tc>
          <w:tcPr>
            <w:tcW w:w="3040" w:type="dxa"/>
            <w:vAlign w:val="bottom"/>
            <w:gridSpan w:val="2"/>
          </w:tcPr>
          <w:p>
            <w:pPr>
              <w:spacing w:after="0"/>
              <w:rPr>
                <w:sz w:val="17"/>
                <w:szCs w:val="17"/>
                <w:color w:val="auto"/>
              </w:rPr>
            </w:pPr>
          </w:p>
        </w:tc>
        <w:tc>
          <w:tcPr>
            <w:tcW w:w="5860" w:type="dxa"/>
            <w:vAlign w:val="bottom"/>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6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24"/>
                <w:szCs w:val="24"/>
                <w:color w:val="auto"/>
              </w:rPr>
            </w:pPr>
          </w:p>
        </w:tc>
        <w:tc>
          <w:tcPr>
            <w:tcW w:w="3160" w:type="dxa"/>
            <w:vAlign w:val="bottom"/>
            <w:gridSpan w:val="3"/>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60" w:type="dxa"/>
            <w:vAlign w:val="bottom"/>
            <w:gridSpan w:val="6"/>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Unregistered Sales of Equity Securities and Use of Proceeds</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2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right"/>
              <w:ind w:right="54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1,922,338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1,991,830</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141,379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152,879</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107,005</w:t>
            </w: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2,186,143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2,282,956</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4,976,270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5,062,059</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44,659</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62,227</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99,380</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7,361,883</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135,501</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45,394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17,520</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69,825</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100,980</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26,751</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323,783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318,755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725,585</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3,176,408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3,566,428</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120,726</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4,059,988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4,421,406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5"/>
              </w:rPr>
              <w:t>Common stock, par value $0.01; 400,000,000 shares authorized; 136,749,127 and 136,098,410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123,944,173 and 123,293,456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(1,119,407)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4,296,439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4,239,497</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(105,441)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(89,559)</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3,075,858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3,034,338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3,301,895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3,160,363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7,361,883</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765,391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565,072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2,246,184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294,985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109,152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368,596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1,082,318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836,905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3,165,573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2,434,240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(63,834)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(218,063)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(197,958)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1,005,949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773,071</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2,947,510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2,236,282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500,303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360,595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1,467,499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206,754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285,699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9,071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305,259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693,572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2,552,567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131,949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79,499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394,943</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(50,140)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(163,200)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(5,344)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(5,629)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extinguishment of debt/exchange offer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(124,984)</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(55,118)</w:t>
            </w: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(234,212)</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160,731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(16,009)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144,722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Wynn Resorts, Limited: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122,610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123,564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144,722</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305,259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extinguishment of debt/exchange offer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661,133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(229,577)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(240,362)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(432,957)</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(61,334)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1,676,528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(2,070,931)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(680,862)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(489,842)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(69,492)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1,991,830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1,133,904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1,922,338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1,296,078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left="240" w:right="828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and was expanded with the opening of Encore at Wynn Macau on April 21, 2010.</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2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and cash equivalents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total $1.92 billion and $1.99 billion at September 30, 2010 and December 31, 2009, respectively, of which $1.4 billion at both dates was invested in money market funds, U.S. treasuries and time deposits. The Company utilized Level 1 inputs as described in Note 9 to determine fair value.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2010 and December 31, 2009, approximately 76%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 consequently, the Company’s casino revenues are reduced by discounts, commissions and points earned in customer loyalty programs, such as the player’s club loyalty program.</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$12,525</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and beverage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23,092</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6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440"/>
              <w:spacing w:after="0"/>
              <w:rPr>
                <w:sz w:val="20"/>
                <w:szCs w:val="20"/>
                <w:color w:val="auto"/>
              </w:rPr>
            </w:pPr>
            <w:r>
              <w:rPr>
                <w:rFonts w:ascii="Arial" w:cs="Arial" w:eastAsia="Arial" w:hAnsi="Arial"/>
                <w:sz w:val="18"/>
                <w:szCs w:val="18"/>
                <w:color w:val="auto"/>
              </w:rPr>
              <w:t>Total</w:t>
            </w:r>
          </w:p>
        </w:tc>
        <w:tc>
          <w:tcPr>
            <w:tcW w:w="4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41,197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38,110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122,211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620" w:type="dxa"/>
            <w:vAlign w:val="bottom"/>
            <w:vMerge w:val="restart"/>
          </w:tcPr>
          <w:p>
            <w:pPr>
              <w:jc w:val="right"/>
              <w:ind w:right="1692"/>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Operations. Gaming taxes totaled approximately $331.9 million and $223.2 million for the three months ended September 30, 2010 and 2009, respectively. For the nine months ended September 30, 2010 and 2009, gaming taxes totaled approximately $970.3 million and $642.2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Advertising costs totaled approximately $4.7 million and $4.2 million for the three months ended September 30, 2010 and 2009, respectively. For the nine months ended September 30, 2010 and 2009, advertising costs totaled approximately $13.7 million and $16.6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also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shares outstanding during the year. Diluted EPS reflects the addition of potentially dilutive securities, which for the Company include stock options and nonvested stock.</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7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jc w:val="right"/>
              <w:ind w:right="6212"/>
              <w:spacing w:after="0"/>
              <w:rPr>
                <w:sz w:val="20"/>
                <w:szCs w:val="20"/>
                <w:color w:val="auto"/>
              </w:rPr>
            </w:pPr>
            <w:r>
              <w:rPr>
                <w:rFonts w:ascii="Arial" w:cs="Arial" w:eastAsia="Arial" w:hAnsi="Arial"/>
                <w:sz w:val="18"/>
                <w:szCs w:val="18"/>
                <w:color w:val="auto"/>
                <w:w w:val="97"/>
              </w:rPr>
              <w:t>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119,263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For the three months ended September 30, 2010, the Company recorded a net loss. Accordingly, the potential dilution from the assumed exercise of stock options and nonvested stock is anti-dilutive. As a result, basic EPS is equal to diluted EPS for that period. A total of 1,260,000 stock options have been excluded from the calculation of diluted EPS for the three months ended September 30, 2010, because including them would have been anti-dilutive. A total of 391,500 stock options were excluded from the calculation of diluted EPS for the nine months ended September 30, 2010, because including them would have been anti-dilutive and another 877,500 stock options were out-of-the-money for the same period and were also excluded. A total of 1,619,500 and 4,750,500 stock options were out-of-the-money for the three and nine months ended September 30, 2009, respectively, and therefore were excluded from the calculation of diluted EPS.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144,722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2,095</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34,210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145,350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32,603</w:t>
            </w:r>
          </w:p>
        </w:tc>
        <w:tc>
          <w:tcPr>
            <w:tcW w:w="2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99,011</w:t>
            </w:r>
          </w:p>
        </w:tc>
        <w:tc>
          <w:tcPr>
            <w:tcW w:w="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Wynn Resorts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(30,508)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and December 31, 2009,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Interest paid for the nine months ended September 30, 2010 and 2009 totaled approximately $130.9 million and $139.7 million, respectively. Interest capitalized for the nine months ended September 30, 2010 and 2009, totaled approximately $7.2 million and $7.3 million, respectively.</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nine months ended September 30, 2010 and 2009, capital expenditures include a decrease of $20 million and $179.1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16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205,330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14,944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33,620</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248,838</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254,960</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3"/>
              </w:rPr>
              <w:t>(107,459)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(102,081)</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141,379</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20" w:type="dxa"/>
            <w:vAlign w:val="bottom"/>
            <w:vMerge w:val="restart"/>
          </w:tcPr>
          <w:p>
            <w:pPr>
              <w:jc w:val="right"/>
              <w:ind w:right="257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731,764</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704,733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3,731,026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3,215,400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77,421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1,660,638</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1,585,495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85,761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81,521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16,212</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457,594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6,302,822</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6,122,069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1440" w:type="dxa"/>
            <w:vAlign w:val="bottom"/>
            <w:gridSpan w:val="4"/>
          </w:tcPr>
          <w:p>
            <w:pPr>
              <w:jc w:val="right"/>
              <w:ind w:right="434"/>
              <w:spacing w:after="0"/>
              <w:rPr>
                <w:sz w:val="20"/>
                <w:szCs w:val="20"/>
                <w:color w:val="auto"/>
              </w:rPr>
            </w:pPr>
            <w:r>
              <w:rPr>
                <w:rFonts w:ascii="Arial" w:cs="Arial" w:eastAsia="Arial" w:hAnsi="Arial"/>
                <w:sz w:val="18"/>
                <w:szCs w:val="18"/>
                <w:color w:val="auto"/>
                <w:w w:val="97"/>
              </w:rPr>
              <w:t>(1,326,552)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(1,060,010)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$ 4,976,270</w:t>
            </w:r>
          </w:p>
        </w:tc>
        <w:tc>
          <w:tcPr>
            <w:tcW w:w="5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4"/>
              </w:rPr>
              <w:t>$ 5,062,059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0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3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Wynn Las Vegas First Mortgage Notes, due December 1, 2014, net of original issue discount of $0 at September 30,</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 and $6,852 at December 31, 2009</w:t>
            </w:r>
          </w:p>
        </w:tc>
        <w:tc>
          <w:tcPr>
            <w:tcW w:w="11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$1,627,378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0" w:type="dxa"/>
            <w:vAlign w:val="bottom"/>
            <w:gridSpan w:val="2"/>
          </w:tcPr>
          <w:p>
            <w:pPr>
              <w:spacing w:after="0"/>
              <w:rPr>
                <w:sz w:val="20"/>
                <w:szCs w:val="20"/>
                <w:color w:val="auto"/>
              </w:rPr>
            </w:pPr>
            <w:r>
              <w:rPr>
                <w:rFonts w:ascii="Arial" w:cs="Arial" w:eastAsia="Arial" w:hAnsi="Arial"/>
                <w:sz w:val="18"/>
                <w:szCs w:val="18"/>
                <w:color w:val="auto"/>
                <w:w w:val="91"/>
              </w:rPr>
              <w:t xml:space="preserve">7 </w:t>
            </w:r>
            <w:r>
              <w:rPr>
                <w:rFonts w:ascii="Arial" w:cs="Arial" w:eastAsia="Arial" w:hAnsi="Arial"/>
                <w:sz w:val="11"/>
                <w:szCs w:val="11"/>
                <w:color w:val="auto"/>
                <w:w w:val="91"/>
              </w:rPr>
              <w:t>7</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Wynn Las Vegas First Mortgage Notes, due November 1, 2017, net of original issue discount of $9,940 at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ind w:left="220"/>
              <w:spacing w:after="0"/>
              <w:rPr>
                <w:sz w:val="20"/>
                <w:szCs w:val="20"/>
                <w:color w:val="auto"/>
              </w:rPr>
            </w:pPr>
            <w:r>
              <w:rPr>
                <w:rFonts w:ascii="Arial" w:cs="Arial" w:eastAsia="Arial" w:hAnsi="Arial"/>
                <w:sz w:val="18"/>
                <w:szCs w:val="18"/>
                <w:color w:val="auto"/>
              </w:rPr>
              <w:t>September 30, 2010 and $10,529 at December 31, 2009</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490,060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3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Wynn Las Vegas First Mortgage Notes, due May 1, 2020, net of original issue discount of $1,968 at September 30,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350,042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Wynn Las Vegas First Mortgage Notes, due August 15, 2020</w:t>
            </w:r>
          </w:p>
        </w:tc>
        <w:tc>
          <w:tcPr>
            <w:tcW w:w="1740" w:type="dxa"/>
            <w:vAlign w:val="bottom"/>
            <w:gridSpan w:val="5"/>
          </w:tcPr>
          <w:p>
            <w:pPr>
              <w:jc w:val="right"/>
              <w:spacing w:after="0"/>
              <w:rPr>
                <w:sz w:val="20"/>
                <w:szCs w:val="20"/>
                <w:color w:val="auto"/>
              </w:rPr>
            </w:pPr>
            <w:r>
              <w:rPr>
                <w:rFonts w:ascii="Arial" w:cs="Arial" w:eastAsia="Arial" w:hAnsi="Arial"/>
                <w:sz w:val="18"/>
                <w:szCs w:val="18"/>
                <w:color w:val="auto"/>
              </w:rPr>
              <w:t>1,320,000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Wynn Las Vegas Revolving Credit Facility, due July 17, 2015; interest on LIBOR plus 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330,605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7"/>
              </w:rPr>
              <w:t>Wynn Macau Senior Term Loan Facilities (as amended June 2007), due June 27, 2014; interest at LIBOR or HIBOR plus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552,023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552,292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Wynn Macau Senior Revolving Credit Facility, due June 2012; interest at LIBOR or HIBOR plus 1.75%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502,108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24,917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3,179,083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3,569,103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87"/>
              </w:rPr>
              <w:t>(2,675)</w:t>
            </w:r>
          </w:p>
        </w:tc>
        <w:tc>
          <w:tcPr>
            <w:tcW w:w="1340" w:type="dxa"/>
            <w:vAlign w:val="bottom"/>
            <w:gridSpan w:val="5"/>
          </w:tcPr>
          <w:p>
            <w:pPr>
              <w:jc w:val="right"/>
              <w:ind w:right="6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$ 3,176,408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3,566,428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First Mortgage Notes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$352 million of the 2014 Notes were validly tendered for exchange to the 2020 Notes. The exchange offer closed on April 28, 2010.</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2020 Notes rank pari passu in right of payment with borrowings under Wynn Las Vegas, LLC’s credit facilities and the Issuers’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(the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2017 Notes.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noteholders who validly tendered 2014 Notes prior to the early delivery time received an early delivery payment on April 28, 2010 of 1% of the amount tendered in cash, which totaled approximately $3.5 million. In accordance with accounting standards, this has been included as deferred financing costs and will be amortized over the life of the 2020 Notes. The direct costs of the exchange offer incurred with third parties of $4.4 million were expensed and are included in Gain / (loss) on extinguishment of debt / exchange offer in the accompanying Condensed Consolidated Statement of Operations.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August 4,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Wynn Las Vegas, LLC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Wynn Las Vegas, LLC’s concurrent offer to purchase and consent solicitation with respect to the 2014 Notes, and to redeem all of the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of $30 for each $1,000 principal amount of 2014 Notes, which totaled $32.7 million. The consent solicitation expired on August 3, 2010 and the tender offer expired on August 18, 2010. In accordance with accounting standards the consideration and consent fees were expensed and are included in Gain / (loss) on extinguishment of debt / exchange offer in the accompanying Condensed Consolidated Statement of Operations.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August 4, 2010, the Trustee, at the request of the Issuers, gave notice of redemption of any and all of the remaining 2014 Notes. The redemption price was equal to 103.313% of the aggregate principal amount of the 2014 Notes redeemed plus accrued and unpaid interest thereon to September 3, 2010. The total redemption fees paid were $10.9 million. In accordance with accounting standards, the redemption fees were expensed and are included in Gain / (loss) on extinguishment of debt / exchange offer in the accompanying Condensed Consolidated Statement of Operations.</w:t>
      </w:r>
    </w:p>
    <w:p>
      <w:pPr>
        <w:spacing w:after="0" w:line="113"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Also in connection with this transaction, unamortized debt issue costs and original issue discount related to the 2014 Notes totaling $18.4 million were expensed and are included in Gain / (loss) on extinguishment of debt / exchange offer in the accompanying Condensed Consolidated Statement of Operations.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Wynn Las Vegas, LLC’s credit facilities, the 2017 Notes and existing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2017 Notes and the existing 2020 Notes.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Facility</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Concurrently with the issuance of the New 2020 Notes, the Company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2010, the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September 30, 2010, $30.1 million had been borrowed under the Wynn Las Vegas Revolver. The Company also had $19.7 million of outstanding letters of credit that reduce our availability under the Wynn Las Vegas Revolver. The Company has availability of approximately $317.2 million under the Wynn Las Vegas Revolver as of September 30,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nine months ended September 30, 2010, the Company repaid approximately $502 million of borrowings under the Wynn Macau Senior Revolving Credit Facility. As of September 30, 2010, no amounts were outstanding and the Company had approximately $ 1 billion available to borrow under the Wynn Macau Credit Facilities. In September 2011, $37.2 million of the Wynn Macau Senior Term Loan Facility is due. In accordance with accounting standards, this $37.2 million has been classified as long-term debt as of September 30, 2010, because the Company has both the intent and ability to repay such amount with borrowings available under the Wynn Macau Senior Revolving Credit Facility, which is not due until June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net book value of the 2014 Notes, the 2017 Notes, the 2020 Notes and the New 2020 Notes at September 30, 2010 and December 31, 2009, was approximately $2.2 billion and $2.1 billion, respectively. The estimated fair value of the 2014 Notes, the 2017 Notes, the 2020 Notes and the New 2020 Notes was approximately $2.3 billion and $2.1 billion at September 30, 2010 and December 31, 2009, respectively. The 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book value of the Company’s other debt instruments was approximately $1 billion and $1.5 billion at September 30, 2010 and December 31, 2009, respectively. The estimated fair value of the Company’s other debt instruments was approximately $960 million and $1.3 billion at September 30, 2010 and December 31,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Condensed Consolidated Balance Sheets as of September 30, 2010 and December 31, 2009.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September 30, 2010, $7.9 million of these interest rate swaps are included in Other accrued expenses and $18.3 million are included in Other long-term liabilities in the accompanying Condensed Consolidated Balance Sheets. As of December 31, 2009, these interest rate swaps are included 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 fair value:</w:t>
            </w: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auto"/>
                <w:w w:val="94"/>
              </w:rPr>
              <w:t>Wynn</w:t>
            </w:r>
          </w:p>
        </w:tc>
        <w:tc>
          <w:tcPr>
            <w:tcW w:w="5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Wynn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8"/>
              </w:rPr>
              <w:t>(amounts in thousands)</w:t>
            </w:r>
          </w:p>
        </w:tc>
        <w:tc>
          <w:tcPr>
            <w:tcW w:w="70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0"/>
              </w:rPr>
              <w:t>Las Vegas</w:t>
            </w: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Macau</w:t>
            </w:r>
          </w:p>
        </w:tc>
        <w:tc>
          <w:tcPr>
            <w:tcW w:w="54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4"/>
              </w:rPr>
              <w:t>September 30, 2010</w:t>
            </w:r>
          </w:p>
        </w:tc>
        <w:tc>
          <w:tcPr>
            <w:tcW w:w="7100" w:type="dxa"/>
            <w:vAlign w:val="bottom"/>
            <w:gridSpan w:val="2"/>
            <w:shd w:val="clear" w:color="auto" w:fill="CCEEFF"/>
          </w:tcPr>
          <w:p>
            <w:pPr>
              <w:ind w:left="70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10,093</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$16,105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2009</w:t>
            </w:r>
          </w:p>
        </w:tc>
        <w:tc>
          <w:tcPr>
            <w:tcW w:w="7100" w:type="dxa"/>
            <w:vAlign w:val="bottom"/>
            <w:gridSpan w:val="2"/>
          </w:tcPr>
          <w:p>
            <w:pPr>
              <w:ind w:left="70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4,224</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$16,345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 has two interest rate swap agreements to hedge a portion of the underlying interest rate risk on borrowings under the Wynn Macau Term Loan. Under the first swap agreement, the Company pays a fixed interest rate of 3.632% on U.S. dollar borrowings of approximately $153.8 million incurred under the Wynn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entered into a third interest rate swap agreement effective November 27, 2009, to hedge a portion of the underlying interest rate risk on borrowings under the Wynn Macau Revolver. Under this swap agreement, the Company pays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such borrowings at approximately 3.9%. This interest rate swap agreement matures in June 2012.</w:t>
      </w:r>
    </w:p>
    <w:p>
      <w:pPr>
        <w:spacing w:after="0" w:line="218" w:lineRule="exact"/>
        <w:rPr>
          <w:sz w:val="20"/>
          <w:szCs w:val="20"/>
          <w:color w:val="auto"/>
        </w:rPr>
      </w:pPr>
    </w:p>
    <w:p>
      <w:pPr>
        <w:ind w:left="240" w:right="9060" w:hanging="232"/>
        <w:spacing w:after="0" w:line="417" w:lineRule="auto"/>
        <w:tabs>
          <w:tab w:leader="none" w:pos="275"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September 30, 2010 and December 31, 2009, Mr. Wynn and the other officers and directors had a net deposit balance with the Company of approximately $383,465 and $789,095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Purchase</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May 2010, the Company entered into a new employment agreement with Linda Chen, who is also a director. The term of the new employment agreement is through February 24, 2020. Under the terms of the new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employment agreement, the Company purchased a home in Macau for use by Ms. Chen for approximately $5.4 million, and will expend additional funds to renovate the home and will also provide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Property charges and other for the three months ended September 30, 2010 and 2009 were $17.5 million and $0.7 million, respectively. Property charges and other for the nine months ended September 30, 2010 and 2009 were $22.4 million and $11.3 million, respectively. Property charges generally include costs related to the retirement of assets for remodels and asset abandonments. Property charges and other for the three months ended September 30, 2010, include a contract termination payment of $14.9 million related to a management contract for certain of the nightclubs at Wynn Las Vegas as well as miscellaneous renovations, abandonments and gain/loss on sale of equipment at Wynn Las Vegas and Wynn Macau. Property charges and other for the three months ended September 30, 2009, were related to miscellaneous renovations, abandonments and loss on sale of equipment at Wynn Las Vegas and Wynn Macau.</w:t>
      </w:r>
    </w:p>
    <w:p>
      <w:pPr>
        <w:spacing w:after="0" w:line="105"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Property charges and other for the nine months ended September 30, 2010, include the contract termination charge noted above and miscellaneous renovations, abandonments and gain/loss on sale of equipment at Wynn Las Vegas and Wynn Macau. Property charges and other for the nine months ended September 30, 2009, include the write-off of $6.8 million of aircraft purchase deposits and miscellaneous renovations, abandonments and loss on sale of equipment at Wynn Las Vegas and Wynn Macau.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“Wynn Macau Limited IPO”).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$31.5 million and $98.8 million for the three and nine months ended September 30, 2010, respectively.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26, 2010, the Company paid a dividend of $0.25 per share to holders of record on May 12, 2010. On August 26, 2010, the Company paid a dividend of $0.25 per share to holders of record on August 12, 2010. For the nine months ended September 30, 2010, $61.8 million was recorded as a distribution against retained earnings. Of this amount approximately $0.4 million was recorded as a liability which will be paid to holders of nonvested stock upon the vesting of that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$ 2,334</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$ 2,295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Rooms</w:t>
            </w: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11,623</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6,755</w:t>
            </w:r>
          </w:p>
        </w:tc>
        <w:tc>
          <w:tcPr>
            <w:tcW w:w="5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6,903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20,721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18,697</w:t>
            </w:r>
          </w:p>
        </w:tc>
        <w:tc>
          <w:tcPr>
            <w:tcW w:w="100" w:type="dxa"/>
            <w:vAlign w:val="bottom"/>
          </w:tcPr>
          <w:p>
            <w:pPr>
              <w:spacing w:after="0"/>
              <w:rPr>
                <w:sz w:val="19"/>
                <w:szCs w:val="19"/>
                <w:color w:val="auto"/>
              </w:rPr>
            </w:pPr>
          </w:p>
        </w:tc>
      </w:tr>
      <w:tr>
        <w:trPr>
          <w:trHeight w:val="217"/>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$ 6,901</w:t>
            </w:r>
          </w:p>
        </w:tc>
        <w:tc>
          <w:tcPr>
            <w:tcW w:w="5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$ 7,050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21,159</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19,136</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applied to the government of Macau for a land concession on approximately 52 aces of land on Cotai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awaiting final government approval on the concession. The Company continues to work on the concept and design of this property, but cannot prepare a final timeline or budget until government approval of the land concession has been received.</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color w:val="auto"/>
        </w:rPr>
        <w:t>. 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52 acres of land in the Cotai area of Macau. The payment will be made within 15 days after the Government of the Macau Special Administrative Region of the People’s Republic of China publishes the Company’s rights to the land in the government’s official gazette.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Philadelphia Casino Project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February 23, 2010, the Company entered into a letter of intent with Philadelphia Entertainment and Development Partners, LP, providing that an affiliate of the Company will become the manager and managing general partner in a casino project slated for the Philadelphia waterfront. On April 8, 2010, the Company and its subsidiaries announced the termination of its negotiations with respect to this project.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(the “Agreement”)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Management believes that APC’s claim against the Company is without merit and intends to defend this matter vigorously.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September 30, 2010,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nine months ended September 30, 2010, the Company recorded a tax expense of $16.0 million. The Company’s provision for income taxes is primarily comprised of increases in the Company’s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the Company’s U.S. operations. As of June 30, 2010, the Company no longer considers its portion of the tax earnings and profits of Wynn Macau, Limited to be permanently reinvested. No additional U.S. tax provision has been made with respect to this amount as the Company anticipates that U.S. foreign tax credits should be sufficient to eliminate any U.S. tax provision relating to such repatriation. Prior to this change, the Company’s earnings attributable to periods after September 2009 were considered permanently reinvested abroad. The decrease in the Company’s current deferred tax liability is primarily attributable to the repatriation of approximately $1.14 billion of Wynn Macau, Limited IPO proceeds not considered permanently reinvested. During the nine months ended September 30, 2010, the Company recognized income tax benefits related to excess tax deductions associated with stock compensation costs of $5.5 million.</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September 6, 2006, Wynn Resorts (Macau) S.A. received a 5-year exemption from Macau’s 12% Complementary Tax on casino gaming profits. Accordingly, the Company was exempted from the payment of approximately $41.3 million in such taxes during the nine months ended September 30, 2010. The Company’s non-gaming profits remain subject to the Macau Complementary Tax and casino winnings remain subject to the Macau Special Gaming tax and other levies together totaling 39% in accordance with its concession agreement. On October 21, 2010, Wynn Resorts (Macau) S.A. applied for an additional 5-year exemption from Macau’s 12% Complementary Tax on casino gaming profits. Since additional 5-year exemptions have been given to other Macau gaming concession holders, Wynn Resorts (Macau) S.A. anticipates that this additional 5-year exemption will be approved.</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June 2010, the Macau Finance Bureau commenced an examination of the 2006 and 2007 Macau income tax returns of Wynn Resorts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of September 30, 2010, the Company determined that it will likely reach agreement with the Internal Revenue Service with respect to the examination of its 2004 and 2005 U.S. income tax returns within the next 12 months. The issues under examination in these years are temporary differences and relate to the deduction of certain costs incurred during the development and construction of Wynn Las Vegas and the appropriate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depreciation recovery period applicable to certain assets. Upon the settlement of these issues, the Company’s unrecognized tax benefits could decrease by $70 million to $100 million. The resolution of the 2004 and 2005 examination is not expected to result in any significant cash payment but rather the utilization of a portion of the Company’s foreign tax credit carryforward.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4020" w:type="dxa"/>
            <w:vAlign w:val="bottom"/>
            <w:gridSpan w:val="3"/>
          </w:tcPr>
          <w:p>
            <w:pPr>
              <w:jc w:val="right"/>
              <w:ind w:right="600"/>
              <w:spacing w:after="0"/>
              <w:rPr>
                <w:sz w:val="20"/>
                <w:szCs w:val="20"/>
                <w:color w:val="auto"/>
              </w:rPr>
            </w:pPr>
            <w:r>
              <w:rPr>
                <w:rFonts w:ascii="Arial" w:cs="Arial" w:eastAsia="Arial" w:hAnsi="Arial"/>
                <w:sz w:val="18"/>
                <w:szCs w:val="18"/>
                <w:color w:val="auto"/>
              </w:rPr>
              <w:t>$ 4,142,660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$ 4,254,324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w:t>
            </w:r>
          </w:p>
        </w:tc>
        <w:tc>
          <w:tcPr>
            <w:tcW w:w="4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1,859,074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1,990,273</w:t>
            </w: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2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1,360,149</w:t>
            </w: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4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$ 7,361,883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$ 7,581,769</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324,550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971,026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for 2010</w:t>
            </w:r>
          </w:p>
        </w:tc>
        <w:tc>
          <w:tcPr>
            <w:tcW w:w="2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448,521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1,976,484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1,307,642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2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1,005,949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773,071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2,947,510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2,236,282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76,521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70,042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201,952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for 2010</w:t>
            </w:r>
          </w:p>
        </w:tc>
        <w:tc>
          <w:tcPr>
            <w:tcW w:w="2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128,174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274,529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198,216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797,798</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9,071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305,259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22,374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142,580</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118,717</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402,855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131,949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79,499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394,943</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(50,140)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(163,200)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(5,344)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(5,629)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extinguishment of debt/exchange offer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(124,984)</w:t>
            </w: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(55,118)</w:t>
            </w: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(234,212)</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160,731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(16,009)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144,722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360" w:type="dxa"/>
            <w:vAlign w:val="bottom"/>
            <w:vMerge w:val="restart"/>
          </w:tcPr>
          <w:p>
            <w:pPr>
              <w:jc w:val="right"/>
              <w:ind w:right="1392"/>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 2010, the Wynn Macau, Limited Board of Directors approved a HK$0.76 per share dividend. The total dividend amount was approximately $510 million and the Company’s share of this dividend was approximately $369 million. The Wynn Macau, Limited Board of Directors also will consider paying recurring dividends with a target yield of 1%-3% annually after a review of the then current financial results during each year and having regard to the terms of the financing documents that Wynn Macau, Limited is party to. The Wynn Macau, Limited Board of Directors has determined that a target dividend yield of 1-3% annually, will allow Wynn Macau, Limited to maintain ample liquidity to achieve its Cotai growth strategy.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November 2, 2010, the Board of Directors of the Company declared a cash dividend of $8 per share, payable on December 7, 2010 to stockholders of record as of November 23, 2010.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tourism and consumer spending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U. S. laws regarding health 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as our Macau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October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Approximate</w:t>
            </w:r>
          </w:p>
        </w:tc>
      </w:tr>
      <w:tr>
        <w:trPr>
          <w:trHeight w:val="149"/>
        </w:trPr>
        <w:tc>
          <w:tcPr>
            <w:tcW w:w="50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Table</w:t>
            </w:r>
          </w:p>
        </w:tc>
        <w:tc>
          <w:tcPr>
            <w:tcW w:w="9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1"/>
        </w:trPr>
        <w:tc>
          <w:tcPr>
            <w:tcW w:w="50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Suites</w:t>
            </w:r>
          </w:p>
        </w:tc>
        <w:tc>
          <w:tcPr>
            <w:tcW w:w="920" w:type="dxa"/>
            <w:vAlign w:val="bottom"/>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Square Footage</w:t>
            </w:r>
          </w:p>
        </w:tc>
        <w:tc>
          <w:tcPr>
            <w:tcW w:w="9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Games</w:t>
            </w:r>
          </w:p>
        </w:tc>
        <w:tc>
          <w:tcPr>
            <w:tcW w:w="92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Slots</w:t>
            </w:r>
          </w:p>
        </w:tc>
        <w:tc>
          <w:tcPr>
            <w:tcW w:w="100" w:type="dxa"/>
            <w:vAlign w:val="bottom"/>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4,750</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186,000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Macau</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1,014</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256,000</w:t>
            </w: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In addition, we own approximately 18 acres across Sands Avenue, a portion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900" w:right="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Las Vegas features:</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are temporarily removing floors from service which reduces our total number of rooms available during the construction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opened Wynn Macau on September 6, 2006 and completed expansions of this resort in December 2007 and November 2009. We operate under a 20-year casino concession agreement granted by the Macau government in June 2002.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Macau features:</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approximately 222,000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casual and fine dining in six restaurants;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featuring stores and boutiques by Bvlgari,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Macau features:</w:t>
      </w:r>
    </w:p>
    <w:p>
      <w:pPr>
        <w:spacing w:after="0" w:line="90" w:lineRule="exact"/>
        <w:rPr>
          <w:sz w:val="20"/>
          <w:szCs w:val="20"/>
          <w:color w:val="auto"/>
        </w:rPr>
      </w:pPr>
    </w:p>
    <w:p>
      <w:pPr>
        <w:ind w:left="5620" w:right="1300" w:hanging="5166"/>
        <w:spacing w:after="0" w:line="440" w:lineRule="auto"/>
        <w:tabs>
          <w:tab w:leader="none" w:pos="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approximately 22,000 square foot casino offering 24-hour gaming and a full range of games, including private gaming salons; 22</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luxury hotel accommodations in 414 spacious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3,200 square feet of high-end brand name retail space featuring Chanel, Piaget and Cartier;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restaurants;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full service luxury spa facilities.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response to evaluations of our Macau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applied to the government of Macau for a land concession on approximately 52 aces of land on Cotai and is awaiting final government approval on the concession. We continue work on the concept and design of this property, but cannot prepare a final timeline or budget until government approval of the land concession has been received.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Due to a number of factors affecting the U.S., including a slowdown in global economies, high unemployment and reduced consumer spending, the outlook for Las Vegas continues to remain highly uncertain. This slow down began in 2008 and has continued throughout 2009 and into the first nine months of 2010. Based on our experience over this past year and current market conditions, we believe that our Las Vegas Operations will continue to experience lower than historical room rates, casino volumes and departmental profitability. Significant new supply in Las Vegas has and will continue to put additional pressure on occupancy and room rates during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operating results in Macau were strong during the first nine months of 2010; however we believe that our results in Las Vegas for the nine months ended September 30, 2010, continued to be adversely impacted by changes in consumer spending, especially in the U.S. Reduced levels of consumer spending and increased hotel supply in the market have and may continue to adversely impact our financial results in Las Vegas. Also, our results for the three and nine months ended September 30, 2010 for Wynn Macau include the operations of Encore at Wynn Macau which opened on April 21,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334,524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$ 324,550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971,026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671,425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1,976,484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1,307,642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1,005,949</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$ 773,071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2,947,510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2,236,282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40" w:type="dxa"/>
            <w:vAlign w:val="bottom"/>
            <w:vMerge w:val="restart"/>
          </w:tcPr>
          <w:p>
            <w:pPr>
              <w:jc w:val="right"/>
              <w:ind w:right="95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high-end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Operations is presented. There are two methods used to calculate win percentage in the casino industry. In Las Vegas and in the general casino in Macau, customers primarily purchase cash chips from gaming tables. The cash and net markers used to purchase the cash chips from gaming tables are deposited in the gaming table’s drop box. This is the base of measurement that we use in the casino at our Las Vegas Operations and in the general casino at our Macau Operations for calculating win percentage.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VIP casino in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effectively tracks the initial purchase of chips while the measurement method in the VIP casino in Macau effectively tracks the sum of all losing wagers. Accordingly, the base measurement in the VIP casino is much larger than the general casino. As a result, the expected win percent with the same amount of gaming win is smaller in the VIP casino in Macau when compared to the general casino in Las Vegas and Macau.</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table games win percentage for our Las Vegas Operations is 21.9% whereas the life to date table games win percentage for the general casino at our Macau Operations is 20.4%.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VIP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2010 compared to the three months ended September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revenues for the three months ended September 30, 2010 are comprised of $765.4 million in casino revenues (76.1% of total net revenues) and $240.5 million of net non-casino revenues (23.9% of total net revenues). Net revenues for the three months ended September 30, 2009 were comprised of $565.1 million in casino revenues (73.1% of total net revenues) and $208 million of net non-casino revenues (26.9% of total net revenues).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of approximately $765.4 million represents a $200.3 million (or 35.5%) increase from casino revenues of $565.1 million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2009.</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Las Vegas Operations experienced a $5.6 million decrease in casino revenues compared to the prior year quarter. Our average table games win percentage (before discounts) decreased from 23.7% in the prior year quarter to 22.8% during the three months ended September 30, 2010, both of which were within the expected range of 21% to 24%. We experienced a 5.2% increase in table games drop in Las Vegas compared to the prior year quarter. Slot handle at our Las Vegas Operations decreased 18.8% compared to the prior year quarter; however slot win only decreased 3.4% as more play shifted to higher hold machines.</w:t>
      </w:r>
    </w:p>
    <w:p>
      <w:pPr>
        <w:spacing w:after="0" w:line="9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Casino revenues at Wynn Macau, including Encore at Wynn Macau which opened on April 21, 2010, increased $205.9 million during the three months ended September 30, 2010, compared to the prior year quarter. We experienced a 55.2% increase in the VIP revenue segment due to a 53.9% increase in turnover. Our win as a percent of turnover was 2.88%, which is within the expected range of 2.7% to 3.0%, and compares to 2.84% in the prior year quarter. In November 2009 we added two new private gaming salons with 29 VIP tables and on April 21, 2010 we added 37 VIP tables with the opening of Encore, which helped drive some of the growth in our VIP segment during the three months ended September 30, 2010 compared to the prior year quarter. Our VIP casino segment win as a percent of turnover includes a nominal beneficial effect attributable to non-rolling chip play. In our general casino drop increased 20.6% when compared to the prior year quarter and the average table games win percentage was 22.8%, which is above the expected range of 19% to 21%. The average table games win percentage for the three months ended September 30, 2009 was 20.8%. Slot handle at Wynn Macau increased 49% compared to the prior year quarter primarily due to the opening of Encore at Wynn Macau, while slot win increased 54.9%.</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the three months ended September 30, 2010, room revenues were approximately $101.6 million, an increase of $10.4 million compared to room revenue of $91.2 million for the three months ended September 30, 2009. Room revenue at our Las Vegas Operations decreased approximately $1.3 million compared to the prior year quarter. In Las Vegas, our occupancy percentage increased from the prior year, and room rates were flat. However, due to our remodel of the rooms at Wynn Las Vegas, we had approximately 6.2% fewer room nights available during the quarter which resulted in a decrease in room revenues compared to the 2009 quarter. This room remodel is expected to be completed in second quarter of 2011. We believe that room occupancy and rate remain at depressed levels due to the current economic conditions in which we operate in the U.S. and increased capacity in the Las Vegas market with the opening of a new large scale casino hotel in December 2009. Room revenue at our Macau Operations increased approximately $11.7 million due to the 414 additional suites added with Encore at Wynn Macau and an increase in room rates compared to the prior year quarter.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tcPr>
          <w:p>
            <w:pPr>
              <w:spacing w:after="0"/>
              <w:rPr>
                <w:sz w:val="18"/>
                <w:szCs w:val="18"/>
                <w:color w:val="auto"/>
              </w:rPr>
            </w:pPr>
          </w:p>
        </w:tc>
        <w:tc>
          <w:tcPr>
            <w:tcW w:w="1260" w:type="dxa"/>
            <w:vAlign w:val="bottom"/>
            <w:gridSpan w:val="2"/>
          </w:tcPr>
          <w:p>
            <w:pPr>
              <w:jc w:val="right"/>
              <w:ind w:right="61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752"/>
              <w:spacing w:after="0"/>
              <w:rPr>
                <w:sz w:val="20"/>
                <w:szCs w:val="20"/>
                <w:color w:val="auto"/>
              </w:rPr>
            </w:pPr>
            <w:r>
              <w:rPr>
                <w:rFonts w:ascii="Arial" w:cs="Arial" w:eastAsia="Arial" w:hAnsi="Arial"/>
                <w:sz w:val="18"/>
                <w:szCs w:val="18"/>
                <w:color w:val="auto"/>
              </w:rPr>
              <w:t>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non-casino revenues for the three months ended September 30, 2010 included food and beverage revenues of approximately $129.4 million, retail revenues of approximately $52.3 million, entertainment revenues of approximately $18.1 million, and other revenues from outlets such as the spa and salon, of approximately $15.5 million. Other non-gaming revenues for the three months ended September 30, 2009 included food and beverage revenues of approximately $109.2 million, retail revenues of approximately $39.7 million, entertainment revenues of approximately $16.6 million, and other revenues from outlets, including the spa and salon, of approximately $15.2 million. Food and beverage revenues at our Las Vegas Operations increased approximately $15 million while our Macau Operations increased $5.3 million, as compared to the prior year quarter. The increase in our Las Vegas Operations is due primarily to business in our nightclubs including the opening of the Encore Beach Club and Surrender nightclub in May 2010. Our retail revenues in Macau increased $12.9 million, offset by a decrease of $0.3 million in Las Vegas. The increase in our Macau Operations is due primarily to increased sales at several outlets, the opening of Wynn and Co. Watches and Jewelry in November 2009, which sells Cartier and Jaeger Le Coultre products and new outlets at Encore at Wynn Macau including Chanel, Piaget and Cartier. Entertainment revenues increased over the prior year quarter primarily due to performances by Garth Brooks in the Encore Theater which commenced in December 2009, as well as increased revenue from our Le Rêve show.</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September 30, 2010, departmental expenses included casino expenses of $500.3 million, room expenses of $30.6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food and beverage expenses of $72.2 million, and entertainment, retail and other expenses of $50.1 million. Also included are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of approximately $103 million and approximately $0.9 million charged as a provision for doubtful accounts receivable.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departmental expenses included casino expenses of $360.6 million, room expenses of $28.3 million, food and beverage expenses of $64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entertainment, retail and other expenses of $43.6 million. Also included are general and administrative expenses of approximately $89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$5.2 million charged as a provision for doubtful accounts receivable. Casino expenses have increased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2010 due to an increase in casino revenues especially at our Macau Operations where we incur a gaming tax and other levies at a rate totaling 39%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our concession agreement. Room expenses increased during the three months ended September 30, 2010, compared to the prior year quarter,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increased marketing and promotional costs in Las Vegas and the opening of Encore at Wynn Macau in April 2010. Food and beverage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commensurate with the increase in revenue.</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and increased retail sales at our Macau Operations as noted above. General and administrative expenses increased primarily due to general volume increases, higher bonus accruals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corporate development activities. Our provision for doubtful accounts receivable decreased during the three months ended September 30, 2010, compared to the prior year’s quarter. This decrease is primarily due to strong collections during the quarter ended September 30,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Depreciation and amortization for the three months ended September 30, 2010 was $99.3 million compared to $101.9 million for the three months ended September 30, 2009. This decrease is due to assets with a 5-year life being fully depreciated as of April 2010 at Wynn Las Vegas, offset in part by the depreciation of the assets of Encore at Wynn Macau which were placed into service in April 2010, and the assets of the Encore Beach Club which were placed into service in May 2010.</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maximum useful life of our assets at our Macau Operations is the remaining life of the gaming concession or land concession, which currently expires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Property charges and other for the three months ended September 30, 2010, were $17.5 million compared to $0.7 million for the three months ended September 30, 2009. Property charges and other for the three months ended September 30, 2010 include a contract termination payment of $14.9 million related to a management contract for certain of the nightclubs at Wynn Las Vegas. The remaining charges were related to miscellaneous renovations, abandonments and gain/loss on sale of equipment at Wynn Las Vegas and Wynn Macau.</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Property charges and other for the three months ended September 30, 2009 related to miscellaneous renovations, abandonments and loss on sale of equipment at our resorts.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to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income was $1 million and $0.4 million for the three months ended September 30, 2010 and 2009, respectively. During 2010 and 2009, our short-term investment strategy has been to preserve capital while retaining sufficient liquidity. Accordingly, our short-term investments include primarily money market funds, U.S. Treasury Bills and time deposits with a purchase maturity of three months or less.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Interest expense was $60.3 million for the three months ended September 30, 2010, compared to $50.1 million, net of capitalized interest of $2.6 million, for the three months ended September 30, 2009. There was no capitalized interest during the three months ended September 30, 2010. Our interest expense increased primarily due to the Wynn Las Vegas $500 million 7 7/8% First Mortgage Notes issued in October 2009, the increased rate on our remaining Wynn Las Vegas First Mortgage Notes as previously discussed and a decrease in capitalized interest, offset by the reduction in amounts outstanding under the Wynn Las Vegas and Wynn Macau revolvers compared to the prior year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an expense of approximately $0.4 million for the three months ended September 30, 2010 resulting from the decrease in the fair value of our interest rate swaps from June 30, 2010 to September 30, 2010. During the three months ended September 30, 2009 we recorded an expense of $5.3 million resulting from the decrease in the fair value of interest rate swaps between June 30, 2009 and September 30, 2009. For further information on our interest rate swaps, see Item 3 – “Quantitative and Qualitative Disclosures about Market Risk.”</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described in Note 8 to our Condensed Consolidated Financial Statements in this Quarterly Report on Form 10-Q, we completed a tender offer for the outstanding 6 5/8% First Mortgage Notes due 2014 (the “2014 Notes”) and subsequent call of all the remaining amounts once the tender was completed. In connection with this transaction, we recorded a loss on extinguishment of debt of $ 63 million. This included the tender offer consideration, the call premium and the related write off of the unamortized debt issue costs and original issue discount.</w:t>
      </w:r>
    </w:p>
    <w:p>
      <w:pPr>
        <w:spacing w:after="0" w:line="11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Also, as described in Note 8 to our Condensed Consolidated Financial Statements in this Quarterly Report on Form 10-Q we completed an exchange offer for a portion of our 2014 Notes in April 2010. In connection with that exchange offer, the direct costs incurred with third parties of $1.2 million were expensed.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months ended September 30, 2010, we recorded a tax expense of $9.0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During the three months ended September 30, 2010, we recognized income tax benefits related to excess tax deductions associated with stock compensation costs of $3.6 million.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September 6, 2006, Wynn Resorts (Macau) S.A. received a 5-year exemption from Macau’s 12% Complementary Tax on casino gaming profits. Accordingly, we were exempted from the payment of approximately $13.2 million in such taxes for the three months ended September 30, 2010. Our non-gaming profits remain subject to the Macau Complementary Tax and casino winnings remain subject to the Macau Special Gaming tax and other levies at a rate totaling 39% in accordance with its concession agreement. On October 21, 2010, Wynn Resorts (Macau) S.A. applied for an additional 5-year exemption from Macau’s 12% Complementary Tax on casino gaming profits. Since additional 5-year exemptions have been given to other Macau gaming concession holders, Wynn Resorts (Macau) S.A. anticipates that this additional 5-year exemption will be approved.</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2010, we determined that we will likely reach agreement with the Internal Revenue Service with respect to the examination of our 2004 and 2005 U.S. income tax returns within the next 12 months. The issues under examination in these years are temporary differences and relate to the deduction of certain costs incurred during the development and construction of Wynn Las Vegas and the appropriate tax depreciation recovery period applicable to certain assets. Upon the settlement of these issues, our unrecognized tax benefits could decrease by $70 million to $100 million. The resolution of the 2004 and 2005 examination is not expected to result in any significant cash payment but rather the utilization of a portion of our foreign tax credit carryforward.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The $31.5 million represents the noncontrolling interests share of net income for the three months ended September 30, 2010.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2010 compared to the nine months ended September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nine months ended September 30, 2010 are comprised of $2,246.2 million in casino revenues (76.2% of total net revenues) and $701.3 million of net non-casino revenues (23.8% of total net revenues). Net revenues for the nine months ended September 30, 2009 were comprised of $1,615.1 million in casino revenues (72.2% of total net revenues) and $621.2 million of net non-casino revenues (27.8% of total net revenues).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nine months ended September 30, 2010 of approximately $2,246.2 million represents a $631.1 million (or 39.1 %) increase from casino revenues of $1,615.1 million for the nine months ended September 30, 2009.</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Las Vegas Operations experienced a $9.3 million increase in casino revenues compared to the prior year due to a 3.6% increase in drop and an increase in our average table games win percentage. Our average table games win percentage (before discounts) for the nine months ended September 30, 2010 was 22.1% which was within the expected range of 21% to 24% and compares to 20.7% for the prior year. Slot handle at our Las Vegas Operations decreased 21.9% compared to the prior year; however slot win decreased only 9.8% as more play shifted to higher hold machines.</w:t>
      </w:r>
    </w:p>
    <w:p>
      <w:pPr>
        <w:spacing w:after="0" w:line="113"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Casino revenues at Wynn Macau, including Encore at Wynn Macau which opened on April 21, 2010, increased $621.8 million during the nine months ended September 30, 2010, compared to the prior year. We experienced a 69.3% increase in the VIP revenue segment due to a 70% increase in turnover. Our win as a percent of turnover was 2.94%, which is at the higher end of the expected range of 2.7% to 3.0%, and compares to 2.98% in the prior year. In November</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2009 we added two new private gaming salons with 29 VIP tables and on April 21, 2010 we added 37 VIP tables with the opening of Encore, which helped drive some of the growth in our VIP segment during the nine months ended September 30, 2010 compared to the prior year. Our VIP casino segment win as a percent of turnover includes a nominal beneficial effect attributable to non-rolling chip play. In our general casino, drop increased 13.2% when compared to the prior year and the average table games win percentage was 22.6%, which is above the expected range of 19% to 21%. The average table game win percentage for the nine months ended September 30, 2009 was 21.5%. Slot handle increased 19.4% compared to the prior year primarily due to the opening of Encore at Wynn Macau and slot win increased 19.9%.</w:t>
      </w:r>
    </w:p>
    <w:p>
      <w:pPr>
        <w:spacing w:after="0" w:line="14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For the nine months ended September 30, 2010, room revenues were approximately $295 million, an increase of $10.2 million compared to prior year room revenue of $284.8 million. Room revenue at our Las Vegas Operations decreased approximately $11.4 million compared to the prior year. In Las Vegas, we continued to experience a decrease in room rates during the nine months ended September 30, 2010, compared to the nine months ended September 30, 2009. We believe this is due to the current economic conditions in which we operate in the U.S. and the increased capacity in the Las Vegas market including the opening of a new large scale casino hotel in Las Vegas in December 2009. In addition, in July 2010, we commenced a project to remodel all of the rooms at Wynn Las Vegas. Accordingly, we had 2.1% fewer rooms nights available during the nine months ended September 30, 2010 which had a negative impact on our room revenues in Las Vegas. This room remodel is expected to be completed in the second quarter of 2011. Room revenue at our Macau Operations increased approximately $21.6 million due to the 414 additional suites added with Encore at Wynn Macau and an increase in room rates compared to the prior year.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$ 203</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Occupancy</w:t>
            </w: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82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86.6%</w:t>
            </w: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Macau</w:t>
            </w:r>
          </w:p>
        </w:tc>
        <w:tc>
          <w:tcPr>
            <w:tcW w:w="4820" w:type="dxa"/>
            <w:vAlign w:val="bottom"/>
            <w:gridSpan w:val="3"/>
          </w:tcPr>
          <w:p>
            <w:pPr>
              <w:jc w:val="right"/>
              <w:ind w:right="572"/>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86.4%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$ 183</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non-casino revenues for the nine months ended September 30, 2010 included food and beverage revenues of approximately $368.6 million, retail revenues of approximately $153.5 million, entertainment revenues of approximately $51.9 million, and other revenues from outlets such as the spa and salon, of approximately $50.4 million. Other non-casino revenues for the nine months ended September 30, 2009 included food and beverage revenues of approximately $330.3 million, retail revenues of approximately $114.5 million, entertainment revenues of approximately $41.6 million, and other revenues from outlets, including the spa and salon, of approximately $48 million. Food and beverage revenues at our Las Vegas Operations increased approximately $25.5 million, while our Macau Operations increased $12.8 million, as compared to the prior year. The increase in Las Vegas is due primarily to business in our nightclubs including the opening of the Encore Beach Club and Surrender nightclub in May 2010. Retail revenues at our Macau Operations increased $40.7 million, offset by a decrease of $1.7 million in Las Vegas. The increase in Macau is due primarily to increased sales at several outlets, the opening of Wynn and Co. Watches and Jewelry in November 2009, which sells Cartier and Jaeger Le Coultre products and new outlets at Encore at Wynn Macau including Chanel, Piaget and Cartier. Entertainment revenues increased over the prior year primarily due to performances by Garth Brooks in the Encore Theater which commenced in December 2009, as well as increased revenue from our Le Rêve show.</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During the nine months ended September 30, 2010, departmental expenses included casino expenses of $1,467.5 million, room expenses of $93.4 million, food and beverage expenses of $206.8 million, and entertainment, retail and other expenses of $147.8 million. Also included are general and administrative expenses of approximately $285.7 million and approximately $14.7 million charged as a provision for doubtful accounts receivable. During the nine months ended September 30, 2009, departmental expenses included casino expenses of $1,060.2 million, room expenses of $82.7 million, food and beverage expenses of $189.7 million, and entertainment, retail and other expenses of $119.7 million. Also included are general and administrative expenses of approximately $263.8 million and approximately $13 million charged as a provision for doubtful accounts receivable. Casino expenses have increased during the nine months ended September 30, 2010 due to an increase in casino revenues especially at our Macau Operations where we incur a gaming tax and other levies at a rate totaling 39% in accordance with our concession agreement. Room expenses increased during the nine months ended September 30, 2010, compared to the prior year, primarily due to increased customer acquisition and marketing costs and the opening of Encore at Wynn Macau in April 2010. Food and beverage expenses increased commensurate with the increase in revenue.</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and increased retail sales in Macau as noted above. General and administrative expenses increased primarily due to general volume increases, real estate taxes, and higher spending associated with corporate development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nine months ended September 30, 2010, we incurred $9.1 million of pre-opening costs. We incurred minimal preopening costs during the nine months ended September 30, 2009. Pre-opening costs incurred during the nine months ended September 30, 2010, primarily related to Encore at Wynn Macau which opened on April 21, 2010 and the Encore Beach Club which opened in Las Vegas on May 28,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Depreciation and amortization for the nine months ended September 30, 2010 was $305.3 million compared to $306.1 million for the nine months ended September 30, 2009. This decrease is primarily due to assets with a 5-year life being fully depreciated as of April 2010 at Wynn Las Vegas, offset by depreciation of the assets of Encore at Wynn Macau which were placed in to service in April 2010 and the assets of the Encore Beach Club which were placed in to service in May 2010.</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Property charges and other for the nine months ended September 30, 2010, were $22.4 million compared to approximately $11.3 million for the nine months ended September 30, 2009. Property charges and other for the nine months ended September 30, 2010 include the contract termination payment of $14.9 million related to a management contract for certain of the nightclubs at Wynn Las Vegas and miscellaneous renovations, abandonments and gain/loss on sale of equipment at Wynn Las Vegas and Wynn Macau. Property charges and other for the nine months ended September 30, 2009, include the write-off of $6.8 million of aircraft purchase deposits and miscellaneous renovations, abandonments and loss on sale of equipment at Wynn Las Vegas and Wynn Macau.</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Interest income was $1.8 million and $1.2 million for the nine months ended September 30, 2010 and 2009, respectively. During 2010 and 2009, our short-term investment strategy has been to preserve capital while retaining sufficient liquidity. Accordingly, our short-term investments include primarily money market funds, U.S. Treasury Bills and time deposits with a purchase maturity of three months or less.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was $163.2 million, net of capitalized interest of $7.2 million, for the nine months ended September 30, 2010, compared to $160.9 million, net of capitalized interest of $7.3 million, for the nine months ended September 30, 2009. Our interest expense increased primarily due to the Wynn Las Vegas $500 million 7 7/8% First Mortgage Notes issued in October 2009 and the increased rate on our remaining Wynn Las Vegas First Mortgage Notes as previously discussed, offset by the payoff of the Wynn Resorts term loan in June 2009 and reduction in amounts outstanding under the Wynn Las Vegas and Wynn Macau revolvers compared to the prior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an expense of approximately $5.6 million for the nine months ended September 30, 2010 resulting from the decrease in the fair value of our interest rate swaps from December 31, 2009 to September 30, 2010. During the nine months ended September 30, 2009 we recorded an expense of $1 million resulting from the decrease in the fair value of interest rate swaps between December 31, 2008 and September 30, 2009. For further information on our interest rate swaps, see Item 3 —“Quantitative and Qualitative Disclosures about Market Risk.”</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completed an exchange offer for a portion of the 2014 Notes in April 2010. In connection with that exchange offer, the direct costs incurred with third parties of $4.4 million were expensed. Also, in connection with our July 2010 tender offer for the then outstanding 2014 Notes and subsequent call of all the remaining amounts once the tender was completed, we recorded a loss on extinguishment of debt of $ 63 million. This included the tender offer consideration, the call premium and the related write off of the unamortized debt issue costs and original issue discount. These transactions are described in more detail in Note 8 to our Condensed Consolidated Financial Statements in this Quarterly Report on Form 10-Q.</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nine months ended September 30, 2009,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 2014 Notes through open market purchases at a discount. This transaction resulted in a gain on early extinguishment of debt of $13.7 million, net of the write off of unamortized debt discount and debt issue costs. We participated in the April 2010 tender offer noted above with respect to $35.8 million of these notes and accordingly, as of September 30, 2010, Wynn Resorts holds $30 million of this debt which has not been contributed to its wholly-owned subsidiary, Wynn Las Vegas. For accounting purposes these notes were treated as having been extinguished by Wynn Resorts.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nine months ended September 30, 2010, we recorded a tax expense of $16.0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As of June 30, 2010, we no longer consider our portion of the tax earnings and profits of Wynn Macau, Limited to be permanently reinvested. No additional U.S. tax provision has been made with respect to this amount as we anticipate that U.S. foreign tax credits should be sufficient to eliminate any U.S. tax provision relating to such repatriation. Prior to this change, our earnings attributable to periods after September 2009, were considered permanently reinvested abroad. The decrease in our current deferred tax liability is primarily attributable to the repatriation of approximately $1.14 billion of Wynn Macau, Limited IPO proceeds not considered permanently reinvested. During the nine months ended September 30, 2010, we recognized income tax benefits related to excess tax deductions associated with stock compensation costs of $5.5 million.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Effective September 6, 2006, Wynn Resorts (Macau) S.A. received a 5-year exemption from Macau’s 12% Complementary Tax on casino gaming profits. Accordingly, we were exempted from the payment of approximately $41.3 million in such taxes for the nine months ended September 30, 2010. Our non-gaming profits remain subject to the Macau Complementary Tax and casino winnings remain subject to the Macau Special Gaming tax and other levies at a rate totaling 39% in accordance with its concession agreement. On October 21, 2010, Wynn Resorts (Macau) S.A. applied for an additional 5-year exemption from Macau’s 12% Complementary Tax on casino gaming profits. Since additional 5-year exemptions have been given to other Macau gaming concession holders, Wynn Resorts (Macau) S.A. anticipates that this additional 5-year exemption will be approved.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nine months ended September 30, 2010, the Macau Finance Bureau commenced an examination of the 2006 and 2007 Macau income tax returns of Wynn Resorts (Macau) S.A. Since the examination is in its initial stages, we are unable to determine if it will conclude within the next 12 months. We believe that our liability for uncertain tax positions is adequate with respect to these years.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2010, we determined that we will likely reach agreement with the Internal Revenue Service with respect to the examination of our 2004 and 2005 U.S. income tax returns within the next 12 months. The issues under examination in these years are temporary differences and relate to the deduction of certain costs incurred during the development and construction of Wynn Las Vegas and the appropriate tax depreciation recovery period applicable to certain assets. Upon the settlement of these issues, our unrecognized tax benefits could decrease by $70 million to $100 million. The resolution of the 2004 and 2005 examination is not expected to result in any significant cash payment but rather the utilization of a portion of our foreign tax credit carryforward.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listed its ordinary shares of common stock on The Stock Exchange of Hong Kong Limited. Wynn Macau, Limited sold 1,437,500,000 shares (27.7%) of its common stock through an initial public offering. The $98.8 million represents the noncontrolling interests share of net income for the nine months ended September 30,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Adjusted property EBITDA is used by us to manage the operating results of our segments. The following table summarizes adjusted property EBITDA for our domestic (Las Vegas) and foreign (Macau) operations as reviewed by management and summarized and defined in Note 17 to our Condensed Consolidated Financial Statements in this Quarterly Report on Form 10-Q. Note 17 also presents a reconciliation of adjusted property EBITDA to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70,042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$ 201,952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189,399</w:t>
            </w: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Macau</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198,008</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128,174</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595,846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359,990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274,529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198,216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$ 797,798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549,389</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past several quarters we have experienced economic disparity between our domestic (Las Vegas) and our foreign (Macau) operations. Adjusted property EBITDA has grown significantly at our Macau Operations, while we have experienced only modest growth in Las Vegas. This disparity is a direct result of areas of economic weakness and expansion of supply in the United States. Demand in Las Vegas has stabilized during the year, while demand in Macau has steadily increased. During 2010, the gaming and hotel markets in Las Vegas continued to experience very little growth in visitation and Las Vegas Strip gaming revenue, as well as continued declines in average daily room rates, all as compared to the prior year. While our customers in the United States have greatly reduced their spending levels due to weakness in the overall economy, increases in unemployment and weak consumer confidence, our customer base and market in Macau has not been impacted by such economic factors and continues to grow.</w:t>
      </w:r>
    </w:p>
    <w:p>
      <w:pPr>
        <w:spacing w:after="0" w:line="193"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operating cash flows primarily consist of operating income generated by our Las Vegas and Macau resorts (excluding depreciation and other non-cash charges), interest paid and changes in working capital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accounts such as receivables, inventories, prepaid expenses and payables. Our table games play both in Macau and Las Vegas is a mix of cash play and credit play, while our slot machine play is conducted primarily on a cash basis. A significant portion of our U.S. table games revenue is attributable to the play of a limited number of high-end international customers who gamble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nine months ended September 30, 2010 was $661.1 million compared to $447.2 million for the nine months ended September 30, 2009. This increase is primarily due to the increase in operating income as a result of increased casino, food and beverage and entertainment, retail and other department profitability especially from our Macau Operations as described above. Offsetting these improvements is a negative impact from ordinary working capital changes and preopening costs related to Encore at Wynn Macau.</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At September 30, 2010, we had approximately $1.92 billion of cash and cash equivalents available for operations, debt service and retirement, development activities, general corporate purposes and enhancements to our resorts. Approximately $1.25 billion of our cash balance is held by Wynn Resorts, Limited, which is not a guarantor of the debt of its subsidiaries, including Wynn Las Vegas, LLC and Wynn Macau, S.A. As of September 30, 2010, we had approximately $317.2 million available to draw under our Wynn Las Vegas credit facilities and approximately $1 billion available to draw under our Wynn Macau credit facilities. Except for scheduled quarterly payments on two notes payable totaling $0.9 million, we have no debt maturities in 2010. We believe that cash flow from operations and our existing cash balances will be adequate to satisfy our anticipated uses of capital during the remainder of 2010.</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and cash equivalents include investments in U.S. Treasury Bills, money market funds and bank time deposits, all with purchase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Capital expenditures were approximately $229.6 million for the nine months ended September 30, 2010, and related primarily to the construction of Encore at Wynn Macau, the Beach Club at Encore at Wynn Las Vegas, and the Wynn Las Vegas room remodel.</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Encore at Wynn Macau opened on April 21, 2010. Total development and construction costs were approximately $550 million. As of September 30, 2010, we have paid approximately $536 million of project costs related to the development and construction of Encore at Wynn Macau.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September 30, 2010, our Wynn Las Vegas Amended and Restated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September 30, 2010, the Wynn Las Vegas Term Loan was fully drawn and we had borrowed $30.1 million under the Wynn Las Vegas Revolver. We also had $19.7 million of outstanding letters of credit that reduce our availability under the Wynn Las Vegas Revolver. We have availability of approximately $317.2 million under the Wynn Las Vegas Revolver as of September 30,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and senior in right of payment to all of their existing and future subordinated indebtedness.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In March 2010, Wynn Las Vegas commenced an offer to exchange all of the outstanding 2014 Notes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“2020 Notes”). Approximately $352 million of the 2014 Notes were validly tendered for exchange to the 2020 Notes. For a description of this transaction see Note 8 to the Condensed Consolidated Financial Statements in this Quarterly Report on Form 10-Q.</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August 2010, Wynn Las Vegas issued $1.32 billion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(the “New 2020 Notes”), the proceeds of which were used to tender for and redeem all of its 2014 Notes. Concurrently with the issuance of the New 2020 Notes, Wynn Las Vegas amended its credit facilities to extend the maturity date and include incremental term loans. For a description of this transaction see Note 8 to the Condensed Consolidated Financial Statements in this Quarterly Report on Form 10-Q.</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2010, our Wynn Macau credit facilities, as amended, consisted of a $550 million equivalent fully-funded senior term loan facility (the “Wynn Macau Term Loan”), and a $1 billion equivalent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During the nine months ended September 30, 2010, we repaid approximately $502 million of borrowings under the Wynn Macau Revolver. As of September 30, 2010, the Wynn Macau Term Loan was fully drawn and we had no amounts outstanding under the Wynn Macau Revolver. We have approximately $1 billion of availability under the Wynn Macau Revolver as of September 30, 2010.</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which was 1.75%. Commencing in the third quarter of 2010, the Wynn Macau Credit Facilities are subject to a margin of 1.25% to 2.00% depending on Wynn Macau’s leverage ratio at the end of each quarter.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May 26, 2010, we paid a dividend of $0.25 per share, totaling $ 30.9 million, to holders of record on May 12, 2010. On August 26, 2010, we paid a dividend of $0.25 per share, totaling $ 30.9 million, to holders of record on August 12,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September 30, 2010, we had outstanding letters of credit totaling $19.7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Other than the paydown of approximately $502 million under our Wynn Macau Revolver, the April 2010 exchange offer at Wynn Las Vegas, the extinguishment of the 2014 Notes and the issuance of the New 2020 Notes described in Note 8 to our Condensed Consolidated Financial Statements in this Quarterly Report on Form 10-Q, there have been no material changes during the quarter to our contractual obligations or off balance sheet arrangements as disclosed in our Annual Report on Form 10-K for the year ended December 31,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2017 Notes, the 2020 Notes and the New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Facility contains similar restrictions. While the Wynn Macau Credit Facilities also contain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that the availability of additional indebtedness, if any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 continuing basis, we and our subsidiaries will evaluate, depending on market conditions, purchasing, selling, refinancing, exchanging, tendering for or retiring certain of our outstanding debt in privately negotiated transactions, open market transactions, or by other direct or indirect means.</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has been no material change to these policies for the nine months ended September 30,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2010, we have one interest rate swap intended to hedge a portion of the underlying interest rate risk on borrowings under the Wynn Las Vegas Revolver. Under this swap agreement, we pay a fixed interest rate of 2.485% on borrowings of $250 million incurred under the Wynn Las Vegas Revolver in exchange for receipts on the same amount at a variable interest rate based on the applicable LIBOR at the time of payment. This interest rate swap fixes the interest rate on $250 million of borrowings under the Wynn Las Vegas Revolver at approximately 5.485%. This interest rate swap agreement matures in November 2012. Changes in the fair value of this interest rate swap have and will continue to be recorded as an increase/ (decrease) in swap fair value in our Condensed Consolidated Statements of Operations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September 30, 2010, we had three interest rate swaps intended to hedge a portion of the underlying interest rate risk on borrowings under the Wynn Macau Credit Facilities. Under the first swap agreement, we pay a fixed interest rate of 3.632% on U.S. dollar borrowings of $153.8 million incurred under the Wynn Macau Term Loan in exchange for receipts on the same amounts at a variable interest rate based on the applicable LIBOR at the time of payment. This interest rate swap fixes the interest rate on $153.8 million of the current U.S. dollar borrowings under the Wynn Macau Term Loan at approximately 5.382%. Under the second swap agreement, we pay a fixed interest rate of 3.39% on Hong Kong dollar borrowings of approximately HK$991.6 million (approximately U.S. $127.9 million) incurred under the Wynn Macau Term Loan in exchange for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receipts on the same amounts at a variable interest rate based on the applicable HIBOR at the time of payment. This interest rate swap fixes the interest rate on approximately $127.9 million of the current Hong Kong dollar borrowings under the Wynn Macau Term Loan at approximately 5.14%. Both of these interest rate swap agreements mature in August 2011. We entered into a third interest rate swap agreement on August 17, 2009, with an effective date of November 27, 2009, to hedge a portion of the underlying interest rate risk on borrowings under the Wynn Macau Senior Revolving Credit Facility. Under this swap agreement, we pay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HK$2.3 billion (approximately U.S. $300 million) of borrowings under the Wynn Macau Revolver at approximately 3.9%. This interest rate swap agreement matures in June 2012.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September 30, 2010 and December 31, 2009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5"/>
              </w:rPr>
              <w:t>Liability fair value:</w:t>
            </w:r>
          </w:p>
        </w:tc>
        <w:tc>
          <w:tcPr>
            <w:tcW w:w="3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Las Vegas</w:t>
            </w:r>
          </w:p>
        </w:tc>
        <w:tc>
          <w:tcPr>
            <w:tcW w:w="420" w:type="dxa"/>
            <w:vAlign w:val="bottom"/>
          </w:tcPr>
          <w:p>
            <w:pPr>
              <w:spacing w:after="0"/>
              <w:rPr>
                <w:sz w:val="14"/>
                <w:szCs w:val="14"/>
                <w:color w:val="auto"/>
              </w:rPr>
            </w:pPr>
          </w:p>
        </w:tc>
        <w:tc>
          <w:tcPr>
            <w:tcW w:w="110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1"/>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(amounts in</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354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10,093</w:t>
            </w:r>
          </w:p>
        </w:tc>
        <w:tc>
          <w:tcPr>
            <w:tcW w:w="100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89"/>
              </w:rPr>
              <w:t>$16,105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3540" w:type="dxa"/>
            <w:vAlign w:val="bottom"/>
            <w:gridSpan w:val="2"/>
          </w:tcPr>
          <w:p>
            <w:pPr>
              <w:ind w:left="34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4,224</w:t>
            </w:r>
          </w:p>
        </w:tc>
        <w:tc>
          <w:tcPr>
            <w:tcW w:w="1000" w:type="dxa"/>
            <w:vAlign w:val="bottom"/>
            <w:gridSpan w:val="2"/>
          </w:tcPr>
          <w:p>
            <w:pPr>
              <w:jc w:val="center"/>
              <w:ind w:left="339"/>
              <w:spacing w:after="0"/>
              <w:rPr>
                <w:sz w:val="20"/>
                <w:szCs w:val="20"/>
                <w:color w:val="auto"/>
              </w:rPr>
            </w:pPr>
            <w:r>
              <w:rPr>
                <w:rFonts w:ascii="Arial" w:cs="Arial" w:eastAsia="Arial" w:hAnsi="Arial"/>
                <w:sz w:val="18"/>
                <w:szCs w:val="18"/>
                <w:color w:val="auto"/>
                <w:w w:val="89"/>
              </w:rPr>
              <w:t>$16,345</w:t>
            </w: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of September 30, 2010, approximately 94% of our long-term debt was based on fixed rates, including the notional amounts related to interest rate swaps. Based on our borrowings as of September 30, 2010, an assumed 1% change in variable rates would cause our annual interest cost to change by approximately $1.9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our Macau Operations financial condition and ability to service its debt.</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information regarding the Company’s legal matters see Note 15 to our Condensed Consolidated Financial Statements in this Quarterly Report on Form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nine months ended September 30,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beginning in 2010. On April 28, 2010, our Board of Directors declared a dividend of $0.25 per share, which was paid on May 26, 2010 to stockholders of record as of May 12, 2010. On July 29, 2010, our Board of Directors declared a dividend of $0.25 per share, paid on August 26, 2010 to stockholders of record as of August 12, 2010. On November 2, 2010, our Board of Directors declared a dividend of $8 per share, payable on December 7, 2010 to stockholders of record as of November 23, 2010.</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2017 Notes, the 2020 Notes and the New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Facility contains similar restrictions. While the Wynn Macau Credit Facilities also contain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(a)</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2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020" w:type="dxa"/>
            <w:vAlign w:val="bottom"/>
          </w:tcPr>
          <w:p>
            <w:pPr>
              <w:spacing w:after="0"/>
              <w:rPr>
                <w:sz w:val="24"/>
                <w:szCs w:val="24"/>
                <w:color w:val="auto"/>
              </w:rPr>
            </w:pPr>
          </w:p>
        </w:tc>
      </w:tr>
      <w:tr>
        <w:trPr>
          <w:trHeight w:val="316"/>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Second Amended and Restated Articles of Incorporation of the Registrant. </w:t>
            </w:r>
            <w:r>
              <w:rPr>
                <w:rFonts w:ascii="Arial" w:cs="Arial" w:eastAsia="Arial" w:hAnsi="Arial"/>
                <w:sz w:val="11"/>
                <w:szCs w:val="11"/>
                <w:color w:val="auto"/>
              </w:rPr>
              <w:t>(1)</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Fourth Amended and Restated Bylaws of the Registrant, as amended. </w:t>
            </w:r>
            <w:r>
              <w:rPr>
                <w:rFonts w:ascii="Arial" w:cs="Arial" w:eastAsia="Arial" w:hAnsi="Arial"/>
                <w:sz w:val="11"/>
                <w:szCs w:val="11"/>
                <w:color w:val="auto"/>
              </w:rPr>
              <w:t>(2)</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Indenture, dated as of August 4, 2010, among Wynn Las Vegas, LLC, Wynn Las Vegas Capital Corp., the Guarantors named therein and</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U.S. Bank National Association, as trustee. </w:t>
            </w:r>
            <w:r>
              <w:rPr>
                <w:rFonts w:ascii="Arial" w:cs="Arial" w:eastAsia="Arial" w:hAnsi="Arial"/>
                <w:sz w:val="11"/>
                <w:szCs w:val="11"/>
                <w:color w:val="auto"/>
              </w:rPr>
              <w:t>(3)</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Third Supplemental Indenture, dated August 4, 2010, among Wynn Las Vegas, LLC, Wynn Las Vegas Capital Corp., the Guarantors</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named therein and U.S. Bank National Association, as trustee. </w:t>
            </w:r>
            <w:r>
              <w:rPr>
                <w:rFonts w:ascii="Arial" w:cs="Arial" w:eastAsia="Arial" w:hAnsi="Arial"/>
                <w:sz w:val="11"/>
                <w:szCs w:val="11"/>
                <w:color w:val="auto"/>
              </w:rPr>
              <w:t>(3)</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2002 Stock Incentive Plan as Amended and Restated effective May 12, 2010. </w:t>
            </w:r>
            <w:r>
              <w:rPr>
                <w:rFonts w:ascii="Arial" w:cs="Arial" w:eastAsia="Arial" w:hAnsi="Arial"/>
                <w:sz w:val="11"/>
                <w:szCs w:val="11"/>
                <w:color w:val="auto"/>
              </w:rPr>
              <w:t>(4)</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August 4, 2010, by and among Wynn Las Vegas, LLC, Wynn Las Vegas Capital Corp., the</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Guarantors, Deutsche Bank Securities Inc., Banc of America Securities LLC, J.P. Morgan Securities Inc., Morgan Stanley &amp; Co.</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Incorporated, RBS Securities Inc. and UBS Securities LLC. </w:t>
            </w:r>
            <w:r>
              <w:rPr>
                <w:rFonts w:ascii="Arial" w:cs="Arial" w:eastAsia="Arial" w:hAnsi="Arial"/>
                <w:sz w:val="11"/>
                <w:szCs w:val="11"/>
                <w:color w:val="auto"/>
              </w:rPr>
              <w:t>(3)</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Seventh Amendment to Amended and Restated Credit Agreement dated as of August 4, 2010 among Wynn Las Vegas, LLC, Wynn Las</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 xml:space="preserve">LLC’s Amended and Restated Credit Agreement, dated as of August 15, 2006. </w:t>
            </w:r>
            <w:r>
              <w:rPr>
                <w:rFonts w:ascii="Arial" w:cs="Arial" w:eastAsia="Arial" w:hAnsi="Arial"/>
                <w:sz w:val="11"/>
                <w:szCs w:val="11"/>
                <w:color w:val="auto"/>
              </w:rPr>
              <w:t>(3)</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15d—14(a).</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15d—14(a).</w:t>
            </w:r>
          </w:p>
        </w:tc>
      </w:tr>
      <w:tr>
        <w:trPr>
          <w:trHeight w:val="324"/>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period ended September 30, 2010, filed</w:t>
            </w:r>
          </w:p>
        </w:tc>
      </w:tr>
      <w:tr>
        <w:trPr>
          <w:trHeight w:val="222"/>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with the SEC on November 5, 2010, formatted in Extensible Business Reporting Language (XBRL): (i) the Consolidated Statement of</w:t>
            </w:r>
          </w:p>
        </w:tc>
      </w:tr>
    </w:tbl>
    <w:p>
      <w:pPr>
        <w:jc w:val="both"/>
        <w:ind w:left="1660" w:right="180"/>
        <w:spacing w:after="0" w:line="302" w:lineRule="auto"/>
        <w:rPr>
          <w:sz w:val="20"/>
          <w:szCs w:val="20"/>
          <w:color w:val="auto"/>
        </w:rPr>
      </w:pPr>
      <w:r>
        <w:rPr>
          <w:rFonts w:ascii="Arial" w:cs="Arial" w:eastAsia="Arial" w:hAnsi="Arial"/>
          <w:sz w:val="16"/>
          <w:szCs w:val="16"/>
          <w:color w:val="auto"/>
        </w:rPr>
        <w:t>Income for the three and nine month periods ended September 30, 2010 and 2009, (ii) the Consolidated Balance Sheet at September 30, 2010 and December 31, 2009, (iii) the Consolidated Statement of Cash Flows for the nine month periods ended September 30, 2010 and 2009, and (iv)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40640</wp:posOffset>
            </wp:positionV>
            <wp:extent cx="7200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76" w:lineRule="exact"/>
        <w:rPr>
          <w:sz w:val="20"/>
          <w:szCs w:val="20"/>
          <w:color w:val="auto"/>
        </w:rPr>
      </w:pPr>
    </w:p>
    <w:p>
      <w:pPr>
        <w:ind w:left="1920" w:hanging="440"/>
        <w:spacing w:after="0" w:line="256" w:lineRule="auto"/>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fillings.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0" w:lineRule="exact"/>
        <w:rPr>
          <w:sz w:val="20"/>
          <w:szCs w:val="20"/>
          <w:color w:val="auto"/>
        </w:rPr>
      </w:pPr>
    </w:p>
    <w:p>
      <w:pPr>
        <w:ind w:left="460" w:right="5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August 5, 2010,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S-8 filed by the Registrant on July 27,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WYNN RESORTS, LIMITED</w:t>
      </w:r>
    </w:p>
    <w:p>
      <w:pPr>
        <w:spacing w:after="0" w:line="51" w:lineRule="exact"/>
        <w:rPr>
          <w:sz w:val="20"/>
          <w:szCs w:val="20"/>
          <w:color w:val="auto"/>
        </w:rPr>
      </w:pPr>
    </w:p>
    <w:p>
      <w:pPr>
        <w:spacing w:after="0"/>
        <w:tabs>
          <w:tab w:leader="none" w:pos="5900" w:val="left"/>
          <w:tab w:leader="none" w:pos="7940" w:val="left"/>
          <w:tab w:leader="none" w:pos="8280" w:val="left"/>
        </w:tabs>
        <w:rPr>
          <w:sz w:val="20"/>
          <w:szCs w:val="20"/>
          <w:color w:val="auto"/>
        </w:rPr>
      </w:pPr>
      <w:r>
        <w:rPr>
          <w:rFonts w:ascii="Arial" w:cs="Arial" w:eastAsia="Arial" w:hAnsi="Arial"/>
          <w:sz w:val="18"/>
          <w:szCs w:val="18"/>
          <w:color w:val="auto"/>
        </w:rPr>
        <w:t>Dated: November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35"/>
          <w:szCs w:val="35"/>
          <w:color w:val="auto"/>
          <w:vertAlign w:val="subscript"/>
        </w:rPr>
        <w:t>/s/</w:t>
      </w:r>
      <w:r>
        <w:rPr>
          <w:sz w:val="20"/>
          <w:szCs w:val="20"/>
          <w:color w:val="auto"/>
        </w:rPr>
        <w:tab/>
      </w:r>
      <w:r>
        <w:rPr>
          <w:rFonts w:ascii="Arial" w:cs="Arial" w:eastAsia="Arial" w:hAnsi="Arial"/>
          <w:sz w:val="27"/>
          <w:szCs w:val="27"/>
          <w:color w:val="auto"/>
          <w:vertAlign w:val="subscript"/>
        </w:rPr>
        <w:t>M</w:t>
      </w:r>
      <w:r>
        <w:rPr>
          <w:rFonts w:ascii="Arial" w:cs="Arial" w:eastAsia="Arial" w:hAnsi="Arial"/>
          <w:sz w:val="22"/>
          <w:szCs w:val="22"/>
          <w:color w:val="auto"/>
          <w:vertAlign w:val="subscript"/>
        </w:rPr>
        <w:t>ATT</w:t>
      </w:r>
      <w:r>
        <w:rPr>
          <w:rFonts w:ascii="Arial" w:cs="Arial" w:eastAsia="Arial" w:hAnsi="Arial"/>
          <w:sz w:val="27"/>
          <w:szCs w:val="27"/>
          <w:color w:val="auto"/>
          <w:vertAlign w:val="subscript"/>
        </w:rPr>
        <w:t xml:space="preserve"> M</w:t>
      </w:r>
      <w:r>
        <w:rPr>
          <w:rFonts w:ascii="Arial" w:cs="Arial" w:eastAsia="Arial" w:hAnsi="Arial"/>
          <w:sz w:val="22"/>
          <w:szCs w:val="22"/>
          <w:color w:val="auto"/>
          <w:vertAlign w:val="subscript"/>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36195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 Maddox</w:t>
      </w:r>
    </w:p>
    <w:p>
      <w:pPr>
        <w:jc w:val="center"/>
        <w:ind w:left="628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40"/>
          </w:cols>
          <w:pgMar w:left="240" w:top="459" w:right="11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40" w:val="left"/>
          <w:tab w:leader="none" w:pos="8080" w:val="left"/>
        </w:tabs>
        <w:rPr>
          <w:sz w:val="20"/>
          <w:szCs w:val="20"/>
          <w:color w:val="auto"/>
        </w:rPr>
      </w:pPr>
      <w:r>
        <w:rPr>
          <w:rFonts w:ascii="Arial" w:cs="Arial" w:eastAsia="Arial" w:hAnsi="Arial"/>
          <w:sz w:val="18"/>
          <w:szCs w:val="18"/>
          <w:color w:val="auto"/>
        </w:rPr>
        <w:t>Date: November 5,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3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November 5, 2010</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3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2010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2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114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660" w:type="dxa"/>
            <w:vAlign w:val="bottom"/>
          </w:tcPr>
          <w:p>
            <w:pPr>
              <w:jc w:val="center"/>
              <w:ind w:right="1202"/>
              <w:spacing w:after="0"/>
              <w:rPr>
                <w:sz w:val="20"/>
                <w:szCs w:val="20"/>
                <w:color w:val="auto"/>
              </w:rPr>
            </w:pPr>
            <w:r>
              <w:rPr>
                <w:rFonts w:ascii="Arial" w:cs="Arial" w:eastAsia="Arial" w:hAnsi="Arial"/>
                <w:sz w:val="14"/>
                <w:szCs w:val="14"/>
                <w:b w:val="1"/>
                <w:bCs w:val="1"/>
                <w:color w:val="auto"/>
                <w:w w:val="88"/>
              </w:rPr>
              <w:t>Stephen A. Wynn</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660" w:type="dxa"/>
            <w:vAlign w:val="bottom"/>
          </w:tcPr>
          <w:p>
            <w:pPr>
              <w:spacing w:after="0"/>
              <w:rPr>
                <w:sz w:val="15"/>
                <w:szCs w:val="15"/>
                <w:color w:val="auto"/>
              </w:rPr>
            </w:pP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920" w:type="dxa"/>
            <w:vAlign w:val="bottom"/>
            <w:gridSpan w:val="2"/>
          </w:tcPr>
          <w:p>
            <w:pPr>
              <w:spacing w:after="0"/>
              <w:rPr>
                <w:sz w:val="20"/>
                <w:szCs w:val="20"/>
                <w:color w:val="auto"/>
              </w:rPr>
            </w:pPr>
            <w:r>
              <w:rPr>
                <w:rFonts w:ascii="Arial" w:cs="Arial" w:eastAsia="Arial" w:hAnsi="Arial"/>
                <w:sz w:val="18"/>
                <w:szCs w:val="18"/>
                <w:color w:val="auto"/>
                <w:w w:val="96"/>
              </w:rPr>
              <w:t>Date: November 5, 2010</w:t>
            </w:r>
          </w:p>
        </w:tc>
        <w:tc>
          <w:tcPr>
            <w:tcW w:w="266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/s/</w:t>
            </w:r>
          </w:p>
        </w:tc>
        <w:tc>
          <w:tcPr>
            <w:tcW w:w="2660" w:type="dxa"/>
            <w:vAlign w:val="bottom"/>
            <w:tcBorders>
              <w:bottom w:val="single" w:sz="8" w:color="auto"/>
            </w:tcBorders>
          </w:tcPr>
          <w:p>
            <w:pPr>
              <w:jc w:val="center"/>
              <w:ind w:right="114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660" w:type="dxa"/>
            <w:vAlign w:val="bottom"/>
          </w:tcPr>
          <w:p>
            <w:pPr>
              <w:jc w:val="center"/>
              <w:ind w:right="1182"/>
              <w:spacing w:after="0"/>
              <w:rPr>
                <w:sz w:val="20"/>
                <w:szCs w:val="20"/>
                <w:color w:val="auto"/>
              </w:rPr>
            </w:pPr>
            <w:r>
              <w:rPr>
                <w:rFonts w:ascii="Arial" w:cs="Arial" w:eastAsia="Arial" w:hAnsi="Arial"/>
                <w:sz w:val="14"/>
                <w:szCs w:val="14"/>
                <w:b w:val="1"/>
                <w:bCs w:val="1"/>
                <w:color w:val="auto"/>
                <w:w w:val="93"/>
              </w:rPr>
              <w:t>Matt Maddox</w:t>
            </w:r>
          </w:p>
        </w:tc>
      </w:tr>
      <w:tr>
        <w:trPr>
          <w:trHeight w:val="163"/>
        </w:trPr>
        <w:tc>
          <w:tcPr>
            <w:tcW w:w="66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Chief Financial Officer and Treasurer</w:t>
            </w:r>
          </w:p>
        </w:tc>
      </w:tr>
      <w:tr>
        <w:trPr>
          <w:trHeight w:val="174"/>
        </w:trPr>
        <w:tc>
          <w:tcPr>
            <w:tcW w:w="660" w:type="dxa"/>
            <w:vAlign w:val="bottom"/>
          </w:tcPr>
          <w:p>
            <w:pPr>
              <w:spacing w:after="0"/>
              <w:rPr>
                <w:sz w:val="15"/>
                <w:szCs w:val="15"/>
                <w:color w:val="auto"/>
              </w:rPr>
            </w:pPr>
          </w:p>
        </w:tc>
        <w:tc>
          <w:tcPr>
            <w:tcW w:w="3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10"/>
    </w:lvl>
  </w:abstractNum>
  <w:abstractNum w:abstractNumId="5">
    <w:nsid w:val="7FDCC233"/>
    <w:multiLevelType w:val="hybridMultilevel"/>
    <w:lvl w:ilvl="0">
      <w:lvlJc w:val="left"/>
      <w:lvlText w:val="%1."/>
      <w:numFmt w:val="decimal"/>
      <w:start w:val="15"/>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2"/>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2019-12-10T22:17:50Z</dcterms:created>
  <dcterms:modified xsi:type="dcterms:W3CDTF">2019-12-10T22:17:50Z</dcterms:modified>
</cp:coreProperties>
</file>