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jc w:val="both"/>
        <w:ind w:firstLine="434"/>
        <w:spacing w:after="0" w:line="286" w:lineRule="auto"/>
        <w:rPr>
          <w:sz w:val="20"/>
          <w:szCs w:val="20"/>
          <w:color w:val="auto"/>
        </w:rPr>
      </w:pPr>
      <w:r>
        <w:rPr>
          <w:rFonts w:ascii="Times New Roman" w:cs="Times New Roman" w:eastAsia="Times New Roman" w:hAnsi="Times New Roman"/>
          <w:sz w:val="16"/>
          <w:szCs w:val="16"/>
          <w:color w:val="auto"/>
        </w:rPr>
        <w:t>On February 8, 2023, Wynn Resorts, Limited issued a press release announcing its results of operations for the quarter ended December 31, 2022.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4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Press release, dated February 8, 2023, of Wynn Resorts, Limited.</w:t>
            </w:r>
          </w:p>
        </w:tc>
        <w:tc>
          <w:tcPr>
            <w:tcW w:w="5320" w:type="dxa"/>
            <w:vAlign w:val="bottom"/>
          </w:tcPr>
          <w:p>
            <w:pPr>
              <w:spacing w:after="0"/>
              <w:rPr>
                <w:sz w:val="23"/>
                <w:szCs w:val="23"/>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1240"/>
          </w:cols>
          <w:pgMar w:left="320" w:top="869" w:right="339" w:bottom="1440" w:gutter="0" w:footer="0" w:header="0"/>
        </w:sectPr>
      </w:pP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Dated: February 8, 2023</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44" w:lineRule="exact"/>
        <w:rPr>
          <w:sz w:val="20"/>
          <w:szCs w:val="20"/>
          <w:color w:val="auto"/>
        </w:rPr>
      </w:pPr>
    </w:p>
    <w:p>
      <w:pPr>
        <w:sectPr>
          <w:pgSz w:w="11900" w:h="16838" w:orient="portrait"/>
          <w:cols w:equalWidth="0" w:num="2">
            <w:col w:w="6160" w:space="720"/>
            <w:col w:w="4360"/>
          </w:cols>
          <w:pgMar w:left="320" w:top="869" w:right="339" w:bottom="1440" w:gutter="0" w:footer="0" w:header="0"/>
          <w:type w:val="continuous"/>
        </w:sectPr>
      </w:pPr>
    </w:p>
    <w:p>
      <w:pPr>
        <w:ind w:left="700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-130175</wp:posOffset>
            </wp:positionV>
            <wp:extent cx="244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240"/>
          </w:cols>
          <w:pgMar w:left="320" w:top="869"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Fourth Quarter and Year End 2022 Results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LAS VEGAS, February 8, 2023 — Wynn Resorts, Limited (NASDAQ: WYNN) (the "Company") today reported financial results for the fourth quarter and year ended December 31, 2022.</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Operating revenues were $1.00 billion for the fourth quarter of 2022, a decrease of $48.2 million, from $1.05 billion for the fourth quarter of 2021. Net income attributable to Wynn Resorts, Limited was $32.4 million, or $0.29 per diluted share, for the fourth quarter of 2022, compared to net loss attributable to Wynn Resorts, Limited of $177.2 million, or $1.54 per diluted share, for the fourth quarter of 2021. Adjusted Property EBITDAR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was $195.1 million for the fourth quarter of 2022, compared to Adjusted Property EBITDAR of $149.1 million for the fourth quarter of 2021.</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"Our teams at Wynn Las Vegas and Encore Boston Harbor delivered a new fourth-quarter record for Adjusted Property EBITDAR at our combined North American properties. For the full year of 2022, these properties generated $1.04 billion of Adjusted Property EBITDAR, a record for us by a wide margin. These impressive results are a testament to our team’s relentless focus on delivering five-star hospitality, which continues to elevate our properties above our peers as the destinations of choice for luxury guests in both Las Vegas and Massachusetts," said Craig Billings, CEO of Wynn Resorts, Limited. "In Macau, we were honored to be awarded with a new 10-year gaming concession during the quarter and were pleased to experience a meaningful return of visitation and demand during the recent Chinese New Year holiday period. We believe we are well-positioned for success in Macau’s next phase of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Operating revenues were $1.00 billion for the fourth quarter of 2022, a decrease of $48.2 million, from $1.05 billion for the fourth quarter of 2021. Operating revenues for the fourth quarter of 2022 increased $91.6 million and $14.4 million at our Las Vegas Operations and Encore Boston Harbor, respectively, and decreased $80.9 million, $54.5 million, and $7.8 million at Wynn Palace, Wynn Macau, and Wynn Interactive, respectively, from the fourth quarter of 2021.</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Net income attributable to Wynn Resorts, Limited was $32.4 million, or $0.29 per diluted share, for the fourth quarter of 2022, compared to net loss attributable to Wynn Resorts, Limited of $177.2 million, or $1.54 per diluted share, in the fourth quarter of 2021. Adjusted net loss attributable to Wynn Resorts, Limited</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$138.7 million, or $1.23 per diluted share, for the fourth quarter of 2022, compared to adjusted net loss attributable to Wynn Resorts, Limited of $157.4 million, or $1.37 per diluted share, for the fourth quarter of 2021.</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Adjusted Property EBITDAR was $195.1 million for the fourth quarter of 2022, compared to $149.1 million for the fourth quarter of 2021. Adjusted Property EBITDAR for the fourth quarter of 2022 increased $33.1 million and $51.1 million at our Las Vegas Operations and Wynn Interactive, respectively, and decreased $22.5 million, $10.7 million, and $5.0 million at Wynn Palace, Wynn Macau, and Encore Boston Harbor, respectively, from the fourth quarter of 2021.</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2022, operating revenues were $3.76 billion, flat compared to operating revenues for the year ended December 31, 2021. Operating revenues for the year ended December 31, 2022 increased $628.5 million, $139.6 million, and $12.6 million at our Las Vegas Operations, Encore Boston Harbor, and Wynn Interactive, respectively, and decreased $472.7 million and $314.8 million at Wynn Palace and Wynn Macau, respectively, from the year ended December 31, 2021.</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loss attributable to Wynn Resorts, Limited was $423.9 million, or $3.73 per diluted share for the year ended December 31, 2022, compared to net loss attributable to Wynn Resorts, Limited of $755.8 million, or $6.64 per diluted share for the year ended December 31, 2021. Adjusted net loss attributable to Wynn Resorts, Limited was $507.4 million, or $4.47 per diluted share, for the year ended December 31, 2022, compared to adjusted net loss attributable to Wynn Resorts, Limited of $695.8 million, or $6.12 per diluted share, for the year ended December 31, 2021.</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Adjusted Property EBITDAR was $725.4 million for the year ended December 31, 2022, compared to $569.4 million for the year ended December 31, 2021. Adjusted Property EBITDAR for the year ended December 31, 2022 increased $270.2 million, $33.3 million, and $168.9 million at our Las Vegas Operations, Encore Boston Harbor, and Wynn Interactive, respectively, and decreased $188.2 million and $128.3 million at Wynn Palace and Wynn Macau, respectively, from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Property Results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Operating revenues from Wynn Palace were $113.1 million for the fourth quarter of 2022, a decrease of $80.9 million from $194.0 million for the fourth quarter of 2021. Adjusted Property EBITDAR from Wynn Palace was $(23.9) million for the fourth quarter of 2022, compared to $(1.4) million for the fourth quarter of 2021. VIP table games win as a percentage of turnover was 0.11%, below the property's expected range of 3.1% to 3.4% and below the 2.59% experienced in the fourth quarter of 2021. Table games win percentage in mass market operations was 23.3%, above the 22.7% experienced in the fourth quarter of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Operating revenues from Wynn Macau were $77.2 million for the fourth quarter of 2022, a decrease of $54.5 million from $131.7 million for the fourth quarter of 2021. Adjusted Property EBITDAR from Wynn Macau was $(35.2) million for the fourth quarter of 2022, compared to $(24.5) million for the fourth quarter of 2021. VIP table games win as a percentage of turnover was 1.20%, below the property's expected range of 3.1% to 3.4% and below the 2.85% experienced in the fourth quarter of 2021. Table games win percentage in mass market operations was 17.2%, slightly below the 17.4% experienced in the fourth quarter of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Operations</w:t>
      </w:r>
    </w:p>
    <w:p>
      <w:pPr>
        <w:spacing w:after="0" w:line="2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revenues from our Las Vegas Operations were $585.5 million for the fourth quarter of 2022, an increase of $91.6 million from $493.9 million for the fourth quarter of 2021. Adjusted Property EBITDAR from our Las Vegas Operations for the fourth quarter of 2022 was $219.3 million, compared to $186.2 million for the fourth quarter of 2021. Table games win percentage for the fourth quarter of 2022 was 21.2%, below the property's expected range of 22% to 26% and above the 20.8% experienced in the fourth quarter of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Encore Boston Harbor</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revenues from Encore Boston Harbor were $218.3 million for the fourth quarter of 2022, an increase of $14.4 million from $204.0 million for the fourth quarter of 2021. Adjusted Property EBITDAR from Encore Boston Harbor for the fourth quarter of 2022 was $63.3 million, compared to $68.2 million for the fourth quarter of 2021. Table games win percentage for the fourth quarter of 2022 was 21.9%, within the property's expected range of 18% to 22% and below the 22.2% experienced in the fourth quarter of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cash and cash equivalents as of December 31, 2022 totaled $3.65 billion, comprised of $951.9 million held by Wynn Macau, Limited ("WML") and subsidiaries, $2.31 billion held by Wynn Resorts Finance excluding WML, and $395.1 million held at Corporate and other. As of December 31, 2022, the available borrowing capacity under the Wynn Resorts Finance Revolver was $837.0 million, and the WM Cayman II Revolver was fully drawn.</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current and long-term debt outstanding at December 31, 2022 was $12.12 billion, comprised of $6.19 billion of Macau related debt, $3.14 billion of Wynn Las Vegas debt, $2.17 billion of Wynn Resorts Finance debt, and $613.5 million of debt held by the retail joint venture which we consolidate.</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fourth quarter of 2022, the Company repurchased 82,900 shares of common stock at an average price of $59.08 per share, for an aggregate cost of $4.9 million, bringing our total repurchases for the year ended December 31, 2022 to 2,956,331 shares of common stock for an aggregate cost of $171.3 million.</w:t>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December 2022, we closed on our sale-leaseback arrangement with respect to certain real estate assets related to Encore Boston Harbor (the "EBH Transaction"). Upon closing of the EBH Transaction, we received cash proceeds of approximately $1.7 billion in exchange for the sale of such real estate assets, and concurrently entered into a lease agreement for the purpose of continuing to operate the Encore Boston Harbor integrated resort. The lease agreement provides for an initial annual minimum rent of $100.0 million for an initial term of 30 years, subject to certain annual rent escalations and renewal provisions. We expect to use the proceeds from the EBH Transaction in accordance with the reinvestment and asset sale provisions of our senior secured credit facilities.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and Other Information</w:t>
      </w:r>
    </w:p>
    <w:p>
      <w:pPr>
        <w:spacing w:after="0" w:line="22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6"/>
          <w:szCs w:val="16"/>
          <w:color w:val="auto"/>
        </w:rPr>
        <w:t>The Company will hold a conference call to discuss its results, including the results of Wynn Resorts Finance, LLC and Wynn Las Vegas, LLC, on February 8, 2023 at 1:15 p.m. PT (4:15 p.m. ET). Interested parties are invited to join the call by accessing a live audio webcast at http://www.wynnresorts.com.</w:t>
      </w:r>
    </w:p>
    <w:p>
      <w:pPr>
        <w:spacing w:after="0" w:line="1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or before March 31, 2023, the Company will make Wynn Resorts Finance, LLC and Wynn Las Vegas, LLC financial information for the quarter ended December 31, 2022 available to noteholders, prospective investors, broker-dealers and securities analysts. Please contact our investor relations office at 702-770-7555 or at investorrelations@wynnresorts.com, to obtain access to such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the COVID-19 pandemic and the reimposition of restrictions on the general public or certain activities,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2021,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5"/>
        <w:spacing w:after="0" w:line="229" w:lineRule="auto"/>
        <w:tabs>
          <w:tab w:leader="none" w:pos="2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EBITDAR" is net income (loss) before interest, income taxes, depreciation and amortization, pre-opening expenses, gain on EBH Transaction, net,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EBITDAR to manage the operating results of our segments.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08" w:lineRule="exact"/>
        <w:rPr>
          <w:rFonts w:ascii="Times New Roman" w:cs="Times New Roman" w:eastAsia="Times New Roman" w:hAnsi="Times New Roman"/>
          <w:sz w:val="18"/>
          <w:szCs w:val="18"/>
          <w:color w:val="auto"/>
        </w:rPr>
      </w:pPr>
    </w:p>
    <w:p>
      <w:pPr>
        <w:jc w:val="both"/>
        <w:ind w:firstLine="5"/>
        <w:spacing w:after="0" w:line="233" w:lineRule="auto"/>
        <w:tabs>
          <w:tab w:leader="none" w:pos="2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attributable to Wynn Resorts, Limited" is net income (loss) attributable to Wynn Resorts, Limited before pre-opening expenses, gain on EBH Transaction, net, property charges and other, change in derivatives fair value, loss on extinguishment of debt, and foreign currency remeasurement and other, net of noncontrolling interests.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loss and loss per share computed in accordance with GAAP, as an additional basis for assessing period-to-period results of our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69"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Adjusted net loss attributable to Wynn Resorts, Limited and adjusted net loss attributable to Wynn Resorts, Limited per diluted share may be different from the calculation methods used by other companies and, therefore, comparability may be limited.</w:t>
      </w:r>
    </w:p>
    <w:p>
      <w:pPr>
        <w:spacing w:after="0" w:line="19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income (loss) attributable to Wynn Resorts, Limited to adjusted net loss attributable to Wynn Resorts, Limited, (ii) operating income (loss) to Adjusted Property EBITDAR, and (iii) net income (loss) attributable to Wynn Resorts, Limited to Adjusted Property EBITDAR.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58"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423,218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1,632,541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2,133,420</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592,571</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633,911</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403,762</w:t>
            </w:r>
          </w:p>
        </w:tc>
        <w:tc>
          <w:tcPr>
            <w:tcW w:w="0" w:type="dxa"/>
            <w:vAlign w:val="bottom"/>
          </w:tcPr>
          <w:p>
            <w:pPr>
              <w:spacing w:after="0"/>
              <w:rPr>
                <w:sz w:val="1"/>
                <w:szCs w:val="1"/>
                <w:color w:val="auto"/>
              </w:rPr>
            </w:pPr>
          </w:p>
        </w:tc>
      </w:tr>
      <w:tr>
        <w:trPr>
          <w:trHeight w:val="217"/>
        </w:trPr>
        <w:tc>
          <w:tcPr>
            <w:tcW w:w="52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1,004,937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3,763,664</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1,394,098</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197,734</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516,391</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450,358</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796,592</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715,962</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50,762</w:t>
            </w:r>
          </w:p>
        </w:tc>
        <w:tc>
          <w:tcPr>
            <w:tcW w:w="0" w:type="dxa"/>
            <w:vAlign w:val="bottom"/>
          </w:tcPr>
          <w:p>
            <w:pPr>
              <w:spacing w:after="0"/>
              <w:rPr>
                <w:sz w:val="1"/>
                <w:szCs w:val="1"/>
                <w:color w:val="auto"/>
              </w:rPr>
            </w:pPr>
          </w:p>
        </w:tc>
      </w:tr>
      <w:tr>
        <w:trPr>
          <w:trHeight w:val="217"/>
        </w:trPr>
        <w:tc>
          <w:tcPr>
            <w:tcW w:w="5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905,729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1,158,748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3,857,501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4,158,205</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99,208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(394,541)</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(605,562)</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0" w:type="dxa"/>
            <w:vAlign w:val="bottom"/>
          </w:tcPr>
          <w:p>
            <w:pPr>
              <w:spacing w:after="0"/>
              <w:rPr>
                <w:sz w:val="1"/>
                <w:szCs w:val="1"/>
                <w:color w:val="auto"/>
              </w:rPr>
            </w:pPr>
          </w:p>
        </w:tc>
      </w:tr>
      <w:tr>
        <w:trPr>
          <w:trHeight w:val="217"/>
        </w:trPr>
        <w:tc>
          <w:tcPr>
            <w:tcW w:w="5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(126,669)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(599,360)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(616,975)</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(1,011,516)</w:t>
            </w: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(709,368)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(1,011,990)</w:t>
            </w: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0" w:type="dxa"/>
            <w:vAlign w:val="bottom"/>
          </w:tcPr>
          <w:p>
            <w:pPr>
              <w:spacing w:after="0"/>
              <w:rPr>
                <w:sz w:val="1"/>
                <w:szCs w:val="1"/>
                <w:color w:val="auto"/>
              </w:rPr>
            </w:pPr>
          </w:p>
        </w:tc>
      </w:tr>
      <w:tr>
        <w:trPr>
          <w:trHeight w:val="24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income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113,760</w:t>
            </w:r>
          </w:p>
        </w:tc>
        <w:tc>
          <w:tcPr>
            <w:tcW w:w="0" w:type="dxa"/>
            <w:vAlign w:val="bottom"/>
          </w:tcPr>
          <w:p>
            <w:pPr>
              <w:spacing w:after="0"/>
              <w:rPr>
                <w:sz w:val="1"/>
                <w:szCs w:val="1"/>
                <w:color w:val="auto"/>
              </w:rPr>
            </w:pPr>
          </w:p>
        </w:tc>
      </w:tr>
      <w:tr>
        <w:trPr>
          <w:trHeight w:val="228"/>
        </w:trPr>
        <w:tc>
          <w:tcPr>
            <w:tcW w:w="5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113,760</w:t>
            </w:r>
          </w:p>
        </w:tc>
        <w:tc>
          <w:tcPr>
            <w:tcW w:w="0" w:type="dxa"/>
            <w:vAlign w:val="bottom"/>
          </w:tcPr>
          <w:p>
            <w:pPr>
              <w:spacing w:after="0"/>
              <w:rPr>
                <w:sz w:val="1"/>
                <w:szCs w:val="1"/>
                <w:color w:val="auto"/>
              </w:rPr>
            </w:pPr>
          </w:p>
        </w:tc>
      </w:tr>
      <w:tr>
        <w:trPr>
          <w:trHeight w:val="837"/>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69" w:right="359" w:bottom="1440" w:gutter="0" w:footer="0" w:header="0"/>
        </w:sectPr>
      </w:pPr>
    </w:p>
    <w:bookmarkStart w:id="8" w:name="page9"/>
    <w:bookmarkEnd w:id="8"/>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WYNN RESORTS, LIMITED AND SUBSIDIARIES RECONCILIATION OF NET INCOME (LOSS) ATTRIBUTABLE TO WYNN RESORTS, LIMITED TO ADJUSTED NET LOSS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5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r>
      <w:tr>
        <w:trPr>
          <w:trHeight w:val="190"/>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(755,786)</w:t>
            </w:r>
          </w:p>
        </w:tc>
      </w:tr>
      <w:tr>
        <w:trPr>
          <w:trHeight w:val="22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4"/>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50,762</w:t>
            </w:r>
          </w:p>
        </w:tc>
      </w:tr>
      <w:tr>
        <w:trPr>
          <w:trHeight w:val="224"/>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22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4"/>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remeasurement and other</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r>
      <w:tr>
        <w:trPr>
          <w:trHeight w:val="22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impact on adjustments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 impact on adjustments</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r>
      <w:tr>
        <w:trPr>
          <w:trHeight w:val="21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 attributable to Wynn Resorts, Limited</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(138,685)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(157,355)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(507,428)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(695,783)</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1"/>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Adjusted net loss attributable to Wynn Resorts, Limited per diluted share</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113,760</w:t>
            </w:r>
          </w:p>
        </w:tc>
      </w:tr>
      <w:tr>
        <w:trPr>
          <w:trHeight w:val="842"/>
        </w:trPr>
        <w:tc>
          <w:tcPr>
            <w:tcW w:w="5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00"/>
          </w:cols>
          <w:pgMar w:left="340" w:top="869"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1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Three Months Ended December 31, 2022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20" w:type="dxa"/>
            <w:vAlign w:val="bottom"/>
          </w:tcPr>
          <w:p>
            <w:pPr>
              <w:spacing w:after="0"/>
              <w:rPr>
                <w:sz w:val="11"/>
                <w:szCs w:val="11"/>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20" w:type="dxa"/>
            <w:vAlign w:val="bottom"/>
          </w:tcPr>
          <w:p>
            <w:pPr>
              <w:spacing w:after="0"/>
              <w:rPr>
                <w:sz w:val="11"/>
                <w:szCs w:val="11"/>
                <w:color w:val="auto"/>
              </w:rPr>
            </w:pPr>
          </w:p>
        </w:tc>
        <w:tc>
          <w:tcPr>
            <w:tcW w:w="1000" w:type="dxa"/>
            <w:vAlign w:val="bottom"/>
            <w:gridSpan w:val="4"/>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Total Macau</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20" w:type="dxa"/>
            <w:vAlign w:val="bottom"/>
          </w:tcPr>
          <w:p>
            <w:pPr>
              <w:spacing w:after="0"/>
              <w:rPr>
                <w:sz w:val="11"/>
                <w:szCs w:val="11"/>
                <w:color w:val="auto"/>
              </w:rPr>
            </w:pPr>
          </w:p>
        </w:tc>
        <w:tc>
          <w:tcPr>
            <w:tcW w:w="100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10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Interactive</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2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(105,945)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(181,345)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121,311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99,208</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7,247</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52,817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73,562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55,865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172,292</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EBH Transaction, 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(181,989)</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20,378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35,790</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27,996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31,734</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19,058</w:t>
            </w: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Triple-net operating lease rent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11,773</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2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(23,935)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(35,169)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(59,104)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219,251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63,254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(28,288)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195,113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1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Three Months Ended December 31,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Macau</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Las Vegas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Encore</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Wynn</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20" w:type="dxa"/>
            <w:vAlign w:val="bottom"/>
          </w:tcPr>
          <w:p>
            <w:pPr>
              <w:spacing w:after="0"/>
              <w:rPr>
                <w:sz w:val="12"/>
                <w:szCs w:val="12"/>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Boston</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Interactive</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(62,718)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(128,247)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98,505</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(105,624)</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1,366</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51,959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170,424</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24,193</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38,536</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6,756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20,205</w:t>
            </w:r>
          </w:p>
        </w:tc>
        <w:tc>
          <w:tcPr>
            <w:tcW w:w="0" w:type="dxa"/>
            <w:vAlign w:val="bottom"/>
          </w:tcPr>
          <w:p>
            <w:pPr>
              <w:spacing w:after="0"/>
              <w:rPr>
                <w:sz w:val="1"/>
                <w:szCs w:val="1"/>
                <w:color w:val="auto"/>
              </w:rPr>
            </w:pPr>
          </w:p>
        </w:tc>
      </w:tr>
      <w:tr>
        <w:trPr>
          <w:trHeight w:val="19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(24,494)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(25,884)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186,159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68,224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(79,399)</w:t>
            </w: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149,100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6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10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Interactive</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(247,727)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(627,583)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450,073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106,983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(100,676)</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20,643</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290,933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692,318</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EBH Transaction, net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(181,989)</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23,296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34,821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113,152</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25,249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29,344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102,539</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10,727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26,632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67,627</w:t>
            </w: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Triple-net operating lease rent</w:t>
            </w: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11,773</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(96,557)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(124,047)</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(220,604)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801,095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243,386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(98,490)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725,387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2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00" w:type="dxa"/>
            <w:vAlign w:val="bottom"/>
          </w:tcPr>
          <w:p>
            <w:pPr>
              <w:spacing w:after="0"/>
              <w:rPr>
                <w:sz w:val="10"/>
                <w:szCs w:val="10"/>
                <w:color w:val="auto"/>
              </w:rPr>
            </w:pPr>
          </w:p>
        </w:tc>
        <w:tc>
          <w:tcPr>
            <w:tcW w:w="9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10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Interactive</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(202,379)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(132,362)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(348,248)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82,206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(394,541)</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6,821</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244,939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332,648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715,962</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14,135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50,762</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29,166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49,567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16,941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95,199</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10,491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29,914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95,238</w:t>
            </w:r>
          </w:p>
        </w:tc>
        <w:tc>
          <w:tcPr>
            <w:tcW w:w="0" w:type="dxa"/>
            <w:vAlign w:val="bottom"/>
          </w:tcPr>
          <w:p>
            <w:pPr>
              <w:spacing w:after="0"/>
              <w:rPr>
                <w:sz w:val="1"/>
                <w:szCs w:val="1"/>
                <w:color w:val="auto"/>
              </w:rPr>
            </w:pPr>
          </w:p>
        </w:tc>
      </w:tr>
      <w:tr>
        <w:trPr>
          <w:trHeight w:val="19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91,646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95,855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530,878</w:t>
            </w:r>
          </w:p>
        </w:tc>
        <w:tc>
          <w:tcPr>
            <w:tcW w:w="10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210,068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(267,360)</w:t>
            </w: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569,441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69" w:right="339" w:bottom="1440" w:gutter="0" w:footer="0" w:header="0"/>
        </w:sectPr>
      </w:pPr>
    </w:p>
    <w:bookmarkStart w:id="11" w:name="page12"/>
    <w:bookmarkEnd w:id="11"/>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RECONCILIATION OF NET INCOME (LOSS) ATTRIBUTABLE TO WYNN RESORTS, LIMITED TO ADJUSTED PROPERTY EBITDAR(in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thousands) (unaudited)</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66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r>
      <w:tr>
        <w:trPr>
          <w:trHeight w:val="190"/>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0"/>
        </w:trPr>
        <w:tc>
          <w:tcPr>
            <w:tcW w:w="5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(755,786)</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715,962</w:t>
            </w: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50,762</w:t>
            </w: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95,199</w:t>
            </w: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95,238</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605,562</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w:t>
            </w: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EBITDAR</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195,113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149,100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725,387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569,441</w:t>
            </w:r>
          </w:p>
        </w:tc>
      </w:tr>
      <w:tr>
        <w:trPr>
          <w:trHeight w:val="20"/>
        </w:trPr>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34"/>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00"/>
          </w:cols>
          <w:pgMar w:left="320" w:top="869"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jc w:val="right"/>
              <w:ind w:right="62"/>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3"/>
        </w:trPr>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Palace Supplemental Information</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68,918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145,877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255,886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677,917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09"/>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12,266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15,488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40,079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69,022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11,519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11,556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35,546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47,985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20,362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21,066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78,778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88,083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113,065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193,987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410,289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883,007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(23,935)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(1,390)</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NM</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(96,557)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91,646</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NM</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1,047,561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1,189,652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2,641,321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6,435,947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30,798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253,767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3,845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7,443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09"/>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373,312</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592,050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1,312,786</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2,415,841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86,933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134,219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282,138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540,234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3,987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229,341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347,518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732,197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1,454,577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21"/>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8,306</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13,599</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31,295</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58,152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09"/>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Note: The results of operations of Wynn Palace for the three and twelve months ended December 31, 2022 and 2021 were negatively impacted by the closure of our casino operations in Macau for a 12-day period in July 2022 and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jc w:val="right"/>
              <w:ind w:right="62"/>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Macau Supplemental Information</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51,418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97,389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216,639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476,999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09"/>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7,144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11,467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25,691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50,492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7,456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25,334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32,420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11,180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14,018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43,585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66,104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77,198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131,674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311,249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626,015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(35,169)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(24,494)</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NM</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(124,047)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4,209</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NM</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429,575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858,131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1,771,143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5,488,118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24,440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55,999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155,064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3,596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5,250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9"/>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1"/>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317,801</w:t>
            </w:r>
          </w:p>
        </w:tc>
        <w:tc>
          <w:tcPr>
            <w:tcW w:w="12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527,159</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1,170,633</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2,230,348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91,517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189,769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412,753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4,720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218,935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254,966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895,466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1,057,303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1"/>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7,867</w:t>
            </w:r>
          </w:p>
        </w:tc>
        <w:tc>
          <w:tcPr>
            <w:tcW w:w="12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6,909</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31,768</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35,483</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9"/>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Note: The results of operations of Wynn Macau for the three and twelve months ended December 31, 2022 and 2021 were negatively impacted by the closure of our casino operations in Macau for a 12-day period in July 2022 and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6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jc w:val="right"/>
              <w:ind w:right="62"/>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3"/>
        </w:trPr>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2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Las Vegas Operations Supplemental</w:t>
            </w:r>
          </w:p>
        </w:tc>
        <w:tc>
          <w:tcPr>
            <w:tcW w:w="2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141,349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121,187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535,279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426,440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9"/>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190,584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159,527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651,291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425,777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176,126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156,197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702,515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489,587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77,433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56,985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243,051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161,877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585,492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493,896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2,132,136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1,503,681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219,251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186,159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801,095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530,878</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590,693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584,060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2,274,010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1,842,792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21"/>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125,441</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121,256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511,746</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407,195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5,823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5,879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5,323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1,688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1,591,100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1,316,154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5,617,775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4,379,421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115,802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87,866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394,052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297,548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9"/>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6,950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5,848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19,680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14,552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09"/>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6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3"/>
        </w:trPr>
        <w:tc>
          <w:tcPr>
            <w:tcW w:w="326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Encore Boston Harbor Supplemental</w:t>
            </w:r>
          </w:p>
        </w:tc>
        <w:tc>
          <w:tcPr>
            <w:tcW w:w="2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Information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161,534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153,739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624,738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552,064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09"/>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23,259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18,317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85,078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47,280</w:t>
            </w:r>
          </w:p>
        </w:tc>
        <w:tc>
          <w:tcPr>
            <w:tcW w:w="12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22,546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22,206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82,818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63,919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11,001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38,439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28,260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218,340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203,978</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831,073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691,523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20.2</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63,254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68,224</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243,386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210,068</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(1.1)</w:t>
            </w: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370,590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377,131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1,447,851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1,267,908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21"/>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81,032</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83,858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315,057</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273,174</w:t>
            </w:r>
          </w:p>
        </w:tc>
        <w:tc>
          <w:tcPr>
            <w:tcW w:w="12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5,033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4,604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3,959</w:t>
            </w:r>
          </w:p>
        </w:tc>
        <w:tc>
          <w:tcPr>
            <w:tcW w:w="12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2,741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2,387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1,303,782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1,172,909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5,007,772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4,377,181</w:t>
            </w:r>
          </w:p>
        </w:tc>
        <w:tc>
          <w:tcPr>
            <w:tcW w:w="12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103,846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95,630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402,688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358,827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9"/>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(1.5)</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209"/>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Note: Encore Boston Harbor's room statistics have been computed based on 250 days of operations for the year ended December 31, 2021, representing the actual number of days the hotel was open.</w:t>
      </w:r>
    </w:p>
    <w:p>
      <w:pPr>
        <w:spacing w:after="0" w:line="215" w:lineRule="exact"/>
        <w:rPr>
          <w:sz w:val="20"/>
          <w:szCs w:val="20"/>
          <w:color w:val="auto"/>
        </w:rPr>
      </w:pPr>
    </w:p>
    <w:p>
      <w:pPr>
        <w:ind w:left="240" w:right="20" w:hanging="235"/>
        <w:spacing w:after="0" w:line="257" w:lineRule="auto"/>
        <w:tabs>
          <w:tab w:leader="none" w:pos="20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40" w:hanging="235"/>
        <w:spacing w:after="0" w:line="251" w:lineRule="auto"/>
        <w:tabs>
          <w:tab w:leader="none" w:pos="20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spacing w:after="0" w:line="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Slot machine win is calculated as gross slot machine win minus progressive accruals and free play.</w:t>
      </w:r>
    </w:p>
    <w:p>
      <w:pPr>
        <w:spacing w:after="0" w:line="1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ADR is average daily rate and is calculated by dividing total room revenues including complimentaries (less service charges, if any) by total rooms occupied.</w:t>
      </w:r>
    </w:p>
    <w:p>
      <w:pPr>
        <w:spacing w:after="0" w:line="1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REVPAR is revenue per available room and is calculated by dividing total room revenues including complimentaries (less service charges, if any) by total rooms available.</w:t>
      </w: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accompanying reconciliations of Operating Income (Loss) to Adjusted Property EBITDAR and Net Income (Loss) Attributable to Wynn Resorts, Limited to Adjusted Property EBITDAR.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Amir Markowitz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139"/>
      </w:cols>
      <w:pgMar w:left="320" w:top="10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2023-02-08T15:14:28Z</dcterms:created>
  <dcterms:modified xsi:type="dcterms:W3CDTF">2023-02-08T15:14:28Z</dcterms:modified>
</cp:coreProperties>
</file>