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jc w:val="center"/>
        <w:ind w:right="-1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31" w:lineRule="exact"/>
        <w:rPr>
          <w:sz w:val="24"/>
          <w:szCs w:val="24"/>
          <w:color w:val="auto"/>
        </w:rPr>
      </w:pPr>
    </w:p>
    <w:p>
      <w:pPr>
        <w:ind w:left="5220"/>
        <w:spacing w:after="0"/>
        <w:rPr>
          <w:sz w:val="20"/>
          <w:szCs w:val="20"/>
          <w:color w:val="auto"/>
        </w:rPr>
      </w:pPr>
      <w:r>
        <w:rPr>
          <w:rFonts w:ascii="Arial" w:cs="Arial" w:eastAsia="Arial" w:hAnsi="Arial"/>
          <w:sz w:val="20"/>
          <w:szCs w:val="20"/>
          <w:b w:val="1"/>
          <w:bCs w:val="1"/>
          <w:color w:val="auto"/>
        </w:rPr>
        <w:t>FORM 8-K</w:t>
      </w:r>
    </w:p>
    <w:p>
      <w:pPr>
        <w:spacing w:after="0" w:line="108" w:lineRule="exact"/>
        <w:rPr>
          <w:sz w:val="24"/>
          <w:szCs w:val="24"/>
          <w:color w:val="auto"/>
        </w:rPr>
      </w:pPr>
    </w:p>
    <w:p>
      <w:pPr>
        <w:ind w:left="4800"/>
        <w:spacing w:after="0"/>
        <w:rPr>
          <w:sz w:val="20"/>
          <w:szCs w:val="20"/>
          <w:color w:val="auto"/>
        </w:rPr>
      </w:pPr>
      <w:r>
        <w:rPr>
          <w:rFonts w:ascii="Arial" w:cs="Arial" w:eastAsia="Arial" w:hAnsi="Arial"/>
          <w:sz w:val="20"/>
          <w:szCs w:val="20"/>
          <w:b w:val="1"/>
          <w:bCs w:val="1"/>
          <w:color w:val="auto"/>
        </w:rPr>
        <w:t>CURRENT REPORT</w:t>
      </w:r>
    </w:p>
    <w:p>
      <w:pPr>
        <w:jc w:val="center"/>
        <w:ind w:right="-119"/>
        <w:spacing w:after="0" w:line="233" w:lineRule="auto"/>
        <w:rPr>
          <w:sz w:val="20"/>
          <w:szCs w:val="20"/>
          <w:color w:val="auto"/>
        </w:rPr>
      </w:pPr>
      <w:r>
        <w:rPr>
          <w:rFonts w:ascii="Arial" w:cs="Arial" w:eastAsia="Arial" w:hAnsi="Arial"/>
          <w:sz w:val="20"/>
          <w:szCs w:val="20"/>
          <w:b w:val="1"/>
          <w:bCs w:val="1"/>
          <w:color w:val="auto"/>
        </w:rPr>
        <w:t>Pursuant to Section 13 or 15(d) of</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Date of Report (Date of Earliest Event Reported):</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September 28, 2007</w:t>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(Exact Name of Registrant as specified in Charter)</w:t>
      </w:r>
    </w:p>
    <w:p>
      <w:pPr>
        <w:spacing w:after="0" w:line="199" w:lineRule="exact"/>
        <w:rPr>
          <w:sz w:val="24"/>
          <w:szCs w:val="24"/>
          <w:color w:val="auto"/>
        </w:rPr>
      </w:pPr>
    </w:p>
    <w:tbl>
      <w:tblPr>
        <w:tblLayout w:type="fixed"/>
        <w:tblInd w:w="700" w:type="dxa"/>
        <w:tblCellMar>
          <w:top w:w="0" w:type="dxa"/>
          <w:left w:w="0" w:type="dxa"/>
          <w:bottom w:w="0" w:type="dxa"/>
          <w:right w:w="0" w:type="dxa"/>
        </w:tblCellMar>
      </w:tblPr>
      <w:tr>
        <w:trPr>
          <w:trHeight w:val="230"/>
        </w:trPr>
        <w:tc>
          <w:tcPr>
            <w:tcW w:w="2360" w:type="dxa"/>
            <w:vAlign w:val="bottom"/>
          </w:tcPr>
          <w:p>
            <w:pPr>
              <w:jc w:val="center"/>
              <w:ind w:right="101"/>
              <w:spacing w:after="0"/>
              <w:rPr>
                <w:sz w:val="20"/>
                <w:szCs w:val="20"/>
                <w:color w:val="auto"/>
              </w:rPr>
            </w:pPr>
            <w:r>
              <w:rPr>
                <w:rFonts w:ascii="Arial" w:cs="Arial" w:eastAsia="Arial" w:hAnsi="Arial"/>
                <w:sz w:val="20"/>
                <w:szCs w:val="20"/>
                <w:b w:val="1"/>
                <w:bCs w:val="1"/>
                <w:color w:val="auto"/>
                <w:w w:val="89"/>
              </w:rPr>
              <w:t>Nevada</w:t>
            </w:r>
          </w:p>
        </w:tc>
        <w:tc>
          <w:tcPr>
            <w:tcW w:w="5380" w:type="dxa"/>
            <w:vAlign w:val="bottom"/>
          </w:tcPr>
          <w:p>
            <w:pPr>
              <w:jc w:val="center"/>
              <w:spacing w:after="0"/>
              <w:rPr>
                <w:sz w:val="20"/>
                <w:szCs w:val="20"/>
                <w:color w:val="auto"/>
              </w:rPr>
            </w:pPr>
            <w:r>
              <w:rPr>
                <w:rFonts w:ascii="Arial" w:cs="Arial" w:eastAsia="Arial" w:hAnsi="Arial"/>
                <w:sz w:val="20"/>
                <w:szCs w:val="20"/>
                <w:b w:val="1"/>
                <w:bCs w:val="1"/>
                <w:color w:val="auto"/>
                <w:w w:val="89"/>
              </w:rPr>
              <w:t>000-50028</w:t>
            </w:r>
          </w:p>
        </w:tc>
        <w:tc>
          <w:tcPr>
            <w:tcW w:w="2140" w:type="dxa"/>
            <w:vAlign w:val="bottom"/>
          </w:tcPr>
          <w:p>
            <w:pPr>
              <w:jc w:val="center"/>
              <w:ind w:left="201"/>
              <w:spacing w:after="0"/>
              <w:rPr>
                <w:sz w:val="20"/>
                <w:szCs w:val="20"/>
                <w:color w:val="auto"/>
              </w:rPr>
            </w:pPr>
            <w:r>
              <w:rPr>
                <w:rFonts w:ascii="Arial" w:cs="Arial" w:eastAsia="Arial" w:hAnsi="Arial"/>
                <w:sz w:val="20"/>
                <w:szCs w:val="20"/>
                <w:b w:val="1"/>
                <w:bCs w:val="1"/>
                <w:color w:val="auto"/>
                <w:w w:val="89"/>
              </w:rPr>
              <w:t>46-0484987</w:t>
            </w:r>
          </w:p>
        </w:tc>
      </w:tr>
      <w:tr>
        <w:trPr>
          <w:trHeight w:val="216"/>
        </w:trPr>
        <w:tc>
          <w:tcPr>
            <w:tcW w:w="2360" w:type="dxa"/>
            <w:vAlign w:val="bottom"/>
          </w:tcPr>
          <w:p>
            <w:pPr>
              <w:jc w:val="center"/>
              <w:ind w:right="101"/>
              <w:spacing w:after="0" w:line="216" w:lineRule="exact"/>
              <w:rPr>
                <w:sz w:val="20"/>
                <w:szCs w:val="20"/>
                <w:color w:val="auto"/>
              </w:rPr>
            </w:pPr>
            <w:r>
              <w:rPr>
                <w:rFonts w:ascii="Arial" w:cs="Arial" w:eastAsia="Arial" w:hAnsi="Arial"/>
                <w:sz w:val="20"/>
                <w:szCs w:val="20"/>
                <w:color w:val="auto"/>
                <w:w w:val="90"/>
              </w:rPr>
              <w:t>(State or Other Jurisdiction</w:t>
            </w:r>
          </w:p>
        </w:tc>
        <w:tc>
          <w:tcPr>
            <w:tcW w:w="5380" w:type="dxa"/>
            <w:vAlign w:val="bottom"/>
          </w:tcPr>
          <w:p>
            <w:pPr>
              <w:jc w:val="center"/>
              <w:spacing w:after="0" w:line="216" w:lineRule="exact"/>
              <w:rPr>
                <w:sz w:val="20"/>
                <w:szCs w:val="20"/>
                <w:color w:val="auto"/>
              </w:rPr>
            </w:pPr>
            <w:r>
              <w:rPr>
                <w:rFonts w:ascii="Arial" w:cs="Arial" w:eastAsia="Arial" w:hAnsi="Arial"/>
                <w:sz w:val="20"/>
                <w:szCs w:val="20"/>
                <w:color w:val="auto"/>
                <w:w w:val="91"/>
              </w:rPr>
              <w:t>(Commission File</w:t>
            </w:r>
          </w:p>
        </w:tc>
        <w:tc>
          <w:tcPr>
            <w:tcW w:w="2140" w:type="dxa"/>
            <w:vAlign w:val="bottom"/>
          </w:tcPr>
          <w:p>
            <w:pPr>
              <w:jc w:val="center"/>
              <w:ind w:left="201"/>
              <w:spacing w:after="0" w:line="216" w:lineRule="exact"/>
              <w:rPr>
                <w:sz w:val="20"/>
                <w:szCs w:val="20"/>
                <w:color w:val="auto"/>
              </w:rPr>
            </w:pPr>
            <w:r>
              <w:rPr>
                <w:rFonts w:ascii="Arial" w:cs="Arial" w:eastAsia="Arial" w:hAnsi="Arial"/>
                <w:sz w:val="20"/>
                <w:szCs w:val="20"/>
                <w:color w:val="auto"/>
                <w:w w:val="92"/>
              </w:rPr>
              <w:t>(I.R.S. Employer</w:t>
            </w:r>
          </w:p>
        </w:tc>
      </w:tr>
      <w:tr>
        <w:trPr>
          <w:trHeight w:val="250"/>
        </w:trPr>
        <w:tc>
          <w:tcPr>
            <w:tcW w:w="2360" w:type="dxa"/>
            <w:vAlign w:val="bottom"/>
          </w:tcPr>
          <w:p>
            <w:pPr>
              <w:jc w:val="center"/>
              <w:ind w:right="101"/>
              <w:spacing w:after="0"/>
              <w:rPr>
                <w:sz w:val="20"/>
                <w:szCs w:val="20"/>
                <w:color w:val="auto"/>
              </w:rPr>
            </w:pPr>
            <w:r>
              <w:rPr>
                <w:rFonts w:ascii="Arial" w:cs="Arial" w:eastAsia="Arial" w:hAnsi="Arial"/>
                <w:sz w:val="20"/>
                <w:szCs w:val="20"/>
                <w:color w:val="auto"/>
                <w:w w:val="93"/>
              </w:rPr>
              <w:t>of Incorporation)</w:t>
            </w:r>
          </w:p>
        </w:tc>
        <w:tc>
          <w:tcPr>
            <w:tcW w:w="538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2140" w:type="dxa"/>
            <w:vAlign w:val="bottom"/>
          </w:tcPr>
          <w:p>
            <w:pPr>
              <w:jc w:val="center"/>
              <w:ind w:left="201"/>
              <w:spacing w:after="0"/>
              <w:rPr>
                <w:sz w:val="20"/>
                <w:szCs w:val="20"/>
                <w:color w:val="auto"/>
              </w:rPr>
            </w:pPr>
            <w:r>
              <w:rPr>
                <w:rFonts w:ascii="Arial" w:cs="Arial" w:eastAsia="Arial" w:hAnsi="Arial"/>
                <w:sz w:val="20"/>
                <w:szCs w:val="20"/>
                <w:color w:val="auto"/>
                <w:w w:val="94"/>
              </w:rPr>
              <w:t>Identification Number)</w:t>
            </w:r>
          </w:p>
        </w:tc>
      </w:tr>
      <w:tr>
        <w:trPr>
          <w:trHeight w:val="662"/>
        </w:trPr>
        <w:tc>
          <w:tcPr>
            <w:tcW w:w="236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20"/>
                <w:szCs w:val="20"/>
                <w:b w:val="1"/>
                <w:bCs w:val="1"/>
                <w:color w:val="auto"/>
                <w:w w:val="87"/>
              </w:rPr>
              <w:t>3131 Las Vegas Boulevard South</w:t>
            </w:r>
          </w:p>
        </w:tc>
        <w:tc>
          <w:tcPr>
            <w:tcW w:w="214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38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7"/>
              </w:rPr>
              <w:t>Las Vegas, Nevada 89109</w:t>
            </w:r>
          </w:p>
        </w:tc>
        <w:tc>
          <w:tcPr>
            <w:tcW w:w="2140" w:type="dxa"/>
            <w:vAlign w:val="bottom"/>
          </w:tcPr>
          <w:p>
            <w:pPr>
              <w:spacing w:after="0"/>
              <w:rPr>
                <w:sz w:val="19"/>
                <w:szCs w:val="19"/>
                <w:color w:val="auto"/>
              </w:rPr>
            </w:pPr>
          </w:p>
        </w:tc>
      </w:tr>
      <w:tr>
        <w:trPr>
          <w:trHeight w:val="250"/>
        </w:trPr>
        <w:tc>
          <w:tcPr>
            <w:tcW w:w="23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20"/>
                <w:szCs w:val="20"/>
                <w:color w:val="auto"/>
                <w:w w:val="91"/>
              </w:rPr>
              <w:t>(Address of principal executive offices) (Zip Code)</w:t>
            </w:r>
          </w:p>
        </w:tc>
        <w:tc>
          <w:tcPr>
            <w:tcW w:w="2140" w:type="dxa"/>
            <w:vAlign w:val="bottom"/>
          </w:tcPr>
          <w:p>
            <w:pPr>
              <w:spacing w:after="0"/>
              <w:rPr>
                <w:sz w:val="21"/>
                <w:szCs w:val="21"/>
                <w:color w:val="auto"/>
              </w:rPr>
            </w:pPr>
          </w:p>
        </w:tc>
      </w:tr>
      <w:tr>
        <w:trPr>
          <w:trHeight w:val="425"/>
        </w:trPr>
        <w:tc>
          <w:tcPr>
            <w:tcW w:w="236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20"/>
                <w:szCs w:val="20"/>
                <w:b w:val="1"/>
                <w:bCs w:val="1"/>
                <w:color w:val="auto"/>
                <w:w w:val="90"/>
              </w:rPr>
              <w:t>(702) 770-7555</w:t>
            </w:r>
          </w:p>
        </w:tc>
        <w:tc>
          <w:tcPr>
            <w:tcW w:w="2140" w:type="dxa"/>
            <w:vAlign w:val="bottom"/>
          </w:tcPr>
          <w:p>
            <w:pPr>
              <w:spacing w:after="0"/>
              <w:rPr>
                <w:sz w:val="24"/>
                <w:szCs w:val="24"/>
                <w:color w:val="auto"/>
              </w:rPr>
            </w:pPr>
          </w:p>
        </w:tc>
      </w:tr>
      <w:tr>
        <w:trPr>
          <w:trHeight w:val="250"/>
        </w:trPr>
        <w:tc>
          <w:tcPr>
            <w:tcW w:w="23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20"/>
                <w:szCs w:val="20"/>
                <w:color w:val="auto"/>
                <w:w w:val="89"/>
              </w:rPr>
              <w:t>(Registrant’s telephone number, including area code)</w:t>
            </w:r>
          </w:p>
        </w:tc>
        <w:tc>
          <w:tcPr>
            <w:tcW w:w="2140" w:type="dxa"/>
            <w:vAlign w:val="bottom"/>
          </w:tcPr>
          <w:p>
            <w:pPr>
              <w:spacing w:after="0"/>
              <w:rPr>
                <w:sz w:val="21"/>
                <w:szCs w:val="21"/>
                <w:color w:val="auto"/>
              </w:rPr>
            </w:pPr>
          </w:p>
        </w:tc>
      </w:tr>
      <w:tr>
        <w:trPr>
          <w:trHeight w:val="425"/>
        </w:trPr>
        <w:tc>
          <w:tcPr>
            <w:tcW w:w="236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20"/>
                <w:szCs w:val="20"/>
                <w:b w:val="1"/>
                <w:bCs w:val="1"/>
                <w:color w:val="auto"/>
                <w:w w:val="89"/>
              </w:rPr>
              <w:t>Not applicable.</w:t>
            </w:r>
          </w:p>
        </w:tc>
        <w:tc>
          <w:tcPr>
            <w:tcW w:w="2140" w:type="dxa"/>
            <w:vAlign w:val="bottom"/>
          </w:tcPr>
          <w:p>
            <w:pPr>
              <w:spacing w:after="0"/>
              <w:rPr>
                <w:sz w:val="24"/>
                <w:szCs w:val="24"/>
                <w:color w:val="auto"/>
              </w:rPr>
            </w:pPr>
          </w:p>
        </w:tc>
      </w:tr>
      <w:tr>
        <w:trPr>
          <w:trHeight w:val="250"/>
        </w:trPr>
        <w:tc>
          <w:tcPr>
            <w:tcW w:w="23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20"/>
                <w:szCs w:val="20"/>
                <w:color w:val="auto"/>
                <w:w w:val="88"/>
              </w:rPr>
              <w:t>(Former name or former address, if changed since last report)</w:t>
            </w:r>
          </w:p>
        </w:tc>
        <w:tc>
          <w:tcPr>
            <w:tcW w:w="2140" w:type="dxa"/>
            <w:vAlign w:val="bottom"/>
          </w:tcPr>
          <w:p>
            <w:pPr>
              <w:spacing w:after="0"/>
              <w:rPr>
                <w:sz w:val="21"/>
                <w:szCs w:val="21"/>
                <w:color w:val="auto"/>
              </w:rPr>
            </w:pPr>
          </w:p>
        </w:tc>
      </w:tr>
    </w:tbl>
    <w:p>
      <w:pPr>
        <w:spacing w:after="0" w:line="200" w:lineRule="exact"/>
        <w:rPr>
          <w:sz w:val="24"/>
          <w:szCs w:val="24"/>
          <w:color w:val="auto"/>
        </w:rPr>
      </w:pPr>
    </w:p>
    <w:p>
      <w:pPr>
        <w:spacing w:after="0" w:line="252"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  ] Written communications pursuant to Rule 425 under the Securities Act (17 CFR 230.425)</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  ] Soliciting material pursuant to Rule 14a-12 under the Exchange Act (17 CFR 240.14a-12)</w:t>
      </w:r>
    </w:p>
    <w:p>
      <w:pPr>
        <w:spacing w:after="0" w:line="206"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176530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35"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On September 28, 2007, the Registrant entered into an Equity Underwriting Agreement, dated September 28, 2007, between the Registrant and Deutsche Bank Securities Inc. ("DBSI"), for the sale by the Registrant of 3,750,000 shares of its common stock, par value $0.01 per share. Pursuant to the Equity Underwriting Agreement, the Registrant granted DBSI the right to purchase up to 562,500 additional shares to cover over-allotments. The Registrant's press releases dated September 28, 2007, relating to the stock offering, and dated October 1, 2007, relating to the exercise of DBSI's over-allotment option, are filed herewith as Exhibits 99.1 and 99.2, respectively, and are incorporated herein by reference.</w:t>
      </w:r>
    </w:p>
    <w:p>
      <w:pPr>
        <w:spacing w:after="0" w:line="204"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Registrant intends to use the net proceeds from the offering for general corporate purposes and to enhance the Registrant's financial flexibility for future projects and potential new developments.</w:t>
      </w:r>
    </w:p>
    <w:p>
      <w:pPr>
        <w:spacing w:after="0" w:line="200"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DBSI and its affiliates have performed investment banking, commercial lending and advisory services for the Registrant and its affiliates, from time to time, for which they have received customary fees and expenses.</w:t>
      </w:r>
    </w:p>
    <w:p>
      <w:pPr>
        <w:spacing w:after="0" w:line="200" w:lineRule="exact"/>
        <w:rPr>
          <w:sz w:val="20"/>
          <w:szCs w:val="20"/>
          <w:color w:val="auto"/>
        </w:rPr>
      </w:pPr>
    </w:p>
    <w:p>
      <w:pPr>
        <w:ind w:right="360"/>
        <w:spacing w:after="0" w:line="235" w:lineRule="auto"/>
        <w:rPr>
          <w:sz w:val="20"/>
          <w:szCs w:val="20"/>
          <w:color w:val="auto"/>
        </w:rPr>
      </w:pPr>
      <w:r>
        <w:rPr>
          <w:rFonts w:ascii="Arial" w:cs="Arial" w:eastAsia="Arial" w:hAnsi="Arial"/>
          <w:sz w:val="22"/>
          <w:szCs w:val="22"/>
          <w:color w:val="auto"/>
        </w:rPr>
        <w:t>DBSI acted as joint lead arranger and joint book running manager and Deutsche Bank Trust Company Americas, an affiliate of DBSI, acted as administrative agent in connection with a credit facility, dated as of June 21, 2007, providing for a delayed-draw term loan facility to the Registrant in the aggregate principal amount of $1.0 billion, which may be increased to an aggregate principal amount of $1.25 billion under certain circumstances and upon the satisfaction of certain conditions, which may be increased to an aggregate principal amount of $1.425 billion under certain circumstances and upon the satisfaction of certain conditions.</w:t>
      </w:r>
    </w:p>
    <w:p>
      <w:pPr>
        <w:spacing w:after="0" w:line="215"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DBSI acted as lead arranger and joint book running manager, and Deutsche Bank Trust Company Americas, an affiliate of DBSI, acted as administrative agent, issuing lender, and swing line lender, in connection with the amended and restated credit agreement, dated as of August 15, 2006, providing for revolving credit and term loan borrowings to Wynn Las Vegas, LLC, an indirect subsidiary of the Registrant, in the aggregate principal amount of $1.125 billion.</w:t>
      </w:r>
    </w:p>
    <w:p>
      <w:pPr>
        <w:spacing w:after="0" w:line="201"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Deutsche Bank AG, Hong Kong Branch, an affiliate of DBSI, acted as a global coordinating lead arranger under a $1.550 billion amended credit agreement executed on June 27, 2007 by an affiliate of the Registrant.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980" w:type="dxa"/>
            <w:vAlign w:val="bottom"/>
          </w:tcPr>
          <w:p>
            <w:pPr>
              <w:jc w:val="right"/>
              <w:ind w:right="732"/>
              <w:spacing w:after="0"/>
              <w:rPr>
                <w:sz w:val="20"/>
                <w:szCs w:val="20"/>
                <w:color w:val="auto"/>
              </w:rPr>
            </w:pPr>
            <w:r>
              <w:rPr>
                <w:rFonts w:ascii="Arial" w:cs="Arial" w:eastAsia="Arial" w:hAnsi="Arial"/>
                <w:sz w:val="22"/>
                <w:szCs w:val="22"/>
                <w:color w:val="auto"/>
                <w:w w:val="96"/>
              </w:rPr>
              <w:t>(d)  Exhibits</w:t>
            </w:r>
          </w:p>
        </w:tc>
        <w:tc>
          <w:tcPr>
            <w:tcW w:w="9440" w:type="dxa"/>
            <w:vAlign w:val="bottom"/>
          </w:tcPr>
          <w:p>
            <w:pPr>
              <w:spacing w:after="0"/>
              <w:rPr>
                <w:sz w:val="23"/>
                <w:szCs w:val="23"/>
                <w:color w:val="auto"/>
              </w:rPr>
            </w:pPr>
          </w:p>
        </w:tc>
      </w:tr>
      <w:tr>
        <w:trPr>
          <w:trHeight w:val="486"/>
        </w:trPr>
        <w:tc>
          <w:tcPr>
            <w:tcW w:w="1980" w:type="dxa"/>
            <w:vAlign w:val="bottom"/>
          </w:tcPr>
          <w:p>
            <w:pPr>
              <w:jc w:val="right"/>
              <w:ind w:right="412"/>
              <w:spacing w:after="0"/>
              <w:rPr>
                <w:sz w:val="20"/>
                <w:szCs w:val="20"/>
                <w:color w:val="auto"/>
              </w:rPr>
            </w:pPr>
            <w:r>
              <w:rPr>
                <w:rFonts w:ascii="Arial" w:cs="Arial" w:eastAsia="Arial" w:hAnsi="Arial"/>
                <w:sz w:val="22"/>
                <w:szCs w:val="22"/>
                <w:color w:val="auto"/>
              </w:rPr>
              <w:t>99.1</w:t>
            </w:r>
          </w:p>
        </w:tc>
        <w:tc>
          <w:tcPr>
            <w:tcW w:w="9440" w:type="dxa"/>
            <w:vAlign w:val="bottom"/>
          </w:tcPr>
          <w:p>
            <w:pPr>
              <w:ind w:left="540"/>
              <w:spacing w:after="0"/>
              <w:rPr>
                <w:sz w:val="20"/>
                <w:szCs w:val="20"/>
                <w:color w:val="auto"/>
              </w:rPr>
            </w:pPr>
            <w:r>
              <w:rPr>
                <w:rFonts w:ascii="Arial" w:cs="Arial" w:eastAsia="Arial" w:hAnsi="Arial"/>
                <w:sz w:val="22"/>
                <w:szCs w:val="22"/>
                <w:color w:val="auto"/>
              </w:rPr>
              <w:t>Press Release, dated September 28, 2007, by Wynn Resorts, Limited.</w:t>
            </w:r>
          </w:p>
        </w:tc>
      </w:tr>
      <w:tr>
        <w:trPr>
          <w:trHeight w:val="486"/>
        </w:trPr>
        <w:tc>
          <w:tcPr>
            <w:tcW w:w="1980" w:type="dxa"/>
            <w:vAlign w:val="bottom"/>
          </w:tcPr>
          <w:p>
            <w:pPr>
              <w:jc w:val="right"/>
              <w:ind w:right="412"/>
              <w:spacing w:after="0"/>
              <w:rPr>
                <w:sz w:val="20"/>
                <w:szCs w:val="20"/>
                <w:color w:val="auto"/>
              </w:rPr>
            </w:pPr>
            <w:r>
              <w:rPr>
                <w:rFonts w:ascii="Arial" w:cs="Arial" w:eastAsia="Arial" w:hAnsi="Arial"/>
                <w:sz w:val="22"/>
                <w:szCs w:val="22"/>
                <w:color w:val="auto"/>
              </w:rPr>
              <w:t>99.2</w:t>
            </w:r>
          </w:p>
        </w:tc>
        <w:tc>
          <w:tcPr>
            <w:tcW w:w="9440" w:type="dxa"/>
            <w:vAlign w:val="bottom"/>
          </w:tcPr>
          <w:p>
            <w:pPr>
              <w:ind w:left="540"/>
              <w:spacing w:after="0"/>
              <w:rPr>
                <w:sz w:val="20"/>
                <w:szCs w:val="20"/>
                <w:color w:val="auto"/>
              </w:rPr>
            </w:pPr>
            <w:r>
              <w:rPr>
                <w:rFonts w:ascii="Arial" w:cs="Arial" w:eastAsia="Arial" w:hAnsi="Arial"/>
                <w:sz w:val="22"/>
                <w:szCs w:val="22"/>
                <w:color w:val="auto"/>
              </w:rPr>
              <w:t>Press Release, dated October 1, 2007, by Wynn Resorts, Limited.</w:t>
            </w:r>
          </w:p>
        </w:tc>
      </w:tr>
      <w:tr>
        <w:trPr>
          <w:trHeight w:val="838"/>
        </w:trPr>
        <w:tc>
          <w:tcPr>
            <w:tcW w:w="1980" w:type="dxa"/>
            <w:vAlign w:val="bottom"/>
            <w:tcBorders>
              <w:bottom w:val="single" w:sz="8" w:color="808080"/>
            </w:tcBorders>
          </w:tcPr>
          <w:p>
            <w:pPr>
              <w:spacing w:after="0"/>
              <w:rPr>
                <w:sz w:val="24"/>
                <w:szCs w:val="24"/>
                <w:color w:val="auto"/>
              </w:rPr>
            </w:pPr>
          </w:p>
        </w:tc>
        <w:tc>
          <w:tcPr>
            <w:tcW w:w="9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October 1, 2007</w:t>
      </w:r>
    </w:p>
    <w:p>
      <w:pPr>
        <w:spacing w:after="0" w:line="233"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WYNN RESORTS, LIMITED</w:t>
      </w:r>
    </w:p>
    <w:p>
      <w:pPr>
        <w:spacing w:after="0" w:line="287" w:lineRule="exact"/>
        <w:rPr>
          <w:sz w:val="20"/>
          <w:szCs w:val="20"/>
          <w:color w:val="auto"/>
        </w:rPr>
      </w:pPr>
    </w:p>
    <w:p>
      <w:pPr>
        <w:ind w:left="6940"/>
        <w:spacing w:after="0"/>
        <w:tabs>
          <w:tab w:leader="none" w:pos="7480" w:val="left"/>
        </w:tabs>
        <w:rPr>
          <w:sz w:val="20"/>
          <w:szCs w:val="20"/>
          <w:color w:val="auto"/>
        </w:rPr>
      </w:pPr>
      <w:r>
        <w:rPr>
          <w:rFonts w:ascii="Arial" w:cs="Arial" w:eastAsia="Arial" w:hAnsi="Arial"/>
          <w:sz w:val="22"/>
          <w:szCs w:val="22"/>
          <w:color w:val="auto"/>
        </w:rPr>
        <w:t>By:</w:t>
        <w:tab/>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7620</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7500"/>
        <w:spacing w:after="0"/>
        <w:rPr>
          <w:sz w:val="20"/>
          <w:szCs w:val="20"/>
          <w:color w:val="auto"/>
        </w:rPr>
      </w:pPr>
      <w:r>
        <w:rPr>
          <w:rFonts w:ascii="Arial" w:cs="Arial" w:eastAsia="Arial" w:hAnsi="Arial"/>
          <w:sz w:val="22"/>
          <w:szCs w:val="22"/>
          <w:color w:val="auto"/>
        </w:rPr>
        <w:t>Kim Sinatra</w:t>
      </w:r>
    </w:p>
    <w:p>
      <w:pPr>
        <w:ind w:left="7500"/>
        <w:spacing w:after="0"/>
        <w:rPr>
          <w:sz w:val="20"/>
          <w:szCs w:val="20"/>
          <w:color w:val="auto"/>
        </w:rPr>
      </w:pPr>
      <w:r>
        <w:rPr>
          <w:rFonts w:ascii="Arial" w:cs="Arial" w:eastAsia="Arial" w:hAnsi="Arial"/>
          <w:sz w:val="19"/>
          <w:szCs w:val="19"/>
          <w:color w:val="auto"/>
        </w:rPr>
        <w:t>Senior Vice President, General Counsel and</w:t>
      </w:r>
    </w:p>
    <w:p>
      <w:pPr>
        <w:spacing w:after="0" w:line="25"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2019-12-15T07:41:33Z</dcterms:created>
  <dcterms:modified xsi:type="dcterms:W3CDTF">2019-12-15T07:41:33Z</dcterms:modified>
</cp:coreProperties>
</file>