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MADDOX MATT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565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56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404,731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108.03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400,724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6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456,266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40" w:type="dxa"/>
            <w:vAlign w:val="bottom"/>
            <w:gridSpan w:val="10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stock, par value $0.01 per share, of Wynn Resorts, Limited granted pursuant to the Company's Amended and Restated 2014 Omnibus Incentive Plan. Vesting of 50% of the shares is based on achievement of pre-established financial performance goals in each of the years ended December 31, 2021, 2022 and 2023, and if met, 1/3 of the shares will vest on each of the dates of February 28, 2022, 2023 and 2024; and vesting of the remaining 50% of the shares is conditioned on continued service through January 11, 2024, with 1/3 of the shares vesting on each of the three consecutive anniversary dates from the date of grant; provided that if the reporting person's employment with the Company is terminated, certain accelerated vesting provisions may apply.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95587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2021-01-13T20:02:24Z</dcterms:created>
  <dcterms:modified xsi:type="dcterms:W3CDTF">2021-01-13T20:02:24Z</dcterms:modified>
</cp:coreProperties>
</file>