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9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September 10, 2024, Wynn Resorts, Limited (“Wynn Resorts”) announced the pricing by Wynn Resorts Finance, LLC (“Wynn Resorts Finance”) and its subsidiary Wynn Resorts Capital Corp., each an indirect wholly-owned subsidiary of Wynn Resorts, of $800 million aggregate principal amount of 6.250% Senior Notes due 2033 (the “Notes”). A copy of the press release is attached hereto as Exhibit 99.1 and is hereby incorporated by reference.</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9"/>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September 10, 2024, of Wynn Resorts, Limited.</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60" w:type="dxa"/>
            <w:vAlign w:val="bottom"/>
            <w:gridSpan w:val="2"/>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80" w:val="left"/>
          <w:tab w:leader="none" w:pos="7620" w:val="left"/>
        </w:tabs>
        <w:rPr>
          <w:sz w:val="20"/>
          <w:szCs w:val="20"/>
          <w:color w:val="auto"/>
        </w:rPr>
      </w:pPr>
      <w:r>
        <w:rPr>
          <w:rFonts w:ascii="Times New Roman" w:cs="Times New Roman" w:eastAsia="Times New Roman" w:hAnsi="Times New Roman"/>
          <w:sz w:val="18"/>
          <w:szCs w:val="18"/>
          <w:color w:val="auto"/>
        </w:rPr>
        <w:t>Dated: September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13970</wp:posOffset>
            </wp:positionV>
            <wp:extent cx="2434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3" w:name="page4"/>
    <w:bookmarkEnd w:id="3"/>
    <w:p>
      <w:pPr>
        <w:jc w:val="center"/>
        <w:ind w:left="720" w:right="200"/>
        <w:spacing w:after="0" w:line="255" w:lineRule="auto"/>
        <w:rPr>
          <w:sz w:val="20"/>
          <w:szCs w:val="20"/>
          <w:color w:val="auto"/>
        </w:rPr>
      </w:pPr>
      <w:r>
        <w:rPr>
          <w:rFonts w:ascii="Times New Roman" w:cs="Times New Roman" w:eastAsia="Times New Roman" w:hAnsi="Times New Roman"/>
          <w:sz w:val="18"/>
          <w:szCs w:val="18"/>
          <w:b w:val="1"/>
          <w:bCs w:val="1"/>
          <w:color w:val="auto"/>
        </w:rPr>
        <w:t>Wynn Resorts Announces Pricing of Private Offering of $800 Million Aggregate Principal Amount of Wynn Resorts Finance 6.250% Senior Notes due 2033</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LAS VEGAS, September 10, 2024 (BUSINESS WIRE) — Wynn Resorts, Limited (“Wynn Resorts”) (NASDAQ: WYNN) announced today the pricing by Wynn Resorts Finance, LLC (“Wynn Resorts Finance”) and its subsidiary Wynn Resorts Capital Corp. (“Wynn Resorts Capital” and, together with Wynn Resorts Finance, the “Issuers”), each an indirect wholly-owned subsidiary of Wynn Resorts, of $800 million aggregate principal amount of 6.250% Senior Notes due 2033 (the “Notes”) in a private offering.</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Wynn Resorts Finance plans to (a) contribute and/or lend a portion of the net proceeds from the offering to its subsidiary, Wynn Las Vegas, LLC (“Wynn Las Vegas”), who will use the amounts to (i) redeem in full Wynn Las Vegas and Wynn Las Vegas Capital Corp.’s 5.500% Senior Notes due 2025 (the “2025 LV Notes”) and (ii) pay fees and expenses related to the redemption and (b) use the remainder of the net proceeds for general corporate purposes, which may include covering all or a portion of the $130 million forfeiture under the non-prosecution agreement described in our Current Report on Form 8-K filed with the Securities and Exchange Commission on September 6, 2024.</w:t>
      </w:r>
    </w:p>
    <w:p>
      <w:pPr>
        <w:spacing w:after="0" w:line="2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Wynn Las Vegas intends to redeem all of the outstanding 2025 LV Notes on or after the closing of this offering. This press release does not constitute a notice of redemption or an offer to purchase or the solicitation of an offer to sell such notes.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release contains forward-looking statements, including those related to the offering of Notes and whether or not the Issuers will consummate the offering.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Wynn Resorts’ financial results is included in Wynn Resorts’ Annual Report on Form 10-K for the year ended December 31, 2023, as supplemented by Wynn Resorts’ other periodic reports filed with the Securities and Exchange Commission from time to time. Neither Wynn Resorts nor the Issuers are under any obligation to (and expressly disclaim any such obligation to) update or revise their forward-looking statements as a result of new information, future events or otherwise, except as required by law.</w:t>
      </w:r>
    </w:p>
    <w:p>
      <w:pPr>
        <w:sectPr>
          <w:pgSz w:w="11900" w:h="16838" w:orient="portrait"/>
          <w:cols w:equalWidth="0" w:num="1">
            <w:col w:w="11240"/>
          </w:cols>
          <w:pgMar w:left="320" w:top="13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Karr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investorrelations@wynnresorts.com</w:t>
      </w:r>
    </w:p>
    <w:sectPr>
      <w:pgSz w:w="11900" w:h="16838" w:orient="portrait"/>
      <w:cols w:equalWidth="0" w:num="1">
        <w:col w:w="10139"/>
      </w:cols>
      <w:pgMar w:left="320" w:top="13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2024-09-10T15:10:40Z</dcterms:created>
  <dcterms:modified xsi:type="dcterms:W3CDTF">2024-09-10T15:10:40Z</dcterms:modified>
</cp:coreProperties>
</file>