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Date of Report (Date of earliest event reported): September 17,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306"/>
              <w:spacing w:after="0"/>
              <w:rPr>
                <w:sz w:val="20"/>
                <w:szCs w:val="20"/>
                <w:color w:val="auto"/>
              </w:rPr>
            </w:pPr>
            <w:r>
              <w:rPr>
                <w:rFonts w:ascii="Arial" w:cs="Arial" w:eastAsia="Arial" w:hAnsi="Arial"/>
                <w:sz w:val="18"/>
                <w:szCs w:val="18"/>
                <w:b w:val="1"/>
                <w:bCs w:val="1"/>
                <w:color w:val="auto"/>
                <w:w w:val="87"/>
              </w:rPr>
              <w:t>Nevada</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LAS VEGAS, LLC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p>
      <w:pPr>
        <w:spacing w:after="0" w:line="273" w:lineRule="exact"/>
        <w:rPr>
          <w:sz w:val="24"/>
          <w:szCs w:val="24"/>
          <w:color w:val="auto"/>
        </w:rPr>
      </w:pPr>
    </w:p>
    <w:p>
      <w:pPr>
        <w:ind w:left="166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200"/>
        <w:spacing w:after="0"/>
        <w:rPr>
          <w:sz w:val="20"/>
          <w:szCs w:val="20"/>
          <w:color w:val="auto"/>
        </w:rPr>
      </w:pPr>
      <w:r>
        <w:rPr>
          <w:rFonts w:ascii="Arial" w:cs="Arial" w:eastAsia="Arial" w:hAnsi="Arial"/>
          <w:sz w:val="15"/>
          <w:szCs w:val="15"/>
          <w:b w:val="1"/>
          <w:bCs w:val="1"/>
          <w:color w:val="auto"/>
        </w:rPr>
        <w:t>333-100768</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88-0494875</w:t>
      </w:r>
    </w:p>
    <w:p>
      <w:pPr>
        <w:spacing w:after="0" w:line="56" w:lineRule="exact"/>
        <w:rPr>
          <w:sz w:val="24"/>
          <w:szCs w:val="24"/>
          <w:color w:val="auto"/>
        </w:rPr>
      </w:pPr>
    </w:p>
    <w:p>
      <w:pPr>
        <w:sectPr>
          <w:pgSz w:w="11900" w:h="16838" w:orient="portrait"/>
          <w:cols w:equalWidth="0" w:num="3">
            <w:col w:w="4700" w:space="720"/>
            <w:col w:w="3040" w:space="720"/>
            <w:col w:w="1420"/>
          </w:cols>
          <w:pgMar w:left="240" w:top="314" w:right="105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540"/>
          </w:cols>
          <w:pgMar w:left="240" w:top="314" w:right="1059" w:bottom="1440" w:gutter="0" w:footer="0" w:header="0"/>
          <w:type w:val="continuous"/>
        </w:sectPr>
      </w:pPr>
    </w:p>
    <w:p>
      <w:pPr>
        <w:jc w:val="center"/>
        <w:ind w:right="98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8660" w:space="720"/>
            <w:col w:w="1220"/>
          </w:cols>
          <w:pgMar w:left="240" w:top="314" w:right="1059" w:bottom="1440" w:gutter="0" w:footer="0" w:header="0"/>
          <w:type w:val="continuous"/>
        </w:sectPr>
      </w:pPr>
    </w:p>
    <w:p>
      <w:pPr>
        <w:ind w:left="2200"/>
        <w:spacing w:after="0"/>
        <w:rPr>
          <w:sz w:val="20"/>
          <w:szCs w:val="20"/>
          <w:color w:val="auto"/>
        </w:rPr>
      </w:pPr>
      <w:r>
        <w:rPr>
          <w:rFonts w:ascii="Arial" w:cs="Arial" w:eastAsia="Arial" w:hAnsi="Arial"/>
          <w:sz w:val="11"/>
          <w:szCs w:val="11"/>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320"/>
          </w:cols>
          <w:pgMar w:left="240" w:top="314" w:right="1059" w:bottom="1440" w:gutter="0" w:footer="0" w:header="0"/>
          <w:type w:val="continuous"/>
        </w:sectPr>
      </w:pPr>
    </w:p>
    <w:p>
      <w:pPr>
        <w:jc w:val="center"/>
        <w:ind w:right="-8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0600"/>
          </w:cols>
          <w:pgMar w:left="240" w:top="314" w:right="1059" w:bottom="1440" w:gutter="0" w:footer="0" w:header="0"/>
          <w:type w:val="continuous"/>
        </w:sectPr>
      </w:pPr>
    </w:p>
    <w:p>
      <w:pPr>
        <w:spacing w:after="0" w:line="160"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1.02 Termination of a Material Definitive Agreement.</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September 17, 2012, Wynn Las Vegas, LLC (“</w:t>
      </w:r>
      <w:r>
        <w:rPr>
          <w:rFonts w:ascii="Arial" w:cs="Arial" w:eastAsia="Arial" w:hAnsi="Arial"/>
          <w:sz w:val="16"/>
          <w:szCs w:val="16"/>
          <w:u w:val="single" w:color="auto"/>
          <w:color w:val="auto"/>
        </w:rPr>
        <w:t>Wynn Las Vegas</w:t>
      </w:r>
      <w:r>
        <w:rPr>
          <w:rFonts w:ascii="Arial" w:cs="Arial" w:eastAsia="Arial" w:hAnsi="Arial"/>
          <w:sz w:val="16"/>
          <w:szCs w:val="16"/>
          <w:color w:val="auto"/>
        </w:rPr>
        <w:t>”), terminated its Amended and Restated Credit Agreement, dated as of August 15, 2006, as amended, with Deutsche Bank Trust Company Americas, as administrative agent, issuing lender and swing line lender, the several banks and other financial institutions or entities from time to time party thereto as lenders and the other parties party thereto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Certain commitments under the Credit Agreement were scheduled to terminate on July 17, 2015. Wynn Las Vegas did not incur any early termination penalties in connection with the termination. No loans were outstanding under the Credit Agreement at the time of termination, and any outstanding letters of credit will continue pursuant to a separate agreement. The foregoing description of the Credit Agreement is qualified by reference to Exhibit 10.2 to the Quarterly Report on Form 10-Q of Wynn Resorts, Limited, filed on November 9, 2006.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Upon termination of the Credit Agreement and in accordance with the respective indentures, on September 17, 2012, the liens (other than the pledge by Wynn Holdings, as defined below, of its equity interests in Wynn Las Vegas) securing, and the subsidiary guarantees of, the 7.875% First Mortgage Notes due 2017,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First Mortgage Notes due 2020,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First Mortgage Notes due 2020 and the 5.375% First Mortgage Notes due 2022, each issued by Wynn Las Vegas and Wynn Las Vegas Capital Corp., were released.</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September 18, 2012, Wynn Las Vegas distributed to Wynn Resorts Holdings, LLC, its direct parent company (“</w:t>
      </w:r>
      <w:r>
        <w:rPr>
          <w:rFonts w:ascii="Arial" w:cs="Arial" w:eastAsia="Arial" w:hAnsi="Arial"/>
          <w:sz w:val="18"/>
          <w:szCs w:val="18"/>
          <w:u w:val="single" w:color="auto"/>
          <w:color w:val="auto"/>
        </w:rPr>
        <w:t>Wynn Holdings</w:t>
      </w:r>
      <w:r>
        <w:rPr>
          <w:rFonts w:ascii="Arial" w:cs="Arial" w:eastAsia="Arial" w:hAnsi="Arial"/>
          <w:sz w:val="18"/>
          <w:szCs w:val="18"/>
          <w:color w:val="auto"/>
        </w:rPr>
        <w:t>”), and immediately thereafter, Wynn Holdings distributed to Wynn Resorts, Limited, its direct parent company, all of the equity interests in Wynn Golf, LLC (“</w:t>
      </w:r>
      <w:r>
        <w:rPr>
          <w:rFonts w:ascii="Arial" w:cs="Arial" w:eastAsia="Arial" w:hAnsi="Arial"/>
          <w:sz w:val="18"/>
          <w:szCs w:val="18"/>
          <w:u w:val="single" w:color="auto"/>
          <w:color w:val="auto"/>
        </w:rPr>
        <w:t>Wynn Golf</w:t>
      </w:r>
      <w:r>
        <w:rPr>
          <w:rFonts w:ascii="Arial" w:cs="Arial" w:eastAsia="Arial" w:hAnsi="Arial"/>
          <w:sz w:val="18"/>
          <w:szCs w:val="18"/>
          <w:color w:val="auto"/>
        </w:rPr>
        <w:t>”), which owns the Wynn Las Vegas golf course land, the related water rights and other water rights related to ancillary uses, together with $700 million in cash. In connection with the foregoing, Wynn Las Vegas entered into lease agreements with Wynn Golf pursuant to which it leases the Wynn Las Vegas golf course land and water rights.</w:t>
      </w:r>
    </w:p>
    <w:p>
      <w:pPr>
        <w:sectPr>
          <w:pgSz w:w="11900" w:h="16838" w:orient="portrait"/>
          <w:cols w:equalWidth="0" w:num="1">
            <w:col w:w="11320"/>
          </w:cols>
          <w:pgMar w:left="240" w:top="27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19, 2012</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31"/>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Matt Maddox</w:t>
            </w:r>
          </w:p>
        </w:tc>
      </w:tr>
      <w:tr>
        <w:trPr>
          <w:trHeight w:val="208"/>
        </w:trPr>
        <w:tc>
          <w:tcPr>
            <w:tcW w:w="540" w:type="dxa"/>
            <w:vAlign w:val="bottom"/>
          </w:tcPr>
          <w:p>
            <w:pPr>
              <w:spacing w:after="0" w:line="201"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rPr>
                <w:sz w:val="20"/>
                <w:szCs w:val="20"/>
                <w:color w:val="auto"/>
              </w:rPr>
            </w:pPr>
            <w:r>
              <w:rPr>
                <w:rFonts w:ascii="Arial" w:cs="Arial" w:eastAsia="Arial" w:hAnsi="Arial"/>
                <w:sz w:val="18"/>
                <w:szCs w:val="18"/>
                <w:color w:val="auto"/>
              </w:rPr>
              <w:t>Matt Maddox</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19, 2012</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31"/>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Matt Maddox</w:t>
            </w:r>
          </w:p>
        </w:tc>
      </w:tr>
      <w:tr>
        <w:trPr>
          <w:trHeight w:val="208"/>
        </w:trPr>
        <w:tc>
          <w:tcPr>
            <w:tcW w:w="540" w:type="dxa"/>
            <w:vAlign w:val="bottom"/>
          </w:tcPr>
          <w:p>
            <w:pPr>
              <w:spacing w:after="0" w:line="201"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rPr>
                <w:sz w:val="20"/>
                <w:szCs w:val="20"/>
                <w:color w:val="auto"/>
              </w:rPr>
            </w:pPr>
            <w:r>
              <w:rPr>
                <w:rFonts w:ascii="Arial" w:cs="Arial" w:eastAsia="Arial" w:hAnsi="Arial"/>
                <w:sz w:val="18"/>
                <w:szCs w:val="18"/>
                <w:color w:val="auto"/>
              </w:rPr>
              <w:t>Matt Maddox</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2019-12-09T14:59:51Z</dcterms:created>
  <dcterms:modified xsi:type="dcterms:W3CDTF">2019-12-09T14:59:51Z</dcterms:modified>
</cp:coreProperties>
</file>