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257,614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255,781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the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cancellation of previously granted restricted stock in accordance with the terms of the reporting person's restricted stock grant agreement.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2023-03-10T18:24:52Z</dcterms:created>
  <dcterms:modified xsi:type="dcterms:W3CDTF">2023-03-10T18:24:52Z</dcterms:modified>
</cp:coreProperties>
</file>