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8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819"/>
        <w:spacing w:after="0"/>
        <w:rPr>
          <w:sz w:val="20"/>
          <w:szCs w:val="20"/>
          <w:color w:val="auto"/>
        </w:rPr>
      </w:pPr>
      <w:r>
        <w:rPr>
          <w:rFonts w:ascii="Arial" w:cs="Arial" w:eastAsia="Arial" w:hAnsi="Arial"/>
          <w:sz w:val="24"/>
          <w:szCs w:val="24"/>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125730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5"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920"/>
        <w:spacing w:after="0"/>
        <w:rPr>
          <w:sz w:val="20"/>
          <w:szCs w:val="20"/>
          <w:color w:val="auto"/>
        </w:rPr>
      </w:pPr>
      <w:r>
        <w:rPr>
          <w:rFonts w:ascii="Arial" w:cs="Arial" w:eastAsia="Arial" w:hAnsi="Arial"/>
          <w:sz w:val="22"/>
          <w:szCs w:val="22"/>
          <w:b w:val="1"/>
          <w:bCs w:val="1"/>
          <w:color w:val="auto"/>
        </w:rPr>
        <w:t>Date of Report (Date of earliest event reported): May 7,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122555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4"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266"/>
              <w:spacing w:after="0"/>
              <w:rPr>
                <w:sz w:val="20"/>
                <w:szCs w:val="20"/>
                <w:color w:val="auto"/>
              </w:rPr>
            </w:pPr>
            <w:r>
              <w:rPr>
                <w:rFonts w:ascii="Arial" w:cs="Arial" w:eastAsia="Arial" w:hAnsi="Arial"/>
                <w:sz w:val="18"/>
                <w:szCs w:val="18"/>
                <w:b w:val="1"/>
                <w:bCs w:val="1"/>
                <w:color w:val="auto"/>
                <w:w w:val="87"/>
              </w:rPr>
              <w:t>Nevada</w:t>
            </w:r>
          </w:p>
        </w:tc>
        <w:tc>
          <w:tcPr>
            <w:tcW w:w="3560" w:type="dxa"/>
            <w:vAlign w:val="bottom"/>
          </w:tcPr>
          <w:p>
            <w:pPr>
              <w:ind w:left="1380"/>
              <w:spacing w:after="0"/>
              <w:rPr>
                <w:sz w:val="20"/>
                <w:szCs w:val="20"/>
                <w:color w:val="auto"/>
              </w:rPr>
            </w:pPr>
            <w:r>
              <w:rPr>
                <w:rFonts w:ascii="Arial" w:cs="Arial" w:eastAsia="Arial" w:hAnsi="Arial"/>
                <w:sz w:val="18"/>
                <w:szCs w:val="18"/>
                <w:b w:val="1"/>
                <w:bCs w:val="1"/>
                <w:color w:val="auto"/>
              </w:rPr>
              <w:t>000-50028</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46-0484987</w:t>
            </w:r>
          </w:p>
        </w:tc>
      </w:tr>
      <w:tr>
        <w:trPr>
          <w:trHeight w:val="149"/>
        </w:trPr>
        <w:tc>
          <w:tcPr>
            <w:tcW w:w="290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560" w:type="dxa"/>
            <w:vAlign w:val="bottom"/>
          </w:tcPr>
          <w:p>
            <w:pPr>
              <w:ind w:left="138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6"/>
              <w:spacing w:after="0"/>
              <w:rPr>
                <w:sz w:val="20"/>
                <w:szCs w:val="20"/>
                <w:color w:val="auto"/>
              </w:rPr>
            </w:pPr>
            <w:r>
              <w:rPr>
                <w:rFonts w:ascii="Arial" w:cs="Arial" w:eastAsia="Arial" w:hAnsi="Arial"/>
                <w:sz w:val="14"/>
                <w:szCs w:val="14"/>
                <w:b w:val="1"/>
                <w:bCs w:val="1"/>
                <w:color w:val="auto"/>
                <w:w w:val="87"/>
              </w:rPr>
              <w:t>of incorporation)</w:t>
            </w:r>
          </w:p>
        </w:tc>
        <w:tc>
          <w:tcPr>
            <w:tcW w:w="3560" w:type="dxa"/>
            <w:vAlign w:val="bottom"/>
          </w:tcPr>
          <w:p>
            <w:pPr>
              <w:ind w:left="138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4"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WYNN LAS VEGAS, LLC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600"/>
          </w:cols>
          <w:pgMar w:left="240" w:top="314" w:right="1059" w:bottom="1440" w:gutter="0" w:footer="0" w:header="0"/>
        </w:sectPr>
      </w:pPr>
    </w:p>
    <w:p>
      <w:pPr>
        <w:spacing w:after="0" w:line="286" w:lineRule="exact"/>
        <w:rPr>
          <w:sz w:val="24"/>
          <w:szCs w:val="24"/>
          <w:color w:val="auto"/>
        </w:rPr>
      </w:pPr>
    </w:p>
    <w:p>
      <w:pPr>
        <w:ind w:left="1680"/>
        <w:spacing w:after="0"/>
        <w:rPr>
          <w:sz w:val="20"/>
          <w:szCs w:val="20"/>
          <w:color w:val="auto"/>
        </w:rPr>
      </w:pPr>
      <w:r>
        <w:rPr>
          <w:rFonts w:ascii="Arial" w:cs="Arial" w:eastAsia="Arial" w:hAnsi="Arial"/>
          <w:sz w:val="15"/>
          <w:szCs w:val="15"/>
          <w:b w:val="1"/>
          <w:bCs w:val="1"/>
          <w:color w:val="auto"/>
        </w:rPr>
        <w:t>Nevada</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200"/>
        <w:spacing w:after="0"/>
        <w:rPr>
          <w:sz w:val="20"/>
          <w:szCs w:val="20"/>
          <w:color w:val="auto"/>
        </w:rPr>
      </w:pPr>
      <w:r>
        <w:rPr>
          <w:rFonts w:ascii="Arial" w:cs="Arial" w:eastAsia="Arial" w:hAnsi="Arial"/>
          <w:sz w:val="15"/>
          <w:szCs w:val="15"/>
          <w:b w:val="1"/>
          <w:bCs w:val="1"/>
          <w:color w:val="auto"/>
        </w:rPr>
        <w:t>333-100768</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88-0494875</w:t>
      </w:r>
    </w:p>
    <w:p>
      <w:pPr>
        <w:spacing w:after="0" w:line="56" w:lineRule="exact"/>
        <w:rPr>
          <w:sz w:val="24"/>
          <w:szCs w:val="24"/>
          <w:color w:val="auto"/>
        </w:rPr>
      </w:pPr>
    </w:p>
    <w:p>
      <w:pPr>
        <w:sectPr>
          <w:pgSz w:w="11900" w:h="16838" w:orient="portrait"/>
          <w:cols w:equalWidth="0" w:num="3">
            <w:col w:w="4700" w:space="720"/>
            <w:col w:w="3040" w:space="720"/>
            <w:col w:w="1420"/>
          </w:cols>
          <w:pgMar w:left="240" w:top="314" w:right="1059" w:bottom="1440" w:gutter="0" w:footer="0" w:header="0"/>
          <w:type w:val="continuous"/>
        </w:sect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22" w:lineRule="exact"/>
        <w:rPr>
          <w:sz w:val="24"/>
          <w:szCs w:val="24"/>
          <w:color w:val="auto"/>
        </w:rPr>
      </w:pPr>
    </w:p>
    <w:p>
      <w:pPr>
        <w:sectPr>
          <w:pgSz w:w="11900" w:h="16838" w:orient="portrait"/>
          <w:cols w:equalWidth="0" w:num="3">
            <w:col w:w="4740" w:space="720"/>
            <w:col w:w="2880" w:space="720"/>
            <w:col w:w="1540"/>
          </w:cols>
          <w:pgMar w:left="240" w:top="314" w:right="1059" w:bottom="1440" w:gutter="0" w:footer="0" w:header="0"/>
          <w:type w:val="continuous"/>
        </w:sectPr>
      </w:pPr>
    </w:p>
    <w:p>
      <w:pPr>
        <w:spacing w:after="0" w:line="2" w:lineRule="exact"/>
        <w:rPr>
          <w:sz w:val="24"/>
          <w:szCs w:val="24"/>
          <w:color w:val="auto"/>
        </w:rPr>
      </w:pPr>
    </w:p>
    <w:p>
      <w:pPr>
        <w:jc w:val="center"/>
        <w:ind w:right="980"/>
        <w:spacing w:after="0"/>
        <w:rPr>
          <w:sz w:val="20"/>
          <w:szCs w:val="20"/>
          <w:color w:val="auto"/>
        </w:rPr>
      </w:pPr>
      <w:r>
        <w:rPr>
          <w:rFonts w:ascii="Arial" w:cs="Arial" w:eastAsia="Arial" w:hAnsi="Arial"/>
          <w:sz w:val="15"/>
          <w:szCs w:val="15"/>
          <w:b w:val="1"/>
          <w:bCs w:val="1"/>
          <w:color w:val="auto"/>
        </w:rPr>
        <w:t>3131 Las Vegas Boulevard South</w:t>
      </w:r>
    </w:p>
    <w:p>
      <w:pPr>
        <w:spacing w:after="0" w:line="5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Las Vegas, Nevada</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89109</w:t>
      </w:r>
    </w:p>
    <w:p>
      <w:pPr>
        <w:spacing w:after="0" w:line="56" w:lineRule="exact"/>
        <w:rPr>
          <w:sz w:val="24"/>
          <w:szCs w:val="24"/>
          <w:color w:val="auto"/>
        </w:rPr>
      </w:pPr>
    </w:p>
    <w:p>
      <w:pPr>
        <w:sectPr>
          <w:pgSz w:w="11900" w:h="16838" w:orient="portrait"/>
          <w:cols w:equalWidth="0" w:num="2">
            <w:col w:w="8660" w:space="720"/>
            <w:col w:w="1220"/>
          </w:cols>
          <w:pgMar w:left="240" w:top="314" w:right="1059" w:bottom="1440" w:gutter="0" w:footer="0" w:header="0"/>
          <w:type w:val="continuous"/>
        </w:sectPr>
      </w:pPr>
    </w:p>
    <w:p>
      <w:pPr>
        <w:ind w:left="2200"/>
        <w:spacing w:after="0"/>
        <w:rPr>
          <w:sz w:val="20"/>
          <w:szCs w:val="20"/>
          <w:color w:val="auto"/>
        </w:rPr>
      </w:pPr>
      <w:r>
        <w:rPr>
          <w:rFonts w:ascii="Arial" w:cs="Arial" w:eastAsia="Arial" w:hAnsi="Arial"/>
          <w:sz w:val="11"/>
          <w:szCs w:val="11"/>
          <w:b w:val="1"/>
          <w:bCs w:val="1"/>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8560" w:space="720"/>
            <w:col w:w="1320"/>
          </w:cols>
          <w:pgMar w:left="240" w:top="314" w:right="1059" w:bottom="1440" w:gutter="0" w:footer="0" w:header="0"/>
          <w:type w:val="continuous"/>
        </w:sectPr>
      </w:pPr>
    </w:p>
    <w:p>
      <w:pPr>
        <w:jc w:val="center"/>
        <w:ind w:right="-81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ind w:left="4180"/>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0600"/>
          </w:cols>
          <w:pgMar w:left="240" w:top="314" w:right="1059" w:bottom="1440" w:gutter="0" w:footer="0" w:header="0"/>
          <w:type w:val="continuous"/>
        </w:sectPr>
      </w:pPr>
    </w:p>
    <w:p>
      <w:pPr>
        <w:spacing w:after="0" w:line="160"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314" w:right="10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May 7, 2012, Wynn Resorts, Limited issued a press release announcing its results of operations for the first quarter of 2012. The press release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under Item 2.02 of this report is incorporated herein by reference.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May 7, 2012, the Board of Directors of Wynn Resorts, Limited declared a quarterly cash dividend of $0.50 per share of its outstanding common stock.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This cash dividend will be payable on June 4, 2012 to stockholders of record on May 21, 2012.</w:t>
      </w:r>
    </w:p>
    <w:p>
      <w:pPr>
        <w:spacing w:after="0" w:line="28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ind w:left="20"/>
        <w:spacing w:after="0"/>
        <w:tabs>
          <w:tab w:leader="none" w:pos="102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u w:val="single" w:color="auto"/>
          <w:color w:val="auto"/>
        </w:rPr>
        <w:t>Description</w:t>
      </w:r>
    </w:p>
    <w:p>
      <w:pPr>
        <w:spacing w:after="0" w:line="10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7, 2012, of Wynn Resorts, Limited.</w:t>
      </w:r>
    </w:p>
    <w:p>
      <w:pPr>
        <w:sectPr>
          <w:pgSz w:w="11900" w:h="16838" w:orient="portrait"/>
          <w:cols w:equalWidth="0" w:num="1">
            <w:col w:w="11280"/>
          </w:cols>
          <w:pgMar w:left="240" w:top="274" w:right="37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7,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Matt Maddox</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 and Treasurer</w:t>
      </w:r>
    </w:p>
    <w:p>
      <w:pPr>
        <w:spacing w:after="0" w:line="16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40"/>
          </w:cols>
          <w:pgMar w:left="240" w:top="274" w:right="1119" w:bottom="1440" w:gutter="0" w:footer="0" w:header="0"/>
        </w:sectPr>
      </w:pPr>
    </w:p>
    <w:bookmarkStart w:id="3" w:name="page4"/>
    <w:bookmarkEnd w:id="3"/>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7,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LAS VEGAS,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Wynn Resorts Holdings, LLC, its sole member</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Limited, its sole member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Matt Maddox</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0540"/>
          </w:cols>
          <w:pgMar w:left="240" w:top="274" w:right="11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Reports First Quarter 2012</w:t>
      </w:r>
    </w:p>
    <w:p>
      <w:pPr>
        <w:spacing w:after="0" w:line="177"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LAS VEGAS, May 7, 2012 (BUSINESS WIRE) — Wynn Resorts, Limited (Nasdaq: WYNN) today reported financial results for the first quarter ended March 31, 2012.</w:t>
      </w:r>
    </w:p>
    <w:p>
      <w:pPr>
        <w:spacing w:after="0" w:line="13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Net revenues for the first quarter of 2012 were $1,313.5 million, compared to $1,260.3 million in the first quarter of 2011. The revenue increase was driven by the 9.8% increase in revenues from our Macau Operations, which was offset by an 8.1% decline in our revenues in Las Vegas, due to lower hold in the 2012 quarter. Adjusted property EBITDA (1) was $390.7 million for the first quarter of 2012, compared to $405.0 million in the first quarter of 2011. The 23.6% decline in EBITDA in Las Vegas was primarily due to lower table games hold and was partially offset by the 6.2% increase in EBITDA from our Macau Operations.</w:t>
      </w:r>
    </w:p>
    <w:p>
      <w:pPr>
        <w:spacing w:after="0" w:line="11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a US GAAP basis, net income attributable to Wynn Resorts for the first quarter of 2012 was $140.6 million, or $1.23 per diluted share, compared to a net income attributable to Wynn Resorts of $173.8 million, or $1.39 per diluted share in the first quarter of 2011. Adjusted net income (2) attributable to Wynn Resorts in the first quarter of 2012 was $152.0 million, or $1.33 per diluted share (adjusted EPS) compared to an adjusted net income attributable to Wynn Resorts of $173.4 million, or $1.38 per diluted share in the first quarter of 2011. Based on the Board of Directors’ finding of unsuitability, on February 18, 2012, the Company redeemed Aruze USA, Inc.’s shares of Wynn Resorts’ Common Stock and as a result, the number of shares outstanding was reduced by 24,549,222 shares.</w:t>
      </w:r>
    </w:p>
    <w:p>
      <w:pPr>
        <w:spacing w:after="0" w:line="14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Wynn Resorts also announced today that the Company has approved a cash dividend for the quarter of $0.50 per common share. This dividend will be payable on June 4, 2012, to stockholders of record on May 21,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Operations</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the first quarter of 2012, net revenues were $950.7 million, a 9.8% increase from the $865.7 million generated in the first quarter of 2011. Adjusted property EBITDA in the first quarter of 2012 was $289.8 million, up 6.2% from $272.8 million in the first quarter of 2011.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Table games results in Macau are segregated into two distinct reporting categories, the VIP segment and the mass market segment.</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Table games turnover in the VIP segment was $33.5 billion for the first quarter of 2012, a 14.6% increase from $29.3 billion in the first quarter of 2011. VIP table games win as a percentage of turnover (calculated before discounts and commissions) for the quarter was 2.59%, below the expected range of 2.7% to 3.0% and the 2.69% experienced in the first quarter of 2011.</w:t>
      </w:r>
    </w:p>
    <w:p>
      <w:pPr>
        <w:spacing w:after="0" w:line="1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Table games drop in the mass market category was $707.4 million during the period, a 3.6% increase from $682.5 million in the first quarter of 2011, despite the decrease in mass tables from 224 to 197. Mass market table games win percentage (calculated before discounts) of 30.3% was higher than our revised range of 26% to 28% and above the 27.9% generated in the 2011 quarter.</w:t>
      </w:r>
    </w:p>
    <w:p>
      <w:pPr>
        <w:spacing w:after="0" w:line="14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Slot machine handle declined 0.6% to $1.5 billion as compared to the prior year quarter. Win per unit per day was 8.4% higher at $871, compared to $803 in the first quarter of 2011 as slot count went down by 85 machines.</w:t>
      </w:r>
    </w:p>
    <w:p>
      <w:pPr>
        <w:spacing w:after="0" w:line="13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achieved an Average Daily Rate (ADR) of $324 for the first quarter of 2012, 5.4% above the $307 reported in the 2011 quarter. The property’s occupancy was 91.3%, compared to 88.6% during the prior year period, and revenue per available room (REVPAR) was $296 in the 2012 quarter, 8.6% above the $272 reported in the prior year quarter.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Gross non-casino revenues increased 12.9% during the quarter to $106.3 million, driven by strong performance from all non-casino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501 tables (289 VIP tables, 201 mass market tables and 11 poker tables) and 924 slot machines.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jc w:val="both"/>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May 2, 2012, Wynn Macau’s land concession contract was published in the official gazette of Macau. This concession contract has an initial term of 25 years with the right to renew it for additional successive periods, subject to applicable legislation. We continue to work on the final project scope, timeline and budget for our Cotai project.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Operations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For the first quarter ended March 31, 2012, net revenues were $362.8 million, an 8.1% decline from the first quarter of 2011. Adjusted property EBITDA of</w:t>
      </w:r>
    </w:p>
    <w:p>
      <w:pPr>
        <w:spacing w:after="0" w:line="3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$100.9 million was down 23.6% versus the $132.1 million generated in the comparable period in 2011. EBITDA margin on net revenues was 27.8% in the first quarter of 2012 compared to 33.5% in the first quarter of 2011.</w:t>
      </w:r>
    </w:p>
    <w:p>
      <w:pPr>
        <w:spacing w:after="0" w:line="1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casino revenues in the first quarter of 2012 were $157.7 million, down 18.8% from the first quarter of 2011. Table games drop was $654.5 million, compared to drop of $634.0 million in the 2011 quarter and table games win percentage of 22.8% was within the property’s expected range of 21% to 24% but significantly lower than the 30.4% reported in the 2011 quarter. Slot machine handle of $718.9 million was flat with the comparable period of 2011 and net slot win was down 1.1% due to lower hold in the 2012 quarter.</w:t>
      </w:r>
    </w:p>
    <w:p>
      <w:pPr>
        <w:spacing w:after="0" w:line="14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Gross non-casino revenues for the quarter were $252.3 million, an increase of 1.3% from the first quarter of 2011 as the decline in hotel revenues was offset by better food and beverage, entertainment and other revenues.</w:t>
      </w:r>
    </w:p>
    <w:p>
      <w:pPr>
        <w:spacing w:after="0" w:line="1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Room revenues were down 0.7% to $87.4 million during the quarter, versus $88.0 million in the first quarter of 2011. Average Daily Rate (ADR) was up 6.4% to $255 while occupancy of 79.3% was below the 87.9% experienced in the first quarter of 2011. Revenue per available room (REVPAR) was $202 in the 2012 quarter, 4.0% below the $211 reported in the prior year quarter. During the first quarter of 2012, we had all rooms available for sale while 2.3% of the rooms in the first quarter of 2011 were out due to renovations.</w:t>
      </w:r>
    </w:p>
    <w:p>
      <w:pPr>
        <w:spacing w:after="0" w:line="14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Food and beverage revenues increased 2.6% to $108.9 million, retail revenues were $19.8 million in the quarter, down 1.2% from last year, and entertainment revenues increased 2.2% to $21.1 million from the first quarter of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other</w:t>
      </w:r>
    </w:p>
    <w:p>
      <w:pPr>
        <w:spacing w:after="0" w:line="9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During the first quarter Wynn Las Vegas, LLC issued $900 million in 5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2022, repaid all amounts outstanding under the term loan facilities totaling $370.9 million, reduced its revolving commitments to $100 million and Wynn Resorts issued a $1.94 billion, 2% promissory note associated with the redemption of the Aruze USA shares.</w:t>
      </w:r>
    </w:p>
    <w:p>
      <w:pPr>
        <w:spacing w:after="0" w:line="14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Total cash balance at March 31, 2012 was $1.9 billion. Total debt outstanding at the end of the quarter was $5.5 billion, including $3.1 billion of Wynn Las Vegas debt, $440 million of Wynn Macau debt and a $1.94 billion promissory note at the parent company.</w:t>
      </w:r>
    </w:p>
    <w:p>
      <w:pPr>
        <w:spacing w:after="0" w:line="13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Corporate expense was up approximately $12 million during the quarter, primarily resulting from expenses associated with the redemption of the Aruze USA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Company will hold a conference call to discuss its results on Monday, May 7, 2012 at 1:30 p.m. PT (4:30 p.m. ET). Interested parties are invited to join the call by accessing a live audio webcast at http://www.wynnresorts.com (Investor Relations).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release contains forward-looking statements regarding operating trends and future results of operations. Such forward-looking information involves important risks and uncertainties that could significantly affect anticipated results in the future and, accordingly, such results may differ from those expressed in any forward-looking statements made by us. The risks and uncertainties include, but are not limited to, competition in the casino/hotel and resorts industries, the Company’s dependence on existing management, levels of travel, leisure and casino spending, general economic conditions, and changes in gaming laws or regulations. Additional information concerning potential factors that could affect the Company’s financial results is included in the Company’s Annual Report on Form 10-K for the year ended December 31, 2011 and the Company’s other periodic reports filed with the Securities and Exchange Commission. The Company is under no obligation to (and expressly disclaims any such obligation to) update its forward-looking statements as a result of new information, future events or otherwise.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6" w:lineRule="exact"/>
        <w:rPr>
          <w:sz w:val="20"/>
          <w:szCs w:val="20"/>
          <w:color w:val="auto"/>
        </w:rPr>
      </w:pPr>
    </w:p>
    <w:p>
      <w:pPr>
        <w:ind w:firstLine="8"/>
        <w:spacing w:after="0" w:line="285" w:lineRule="auto"/>
        <w:tabs>
          <w:tab w:leader="none" w:pos="249"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property EBITDA” is earnings before interest, taxes, depreciation, amortization, pre-opening costs, property charges and other, corporate expenses, stock-based compensation,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26" w:lineRule="exact"/>
        <w:rPr>
          <w:rFonts w:ascii="Arial" w:cs="Arial" w:eastAsia="Arial" w:hAnsi="Arial"/>
          <w:sz w:val="16"/>
          <w:szCs w:val="16"/>
          <w:color w:val="auto"/>
        </w:rPr>
      </w:pPr>
    </w:p>
    <w:p>
      <w:pPr>
        <w:ind w:right="60" w:firstLine="8"/>
        <w:spacing w:after="0" w:line="253"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net income attributable to Wynn Resorts is net income before pre-opening costs, property charges and other, and other non-cash non-operating income and expenses. Adjusted net income attributable to Wynn Resorts and adjusted net income per share attributable to Wynn Resorts (“EPS”) are presented as supplemental disclosures because management believes that these financial measures are widely used to measure the performance, and as a principal basis for valuation, of gaming companies. These measures are used by management and/or evaluated by some investors, in addition to income and EPS computed in accordance with GAAP, as an additional basis for assessing period-to-period results of our business. Adjusted net income attributable to Wynn Resorts and adjusted net income attributable to Wynn Resorts per share may be different from the calculation methods used by other companies and, therefore, comparability may be limited.</w:t>
      </w:r>
    </w:p>
    <w:p>
      <w:pPr>
        <w:spacing w:after="0" w:line="147"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The Company has included schedules in the tables that accompany this release that reconcile (i) net income attributable to Wynn Resorts to adjusted net income attributable to Wynn Resorts, and (ii) operating income to adjusted property EBITDA and adjusted property EBITDA to net income attributable to Wynn Resorts.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Borders>
              <w:bottom w:val="single" w:sz="8" w:color="CCEEFF"/>
            </w:tcBorders>
          </w:tcPr>
          <w:p>
            <w:pPr>
              <w:spacing w:after="0"/>
              <w:rPr>
                <w:sz w:val="12"/>
                <w:szCs w:val="12"/>
                <w:color w:val="auto"/>
              </w:rPr>
            </w:pPr>
          </w:p>
        </w:tc>
        <w:tc>
          <w:tcPr>
            <w:tcW w:w="43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4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Casino</w:t>
            </w:r>
          </w:p>
        </w:tc>
        <w:tc>
          <w:tcPr>
            <w:tcW w:w="4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1,049,279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1,006,305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117,503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4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135,140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128,864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4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105,909</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ind w:left="860"/>
              <w:spacing w:after="0"/>
              <w:rPr>
                <w:sz w:val="20"/>
                <w:szCs w:val="20"/>
                <w:color w:val="auto"/>
              </w:rPr>
            </w:pPr>
            <w:r>
              <w:rPr>
                <w:rFonts w:ascii="Arial" w:cs="Arial" w:eastAsia="Arial" w:hAnsi="Arial"/>
                <w:sz w:val="18"/>
                <w:szCs w:val="18"/>
                <w:color w:val="auto"/>
              </w:rPr>
              <w:t>Gross revenues</w:t>
            </w:r>
          </w:p>
        </w:tc>
        <w:tc>
          <w:tcPr>
            <w:tcW w:w="4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1,407,831</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1,349,504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(94,333)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(89,232)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4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1,313,498</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1,260,272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Casino</w:t>
            </w:r>
          </w:p>
        </w:tc>
        <w:tc>
          <w:tcPr>
            <w:tcW w:w="4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674,656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624,355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29,984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4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70,396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65,997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51,658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4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105,950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87,661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18,064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4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92,405</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4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10,286</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2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4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1,053,399</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979,716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260,099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280,556</w:t>
            </w:r>
          </w:p>
        </w:tc>
        <w:tc>
          <w:tcPr>
            <w:tcW w:w="0" w:type="dxa"/>
            <w:vAlign w:val="bottom"/>
          </w:tcPr>
          <w:p>
            <w:pPr>
              <w:spacing w:after="0"/>
              <w:rPr>
                <w:sz w:val="1"/>
                <w:szCs w:val="1"/>
                <w:color w:val="auto"/>
              </w:rPr>
            </w:pPr>
          </w:p>
        </w:tc>
      </w:tr>
      <w:tr>
        <w:trPr>
          <w:trHeight w:val="222"/>
        </w:trPr>
        <w:tc>
          <w:tcPr>
            <w:tcW w:w="50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1,565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4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(62,061)</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(58,263)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swap fair value</w:t>
            </w:r>
          </w:p>
        </w:tc>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2,284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Loss on retirement of debt</w:t>
            </w:r>
          </w:p>
        </w:tc>
        <w:tc>
          <w:tcPr>
            <w:tcW w:w="4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(4,828)</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Other</w:t>
            </w:r>
          </w:p>
        </w:tc>
        <w:tc>
          <w:tcPr>
            <w:tcW w:w="4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(61,807)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(52,115)</w:t>
            </w:r>
          </w:p>
        </w:tc>
        <w:tc>
          <w:tcPr>
            <w:tcW w:w="0" w:type="dxa"/>
            <w:vAlign w:val="bottom"/>
          </w:tcPr>
          <w:p>
            <w:pPr>
              <w:spacing w:after="0"/>
              <w:rPr>
                <w:sz w:val="1"/>
                <w:szCs w:val="1"/>
                <w:color w:val="auto"/>
              </w:rPr>
            </w:pPr>
          </w:p>
        </w:tc>
      </w:tr>
      <w:tr>
        <w:trPr>
          <w:trHeight w:val="222"/>
        </w:trPr>
        <w:tc>
          <w:tcPr>
            <w:tcW w:w="50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4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198,292</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228,441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 (provision) for income taxes</w:t>
            </w:r>
          </w:p>
        </w:tc>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22"/>
        </w:trPr>
        <w:tc>
          <w:tcPr>
            <w:tcW w:w="50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198,409</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226,335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Net income attributable to noncontrolling interests</w:t>
            </w:r>
          </w:p>
        </w:tc>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(57,845)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(52,531)</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Wynn Resorts, Limited</w:t>
            </w:r>
          </w:p>
        </w:tc>
        <w:tc>
          <w:tcPr>
            <w:tcW w:w="4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40" w:type="dxa"/>
            <w:vAlign w:val="bottom"/>
            <w:gridSpan w:val="2"/>
            <w:vMerge w:val="continue"/>
          </w:tcPr>
          <w:p>
            <w:pPr>
              <w:spacing w:after="0"/>
              <w:rPr>
                <w:sz w:val="19"/>
                <w:szCs w:val="19"/>
                <w:color w:val="auto"/>
              </w:rPr>
            </w:pPr>
          </w:p>
        </w:tc>
        <w:tc>
          <w:tcPr>
            <w:tcW w:w="4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140,564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173,804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income per common share:</w:t>
            </w:r>
          </w:p>
        </w:tc>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Net income attributable to Wynn Resorts, Limited:</w:t>
            </w:r>
          </w:p>
        </w:tc>
        <w:tc>
          <w:tcPr>
            <w:tcW w:w="4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4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860"/>
              <w:spacing w:after="0"/>
              <w:rPr>
                <w:sz w:val="20"/>
                <w:szCs w:val="20"/>
                <w:color w:val="auto"/>
              </w:rPr>
            </w:pPr>
            <w:r>
              <w:rPr>
                <w:rFonts w:ascii="Arial" w:cs="Arial" w:eastAsia="Arial" w:hAnsi="Arial"/>
                <w:sz w:val="18"/>
                <w:szCs w:val="18"/>
                <w:color w:val="auto"/>
              </w:rPr>
              <w:t>Diluted</w:t>
            </w:r>
          </w:p>
        </w:tc>
        <w:tc>
          <w:tcPr>
            <w:tcW w:w="4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1.23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common shares outstanding:</w:t>
            </w:r>
          </w:p>
        </w:tc>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860"/>
              <w:spacing w:after="0"/>
              <w:rPr>
                <w:sz w:val="20"/>
                <w:szCs w:val="20"/>
                <w:color w:val="auto"/>
              </w:rPr>
            </w:pPr>
            <w:r>
              <w:rPr>
                <w:rFonts w:ascii="Arial" w:cs="Arial" w:eastAsia="Arial" w:hAnsi="Arial"/>
                <w:sz w:val="18"/>
                <w:szCs w:val="18"/>
                <w:color w:val="auto"/>
              </w:rPr>
              <w:t>Basic</w:t>
            </w:r>
          </w:p>
        </w:tc>
        <w:tc>
          <w:tcPr>
            <w:tcW w:w="4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112,704</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123,757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114,008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125,371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Dividends declared per common share</w:t>
            </w:r>
          </w:p>
        </w:tc>
        <w:tc>
          <w:tcPr>
            <w:tcW w:w="4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0.50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4360" w:type="dxa"/>
            <w:vAlign w:val="bottom"/>
          </w:tcPr>
          <w:p>
            <w:pPr>
              <w:jc w:val="right"/>
              <w:ind w:right="3552"/>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NET INCOME ATTRIBUTABLE TO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ADJUSTED NET INCOME ATTRIBUTABLE TO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61"/>
        </w:trPr>
        <w:tc>
          <w:tcPr>
            <w:tcW w:w="55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5520" w:type="dxa"/>
            <w:vAlign w:val="bottom"/>
            <w:tcBorders>
              <w:bottom w:val="single" w:sz="8" w:color="CCEEFF"/>
            </w:tcBorders>
          </w:tcPr>
          <w:p>
            <w:pPr>
              <w:spacing w:after="0"/>
              <w:rPr>
                <w:sz w:val="12"/>
                <w:szCs w:val="12"/>
                <w:color w:val="auto"/>
              </w:rPr>
            </w:pPr>
          </w:p>
        </w:tc>
        <w:tc>
          <w:tcPr>
            <w:tcW w:w="4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Wynn Resorts, Limited</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140,564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173,804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440"/>
              <w:spacing w:after="0"/>
              <w:rPr>
                <w:sz w:val="20"/>
                <w:szCs w:val="20"/>
                <w:color w:val="auto"/>
              </w:rPr>
            </w:pPr>
            <w:r>
              <w:rPr>
                <w:rFonts w:ascii="Arial" w:cs="Arial" w:eastAsia="Arial" w:hAnsi="Arial"/>
                <w:sz w:val="18"/>
                <w:szCs w:val="18"/>
                <w:color w:val="auto"/>
              </w:rPr>
              <w:t>Increase in swap fair value</w:t>
            </w: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(2,284)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(4,230)</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charges and other</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3,348</w:t>
            </w:r>
          </w:p>
        </w:tc>
        <w:tc>
          <w:tcPr>
            <w:tcW w:w="0" w:type="dxa"/>
            <w:vAlign w:val="bottom"/>
          </w:tcPr>
          <w:p>
            <w:pPr>
              <w:spacing w:after="0"/>
              <w:rPr>
                <w:sz w:val="1"/>
                <w:szCs w:val="1"/>
                <w:color w:val="auto"/>
              </w:rPr>
            </w:pPr>
          </w:p>
        </w:tc>
      </w:tr>
      <w:tr>
        <w:trPr>
          <w:trHeight w:val="216"/>
        </w:trPr>
        <w:tc>
          <w:tcPr>
            <w:tcW w:w="5520" w:type="dxa"/>
            <w:vAlign w:val="bottom"/>
          </w:tcPr>
          <w:p>
            <w:pPr>
              <w:ind w:left="440"/>
              <w:spacing w:after="0"/>
              <w:rPr>
                <w:sz w:val="20"/>
                <w:szCs w:val="20"/>
                <w:color w:val="auto"/>
              </w:rPr>
            </w:pPr>
            <w:r>
              <w:rPr>
                <w:rFonts w:ascii="Arial" w:cs="Arial" w:eastAsia="Arial" w:hAnsi="Arial"/>
                <w:sz w:val="18"/>
                <w:szCs w:val="18"/>
                <w:color w:val="auto"/>
              </w:rPr>
              <w:t>Loss on extinguishment of debt</w:t>
            </w: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4,828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 for noncontrolling interest</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color w:val="auto"/>
              </w:rPr>
              <w:t>Adjusted net income attributable to Wynn Resorts, Limited</w:t>
            </w:r>
            <w:r>
              <w:rPr>
                <w:rFonts w:ascii="Arial" w:cs="Arial" w:eastAsia="Arial" w:hAnsi="Arial"/>
                <w:sz w:val="11"/>
                <w:szCs w:val="11"/>
                <w:color w:val="auto"/>
              </w:rPr>
              <w:t>(2)</w:t>
            </w:r>
          </w:p>
        </w:tc>
        <w:tc>
          <w:tcPr>
            <w:tcW w:w="4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20" w:type="dxa"/>
            <w:vAlign w:val="bottom"/>
            <w:vMerge w:val="continue"/>
          </w:tcPr>
          <w:p>
            <w:pPr>
              <w:spacing w:after="0"/>
              <w:rPr>
                <w:sz w:val="19"/>
                <w:szCs w:val="19"/>
                <w:color w:val="auto"/>
              </w:rPr>
            </w:pPr>
          </w:p>
        </w:tc>
        <w:tc>
          <w:tcPr>
            <w:tcW w:w="4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151,939</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173,358</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1"/>
              </w:rPr>
              <w:t>Adjusted net income attributable to Wynn Resorts, Limited per diluted share</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4120" w:type="dxa"/>
            <w:vAlign w:val="bottom"/>
            <w:vMerge w:val="restart"/>
          </w:tcPr>
          <w:p>
            <w:pPr>
              <w:jc w:val="right"/>
              <w:ind w:right="3792"/>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52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OPERATING INCOME TO 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ADJUSTED PROPERTY EBITDA TO NET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20" w:type="dxa"/>
            <w:vAlign w:val="bottom"/>
            <w:gridSpan w:val="11"/>
          </w:tcPr>
          <w:p>
            <w:pPr>
              <w:jc w:val="right"/>
              <w:ind w:right="840"/>
              <w:spacing w:after="0"/>
              <w:rPr>
                <w:sz w:val="20"/>
                <w:szCs w:val="20"/>
                <w:color w:val="auto"/>
              </w:rPr>
            </w:pPr>
            <w:r>
              <w:rPr>
                <w:rFonts w:ascii="Arial" w:cs="Arial" w:eastAsia="Arial" w:hAnsi="Arial"/>
                <w:sz w:val="14"/>
                <w:szCs w:val="14"/>
                <w:b w:val="1"/>
                <w:bCs w:val="1"/>
                <w:color w:val="auto"/>
                <w:w w:val="89"/>
              </w:rPr>
              <w:t>Three Months Ended March 31, 2012</w:t>
            </w:r>
          </w:p>
        </w:tc>
        <w:tc>
          <w:tcPr>
            <w:tcW w:w="0" w:type="dxa"/>
            <w:vAlign w:val="bottom"/>
          </w:tcPr>
          <w:p>
            <w:pPr>
              <w:spacing w:after="0"/>
              <w:rPr>
                <w:sz w:val="1"/>
                <w:szCs w:val="1"/>
                <w:color w:val="auto"/>
              </w:rPr>
            </w:pPr>
          </w:p>
        </w:tc>
      </w:tr>
      <w:tr>
        <w:trPr>
          <w:trHeight w:val="129"/>
        </w:trPr>
        <w:tc>
          <w:tcPr>
            <w:tcW w:w="50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700" w:type="dxa"/>
            <w:vAlign w:val="bottom"/>
            <w:tcBorders>
              <w:top w:val="single" w:sz="8" w:color="auto"/>
            </w:tcBorders>
            <w:gridSpan w:val="3"/>
          </w:tcPr>
          <w:p>
            <w:pPr>
              <w:jc w:val="right"/>
              <w:ind w:right="80"/>
              <w:spacing w:after="0" w:line="129" w:lineRule="exact"/>
              <w:rPr>
                <w:sz w:val="20"/>
                <w:szCs w:val="20"/>
                <w:color w:val="auto"/>
              </w:rPr>
            </w:pPr>
            <w:r>
              <w:rPr>
                <w:rFonts w:ascii="Arial" w:cs="Arial" w:eastAsia="Arial" w:hAnsi="Arial"/>
                <w:sz w:val="14"/>
                <w:szCs w:val="14"/>
                <w:b w:val="1"/>
                <w:bCs w:val="1"/>
                <w:color w:val="auto"/>
                <w:w w:val="86"/>
              </w:rPr>
              <w:t>Las Vegas</w:t>
            </w:r>
          </w:p>
        </w:tc>
        <w:tc>
          <w:tcPr>
            <w:tcW w:w="2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1"/>
              </w:rPr>
              <w:t>Macau</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3"/>
          </w:tcPr>
          <w:p>
            <w:pPr>
              <w:jc w:val="right"/>
              <w:ind w:right="280"/>
              <w:spacing w:after="0" w:line="129" w:lineRule="exact"/>
              <w:rPr>
                <w:sz w:val="20"/>
                <w:szCs w:val="20"/>
                <w:color w:val="auto"/>
              </w:rPr>
            </w:pPr>
            <w:r>
              <w:rPr>
                <w:rFonts w:ascii="Arial" w:cs="Arial" w:eastAsia="Arial" w:hAnsi="Arial"/>
                <w:sz w:val="14"/>
                <w:szCs w:val="14"/>
                <w:b w:val="1"/>
                <w:bCs w:val="1"/>
                <w:color w:val="auto"/>
                <w:w w:val="89"/>
              </w:rPr>
              <w:t>Corporate</w:t>
            </w: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0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91"/>
              </w:rPr>
              <w:t>Operations</w:t>
            </w:r>
          </w:p>
        </w:tc>
        <w:tc>
          <w:tcPr>
            <w:tcW w:w="28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Operations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0"/>
              </w:rPr>
              <w:t>and Other</w:t>
            </w:r>
          </w:p>
        </w:tc>
        <w:tc>
          <w:tcPr>
            <w:tcW w:w="8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20,426</w:t>
            </w: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$ 211,723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$ 27,950</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$260,099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63,418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28,288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699</w:t>
            </w: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92,405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charges and other</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Management and royalty fees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5,451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38,059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(43,510)</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expense and other</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6,387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11,819</w:t>
            </w:r>
          </w:p>
        </w:tc>
        <w:tc>
          <w:tcPr>
            <w:tcW w:w="26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24,754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Stock-based compensation</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1,371</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(1,413)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2,690</w:t>
            </w: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2,648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in income from unconsolidated affiliate</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6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b w:val="1"/>
                <w:bCs w:val="1"/>
                <w:color w:val="auto"/>
              </w:rPr>
              <w:t>Adjusted Property EBITDA</w:t>
            </w:r>
            <w:r>
              <w:rPr>
                <w:rFonts w:ascii="Arial" w:cs="Arial" w:eastAsia="Arial" w:hAnsi="Arial"/>
                <w:sz w:val="11"/>
                <w:szCs w:val="11"/>
                <w:b w:val="1"/>
                <w:bCs w:val="1"/>
                <w:color w:val="auto"/>
              </w:rPr>
              <w:t>(1)</w:t>
            </w:r>
          </w:p>
        </w:tc>
        <w:tc>
          <w:tcPr>
            <w:tcW w:w="266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40" w:type="dxa"/>
            <w:vAlign w:val="bottom"/>
            <w:vMerge w:val="continue"/>
          </w:tcPr>
          <w:p>
            <w:pPr>
              <w:spacing w:after="0"/>
              <w:rPr>
                <w:sz w:val="19"/>
                <w:szCs w:val="19"/>
                <w:color w:val="auto"/>
              </w:rPr>
            </w:pPr>
          </w:p>
        </w:tc>
        <w:tc>
          <w:tcPr>
            <w:tcW w:w="3360" w:type="dxa"/>
            <w:vAlign w:val="bottom"/>
            <w:gridSpan w:val="4"/>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100,884</w:t>
            </w: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289,773</w:t>
            </w:r>
          </w:p>
        </w:tc>
        <w:tc>
          <w:tcPr>
            <w:tcW w:w="14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390,657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0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89"/>
              </w:rPr>
              <w:t>Three Months Ended March 31, 2011</w:t>
            </w: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0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700" w:type="dxa"/>
            <w:vAlign w:val="bottom"/>
            <w:gridSpan w:val="3"/>
          </w:tcPr>
          <w:p>
            <w:pPr>
              <w:jc w:val="right"/>
              <w:ind w:right="80"/>
              <w:spacing w:after="0" w:line="129" w:lineRule="exact"/>
              <w:rPr>
                <w:sz w:val="20"/>
                <w:szCs w:val="20"/>
                <w:color w:val="auto"/>
              </w:rPr>
            </w:pPr>
            <w:r>
              <w:rPr>
                <w:rFonts w:ascii="Arial" w:cs="Arial" w:eastAsia="Arial" w:hAnsi="Arial"/>
                <w:sz w:val="14"/>
                <w:szCs w:val="14"/>
                <w:b w:val="1"/>
                <w:bCs w:val="1"/>
                <w:color w:val="auto"/>
                <w:w w:val="86"/>
              </w:rPr>
              <w:t>Las Vegas</w:t>
            </w:r>
          </w:p>
        </w:tc>
        <w:tc>
          <w:tcPr>
            <w:tcW w:w="280" w:type="dxa"/>
            <w:vAlign w:val="bottom"/>
          </w:tcPr>
          <w:p>
            <w:pPr>
              <w:spacing w:after="0"/>
              <w:rPr>
                <w:sz w:val="11"/>
                <w:szCs w:val="11"/>
                <w:color w:val="auto"/>
              </w:rPr>
            </w:pPr>
          </w:p>
        </w:tc>
        <w:tc>
          <w:tcPr>
            <w:tcW w:w="82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1"/>
              </w:rPr>
              <w:t>Macau</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tcPr>
          <w:p>
            <w:pPr>
              <w:jc w:val="right"/>
              <w:ind w:right="280"/>
              <w:spacing w:after="0" w:line="129" w:lineRule="exact"/>
              <w:rPr>
                <w:sz w:val="20"/>
                <w:szCs w:val="20"/>
                <w:color w:val="auto"/>
              </w:rPr>
            </w:pPr>
            <w:r>
              <w:rPr>
                <w:rFonts w:ascii="Arial" w:cs="Arial" w:eastAsia="Arial" w:hAnsi="Arial"/>
                <w:sz w:val="14"/>
                <w:szCs w:val="14"/>
                <w:b w:val="1"/>
                <w:bCs w:val="1"/>
                <w:color w:val="auto"/>
                <w:w w:val="89"/>
              </w:rPr>
              <w:t>Corporate</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0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91"/>
              </w:rPr>
              <w:t>Operations</w:t>
            </w:r>
          </w:p>
        </w:tc>
        <w:tc>
          <w:tcPr>
            <w:tcW w:w="28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Operations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0"/>
              </w:rPr>
              <w:t>and Other</w:t>
            </w:r>
          </w:p>
        </w:tc>
        <w:tc>
          <w:tcPr>
            <w:tcW w:w="8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49,174</w:t>
            </w: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$194,402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$ 36,980</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$280,556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65,796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34,933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618</w:t>
            </w: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101,347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charges and other</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Management and royalty fees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5,928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34,494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(40,422)</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expense and other</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6,178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Stock-based compensation</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2,865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2,487</w:t>
            </w: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6,745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in income from unconsolidated affiliate</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6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b w:val="1"/>
                <w:bCs w:val="1"/>
                <w:color w:val="auto"/>
              </w:rPr>
              <w:t>Adjusted Property EBITDA</w:t>
            </w:r>
            <w:r>
              <w:rPr>
                <w:rFonts w:ascii="Arial" w:cs="Arial" w:eastAsia="Arial" w:hAnsi="Arial"/>
                <w:sz w:val="11"/>
                <w:szCs w:val="11"/>
                <w:b w:val="1"/>
                <w:bCs w:val="1"/>
                <w:color w:val="auto"/>
              </w:rPr>
              <w:t>(1)</w:t>
            </w:r>
          </w:p>
        </w:tc>
        <w:tc>
          <w:tcPr>
            <w:tcW w:w="266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40" w:type="dxa"/>
            <w:vAlign w:val="bottom"/>
            <w:vMerge w:val="continue"/>
          </w:tcPr>
          <w:p>
            <w:pPr>
              <w:spacing w:after="0"/>
              <w:rPr>
                <w:sz w:val="19"/>
                <w:szCs w:val="19"/>
                <w:color w:val="auto"/>
              </w:rPr>
            </w:pPr>
          </w:p>
        </w:tc>
        <w:tc>
          <w:tcPr>
            <w:tcW w:w="3360" w:type="dxa"/>
            <w:vAlign w:val="bottom"/>
            <w:gridSpan w:val="4"/>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132,127</w:t>
            </w: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272,831</w:t>
            </w:r>
          </w:p>
        </w:tc>
        <w:tc>
          <w:tcPr>
            <w:tcW w:w="14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404,958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0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161"/>
        </w:trPr>
        <w:tc>
          <w:tcPr>
            <w:tcW w:w="50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5040" w:type="dxa"/>
            <w:vAlign w:val="bottom"/>
            <w:tcBorders>
              <w:bottom w:val="single" w:sz="8" w:color="CCEEFF"/>
            </w:tcBorders>
          </w:tcPr>
          <w:p>
            <w:pPr>
              <w:spacing w:after="0"/>
              <w:rPr>
                <w:sz w:val="12"/>
                <w:szCs w:val="12"/>
                <w:color w:val="auto"/>
              </w:rPr>
            </w:pPr>
          </w:p>
        </w:tc>
        <w:tc>
          <w:tcPr>
            <w:tcW w:w="26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w w:val="83"/>
              </w:rPr>
              <w:t>2012</w:t>
            </w:r>
          </w:p>
        </w:tc>
        <w:tc>
          <w:tcPr>
            <w:tcW w:w="26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178"/>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Property EBITDA</w:t>
            </w:r>
            <w:r>
              <w:rPr>
                <w:rFonts w:ascii="Arial" w:cs="Arial" w:eastAsia="Arial" w:hAnsi="Arial"/>
                <w:sz w:val="11"/>
                <w:szCs w:val="11"/>
                <w:b w:val="1"/>
                <w:bCs w:val="1"/>
                <w:color w:val="auto"/>
              </w:rPr>
              <w:t>(1)</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$390,657</w:t>
            </w:r>
          </w:p>
        </w:tc>
        <w:tc>
          <w:tcPr>
            <w:tcW w:w="26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$ 404,958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(92,405)</w:t>
            </w:r>
          </w:p>
        </w:tc>
        <w:tc>
          <w:tcPr>
            <w:tcW w:w="26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(101,347)</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charges and other</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(10,286)</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(3,348)</w:t>
            </w:r>
          </w:p>
        </w:tc>
        <w:tc>
          <w:tcPr>
            <w:tcW w:w="0" w:type="dxa"/>
            <w:vAlign w:val="bottom"/>
          </w:tcPr>
          <w:p>
            <w:pPr>
              <w:spacing w:after="0"/>
              <w:rPr>
                <w:sz w:val="1"/>
                <w:szCs w:val="1"/>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Corporate expenses and other</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(24,754)</w:t>
            </w:r>
          </w:p>
        </w:tc>
        <w:tc>
          <w:tcPr>
            <w:tcW w:w="26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(12,360)</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(2,648)</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(6,745)</w:t>
            </w:r>
          </w:p>
        </w:tc>
        <w:tc>
          <w:tcPr>
            <w:tcW w:w="0" w:type="dxa"/>
            <w:vAlign w:val="bottom"/>
          </w:tcPr>
          <w:p>
            <w:pPr>
              <w:spacing w:after="0"/>
              <w:rPr>
                <w:sz w:val="1"/>
                <w:szCs w:val="1"/>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Interest income</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1,565</w:t>
            </w: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 net of capitalized interest</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(62,061)</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(58,263)</w:t>
            </w:r>
          </w:p>
        </w:tc>
        <w:tc>
          <w:tcPr>
            <w:tcW w:w="0" w:type="dxa"/>
            <w:vAlign w:val="bottom"/>
          </w:tcPr>
          <w:p>
            <w:pPr>
              <w:spacing w:after="0"/>
              <w:rPr>
                <w:sz w:val="1"/>
                <w:szCs w:val="1"/>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Increase in swap fair value</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2,284</w:t>
            </w: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4,230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on extinguishment of debt</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(4,828)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Other</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768</w:t>
            </w: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Benefit (provision) for income taxes</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22"/>
        </w:trPr>
        <w:tc>
          <w:tcPr>
            <w:tcW w:w="50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198,409</w:t>
            </w:r>
          </w:p>
        </w:tc>
        <w:tc>
          <w:tcPr>
            <w:tcW w:w="260" w:type="dxa"/>
            <w:vAlign w:val="bottom"/>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226,335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Net income attributable to noncontrolling interests</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(57,845)</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(52,531)</w:t>
            </w:r>
          </w:p>
        </w:tc>
        <w:tc>
          <w:tcPr>
            <w:tcW w:w="0" w:type="dxa"/>
            <w:vAlign w:val="bottom"/>
          </w:tcPr>
          <w:p>
            <w:pPr>
              <w:spacing w:after="0"/>
              <w:rPr>
                <w:sz w:val="1"/>
                <w:szCs w:val="1"/>
                <w:color w:val="auto"/>
              </w:rPr>
            </w:pPr>
          </w:p>
        </w:tc>
      </w:tr>
      <w:tr>
        <w:trPr>
          <w:trHeight w:val="221"/>
        </w:trPr>
        <w:tc>
          <w:tcPr>
            <w:tcW w:w="5040" w:type="dxa"/>
            <w:vAlign w:val="bottom"/>
          </w:tcPr>
          <w:p>
            <w:pPr>
              <w:spacing w:after="0"/>
              <w:rPr>
                <w:sz w:val="20"/>
                <w:szCs w:val="20"/>
                <w:color w:val="auto"/>
              </w:rPr>
            </w:pPr>
            <w:r>
              <w:rPr>
                <w:rFonts w:ascii="Arial" w:cs="Arial" w:eastAsia="Arial" w:hAnsi="Arial"/>
                <w:sz w:val="18"/>
                <w:szCs w:val="18"/>
                <w:b w:val="1"/>
                <w:bCs w:val="1"/>
                <w:color w:val="auto"/>
              </w:rPr>
              <w:t>Net income attributable to Wynn Resorts, Limited</w:t>
            </w:r>
          </w:p>
        </w:tc>
        <w:tc>
          <w:tcPr>
            <w:tcW w:w="2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140,564</w:t>
            </w:r>
          </w:p>
        </w:tc>
        <w:tc>
          <w:tcPr>
            <w:tcW w:w="26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$ 173,804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660" w:type="dxa"/>
            <w:vAlign w:val="bottom"/>
            <w:vMerge w:val="restart"/>
          </w:tcPr>
          <w:p>
            <w:pPr>
              <w:jc w:val="right"/>
              <w:ind w:right="1852"/>
              <w:spacing w:after="0"/>
              <w:rPr>
                <w:sz w:val="20"/>
                <w:szCs w:val="20"/>
                <w:color w:val="auto"/>
              </w:rPr>
            </w:pPr>
            <w:r>
              <w:rPr>
                <w:rFonts w:ascii="Arial" w:cs="Arial" w:eastAsia="Arial" w:hAnsi="Arial"/>
                <w:sz w:val="18"/>
                <w:szCs w:val="18"/>
                <w:color w:val="auto"/>
              </w:rPr>
              <w:t>6</w:t>
            </w: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4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DATA SCHEDULE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8"/>
              </w:rPr>
              <w:t>Three Months Ended</w:t>
            </w:r>
          </w:p>
        </w:tc>
      </w:tr>
      <w:tr>
        <w:trPr>
          <w:trHeight w:val="129"/>
        </w:trPr>
        <w:tc>
          <w:tcPr>
            <w:tcW w:w="640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1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March 31,</w:t>
            </w:r>
          </w:p>
        </w:tc>
        <w:tc>
          <w:tcPr>
            <w:tcW w:w="200" w:type="dxa"/>
            <w:vAlign w:val="bottom"/>
          </w:tcPr>
          <w:p>
            <w:pPr>
              <w:spacing w:after="0"/>
              <w:rPr>
                <w:sz w:val="11"/>
                <w:szCs w:val="11"/>
                <w:color w:val="auto"/>
              </w:rPr>
            </w:pPr>
          </w:p>
        </w:tc>
      </w:tr>
      <w:tr>
        <w:trPr>
          <w:trHeight w:val="161"/>
        </w:trPr>
        <w:tc>
          <w:tcPr>
            <w:tcW w:w="6400" w:type="dxa"/>
            <w:vAlign w:val="bottom"/>
            <w:tcBorders>
              <w:bottom w:val="single" w:sz="8" w:color="CCEEFF"/>
            </w:tcBorders>
          </w:tcPr>
          <w:p>
            <w:pPr>
              <w:spacing w:after="0"/>
              <w:rPr>
                <w:sz w:val="14"/>
                <w:szCs w:val="14"/>
                <w:color w:val="auto"/>
              </w:rPr>
            </w:pPr>
          </w:p>
        </w:tc>
        <w:tc>
          <w:tcPr>
            <w:tcW w:w="3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r>
      <w:tr>
        <w:trPr>
          <w:trHeight w:val="196"/>
        </w:trPr>
        <w:tc>
          <w:tcPr>
            <w:tcW w:w="6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Room Statistics for Las Vegas Operations:</w:t>
            </w:r>
          </w:p>
        </w:tc>
        <w:tc>
          <w:tcPr>
            <w:tcW w:w="3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6400" w:type="dxa"/>
            <w:vAlign w:val="bottom"/>
          </w:tcPr>
          <w:p>
            <w:pPr>
              <w:ind w:left="440"/>
              <w:spacing w:after="0"/>
              <w:rPr>
                <w:sz w:val="20"/>
                <w:szCs w:val="20"/>
                <w:color w:val="auto"/>
              </w:rPr>
            </w:pPr>
            <w:r>
              <w:rPr>
                <w:rFonts w:ascii="Arial" w:cs="Arial" w:eastAsia="Arial" w:hAnsi="Arial"/>
                <w:sz w:val="18"/>
                <w:szCs w:val="18"/>
                <w:color w:val="auto"/>
              </w:rPr>
              <w:t>Occupancy %</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87.9%</w:t>
            </w:r>
          </w:p>
        </w:tc>
      </w:tr>
      <w:tr>
        <w:trPr>
          <w:trHeight w:val="216"/>
        </w:trPr>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Average Daily Rate (ADR)</w:t>
            </w:r>
            <w:r>
              <w:rPr>
                <w:rFonts w:ascii="Arial" w:cs="Arial" w:eastAsia="Arial" w:hAnsi="Arial"/>
                <w:sz w:val="11"/>
                <w:szCs w:val="11"/>
                <w:color w:val="auto"/>
              </w:rPr>
              <w:t>1</w:t>
            </w:r>
          </w:p>
        </w:tc>
        <w:tc>
          <w:tcPr>
            <w:tcW w:w="3200" w:type="dxa"/>
            <w:vAlign w:val="bottom"/>
            <w:gridSpan w:val="2"/>
            <w:shd w:val="clear" w:color="auto" w:fill="CCEEFF"/>
          </w:tcPr>
          <w:p>
            <w:pPr>
              <w:ind w:left="31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w:t>
            </w:r>
          </w:p>
        </w:tc>
      </w:tr>
      <w:tr>
        <w:trPr>
          <w:trHeight w:val="216"/>
        </w:trPr>
        <w:tc>
          <w:tcPr>
            <w:tcW w:w="6400" w:type="dxa"/>
            <w:vAlign w:val="bottom"/>
          </w:tcPr>
          <w:p>
            <w:pPr>
              <w:ind w:left="440"/>
              <w:spacing w:after="0"/>
              <w:rPr>
                <w:sz w:val="20"/>
                <w:szCs w:val="20"/>
                <w:color w:val="auto"/>
              </w:rPr>
            </w:pPr>
            <w:r>
              <w:rPr>
                <w:rFonts w:ascii="Arial" w:cs="Arial" w:eastAsia="Arial" w:hAnsi="Arial"/>
                <w:sz w:val="18"/>
                <w:szCs w:val="18"/>
                <w:color w:val="auto"/>
              </w:rPr>
              <w:t>Revenue per available room (REVPAR)</w:t>
            </w:r>
            <w:r>
              <w:rPr>
                <w:rFonts w:ascii="Arial" w:cs="Arial" w:eastAsia="Arial" w:hAnsi="Arial"/>
                <w:sz w:val="11"/>
                <w:szCs w:val="11"/>
                <w:color w:val="auto"/>
              </w:rPr>
              <w:t>2</w:t>
            </w:r>
          </w:p>
        </w:tc>
        <w:tc>
          <w:tcPr>
            <w:tcW w:w="3200" w:type="dxa"/>
            <w:vAlign w:val="bottom"/>
            <w:gridSpan w:val="2"/>
          </w:tcPr>
          <w:p>
            <w:pPr>
              <w:ind w:left="31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202</w:t>
            </w:r>
          </w:p>
        </w:tc>
        <w:tc>
          <w:tcPr>
            <w:tcW w:w="5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211</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 information for Las Vegas Operations:</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400" w:type="dxa"/>
            <w:vAlign w:val="bottom"/>
          </w:tcPr>
          <w:p>
            <w:pPr>
              <w:ind w:left="440"/>
              <w:spacing w:after="0"/>
              <w:rPr>
                <w:sz w:val="20"/>
                <w:szCs w:val="20"/>
                <w:color w:val="auto"/>
              </w:rPr>
            </w:pPr>
            <w:r>
              <w:rPr>
                <w:rFonts w:ascii="Arial" w:cs="Arial" w:eastAsia="Arial" w:hAnsi="Arial"/>
                <w:sz w:val="18"/>
                <w:szCs w:val="18"/>
                <w:color w:val="auto"/>
              </w:rPr>
              <w:t>Table games win per unit per day</w:t>
            </w:r>
            <w:r>
              <w:rPr>
                <w:rFonts w:ascii="Arial" w:cs="Arial" w:eastAsia="Arial" w:hAnsi="Arial"/>
                <w:sz w:val="11"/>
                <w:szCs w:val="11"/>
                <w:color w:val="auto"/>
              </w:rPr>
              <w:t>3</w:t>
            </w:r>
          </w:p>
        </w:tc>
        <w:tc>
          <w:tcPr>
            <w:tcW w:w="3200" w:type="dxa"/>
            <w:vAlign w:val="bottom"/>
            <w:gridSpan w:val="2"/>
          </w:tcPr>
          <w:p>
            <w:pPr>
              <w:ind w:left="31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7,436</w:t>
            </w:r>
          </w:p>
        </w:tc>
        <w:tc>
          <w:tcPr>
            <w:tcW w:w="5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9,544</w:t>
            </w:r>
          </w:p>
        </w:tc>
      </w:tr>
      <w:tr>
        <w:trPr>
          <w:trHeight w:val="216"/>
        </w:trPr>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Table Win %</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30.4%</w:t>
            </w:r>
          </w:p>
        </w:tc>
      </w:tr>
      <w:tr>
        <w:trPr>
          <w:trHeight w:val="216"/>
        </w:trPr>
        <w:tc>
          <w:tcPr>
            <w:tcW w:w="6400" w:type="dxa"/>
            <w:vAlign w:val="bottom"/>
          </w:tcPr>
          <w:p>
            <w:pPr>
              <w:ind w:left="440"/>
              <w:spacing w:after="0"/>
              <w:rPr>
                <w:sz w:val="20"/>
                <w:szCs w:val="20"/>
                <w:color w:val="auto"/>
              </w:rPr>
            </w:pPr>
            <w:r>
              <w:rPr>
                <w:rFonts w:ascii="Arial" w:cs="Arial" w:eastAsia="Arial" w:hAnsi="Arial"/>
                <w:sz w:val="18"/>
                <w:szCs w:val="18"/>
                <w:color w:val="auto"/>
              </w:rPr>
              <w:t>Slot machine win per unit per day</w:t>
            </w:r>
            <w:r>
              <w:rPr>
                <w:rFonts w:ascii="Arial" w:cs="Arial" w:eastAsia="Arial" w:hAnsi="Arial"/>
                <w:sz w:val="11"/>
                <w:szCs w:val="11"/>
                <w:color w:val="auto"/>
              </w:rPr>
              <w:t>4</w:t>
            </w:r>
          </w:p>
        </w:tc>
        <w:tc>
          <w:tcPr>
            <w:tcW w:w="3200" w:type="dxa"/>
            <w:vAlign w:val="bottom"/>
            <w:gridSpan w:val="2"/>
          </w:tcPr>
          <w:p>
            <w:pPr>
              <w:ind w:left="31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198</w:t>
            </w:r>
          </w:p>
        </w:tc>
        <w:tc>
          <w:tcPr>
            <w:tcW w:w="5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186</w:t>
            </w:r>
          </w:p>
        </w:tc>
      </w:tr>
      <w:tr>
        <w:trPr>
          <w:trHeight w:val="216"/>
        </w:trPr>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Average number of table games</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w:t>
            </w:r>
          </w:p>
        </w:tc>
      </w:tr>
      <w:tr>
        <w:trPr>
          <w:trHeight w:val="216"/>
        </w:trPr>
        <w:tc>
          <w:tcPr>
            <w:tcW w:w="6400" w:type="dxa"/>
            <w:vAlign w:val="bottom"/>
          </w:tcPr>
          <w:p>
            <w:pPr>
              <w:ind w:left="440"/>
              <w:spacing w:after="0"/>
              <w:rPr>
                <w:sz w:val="20"/>
                <w:szCs w:val="20"/>
                <w:color w:val="auto"/>
              </w:rPr>
            </w:pPr>
            <w:r>
              <w:rPr>
                <w:rFonts w:ascii="Arial" w:cs="Arial" w:eastAsia="Arial" w:hAnsi="Arial"/>
                <w:sz w:val="18"/>
                <w:szCs w:val="18"/>
                <w:color w:val="auto"/>
              </w:rPr>
              <w:t>Average number of slot machines</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2,391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2,597</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Room Statistics for Macau Operations:</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400" w:type="dxa"/>
            <w:vAlign w:val="bottom"/>
          </w:tcPr>
          <w:p>
            <w:pPr>
              <w:ind w:left="440"/>
              <w:spacing w:after="0"/>
              <w:rPr>
                <w:sz w:val="20"/>
                <w:szCs w:val="20"/>
                <w:color w:val="auto"/>
              </w:rPr>
            </w:pPr>
            <w:r>
              <w:rPr>
                <w:rFonts w:ascii="Arial" w:cs="Arial" w:eastAsia="Arial" w:hAnsi="Arial"/>
                <w:sz w:val="18"/>
                <w:szCs w:val="18"/>
                <w:color w:val="auto"/>
              </w:rPr>
              <w:t>Occupancy %</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88.6%</w:t>
            </w:r>
          </w:p>
        </w:tc>
      </w:tr>
      <w:tr>
        <w:trPr>
          <w:trHeight w:val="216"/>
        </w:trPr>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Average Daily Rate (ADR)</w:t>
            </w:r>
            <w:r>
              <w:rPr>
                <w:rFonts w:ascii="Arial" w:cs="Arial" w:eastAsia="Arial" w:hAnsi="Arial"/>
                <w:sz w:val="11"/>
                <w:szCs w:val="11"/>
                <w:color w:val="auto"/>
              </w:rPr>
              <w:t>1</w:t>
            </w:r>
          </w:p>
        </w:tc>
        <w:tc>
          <w:tcPr>
            <w:tcW w:w="3200" w:type="dxa"/>
            <w:vAlign w:val="bottom"/>
            <w:gridSpan w:val="2"/>
            <w:shd w:val="clear" w:color="auto" w:fill="CCEEFF"/>
          </w:tcPr>
          <w:p>
            <w:pPr>
              <w:ind w:left="31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307</w:t>
            </w:r>
          </w:p>
        </w:tc>
      </w:tr>
      <w:tr>
        <w:trPr>
          <w:trHeight w:val="216"/>
        </w:trPr>
        <w:tc>
          <w:tcPr>
            <w:tcW w:w="6400" w:type="dxa"/>
            <w:vAlign w:val="bottom"/>
          </w:tcPr>
          <w:p>
            <w:pPr>
              <w:ind w:left="440"/>
              <w:spacing w:after="0"/>
              <w:rPr>
                <w:sz w:val="20"/>
                <w:szCs w:val="20"/>
                <w:color w:val="auto"/>
              </w:rPr>
            </w:pPr>
            <w:r>
              <w:rPr>
                <w:rFonts w:ascii="Arial" w:cs="Arial" w:eastAsia="Arial" w:hAnsi="Arial"/>
                <w:sz w:val="18"/>
                <w:szCs w:val="18"/>
                <w:color w:val="auto"/>
              </w:rPr>
              <w:t>Revenue per available room (REVPAR)</w:t>
            </w:r>
            <w:r>
              <w:rPr>
                <w:rFonts w:ascii="Arial" w:cs="Arial" w:eastAsia="Arial" w:hAnsi="Arial"/>
                <w:sz w:val="11"/>
                <w:szCs w:val="11"/>
                <w:color w:val="auto"/>
              </w:rPr>
              <w:t>2</w:t>
            </w:r>
          </w:p>
        </w:tc>
        <w:tc>
          <w:tcPr>
            <w:tcW w:w="3200" w:type="dxa"/>
            <w:vAlign w:val="bottom"/>
            <w:gridSpan w:val="2"/>
          </w:tcPr>
          <w:p>
            <w:pPr>
              <w:ind w:left="31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296</w:t>
            </w:r>
          </w:p>
        </w:tc>
        <w:tc>
          <w:tcPr>
            <w:tcW w:w="5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272</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 information for Macau Operations:</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400" w:type="dxa"/>
            <w:vAlign w:val="bottom"/>
          </w:tcPr>
          <w:p>
            <w:pPr>
              <w:ind w:left="440"/>
              <w:spacing w:after="0"/>
              <w:rPr>
                <w:sz w:val="20"/>
                <w:szCs w:val="20"/>
                <w:color w:val="auto"/>
              </w:rPr>
            </w:pPr>
            <w:r>
              <w:rPr>
                <w:rFonts w:ascii="Arial" w:cs="Arial" w:eastAsia="Arial" w:hAnsi="Arial"/>
                <w:sz w:val="18"/>
                <w:szCs w:val="18"/>
                <w:color w:val="auto"/>
              </w:rPr>
              <w:t>Table games win per unit per day</w:t>
            </w:r>
            <w:r>
              <w:rPr>
                <w:rFonts w:ascii="Arial" w:cs="Arial" w:eastAsia="Arial" w:hAnsi="Arial"/>
                <w:sz w:val="11"/>
                <w:szCs w:val="11"/>
                <w:color w:val="auto"/>
              </w:rPr>
              <w:t>3</w:t>
            </w:r>
          </w:p>
        </w:tc>
        <w:tc>
          <w:tcPr>
            <w:tcW w:w="3200" w:type="dxa"/>
            <w:vAlign w:val="bottom"/>
            <w:gridSpan w:val="2"/>
          </w:tcPr>
          <w:p>
            <w:pPr>
              <w:ind w:left="31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24,337</w:t>
            </w:r>
          </w:p>
        </w:tc>
        <w:tc>
          <w:tcPr>
            <w:tcW w:w="5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23,255</w:t>
            </w:r>
          </w:p>
        </w:tc>
      </w:tr>
      <w:tr>
        <w:trPr>
          <w:trHeight w:val="216"/>
        </w:trPr>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Slot machine win per unit per day</w:t>
            </w:r>
            <w:r>
              <w:rPr>
                <w:rFonts w:ascii="Arial" w:cs="Arial" w:eastAsia="Arial" w:hAnsi="Arial"/>
                <w:sz w:val="11"/>
                <w:szCs w:val="11"/>
                <w:color w:val="auto"/>
              </w:rPr>
              <w:t>4</w:t>
            </w:r>
          </w:p>
        </w:tc>
        <w:tc>
          <w:tcPr>
            <w:tcW w:w="3200" w:type="dxa"/>
            <w:vAlign w:val="bottom"/>
            <w:gridSpan w:val="2"/>
            <w:shd w:val="clear" w:color="auto" w:fill="CCEEFF"/>
          </w:tcPr>
          <w:p>
            <w:pPr>
              <w:ind w:left="31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803</w:t>
            </w:r>
          </w:p>
        </w:tc>
      </w:tr>
      <w:tr>
        <w:trPr>
          <w:trHeight w:val="216"/>
        </w:trPr>
        <w:tc>
          <w:tcPr>
            <w:tcW w:w="6400" w:type="dxa"/>
            <w:vAlign w:val="bottom"/>
          </w:tcPr>
          <w:p>
            <w:pPr>
              <w:ind w:left="440"/>
              <w:spacing w:after="0"/>
              <w:rPr>
                <w:sz w:val="20"/>
                <w:szCs w:val="20"/>
                <w:color w:val="auto"/>
              </w:rPr>
            </w:pPr>
            <w:r>
              <w:rPr>
                <w:rFonts w:ascii="Arial" w:cs="Arial" w:eastAsia="Arial" w:hAnsi="Arial"/>
                <w:sz w:val="18"/>
                <w:szCs w:val="18"/>
                <w:color w:val="auto"/>
              </w:rPr>
              <w:t>Average number of table games</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468</w:t>
            </w:r>
          </w:p>
        </w:tc>
      </w:tr>
      <w:tr>
        <w:trPr>
          <w:trHeight w:val="216"/>
        </w:trPr>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Average number of slot machines</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1,012</w:t>
            </w:r>
          </w:p>
        </w:tc>
      </w:tr>
    </w:tbl>
    <w:p>
      <w:pPr>
        <w:spacing w:after="0" w:line="19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ADR is Average Daily Rate and is calculated by dividing total room revenue (less service charges, if any) by total rooms occupied.</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REVPAR is Revenue per Available Room and is calculated by dividing total room revenue (less service charges, if any) by total rooms available.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Table games win per unit per day is shown before discounts and commissions.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Slot machine win per unit per day is calculated as gross slot win minus progressive accruals and free play.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Samanta Stewart, 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2019-12-09T16:17:58Z</dcterms:created>
  <dcterms:modified xsi:type="dcterms:W3CDTF">2019-12-09T16:17:58Z</dcterms:modified>
</cp:coreProperties>
</file>