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ind w:left="2640"/>
        <w:spacing w:after="0"/>
        <w:rPr>
          <w:sz w:val="20"/>
          <w:szCs w:val="20"/>
          <w:color w:val="auto"/>
        </w:rPr>
      </w:pPr>
      <w:r>
        <w:rPr>
          <w:rFonts w:ascii="Arial" w:cs="Arial" w:eastAsia="Arial" w:hAnsi="Arial"/>
          <w:sz w:val="22"/>
          <w:szCs w:val="22"/>
          <w:b w:val="1"/>
          <w:bCs w:val="1"/>
          <w:color w:val="auto"/>
        </w:rPr>
        <w:t>Date of Report (Date of earliest event reported): February 11,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94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00" w:type="dxa"/>
            <w:vAlign w:val="bottom"/>
          </w:tcPr>
          <w:p>
            <w:pPr>
              <w:ind w:left="132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2940" w:type="dxa"/>
            <w:vAlign w:val="bottom"/>
          </w:tcPr>
          <w:p>
            <w:pPr>
              <w:jc w:val="center"/>
              <w:ind w:right="1222"/>
              <w:spacing w:after="0"/>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8"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304800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460" w:type="dxa"/>
            <w:vAlign w:val="bottom"/>
          </w:tcPr>
          <w:p>
            <w:pPr>
              <w:jc w:val="center"/>
              <w:ind w:right="440"/>
              <w:spacing w:after="0"/>
              <w:rPr>
                <w:sz w:val="20"/>
                <w:szCs w:val="20"/>
                <w:color w:val="auto"/>
              </w:rPr>
            </w:pPr>
            <w:r>
              <w:rPr>
                <w:rFonts w:ascii="Arial" w:cs="Arial" w:eastAsia="Arial" w:hAnsi="Arial"/>
                <w:sz w:val="18"/>
                <w:szCs w:val="18"/>
                <w:b w:val="1"/>
                <w:bCs w:val="1"/>
                <w:color w:val="auto"/>
                <w:w w:val="89"/>
              </w:rPr>
              <w:t>333-100768</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88-0494875</w:t>
            </w:r>
          </w:p>
        </w:tc>
      </w:tr>
      <w:tr>
        <w:trPr>
          <w:trHeight w:val="180"/>
        </w:trPr>
        <w:tc>
          <w:tcPr>
            <w:tcW w:w="35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(State or other jurisdiction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2"/>
              </w:rPr>
              <w:t>(Commission</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5"/>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3131 Las Vegas Boulevard South</w:t>
            </w: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Las Vegas, Nevada</w:t>
            </w:r>
          </w:p>
        </w:tc>
        <w:tc>
          <w:tcPr>
            <w:tcW w:w="446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460" w:type="dxa"/>
            <w:vAlign w:val="bottom"/>
          </w:tcPr>
          <w:p>
            <w:pPr>
              <w:spacing w:after="0"/>
              <w:rPr>
                <w:sz w:val="18"/>
                <w:szCs w:val="18"/>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0"/>
              </w:rPr>
              <w:t>(702) 770-7555</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408"/>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3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00" w:type="dxa"/>
            <w:vAlign w:val="bottom"/>
          </w:tcPr>
          <w:p>
            <w:pPr>
              <w:spacing w:after="0"/>
              <w:rPr>
                <w:sz w:val="16"/>
                <w:szCs w:val="16"/>
                <w:color w:val="auto"/>
              </w:rPr>
            </w:pPr>
          </w:p>
        </w:tc>
      </w:tr>
    </w:tbl>
    <w:p>
      <w:pPr>
        <w:spacing w:after="0" w:line="20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3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ectPr>
          <w:pgSz w:w="11900" w:h="16838" w:orient="portrait"/>
          <w:cols w:equalWidth="0" w:num="1">
            <w:col w:w="10860"/>
          </w:cols>
          <w:pgMar w:left="240" w:top="747" w:right="79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48"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On February 11, 2016, Wynn Resorts, Limited issued a press release announcing its results of operations for the fourth quarter ended and year ended December 31, 2015. The press release is furnished herewith as Exhibit 99.1. The information in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274"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4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On February 11, 2016, Wynn Resorts, Limited, announced a cash dividend of $0.50 per share of its outstanding common stock. This cash dividend will be payable on March 2, 2016 to stockholders of record on February 23, 2016.</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w w:val="88"/>
              </w:rPr>
              <w:t>Press release, dated February 11, 2016, of Wynn Resorts, Limited.</w:t>
            </w:r>
          </w:p>
        </w:tc>
      </w:tr>
    </w:tbl>
    <w:p>
      <w:pPr>
        <w:sectPr>
          <w:pgSz w:w="11900" w:h="16838" w:orient="portrait"/>
          <w:cols w:equalWidth="0" w:num="1">
            <w:col w:w="11400"/>
          </w:cols>
          <w:pgMar w:left="240" w:top="958" w:right="25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February 11,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796" w:right="879" w:bottom="1440" w:gutter="0" w:footer="0" w:header="0"/>
        </w:sectPr>
      </w:pPr>
    </w:p>
    <w:bookmarkStart w:id="3" w:name="page4"/>
    <w:bookmarkEnd w:id="3"/>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LAS VEGAS, LLC</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February 11, 2016</w:t>
      </w:r>
    </w:p>
    <w:p>
      <w:pPr>
        <w:sectPr>
          <w:pgSz w:w="11900" w:h="16838" w:orient="portrait"/>
          <w:cols w:equalWidth="0" w:num="1">
            <w:col w:w="10780"/>
          </w:cols>
          <w:pgMar w:left="240" w:top="796" w:right="879" w:bottom="1440" w:gutter="0" w:footer="0" w:header="0"/>
        </w:sectPr>
      </w:pPr>
    </w:p>
    <w:p>
      <w:pPr>
        <w:spacing w:after="0" w:line="63"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1060"/>
        <w:spacing w:after="0" w:line="340" w:lineRule="auto"/>
        <w:rPr>
          <w:sz w:val="20"/>
          <w:szCs w:val="20"/>
          <w:color w:val="auto"/>
        </w:rPr>
      </w:pPr>
      <w:r>
        <w:rPr>
          <w:rFonts w:ascii="Arial" w:cs="Arial" w:eastAsia="Arial" w:hAnsi="Arial"/>
          <w:sz w:val="18"/>
          <w:szCs w:val="18"/>
          <w:color w:val="auto"/>
        </w:rPr>
        <w:t>Wynn Las Vegas Holdings, LLC its sole member</w:t>
      </w:r>
    </w:p>
    <w:p>
      <w:pPr>
        <w:spacing w:after="0" w:line="200" w:lineRule="exact"/>
        <w:rPr>
          <w:sz w:val="20"/>
          <w:szCs w:val="20"/>
          <w:color w:val="auto"/>
        </w:rPr>
      </w:pPr>
    </w:p>
    <w:p>
      <w:pPr>
        <w:sectPr>
          <w:pgSz w:w="11900" w:h="16838" w:orient="portrait"/>
          <w:cols w:equalWidth="0" w:num="2">
            <w:col w:w="6920" w:space="440"/>
            <w:col w:w="3420"/>
          </w:cols>
          <w:pgMar w:left="240" w:top="796" w:right="879" w:bottom="1440" w:gutter="0" w:footer="0" w:header="0"/>
          <w:type w:val="continuous"/>
        </w:sectPr>
      </w:pPr>
    </w:p>
    <w:p>
      <w:pPr>
        <w:spacing w:after="0" w:line="51"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Wynn America, LLC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6920" w:space="440"/>
            <w:col w:w="3420"/>
          </w:cols>
          <w:pgMar w:left="240" w:top="796" w:right="879" w:bottom="1440" w:gutter="0" w:footer="0" w:header="0"/>
          <w:type w:val="continuous"/>
        </w:sectPr>
      </w:pPr>
    </w:p>
    <w:p>
      <w:pPr>
        <w:spacing w:after="0" w:line="160"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1260"/>
        <w:spacing w:after="0" w:line="340" w:lineRule="auto"/>
        <w:rPr>
          <w:sz w:val="20"/>
          <w:szCs w:val="20"/>
          <w:color w:val="auto"/>
        </w:rPr>
      </w:pPr>
      <w:r>
        <w:rPr>
          <w:rFonts w:ascii="Arial" w:cs="Arial" w:eastAsia="Arial" w:hAnsi="Arial"/>
          <w:sz w:val="18"/>
          <w:szCs w:val="18"/>
          <w:color w:val="auto"/>
        </w:rPr>
        <w:t>Wynn Resorts Holdings, LLC its sole member</w:t>
      </w:r>
    </w:p>
    <w:p>
      <w:pPr>
        <w:spacing w:after="0" w:line="200" w:lineRule="exact"/>
        <w:rPr>
          <w:sz w:val="20"/>
          <w:szCs w:val="20"/>
          <w:color w:val="auto"/>
        </w:rPr>
      </w:pPr>
    </w:p>
    <w:p>
      <w:pPr>
        <w:sectPr>
          <w:pgSz w:w="11900" w:h="16838" w:orient="portrait"/>
          <w:cols w:equalWidth="0" w:num="2">
            <w:col w:w="6920" w:space="440"/>
            <w:col w:w="3420"/>
          </w:cols>
          <w:pgMar w:left="240" w:top="796" w:right="879" w:bottom="1440" w:gutter="0" w:footer="0" w:header="0"/>
          <w:type w:val="continuous"/>
        </w:sectPr>
      </w:pPr>
    </w:p>
    <w:p>
      <w:pPr>
        <w:spacing w:after="0" w:line="51"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Wynn Resorts, Limited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6920" w:space="440"/>
            <w:col w:w="3420"/>
          </w:cols>
          <w:pgMar w:left="240" w:top="796" w:right="87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6660"/>
        <w:spacing w:after="0"/>
        <w:tabs>
          <w:tab w:leader="none" w:pos="73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53975</wp:posOffset>
            </wp:positionV>
            <wp:extent cx="267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0780"/>
          </w:cols>
          <w:pgMar w:left="240" w:top="796" w:right="879" w:bottom="1440" w:gutter="0" w:footer="0" w:header="0"/>
          <w:type w:val="continuous"/>
        </w:sectPr>
      </w:pPr>
    </w:p>
    <w:p>
      <w:pPr>
        <w:spacing w:after="0" w:line="98"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0780"/>
          </w:cols>
          <w:pgMar w:left="240" w:top="796" w:right="87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00" w:type="dxa"/>
            <w:vAlign w:val="bottom"/>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3"/>
              </w:rPr>
              <w:t>Press release, dated February 11, 2016, of Wynn Resorts, Limited.</w:t>
            </w:r>
          </w:p>
        </w:tc>
      </w:tr>
    </w:tbl>
    <w:p>
      <w:pPr>
        <w:sectPr>
          <w:pgSz w:w="11900" w:h="16838" w:orient="portrait"/>
          <w:cols w:equalWidth="0" w:num="1">
            <w:col w:w="10179"/>
          </w:cols>
          <w:pgMar w:left="280" w:top="796"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Fourth Quarter and Year End 2015 Results</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LAS VEGAS, February 11, 2016 — Wynn Resorts, Limited (Nasdaq: WYNN) today reported financial results for the fourth quarter and year ended December 31, 2015.</w:t>
      </w:r>
    </w:p>
    <w:p>
      <w:pPr>
        <w:spacing w:after="0" w:line="170"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Net revenues for the fourth quarter of 2015 were $946.9 million, compared to $1,138.0 million in the fourth quarter of 2014. The decline was the result of a 27.0% net revenue decrease from our Macau Operations, partially offset by a 3.8% increase in net revenues from our Las Vegas Operations. Adjusted property EBITDA (1) was $287.5 million for the fourth quarter of 2015, an 18.4% decrease from $352.5 million in the fourth quarter of 2014.</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For the full year, net revenues were $4,075.9 million in 2015, down 25.0% from $5,433.7 million in 2014. Adjusted property EBITDA declined 33.1% to</w:t>
      </w:r>
    </w:p>
    <w:p>
      <w:pPr>
        <w:spacing w:after="0" w:line="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$1,185.8 million in 2015. Adjusted property EBITDA in 2015 decreased 43.7% to $708.6 million at our Macau Operations and 7.4% to $477.2 million at our Las Vegas Operations.</w:t>
      </w:r>
    </w:p>
    <w:p>
      <w:pPr>
        <w:spacing w:after="0" w:line="18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On a US GAAP basis, net income attributable to Wynn Resorts, Limited for the fourth quarter of 2015 was $87.2 million, or $0.86 per diluted share, compared to $109.3 million, or $1.07 per diluted share, in the fourth quarter of 2014.</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Adjusted net income attributable to Wynn Resorts, Limited (2) in the fourth quarter of 2015 was $104.1 million, or $1.03 per diluted share, compared to $122.4 million, or $1.20 per diluted share, in the fourth quarter of 2014.</w:t>
      </w:r>
    </w:p>
    <w:p>
      <w:pPr>
        <w:spacing w:after="0" w:line="170"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Wynn Resorts, Limited also announced today that the Company has approved a cash dividend for the quarter of $0.50 per common share. This dividend will be payable on March 2, 2016, to stockholders of record on February 23,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 the fourth quarter of 2015, net revenues were $555.7 million, a 27.0% decrease from the $761.2 million generated in the fourth quarter of 2014. Adjusted property EBITDA in the fourth quarter of 2015 was $160.1 million, down 33.6% from $241.2 million in the fourth quarter of 2014.</w:t>
      </w:r>
    </w:p>
    <w:p>
      <w:pPr>
        <w:spacing w:after="0" w:line="14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Table games turnover in the VIP segment was $13.0 billion for the fourth quarter of 2015, a 36.9% decrease from $20.7 billion in the fourth quarter of 2014. VIP table games win as a percentage of turnover (calculated before commissions) for the quarter was 2.60%, below the expected range of 2.7% to 3.0% and below the 2.80% experienced in the fourth quarter of 2014. The average number of VIP tables decreased to 192 units in the fourth quarter of 2015 from 244 units in the prior year's fourth quarter.</w:t>
      </w:r>
    </w:p>
    <w:p>
      <w:pPr>
        <w:spacing w:after="0" w:line="187"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Commencing in the second quarter of 2015, the Company included the amount of cash that is deposited in a gaming table's drop box plus cash chips purchased at the casino cage in the calculation of table drop in accordance with standard Macau industry practice. Table drop in the mass market segment was $1,185.5 million in the fourth quarter of 2015, down 10.9% from the 2014 fourth quarter. Table games win in the mass market segment decreased by 8.2% to $228.6 million in the fourth quarter of 2015. The mass market win percentage of 19.3% in the fourth quarter of 2015 increased from the 18.7% experienced in the fourth quarter of 2014.</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Slot machine handle for the fourth quarter of 2015 declined 4.7% from the 2014 period to $1,069.3 million, and slot win decreased by 9.8% to $50.4 million.</w:t>
      </w:r>
    </w:p>
    <w:p>
      <w:pPr>
        <w:spacing w:after="0" w:line="24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For the fourth quarter of 2015, total non-casino revenues, before promotional allowances, decreased 21.2% during the quarter to $75.6 million. We achieved an average daily rate ("ADR") of $323, down 2.7% compared to the $332 in the 2014 fourth quarter. Occupancy at Wynn Macau was 96.3%, down from 98.6% in the prior-year period. Revenue per available room ("REVPAR") decreased 5.2% to $311 in the 2015 quarter from $328 in last year’s fourth quarter.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the fourth quarter of 2015, net revenues were $391.2 million, a 3.8% increase from $376.8 million in the fourth quarter of 2014. Adjusted property EBITDA in the fourth quarter of 2015 was $127.4 million, up 14.5% from $111.2 million in the fourth quarter of 2014.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Net casino revenues in the fourth quarter of 2015 were flat at $170.9 million, compared to the fourth quarter of 2014 at $171.0 million. Table games drop</w:t>
      </w:r>
    </w:p>
    <w:p>
      <w:pPr>
        <w:spacing w:after="0" w:line="46"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of $485.7 million was down 24.0% from $639.0 million in the 2014 quarter. Table games win percentage was 28.7%, above the property’s expected range of 21% to 25% and above the 24.0% in the 2014 quarter. Slot machine handle of $730.7 million was 5.1% below the $769.8 million in the comparable period of 2014, and slot win was up 11.0% to $52.6 million.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For the fourth quarter of 2015, total non-casino revenues, before promotional allowances, increased 2.7% from the fourth quarter of 2014 to $263.0 million.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Room revenues increased 6.7% to $101.9 million during the quarter, versus $95.5 million in the fourth quarter of 2014. Occupancy decreased to</w:t>
      </w:r>
    </w:p>
    <w:p>
      <w:pPr>
        <w:spacing w:after="0" w:line="3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81.1% from 82.1% and ADR increased 7.7% to $292 from $271. REVPAR was $237 in the 2015 fourth quarter, 6.8% above the $222 reported in the prior-year quarter.</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Food and beverage revenues in the fourth quarter of 2015 were $101.1 million, down 2.1% compared to the 2014 fourth quarter. Entertainment, retail and other revenues increased 4.5% to $60.0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Palace Project in Macau</w:t>
      </w:r>
    </w:p>
    <w:p>
      <w:pPr>
        <w:spacing w:after="0" w:line="22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Company is currently constructing Wynn Palace, a fully integrated resort featuring a 1,700-room hotel, a performance lake, and a wide range of amenities, including meeting, retail, food-and-beverage, and gaming space, in the Cotai area of Macau. In July 2013, we signed a $2.6 billion guaranteed maximum price (GMP) contract for the project’s construction. The total project budget, including construction costs, capitalized interest, pre-opening expenses, land costs and financing fees, is approximately $4.1 billion.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During the fourth quarter of 2015, we invested approximately $433.4 million in our Cotai project, taking the total investment to date to $3.5 billion.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Project in Massachusetts</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November 2014, we were awarded a gaming license to develop and construct an integrated resort in Everett, Massachusetts, adjacent to Boston. The resort will be located on a 33-acre site along the Mystic River. The resort will contain a hotel, a waterfront boardwalk, meeting space, a casino, a spa, retail offerings, and food-and-beverage outlets. During the fourth quarter of 2015, we began site remediation, site preparation and pre-construction activities.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Other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and investment securities at December 31, 2015 totaled $2.3 billion.</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debt outstanding at the end of the quarter was $9.2 billion, including $4.1 billion of Wynn Macau debt, $3.2 billion of Wynn Las Vegas debt and $1.9 billion of debt at the parent company and other.</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2015 year-end close process, the Company identified a $33.8 million decrease in the fair value of the Redemption Note, resulting in an increase to net income attributable to Wynn Resorts, Limited of $22.4 million that should have been recorded during the three months ended September 30, 2015. While the Company determined these amounts were immaterial, considering both quantitative and qualitative factors, it has elected to revise the amounts in the three months ended September 30, 2015, and will include disclosure of the adjustments in the Company’s Annual Report on Form 10-K for the year ended December 31, 2015. These non-cash amounts do not affect the Consolidated Statements of Operations for the year ended December 31, 2015 or adjusted property EBITDA, adjusted net income attributable to Wynn Resorts, Limited or adjusted net income per diluted share for the three months ended September 30, 2015 and December 31,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will hold a conference call to discuss its results on February 11, 2016 at 1:30 p.m. PT (4:30 p.m. ET). Interested parties are invited to join the call by accessing a live audio webcast at http://www.wynnresorts.com.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statements are subject to a number of risks and uncertainties that could cause actual results to differ materially from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7" w:name="page8"/>
    <w:bookmarkEnd w:id="7"/>
    <w:p>
      <w:pPr>
        <w:spacing w:after="0" w:line="272" w:lineRule="auto"/>
        <w:rPr>
          <w:sz w:val="20"/>
          <w:szCs w:val="20"/>
          <w:color w:val="auto"/>
        </w:rPr>
      </w:pPr>
      <w:r>
        <w:rPr>
          <w:rFonts w:ascii="Arial" w:cs="Arial" w:eastAsia="Arial" w:hAnsi="Arial"/>
          <w:sz w:val="17"/>
          <w:szCs w:val="17"/>
          <w:color w:val="auto"/>
        </w:rPr>
        <w:t>those we express in these forward-looking statements, including, but not limited to, our dependence on existing management, results of regulatory or enforcement actions and probity investigations, pending or future legal proceedings, uncertainties over the development and success of new gaming and resort properties, adverse tourism trends, general global macroeconomic conditions, changes in gaming laws or regulations, volatility and weakness in world-wide credit and financial markets, and our substantial indebtedness and leverage. Additional information concerning potential factors that could affect the Company’s financial results is included in the Company’s Annual Report on Form 10-K for the year ended December 31, 2014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40" w:firstLine="8"/>
        <w:spacing w:after="0" w:line="285"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property EBITDA” is net income before interest, taxes, depreciation and amortization, pre-opening costs, property charges and other, management and license fees, corporate expenses and other, intercompany golf course and water rights leases, stock-based compensation, loss on extinguishment of debt, change in interest rate swap fair value, change in Redemption Note fair value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75" w:lineRule="exact"/>
        <w:rPr>
          <w:rFonts w:ascii="Arial" w:cs="Arial" w:eastAsia="Arial" w:hAnsi="Arial"/>
          <w:sz w:val="16"/>
          <w:szCs w:val="16"/>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net income attributable to Wynn Resorts, Limited" is net income before pre-opening costs, loss on extinguishment of debt, change in interest</w:t>
      </w:r>
    </w:p>
    <w:p>
      <w:pPr>
        <w:spacing w:after="0" w:line="46" w:lineRule="exact"/>
        <w:rPr>
          <w:rFonts w:ascii="Arial" w:cs="Arial" w:eastAsia="Arial" w:hAnsi="Arial"/>
          <w:sz w:val="16"/>
          <w:szCs w:val="16"/>
          <w:color w:val="auto"/>
        </w:rPr>
      </w:pPr>
    </w:p>
    <w:p>
      <w:pPr>
        <w:ind w:right="20"/>
        <w:spacing w:after="0" w:line="269" w:lineRule="auto"/>
        <w:rPr>
          <w:rFonts w:ascii="Arial" w:cs="Arial" w:eastAsia="Arial" w:hAnsi="Arial"/>
          <w:sz w:val="16"/>
          <w:szCs w:val="16"/>
          <w:color w:val="auto"/>
        </w:rPr>
      </w:pPr>
      <w:r>
        <w:rPr>
          <w:rFonts w:ascii="Arial" w:cs="Arial" w:eastAsia="Arial" w:hAnsi="Arial"/>
          <w:sz w:val="17"/>
          <w:szCs w:val="17"/>
          <w:color w:val="auto"/>
        </w:rPr>
        <w:t>rate swap fair value, change in Redemption Note fair value, and property charges and other, net of noncontrolling interest and taxes in respective jurisdictions. Adjusted net income attributable to Wynn Resorts, Limited and adjusted net income attributable to Wynn Resorts, Limited per diluted share (“adjusted EPS”) are presented as supplemental disclosures because management believes that these non-GAAP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attributable to Wynn Resorts, Limited to adjusted net income attributable to Wynn Resorts, Limited, (ii) operating income to adjusted property EBITDA, and (iii) adjusted property EBITDA to net income attributable to Wynn Resorts,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280" w:type="dxa"/>
            <w:vAlign w:val="bottom"/>
          </w:tcPr>
          <w:p>
            <w:pPr>
              <w:spacing w:after="0"/>
              <w:rPr>
                <w:sz w:val="16"/>
                <w:szCs w:val="16"/>
                <w:color w:val="auto"/>
              </w:rPr>
            </w:pPr>
          </w:p>
        </w:tc>
        <w:tc>
          <w:tcPr>
            <w:tcW w:w="278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w w:val="98"/>
              </w:rPr>
              <w:t>Twelve Months Ended December 31,</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692,098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884,664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2,932,419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4,274,221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133,073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129,197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542,762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119,768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128,025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597,080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604,701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85,779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350,622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401,181</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1,030,718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1,236,656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4,418,621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5,822,865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(83,816)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(342,738)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(389,204)</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946,902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1,137,975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4,075,883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5,433,661</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426,932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554,583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1,862,687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2,667,013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149,009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148,338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72,727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70,353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361,246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337,206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157,432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163,754</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112,247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125,833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464,793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492,464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(benefit)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25,190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15,354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77,623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30,146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77,201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322,629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314,119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6,572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10,535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10,437</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795,042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922,445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3,417,069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4,167,383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151,860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215,530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658,814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1,266,278</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2,574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20,441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capitalized interest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(315,062)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Change in swap fair value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(4,393)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Redemption Note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(126,004)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(9,569)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(63,256)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(369,567)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(307,416)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88,604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136,150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289,247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958,862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16,190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3,782</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104,794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148,193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281,524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962,644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(231,090)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87,221</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109,346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195,290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731,554</w:t>
            </w: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income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Net income attributable to Wynn Resorts, Limited:</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w:t>
            </w: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101,200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101,010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101,163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100,927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101,459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101,931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6.25</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9" w:name="page10"/>
    <w:bookmarkEnd w:id="9"/>
    <w:p>
      <w:pPr>
        <w:jc w:val="center"/>
        <w:spacing w:after="0" w:line="261" w:lineRule="auto"/>
        <w:rPr>
          <w:sz w:val="20"/>
          <w:szCs w:val="20"/>
          <w:color w:val="auto"/>
        </w:rPr>
      </w:pPr>
      <w:r>
        <w:rPr>
          <w:rFonts w:ascii="Arial" w:cs="Arial" w:eastAsia="Arial" w:hAnsi="Arial"/>
          <w:sz w:val="18"/>
          <w:szCs w:val="18"/>
          <w:b w:val="1"/>
          <w:bCs w:val="1"/>
          <w:color w:val="auto"/>
        </w:rPr>
        <w:t>WYNN RESORTS, LIMITED AND SUBSIDIARIES RECONCILIATION OF NET INCOME ATTRIBUTABLE TO WYNN RESORTS, LIMITED TO ADJUSTED NET INCOME ATTRIBUTABLE TO WYNN RESORTS, LIMITED (in thousands, except per share data)</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280" w:type="dxa"/>
            <w:vAlign w:val="bottom"/>
          </w:tcPr>
          <w:p>
            <w:pPr>
              <w:spacing w:after="0"/>
              <w:rPr>
                <w:sz w:val="16"/>
                <w:szCs w:val="16"/>
                <w:color w:val="auto"/>
              </w:rPr>
            </w:pPr>
          </w:p>
        </w:tc>
        <w:tc>
          <w:tcPr>
            <w:tcW w:w="27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w w:val="98"/>
              </w:rPr>
              <w:t>Twelve Months Ended December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87,221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109,346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195,290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731,554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 net</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19,395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11,927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62,305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22,613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 net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125,434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7,894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Change in swap fair value,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Redemption Note fair value,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 net</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2,458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7,039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Wynn Resorts, Limited (2)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104,084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122,445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349,622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772,275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2"/>
              </w:rPr>
              <w:t>Adjusted net income attributable to Wynn Resorts, Limited per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60" w:type="dxa"/>
            <w:vAlign w:val="bottom"/>
            <w:vMerge w:val="continue"/>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33"/>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13"/>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w:t>
            </w:r>
          </w:p>
        </w:tc>
        <w:tc>
          <w:tcPr>
            <w:tcW w:w="2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101,459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101,935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101,671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101,931</w:t>
            </w:r>
          </w:p>
        </w:tc>
        <w:tc>
          <w:tcPr>
            <w:tcW w:w="0" w:type="dxa"/>
            <w:vAlign w:val="bottom"/>
          </w:tcPr>
          <w:p>
            <w:pPr>
              <w:spacing w:after="0"/>
              <w:rPr>
                <w:sz w:val="1"/>
                <w:szCs w:val="1"/>
                <w:color w:val="auto"/>
              </w:rPr>
            </w:pPr>
          </w:p>
        </w:tc>
      </w:tr>
      <w:tr>
        <w:trPr>
          <w:trHeight w:val="702"/>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8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ADJUSTED PROPERTY EBITDA TO NET 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December 31, 2015</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Macau</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Las Vegas</w:t>
            </w: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Corporate</w:t>
            </w:r>
          </w:p>
        </w:tc>
        <w:tc>
          <w:tcPr>
            <w:tcW w:w="360" w:type="dxa"/>
            <w:vAlign w:val="bottom"/>
          </w:tcPr>
          <w:p>
            <w:pPr>
              <w:spacing w:after="0"/>
              <w:rPr>
                <w:sz w:val="13"/>
                <w:szCs w:val="13"/>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Operations</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Operations</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and Other</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78,912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60,072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151,860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20,830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4,360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25,190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45,277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77,201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1,983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6,572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license fees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4,755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4,922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7,116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16,793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160,068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127,383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287,451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December 31, 2014</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Macau</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Las Vegas</w:t>
            </w: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Corporate</w:t>
            </w:r>
          </w:p>
        </w:tc>
        <w:tc>
          <w:tcPr>
            <w:tcW w:w="360" w:type="dxa"/>
            <w:vAlign w:val="bottom"/>
          </w:tcPr>
          <w:p>
            <w:pPr>
              <w:spacing w:after="0"/>
              <w:rPr>
                <w:sz w:val="13"/>
                <w:szCs w:val="13"/>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Operations</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Operations</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and Other</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157,608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215,530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7,164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3,940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15,354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32,814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45,530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80,082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license fees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6,936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6,862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14,315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28,113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16,440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241,224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111,234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352,458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352,458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(15,354)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(80,082)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(16,440)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 net of capitalized interest</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(73,608)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(78,993)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swap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Decrease in Redemption Note fair value</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4,553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104,794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148,193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(38,847)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87,221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109,346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96"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ADJUSTED PROPERTY EBITDA TO NET INCOME ATTRIBUTABLE TO WYNN RESORTS, LIMITED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Twelve Months Ended December 31, 2015</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Macau</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Las Vegas</w:t>
            </w:r>
          </w:p>
        </w:tc>
        <w:tc>
          <w:tcPr>
            <w:tcW w:w="280" w:type="dxa"/>
            <w:vAlign w:val="bottom"/>
          </w:tcPr>
          <w:p>
            <w:pPr>
              <w:spacing w:after="0"/>
              <w:rPr>
                <w:sz w:val="13"/>
                <w:szCs w:val="13"/>
                <w:color w:val="auto"/>
              </w:rPr>
            </w:pPr>
          </w:p>
        </w:tc>
        <w:tc>
          <w:tcPr>
            <w:tcW w:w="13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Corporate</w:t>
            </w:r>
          </w:p>
        </w:tc>
        <w:tc>
          <w:tcPr>
            <w:tcW w:w="360" w:type="dxa"/>
            <w:vAlign w:val="bottom"/>
          </w:tcPr>
          <w:p>
            <w:pPr>
              <w:spacing w:after="0"/>
              <w:rPr>
                <w:sz w:val="13"/>
                <w:szCs w:val="13"/>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Operations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Operations</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and Other</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386,255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218,866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658,814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55,058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22,565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77,623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130,565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181,981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322,629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4,568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10,535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license fees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94,271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22,206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21,469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32,404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76,079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38,286</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708,623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477,166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1,185,789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Twelve Months Ended December 31, 2014</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Macau</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Las Vegas</w:t>
            </w:r>
          </w:p>
        </w:tc>
        <w:tc>
          <w:tcPr>
            <w:tcW w:w="280" w:type="dxa"/>
            <w:vAlign w:val="bottom"/>
          </w:tcPr>
          <w:p>
            <w:pPr>
              <w:spacing w:after="0"/>
              <w:rPr>
                <w:sz w:val="13"/>
                <w:szCs w:val="13"/>
                <w:color w:val="auto"/>
              </w:rPr>
            </w:pPr>
          </w:p>
        </w:tc>
        <w:tc>
          <w:tcPr>
            <w:tcW w:w="13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Corporate</w:t>
            </w:r>
          </w:p>
        </w:tc>
        <w:tc>
          <w:tcPr>
            <w:tcW w:w="360" w:type="dxa"/>
            <w:vAlign w:val="bottom"/>
          </w:tcPr>
          <w:p>
            <w:pPr>
              <w:spacing w:after="0"/>
              <w:rPr>
                <w:sz w:val="13"/>
                <w:szCs w:val="13"/>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Operations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Operations</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and Other</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895,176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270,489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100,613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1,266,278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21,956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3,940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30,146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128,428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179,394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314,119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15,352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10,437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license fees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148,039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36,207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36,621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38,967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111,795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39,154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1,258,082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515,196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1,773,278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1,185,789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1,773,278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(77,623)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(30,146)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(322,629)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(314,119)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(10,437)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(111,795)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(39,154)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20,441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 net of capitalized interest</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(300,906)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(315,062)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swap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Decrease in Redemption Note fair value</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52,041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281,524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962,644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(231,090)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195,290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731,554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0" w:right="239" w:bottom="1440" w:gutter="0" w:footer="0" w:header="0"/>
          <w:type w:val="continuous"/>
        </w:sectPr>
      </w:pPr>
    </w:p>
    <w:bookmarkStart w:id="12" w:name="page13"/>
    <w:bookmarkEnd w:id="12"/>
    <w:p>
      <w:pPr>
        <w:jc w:val="center"/>
        <w:ind w:right="40"/>
        <w:spacing w:after="0" w:line="266"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December 31,</w:t>
            </w:r>
          </w:p>
        </w:tc>
        <w:tc>
          <w:tcPr>
            <w:tcW w:w="360" w:type="dxa"/>
            <w:vAlign w:val="bottom"/>
          </w:tcPr>
          <w:p>
            <w:pPr>
              <w:spacing w:after="0"/>
              <w:rPr>
                <w:sz w:val="16"/>
                <w:szCs w:val="16"/>
                <w:color w:val="auto"/>
              </w:rPr>
            </w:pPr>
          </w:p>
        </w:tc>
        <w:tc>
          <w:tcPr>
            <w:tcW w:w="306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Twelve Months Ended December 31,</w:t>
            </w:r>
          </w:p>
        </w:tc>
      </w:tr>
      <w:tr>
        <w:trPr>
          <w:trHeight w:val="264"/>
        </w:trPr>
        <w:tc>
          <w:tcPr>
            <w:tcW w:w="45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2014</w:t>
            </w: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380"/>
              <w:spacing w:after="0"/>
              <w:rPr>
                <w:sz w:val="20"/>
                <w:szCs w:val="20"/>
                <w:color w:val="auto"/>
              </w:rPr>
            </w:pPr>
            <w:r>
              <w:rPr>
                <w:rFonts w:ascii="Arial" w:cs="Arial" w:eastAsia="Arial" w:hAnsi="Arial"/>
                <w:sz w:val="18"/>
                <w:szCs w:val="18"/>
                <w:b w:val="1"/>
                <w:bCs w:val="1"/>
                <w:color w:val="auto"/>
              </w:rPr>
              <w:t>VIP</w:t>
            </w: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259</w:t>
            </w:r>
          </w:p>
        </w:tc>
      </w:tr>
      <w:tr>
        <w:trPr>
          <w:trHeight w:val="243"/>
        </w:trPr>
        <w:tc>
          <w:tcPr>
            <w:tcW w:w="450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13,033,946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20,653,190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57,917,060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108,077,342</w:t>
            </w:r>
          </w:p>
        </w:tc>
      </w:tr>
      <w:tr>
        <w:trPr>
          <w:trHeight w:val="27"/>
        </w:trPr>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339,033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578,898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1,659,683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3,051,046</w:t>
            </w:r>
          </w:p>
        </w:tc>
      </w:tr>
      <w:tr>
        <w:trPr>
          <w:trHeight w:val="243"/>
        </w:trPr>
        <w:tc>
          <w:tcPr>
            <w:tcW w:w="450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
        </w:trPr>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 (a)</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19,159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25,807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19,785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32,258</w:t>
            </w:r>
          </w:p>
        </w:tc>
      </w:tr>
      <w:tr>
        <w:trPr>
          <w:trHeight w:val="243"/>
        </w:trPr>
        <w:tc>
          <w:tcPr>
            <w:tcW w:w="4500" w:type="dxa"/>
            <w:vAlign w:val="bottom"/>
          </w:tcPr>
          <w:p>
            <w:pPr>
              <w:ind w:left="380"/>
              <w:spacing w:after="0"/>
              <w:rPr>
                <w:sz w:val="20"/>
                <w:szCs w:val="20"/>
                <w:color w:val="auto"/>
              </w:rPr>
            </w:pPr>
            <w:r>
              <w:rPr>
                <w:rFonts w:ascii="Arial" w:cs="Arial" w:eastAsia="Arial" w:hAnsi="Arial"/>
                <w:sz w:val="18"/>
                <w:szCs w:val="18"/>
                <w:b w:val="1"/>
                <w:bCs w:val="1"/>
                <w:color w:val="auto"/>
              </w:rPr>
              <w:t>Mass market</w:t>
            </w: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202</w:t>
            </w:r>
          </w:p>
        </w:tc>
      </w:tr>
      <w:tr>
        <w:trPr>
          <w:trHeight w:val="243"/>
        </w:trPr>
        <w:tc>
          <w:tcPr>
            <w:tcW w:w="4500" w:type="dxa"/>
            <w:vAlign w:val="bottom"/>
          </w:tcPr>
          <w:p>
            <w:pPr>
              <w:ind w:left="600"/>
              <w:spacing w:after="0"/>
              <w:rPr>
                <w:sz w:val="20"/>
                <w:szCs w:val="20"/>
                <w:color w:val="auto"/>
              </w:rPr>
            </w:pPr>
            <w:r>
              <w:rPr>
                <w:rFonts w:ascii="Arial" w:cs="Arial" w:eastAsia="Arial" w:hAnsi="Arial"/>
                <w:sz w:val="18"/>
                <w:szCs w:val="18"/>
                <w:color w:val="auto"/>
              </w:rPr>
              <w:t>Table drop (b)</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1,185,535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1,330,694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4,857,804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5,517,382</w:t>
            </w:r>
          </w:p>
        </w:tc>
      </w:tr>
      <w:tr>
        <w:trPr>
          <w:trHeight w:val="27"/>
        </w:trPr>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228,581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249,021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951,458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1,187,997</w:t>
            </w:r>
          </w:p>
        </w:tc>
      </w:tr>
      <w:tr>
        <w:trPr>
          <w:trHeight w:val="243"/>
        </w:trPr>
        <w:tc>
          <w:tcPr>
            <w:tcW w:w="450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 (a)</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9,965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13,434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11,431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16,154</w:t>
            </w:r>
          </w:p>
        </w:tc>
      </w:tr>
      <w:tr>
        <w:trPr>
          <w:trHeight w:val="297"/>
        </w:trPr>
        <w:tc>
          <w:tcPr>
            <w:tcW w:w="4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679</w:t>
            </w:r>
          </w:p>
        </w:tc>
      </w:tr>
      <w:tr>
        <w:trPr>
          <w:trHeight w:val="243"/>
        </w:trPr>
        <w:tc>
          <w:tcPr>
            <w:tcW w:w="450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1,069,297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1,122,510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3,961,115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5,415,127</w:t>
            </w:r>
          </w:p>
        </w:tc>
      </w:tr>
      <w:tr>
        <w:trPr>
          <w:trHeight w:val="27"/>
        </w:trPr>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50,373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55,860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191,164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264,763</w:t>
            </w:r>
          </w:p>
        </w:tc>
      </w:tr>
      <w:tr>
        <w:trPr>
          <w:trHeight w:val="243"/>
        </w:trPr>
        <w:tc>
          <w:tcPr>
            <w:tcW w:w="4500" w:type="dxa"/>
            <w:vAlign w:val="bottom"/>
          </w:tcPr>
          <w:p>
            <w:pPr>
              <w:ind w:left="600"/>
              <w:spacing w:after="0"/>
              <w:rPr>
                <w:sz w:val="20"/>
                <w:szCs w:val="20"/>
                <w:color w:val="auto"/>
              </w:rPr>
            </w:pPr>
            <w:r>
              <w:rPr>
                <w:rFonts w:ascii="Arial" w:cs="Arial" w:eastAsia="Arial" w:hAnsi="Arial"/>
                <w:sz w:val="18"/>
                <w:szCs w:val="18"/>
                <w:color w:val="auto"/>
              </w:rPr>
              <w:t>Slot machine win per unit per day (c)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1,068</w:t>
            </w:r>
          </w:p>
        </w:tc>
      </w:tr>
      <w:tr>
        <w:trPr>
          <w:trHeight w:val="27"/>
        </w:trPr>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97"/>
        </w:trPr>
        <w:tc>
          <w:tcPr>
            <w:tcW w:w="45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4500" w:type="dxa"/>
            <w:vAlign w:val="bottom"/>
          </w:tcPr>
          <w:p>
            <w:pPr>
              <w:ind w:left="380"/>
              <w:spacing w:after="0"/>
              <w:rPr>
                <w:sz w:val="20"/>
                <w:szCs w:val="20"/>
                <w:color w:val="auto"/>
              </w:rPr>
            </w:pPr>
            <w:r>
              <w:rPr>
                <w:rFonts w:ascii="Arial" w:cs="Arial" w:eastAsia="Arial" w:hAnsi="Arial"/>
                <w:sz w:val="18"/>
                <w:szCs w:val="18"/>
                <w:b w:val="1"/>
                <w:bCs w:val="1"/>
                <w:color w:val="auto"/>
              </w:rPr>
              <w:t>Room statistics</w:t>
            </w: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Occupancy</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43"/>
        </w:trPr>
        <w:tc>
          <w:tcPr>
            <w:tcW w:w="4500" w:type="dxa"/>
            <w:vAlign w:val="bottom"/>
          </w:tcPr>
          <w:p>
            <w:pPr>
              <w:ind w:left="600"/>
              <w:spacing w:after="0"/>
              <w:rPr>
                <w:sz w:val="20"/>
                <w:szCs w:val="20"/>
                <w:color w:val="auto"/>
              </w:rPr>
            </w:pPr>
            <w:r>
              <w:rPr>
                <w:rFonts w:ascii="Arial" w:cs="Arial" w:eastAsia="Arial" w:hAnsi="Arial"/>
                <w:sz w:val="18"/>
                <w:szCs w:val="18"/>
                <w:color w:val="auto"/>
              </w:rPr>
              <w:t>ADR (d)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333</w:t>
            </w:r>
          </w:p>
        </w:tc>
      </w:tr>
      <w:tr>
        <w:trPr>
          <w:trHeight w:val="27"/>
        </w:trPr>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REVPAR (e)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327</w:t>
            </w:r>
          </w:p>
        </w:tc>
      </w:tr>
      <w:tr>
        <w:trPr>
          <w:trHeight w:val="297"/>
        </w:trPr>
        <w:tc>
          <w:tcPr>
            <w:tcW w:w="4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232</w:t>
            </w:r>
          </w:p>
        </w:tc>
      </w:tr>
      <w:tr>
        <w:trPr>
          <w:trHeight w:val="27"/>
        </w:trPr>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drop (b)</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485,652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639,028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2,060,189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2,556,452</w:t>
            </w:r>
          </w:p>
        </w:tc>
      </w:tr>
      <w:tr>
        <w:trPr>
          <w:trHeight w:val="243"/>
        </w:trPr>
        <w:tc>
          <w:tcPr>
            <w:tcW w:w="450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139,273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153,247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490,920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623,968</w:t>
            </w:r>
          </w:p>
        </w:tc>
      </w:tr>
      <w:tr>
        <w:trPr>
          <w:trHeight w:val="27"/>
        </w:trPr>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43"/>
        </w:trPr>
        <w:tc>
          <w:tcPr>
            <w:tcW w:w="4500" w:type="dxa"/>
            <w:vAlign w:val="bottom"/>
          </w:tcPr>
          <w:p>
            <w:pPr>
              <w:ind w:left="600"/>
              <w:spacing w:after="0"/>
              <w:rPr>
                <w:sz w:val="20"/>
                <w:szCs w:val="20"/>
                <w:color w:val="auto"/>
              </w:rPr>
            </w:pPr>
            <w:r>
              <w:rPr>
                <w:rFonts w:ascii="Arial" w:cs="Arial" w:eastAsia="Arial" w:hAnsi="Arial"/>
                <w:sz w:val="18"/>
                <w:szCs w:val="18"/>
                <w:color w:val="auto"/>
              </w:rPr>
              <w:t>Table games win per unit per day (a)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6,651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7,226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5,786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7,354</w:t>
            </w:r>
          </w:p>
        </w:tc>
      </w:tr>
      <w:tr>
        <w:trPr>
          <w:trHeight w:val="27"/>
        </w:trPr>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97"/>
        </w:trPr>
        <w:tc>
          <w:tcPr>
            <w:tcW w:w="45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450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1,858</w:t>
            </w:r>
          </w:p>
        </w:tc>
      </w:tr>
      <w:tr>
        <w:trPr>
          <w:trHeight w:val="27"/>
        </w:trPr>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730,733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769,765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2,969,327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3,008,563</w:t>
            </w:r>
          </w:p>
        </w:tc>
      </w:tr>
      <w:tr>
        <w:trPr>
          <w:trHeight w:val="243"/>
        </w:trPr>
        <w:tc>
          <w:tcPr>
            <w:tcW w:w="450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52,585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47,380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206,626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186,458</w:t>
            </w:r>
          </w:p>
        </w:tc>
      </w:tr>
      <w:tr>
        <w:trPr>
          <w:trHeight w:val="27"/>
        </w:trPr>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 (c)</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275</w:t>
            </w:r>
          </w:p>
        </w:tc>
      </w:tr>
      <w:tr>
        <w:trPr>
          <w:trHeight w:val="297"/>
        </w:trPr>
        <w:tc>
          <w:tcPr>
            <w:tcW w:w="4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Room statistics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7"/>
        </w:trPr>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ADR (d)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274</w:t>
            </w:r>
          </w:p>
        </w:tc>
      </w:tr>
      <w:tr>
        <w:trPr>
          <w:trHeight w:val="243"/>
        </w:trPr>
        <w:tc>
          <w:tcPr>
            <w:tcW w:w="4500" w:type="dxa"/>
            <w:vAlign w:val="bottom"/>
          </w:tcPr>
          <w:p>
            <w:pPr>
              <w:ind w:left="600"/>
              <w:spacing w:after="0"/>
              <w:rPr>
                <w:sz w:val="20"/>
                <w:szCs w:val="20"/>
                <w:color w:val="auto"/>
              </w:rPr>
            </w:pPr>
            <w:r>
              <w:rPr>
                <w:rFonts w:ascii="Arial" w:cs="Arial" w:eastAsia="Arial" w:hAnsi="Arial"/>
                <w:sz w:val="18"/>
                <w:szCs w:val="18"/>
                <w:color w:val="auto"/>
              </w:rPr>
              <w:t>REVPAR (e)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238</w:t>
            </w:r>
          </w:p>
        </w:tc>
      </w:tr>
    </w:tbl>
    <w:p>
      <w:pPr>
        <w:spacing w:after="0" w:line="1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 as applicable.</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Macau, table drop is the amount of cash that is deposited in a gaming table’s drop box plus cash chips purchased at the casino cage. In Las Vegas, table drop is the amount of cash and net markers issued that are deposited in a gaming table’s drop box.</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Slot machine win per unit per day is calculated as gross slot win minus progressive accruals and free play.</w:t>
      </w:r>
    </w:p>
    <w:p>
      <w:pPr>
        <w:sectPr>
          <w:pgSz w:w="11900" w:h="16838" w:orient="portrait"/>
          <w:cols w:equalWidth="0" w:num="1">
            <w:col w:w="11420"/>
          </w:cols>
          <w:pgMar w:left="240" w:top="580"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80" w:right="239" w:bottom="1440" w:gutter="0" w:footer="0" w:header="0"/>
          <w:type w:val="continuous"/>
        </w:sectPr>
      </w:pPr>
    </w:p>
    <w:bookmarkStart w:id="13" w:name="page14"/>
    <w:bookmarkEnd w:id="13"/>
    <w:p>
      <w:pPr>
        <w:ind w:left="340" w:hanging="332"/>
        <w:spacing w:after="0" w:line="25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including the retail value of promotional allowances (less service charges, if any) by total rooms occupied including complimentary rooms.</w:t>
      </w:r>
    </w:p>
    <w:p>
      <w:pPr>
        <w:spacing w:after="0" w:line="1" w:lineRule="exact"/>
        <w:rPr>
          <w:rFonts w:ascii="Arial" w:cs="Arial" w:eastAsia="Arial" w:hAnsi="Arial"/>
          <w:sz w:val="18"/>
          <w:szCs w:val="18"/>
          <w:color w:val="auto"/>
        </w:rPr>
      </w:pPr>
    </w:p>
    <w:p>
      <w:pPr>
        <w:ind w:left="340" w:right="34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including the retail value of promotional allowances (less service charges, if any) by total rooms available.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Strawn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240" w:top="58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2019-12-07T17:08:10Z</dcterms:created>
  <dcterms:modified xsi:type="dcterms:W3CDTF">2019-12-07T17:08:10Z</dcterms:modified>
</cp:coreProperties>
</file>