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Number 333-146360</w:t>
      </w:r>
    </w:p>
    <w:p>
      <w:pPr>
        <w:spacing w:after="0" w:line="198" w:lineRule="exact"/>
        <w:rPr>
          <w:sz w:val="24"/>
          <w:szCs w:val="24"/>
          <w:color w:val="auto"/>
        </w:rPr>
      </w:pPr>
    </w:p>
    <w:p>
      <w:pPr>
        <w:ind w:right="80"/>
        <w:spacing w:after="0" w:line="238" w:lineRule="auto"/>
        <w:rPr>
          <w:sz w:val="20"/>
          <w:szCs w:val="20"/>
          <w:color w:val="auto"/>
        </w:rPr>
      </w:pPr>
      <w:r>
        <w:rPr>
          <w:rFonts w:ascii="Arial" w:cs="Arial" w:eastAsia="Arial" w:hAnsi="Arial"/>
          <w:sz w:val="18"/>
          <w:szCs w:val="18"/>
          <w:color w:val="CC062A"/>
        </w:rPr>
        <w:t>The information in this prospectus supplement is not complete and may be changed. This prospectus supplement and the accompanying prospectus are not an offer to sell these securities and are not soliciting an offer to buy these securities in any jurisdiction where the offer or sale is not permitted.</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dated November 13, 2008</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September 27,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2992755" cy="128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Wynn Resorts, Limited</w:t>
      </w:r>
    </w:p>
    <w:p>
      <w:pPr>
        <w:spacing w:after="0" w:line="159"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5,000,000 Shares</w:t>
      </w:r>
    </w:p>
    <w:p>
      <w:pPr>
        <w:spacing w:after="0" w:line="50"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Common Stock</w:t>
      </w:r>
    </w:p>
    <w:p>
      <w:pPr>
        <w:spacing w:after="0" w:line="239" w:lineRule="exact"/>
        <w:rPr>
          <w:sz w:val="24"/>
          <w:szCs w:val="24"/>
          <w:color w:val="auto"/>
        </w:rPr>
      </w:pPr>
    </w:p>
    <w:p>
      <w:pPr>
        <w:jc w:val="both"/>
        <w:ind w:right="120"/>
        <w:spacing w:after="0" w:line="238" w:lineRule="auto"/>
        <w:rPr>
          <w:sz w:val="20"/>
          <w:szCs w:val="20"/>
          <w:color w:val="auto"/>
        </w:rPr>
      </w:pPr>
      <w:r>
        <w:rPr>
          <w:rFonts w:ascii="Arial" w:cs="Arial" w:eastAsia="Arial" w:hAnsi="Arial"/>
          <w:sz w:val="18"/>
          <w:szCs w:val="18"/>
          <w:color w:val="auto"/>
        </w:rPr>
        <w:t>This is a public offering of common stock of Wynn Resorts, Limited. We are offering 5,000,000 shares of our common stock. Our common stock is quoted on the Nasdaq Global Select Market under the symbol “WYNN.” On November 12, 2008, the last reported sale price of our common stock was $45.25 per share.</w:t>
      </w:r>
    </w:p>
    <w:p>
      <w:pPr>
        <w:spacing w:after="0" w:line="226" w:lineRule="exact"/>
        <w:rPr>
          <w:sz w:val="24"/>
          <w:szCs w:val="24"/>
          <w:color w:val="auto"/>
        </w:rPr>
      </w:pPr>
    </w:p>
    <w:p>
      <w:pPr>
        <w:ind w:right="420"/>
        <w:spacing w:after="0" w:line="261"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common stock involves </w:t>
      </w:r>
      <w:hyperlink w:anchor="page4">
        <w:r>
          <w:rPr>
            <w:rFonts w:ascii="Arial" w:cs="Arial" w:eastAsia="Arial" w:hAnsi="Arial"/>
            <w:sz w:val="22"/>
            <w:szCs w:val="22"/>
            <w:b w:val="1"/>
            <w:bCs w:val="1"/>
            <w:u w:val="single" w:color="auto"/>
            <w:color w:val="0000EE"/>
          </w:rPr>
          <w:t>risks</w:t>
        </w:r>
        <w:r>
          <w:rPr>
            <w:rFonts w:ascii="Arial" w:cs="Arial" w:eastAsia="Arial" w:hAnsi="Arial"/>
            <w:sz w:val="22"/>
            <w:szCs w:val="22"/>
            <w:b w:val="1"/>
            <w:bCs w:val="1"/>
            <w:u w:val="single" w:color="auto"/>
            <w:color w:val="auto"/>
          </w:rPr>
          <w:t xml:space="preserve"> </w:t>
        </w:r>
      </w:hyperlink>
      <w:r>
        <w:rPr>
          <w:rFonts w:ascii="Arial" w:cs="Arial" w:eastAsia="Arial" w:hAnsi="Arial"/>
          <w:sz w:val="22"/>
          <w:szCs w:val="22"/>
          <w:b w:val="1"/>
          <w:bCs w:val="1"/>
          <w:color w:val="auto"/>
        </w:rPr>
        <w:t>that are described beginning on page S-3 and in our periodic reports filed with the Securities and Exchange Commission.</w:t>
      </w:r>
    </w:p>
    <w:p>
      <w:pPr>
        <w:spacing w:after="0" w:line="112" w:lineRule="exact"/>
        <w:rPr>
          <w:sz w:val="24"/>
          <w:szCs w:val="24"/>
          <w:color w:val="auto"/>
        </w:rPr>
      </w:pPr>
    </w:p>
    <w:p>
      <w:pPr>
        <w:ind w:right="200"/>
        <w:spacing w:after="0" w:line="249" w:lineRule="auto"/>
        <w:rPr>
          <w:sz w:val="20"/>
          <w:szCs w:val="20"/>
          <w:color w:val="auto"/>
        </w:rPr>
      </w:pPr>
      <w:r>
        <w:rPr>
          <w:rFonts w:ascii="Arial" w:cs="Arial" w:eastAsia="Arial" w:hAnsi="Arial"/>
          <w:sz w:val="18"/>
          <w:szCs w:val="18"/>
          <w:b w:val="1"/>
          <w:bCs w:val="1"/>
          <w:color w:val="auto"/>
        </w:rPr>
        <w:t>None of the Securities and Exchange Commission, the Nevada Gaming Commission, the Nevada State Gaming Control Board,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6560" w:type="dxa"/>
            <w:vAlign w:val="bottom"/>
          </w:tcPr>
          <w:p>
            <w:pPr>
              <w:spacing w:after="0"/>
              <w:rPr>
                <w:sz w:val="14"/>
                <w:szCs w:val="14"/>
                <w:color w:val="auto"/>
              </w:rPr>
            </w:pPr>
          </w:p>
        </w:tc>
        <w:tc>
          <w:tcPr>
            <w:tcW w:w="3480" w:type="dxa"/>
            <w:vAlign w:val="bottom"/>
            <w:gridSpan w:val="4"/>
          </w:tcPr>
          <w:p>
            <w:pPr>
              <w:ind w:left="2340"/>
              <w:spacing w:after="0"/>
              <w:rPr>
                <w:sz w:val="20"/>
                <w:szCs w:val="20"/>
                <w:color w:val="auto"/>
              </w:rPr>
            </w:pPr>
            <w:r>
              <w:rPr>
                <w:rFonts w:ascii="Arial" w:cs="Arial" w:eastAsia="Arial" w:hAnsi="Arial"/>
                <w:sz w:val="14"/>
                <w:szCs w:val="14"/>
                <w:b w:val="1"/>
                <w:bCs w:val="1"/>
                <w:color w:val="auto"/>
              </w:rPr>
              <w:t>Per Share</w:t>
            </w:r>
          </w:p>
        </w:tc>
        <w:tc>
          <w:tcPr>
            <w:tcW w:w="1020" w:type="dxa"/>
            <w:vAlign w:val="bottom"/>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r>
      <w:tr>
        <w:trPr>
          <w:trHeight w:val="61"/>
        </w:trPr>
        <w:tc>
          <w:tcPr>
            <w:tcW w:w="6560" w:type="dxa"/>
            <w:vAlign w:val="bottom"/>
          </w:tcPr>
          <w:p>
            <w:pPr>
              <w:spacing w:after="0"/>
              <w:rPr>
                <w:sz w:val="5"/>
                <w:szCs w:val="5"/>
                <w:color w:val="auto"/>
              </w:rPr>
            </w:pPr>
          </w:p>
        </w:tc>
        <w:tc>
          <w:tcPr>
            <w:tcW w:w="234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2560" w:type="dxa"/>
            <w:vAlign w:val="bottom"/>
            <w:gridSpan w:val="2"/>
            <w:shd w:val="clear" w:color="auto" w:fill="CCEEFF"/>
          </w:tcPr>
          <w:p>
            <w:pPr>
              <w:ind w:left="234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r>
      <w:tr>
        <w:trPr>
          <w:trHeight w:val="203"/>
        </w:trPr>
        <w:tc>
          <w:tcPr>
            <w:tcW w:w="656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p>
        </w:tc>
        <w:tc>
          <w:tcPr>
            <w:tcW w:w="2560" w:type="dxa"/>
            <w:vAlign w:val="bottom"/>
            <w:gridSpan w:val="2"/>
          </w:tcPr>
          <w:p>
            <w:pPr>
              <w:ind w:left="23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0.00</w:t>
            </w:r>
          </w:p>
        </w:tc>
        <w:tc>
          <w:tcPr>
            <w:tcW w:w="102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r>
      <w:tr>
        <w:trPr>
          <w:trHeight w:val="203"/>
        </w:trPr>
        <w:tc>
          <w:tcPr>
            <w:tcW w:w="6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Wynn Resorts, Limited (before expenses)</w:t>
            </w:r>
          </w:p>
        </w:tc>
        <w:tc>
          <w:tcPr>
            <w:tcW w:w="2560" w:type="dxa"/>
            <w:vAlign w:val="bottom"/>
            <w:gridSpan w:val="2"/>
            <w:shd w:val="clear" w:color="auto" w:fill="CCEEFF"/>
          </w:tcPr>
          <w:p>
            <w:pPr>
              <w:ind w:left="234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r>
    </w:tbl>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We have granted the underwriters the right to purchase up to 750,000 additional shares of common stock to cover over-allotments.</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w w:val="98"/>
              </w:rPr>
              <w:t>In connection with this offering, we have agreed to pay the underwriters a fee of $</w:t>
            </w:r>
          </w:p>
        </w:tc>
        <w:tc>
          <w:tcPr>
            <w:tcW w:w="5000" w:type="dxa"/>
            <w:vAlign w:val="bottom"/>
          </w:tcPr>
          <w:p>
            <w:pPr>
              <w:jc w:val="right"/>
              <w:ind w:right="43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7180" w:type="dxa"/>
            <w:vAlign w:val="bottom"/>
            <w:gridSpan w:val="2"/>
          </w:tcPr>
          <w:p>
            <w:pPr>
              <w:jc w:val="right"/>
              <w:ind w:right="4395"/>
              <w:spacing w:after="0"/>
              <w:rPr>
                <w:sz w:val="20"/>
                <w:szCs w:val="20"/>
                <w:color w:val="auto"/>
              </w:rPr>
            </w:pPr>
            <w:r>
              <w:rPr>
                <w:rFonts w:ascii="Arial" w:cs="Arial" w:eastAsia="Arial" w:hAnsi="Arial"/>
                <w:sz w:val="18"/>
                <w:szCs w:val="18"/>
                <w:i w:val="1"/>
                <w:iCs w:val="1"/>
                <w:color w:val="auto"/>
              </w:rPr>
              <w:t>Joint Book-Running Managers</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4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20" w:type="dxa"/>
            <w:vAlign w:val="bottom"/>
            <w:vMerge w:val="continue"/>
          </w:tcPr>
          <w:p>
            <w:pPr>
              <w:spacing w:after="0"/>
              <w:rPr>
                <w:sz w:val="24"/>
                <w:szCs w:val="2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32"/>
                <w:szCs w:val="32"/>
                <w:b w:val="1"/>
                <w:bCs w:val="1"/>
                <w:color w:val="auto"/>
              </w:rPr>
              <w:t>Deutsche Bank Securities</w:t>
            </w:r>
          </w:p>
        </w:tc>
        <w:tc>
          <w:tcPr>
            <w:tcW w:w="2180" w:type="dxa"/>
            <w:vAlign w:val="bottom"/>
            <w:shd w:val="clear" w:color="auto" w:fill="CCEEFF"/>
          </w:tcPr>
          <w:p>
            <w:pPr>
              <w:spacing w:after="0"/>
              <w:rPr>
                <w:sz w:val="24"/>
                <w:szCs w:val="24"/>
                <w:color w:val="auto"/>
              </w:rPr>
            </w:pPr>
          </w:p>
        </w:tc>
        <w:tc>
          <w:tcPr>
            <w:tcW w:w="5000" w:type="dxa"/>
            <w:vAlign w:val="bottom"/>
            <w:shd w:val="clear" w:color="auto" w:fill="CCEEFF"/>
          </w:tcPr>
          <w:p>
            <w:pPr>
              <w:jc w:val="right"/>
              <w:spacing w:after="0"/>
              <w:rPr>
                <w:sz w:val="20"/>
                <w:szCs w:val="20"/>
                <w:color w:val="auto"/>
              </w:rPr>
            </w:pPr>
            <w:r>
              <w:rPr>
                <w:rFonts w:ascii="Arial" w:cs="Arial" w:eastAsia="Arial" w:hAnsi="Arial"/>
                <w:sz w:val="32"/>
                <w:szCs w:val="32"/>
                <w:b w:val="1"/>
                <w:bCs w:val="1"/>
                <w:color w:val="auto"/>
              </w:rPr>
              <w:t>Banc of America Securities LLC</w:t>
            </w:r>
          </w:p>
        </w:tc>
        <w:tc>
          <w:tcPr>
            <w:tcW w:w="0" w:type="dxa"/>
            <w:vAlign w:val="bottom"/>
          </w:tcPr>
          <w:p>
            <w:pPr>
              <w:spacing w:after="0"/>
              <w:rPr>
                <w:sz w:val="1"/>
                <w:szCs w:val="1"/>
                <w:color w:val="auto"/>
              </w:rPr>
            </w:pPr>
          </w:p>
        </w:tc>
      </w:tr>
      <w:tr>
        <w:trPr>
          <w:trHeight w:val="565"/>
        </w:trPr>
        <w:tc>
          <w:tcPr>
            <w:tcW w:w="20" w:type="dxa"/>
            <w:vAlign w:val="bottom"/>
          </w:tcPr>
          <w:p>
            <w:pPr>
              <w:spacing w:after="0"/>
              <w:rPr>
                <w:sz w:val="24"/>
                <w:szCs w:val="24"/>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9"/>
              </w:rPr>
              <w:t>The date of this prospectus supplement is November</w:t>
            </w:r>
          </w:p>
        </w:tc>
        <w:tc>
          <w:tcPr>
            <w:tcW w:w="2180" w:type="dxa"/>
            <w:vAlign w:val="bottom"/>
          </w:tcPr>
          <w:p>
            <w:pPr>
              <w:jc w:val="right"/>
              <w:ind w:right="1472"/>
              <w:spacing w:after="0"/>
              <w:rPr>
                <w:sz w:val="20"/>
                <w:szCs w:val="20"/>
                <w:color w:val="auto"/>
              </w:rPr>
            </w:pPr>
            <w:r>
              <w:rPr>
                <w:rFonts w:ascii="Arial" w:cs="Arial" w:eastAsia="Arial" w:hAnsi="Arial"/>
                <w:sz w:val="18"/>
                <w:szCs w:val="18"/>
                <w:color w:val="auto"/>
              </w:rPr>
              <w:t>, 2008</w:t>
            </w: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and its consolidated subsidiaries.</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180"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This prospectus supplement is a supplement to the accompanying prospectus that is also a part of this document. The accompanying prospectus is part of a registration statement that we filed with the Securities and Exchange Commission (the “SEC”) using a shelf registration process. Under the shelf registration process, from time to time, we may offer shares of common stock. In the accompanying prospectus, we provide you with a general description of the shares of our common stock that we may offer under the prospectus. In this prospectus supplement, we provide you with specific information about the terms of this offering. Both this prospectus supplement and the prospectus include, or incorporate by reference, important information about us, our common stock and other information you should know before investing. This prospectus supplement also adds to, updates and changes information contained in the prospectus. If any specific statement that we make in this prospectus supplement is inconsistent with the statements made in the accompanying prospectus, the statements made in the accompanying prospectus are deemed modified or superseded by the statements made in this prospectus supplement. You should read both this prospectus supplement and the prospectus, as well as the additional information described under “Where You Can Find More Information” in the accompanying prospectus before investing in our common stock.</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80"/>
          </w:cols>
          <w:pgMar w:left="240" w:top="459"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RECENT DEVELOPMENTS</w:t>
      </w:r>
    </w:p>
    <w:p>
      <w:pPr>
        <w:spacing w:after="0" w:line="180"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Standard &amp; Poor’s, a division of The McGraw-Hill Companies, has announced that, effective as of the close of trading on November 13, 2008, our common stock will be added to the S&amp;P 500 Index. Index funds whose portfolios are primarily based on stocks included in the S&amp;P 500 may be required to purchase shares of our common stock as a result of the inclusion of our common stock in the index. We are conducting this offering in connection with the decision of Standard &amp; Poor’s to add our common stock to the index.</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80"/>
          </w:cols>
          <w:pgMar w:left="240" w:top="45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right="20" w:firstLine="456"/>
        <w:spacing w:after="0" w:line="241" w:lineRule="auto"/>
        <w:rPr>
          <w:sz w:val="20"/>
          <w:szCs w:val="20"/>
          <w:color w:val="auto"/>
        </w:rPr>
      </w:pPr>
      <w:r>
        <w:rPr>
          <w:rFonts w:ascii="Arial" w:cs="Arial" w:eastAsia="Arial" w:hAnsi="Arial"/>
          <w:sz w:val="18"/>
          <w:szCs w:val="18"/>
          <w:i w:val="1"/>
          <w:iCs w:val="1"/>
          <w:color w:val="auto"/>
        </w:rPr>
        <w:t>Before deciding to invest in our common stock, you should carefully consider each of the following risk factors and all of the other information set forth in this prospectus supplement and in the accompanying prospectus and incorporated in this prospectus supplement and in the accompanying prospectus by reference, including in Item 1A and the section entitled “Management’s Discussion and Analysis of Financial Condition and Results of Operations” in our Annual Report on Form 10-K for the year ended December 31, 2007 and in our Quarterly Report on Form 10-Q for the quarter ended September 30, 2008.</w:t>
      </w:r>
    </w:p>
    <w:p>
      <w:pPr>
        <w:spacing w:after="0" w:line="136"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i w:val="1"/>
          <w:iCs w:val="1"/>
          <w:color w:val="auto"/>
        </w:rPr>
        <w:t>The risks and uncertainties described below and incorporated by reference herein are not the only ones we face. Additional risks and uncertainties not presently known to us or that we currently deem immaterial may also impair our business operations. If any of these risks actually occurs, our business, financial condition, cash flow and results of operations could be materially adversely affected. In that case, the value of our common stock could decline substantially.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the Offering</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The price of our common stock may fluctuate significantly, which may make it difficult for you to resell the common stock issuable when you want or at prices you find attractive.</w:t>
      </w:r>
    </w:p>
    <w:p>
      <w:pPr>
        <w:spacing w:after="0" w:line="134" w:lineRule="exact"/>
        <w:rPr>
          <w:sz w:val="20"/>
          <w:szCs w:val="20"/>
          <w:color w:val="auto"/>
        </w:rPr>
      </w:pPr>
    </w:p>
    <w:p>
      <w:pPr>
        <w:jc w:val="both"/>
        <w:ind w:right="200" w:firstLine="456"/>
        <w:spacing w:after="0" w:line="238" w:lineRule="auto"/>
        <w:rPr>
          <w:sz w:val="20"/>
          <w:szCs w:val="20"/>
          <w:color w:val="auto"/>
        </w:rPr>
      </w:pPr>
      <w:r>
        <w:rPr>
          <w:rFonts w:ascii="Arial" w:cs="Arial" w:eastAsia="Arial" w:hAnsi="Arial"/>
          <w:sz w:val="18"/>
          <w:szCs w:val="18"/>
          <w:color w:val="auto"/>
        </w:rPr>
        <w:t>The price of shares of our common stock on the Nasdaq Global Select Market constantly changes. We expect that the market price of our common stock will continue to fluctuate. Holders of our common stock will be subject to the risk of volatility and depressed prices of our common stock.</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can fluctuate as a result of a variety of factors, many of which are beyond our control. These factors include:</w:t>
      </w:r>
    </w:p>
    <w:p>
      <w:pPr>
        <w:spacing w:after="0" w:line="77" w:lineRule="exact"/>
        <w:rPr>
          <w:sz w:val="20"/>
          <w:szCs w:val="20"/>
          <w:color w:val="auto"/>
        </w:rPr>
      </w:pPr>
    </w:p>
    <w:p>
      <w:pPr>
        <w:ind w:left="780" w:right="520" w:hanging="326"/>
        <w:spacing w:after="0" w:line="299" w:lineRule="auto"/>
        <w:tabs>
          <w:tab w:leader="none" w:pos="7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tourism trends given the current general domestic and international economic conditions that are causing uncertainty among some consumers, uncertain effects of volatility in financial markets globally and from governmental intervention in the financial markets;</w:t>
      </w:r>
    </w:p>
    <w:p>
      <w:pPr>
        <w:spacing w:after="0" w:line="27" w:lineRule="exact"/>
        <w:rPr>
          <w:rFonts w:ascii="Arial" w:cs="Arial" w:eastAsia="Arial" w:hAnsi="Arial"/>
          <w:sz w:val="16"/>
          <w:szCs w:val="16"/>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macroeconomic conditions;</w:t>
      </w:r>
    </w:p>
    <w:p>
      <w:pPr>
        <w:spacing w:after="0" w:line="76" w:lineRule="exact"/>
        <w:rPr>
          <w:rFonts w:ascii="Arial" w:cs="Arial" w:eastAsia="Arial" w:hAnsi="Arial"/>
          <w:sz w:val="18"/>
          <w:szCs w:val="18"/>
          <w:color w:val="auto"/>
        </w:rPr>
      </w:pPr>
    </w:p>
    <w:p>
      <w:pPr>
        <w:ind w:left="780" w:right="420" w:hanging="326"/>
        <w:spacing w:after="0" w:line="239"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the Wynn Las Vegas credit facilities and the Wynn Macau credit facilities;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completion of Encore at Wynn Las Vegas on time and within budget;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completion of Encore at Wynn Macau on time and within budget;</w:t>
      </w:r>
    </w:p>
    <w:p>
      <w:pPr>
        <w:spacing w:after="0" w:line="76" w:lineRule="exact"/>
        <w:rPr>
          <w:rFonts w:ascii="Arial" w:cs="Arial" w:eastAsia="Arial" w:hAnsi="Arial"/>
          <w:sz w:val="18"/>
          <w:szCs w:val="18"/>
          <w:color w:val="auto"/>
        </w:rPr>
      </w:pPr>
    </w:p>
    <w:p>
      <w:pPr>
        <w:ind w:left="780" w:right="80" w:hanging="326"/>
        <w:spacing w:after="0" w:line="239"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at Wynn Las Vegas with anticipated cash flows generated at Wynn Las Vegas;</w:t>
      </w:r>
    </w:p>
    <w:p>
      <w:pPr>
        <w:spacing w:after="0" w:line="73" w:lineRule="exact"/>
        <w:rPr>
          <w:rFonts w:ascii="Arial" w:cs="Arial" w:eastAsia="Arial" w:hAnsi="Arial"/>
          <w:sz w:val="18"/>
          <w:szCs w:val="18"/>
          <w:color w:val="auto"/>
        </w:rPr>
      </w:pPr>
    </w:p>
    <w:p>
      <w:pPr>
        <w:ind w:left="780" w:right="640" w:hanging="326"/>
        <w:spacing w:after="0" w:line="239"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doing business internationally (including the risks associated with developing gaming regulatory frameworks and recent visitation restrictions to Macau);</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a limited number of properties for all of our cash flow;</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780" w:right="340" w:hanging="326"/>
        <w:spacing w:after="0" w:line="239"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may have on the travel and leisure industry;</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99" w:lineRule="exact"/>
        <w:rPr>
          <w:rFonts w:ascii="Arial" w:cs="Arial" w:eastAsia="Arial" w:hAnsi="Arial"/>
          <w:sz w:val="16"/>
          <w:szCs w:val="16"/>
          <w:color w:val="auto"/>
        </w:rPr>
      </w:pPr>
    </w:p>
    <w:p>
      <w:pPr>
        <w:ind w:left="780" w:hanging="326"/>
        <w:spacing w:after="0"/>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legal proceedings; and</w:t>
      </w:r>
    </w:p>
    <w:p>
      <w:pPr>
        <w:spacing w:after="0" w:line="76" w:lineRule="exact"/>
        <w:rPr>
          <w:rFonts w:ascii="Arial" w:cs="Arial" w:eastAsia="Arial" w:hAnsi="Arial"/>
          <w:sz w:val="18"/>
          <w:szCs w:val="18"/>
          <w:color w:val="auto"/>
        </w:rPr>
      </w:pPr>
    </w:p>
    <w:p>
      <w:pPr>
        <w:ind w:left="780" w:right="120" w:hanging="326"/>
        <w:spacing w:after="0" w:line="238" w:lineRule="auto"/>
        <w:tabs>
          <w:tab w:leader="none" w:pos="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described under “Risk Factors,” “Forward-Looking Statements” and “Management’s Discussion and Analysis of Financial Condition and Results of Operations” in our Annual Report on Form 10-K and our Quarterly Reports on Form 10-Q and otherwise in our filings with the SEC.</w:t>
      </w:r>
    </w:p>
    <w:p>
      <w:pPr>
        <w:spacing w:after="0" w:line="154"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General market fluctuations, industry factors and general economic and geopolitical conditions and events, such as economic slowdowns or recessions, consumer confidence in the economy, recent terrorist attacks and ongoing military conflicts, also could cause our stock price to decrease.</w:t>
      </w:r>
    </w:p>
    <w:p>
      <w:pPr>
        <w:spacing w:after="0" w:line="154"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In addition, the stock market in general has experienced extreme volatility that has often been unrelated to the operating performance of a particular company. Recently, the volatility has reached unprecedented levels. In some cases, the markets have produced downward pressure on stock prices and credit availability for certain issuers without regard to those issuers’ underlying financial strength. Such continued volatility could materially and adversely affect our ability to access capital, as well as our business, financial condition and results of operations, and the market price of our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cause the market price of our common stock to decline.</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As of the date of this prospectus, our officers and directors beneficially own 50.8 million shares of common stock. We and Stephen A. Wynn, our Chairman of the Board and Chief Executive Officer and one of our principal stockholders, and Aruze USA, Inc., another of our principal stockholders, have agreed with the underwriters, subject to certain exceptions, not to directly or indirectly offer, sell, pledge, contract to sell, sell any option or contract to purchase, purchase any option or contract to sell, grant any option, right or warrant to purchase, lend or otherwise transfer or dispose of any shares of our common stock or securities convertible into or exchangeable for shares of our common stock, or enter into any hedging transaction relating to the common stock, during the period from the date of this prospectus until 30 days after the date of this prospectus, except with the prior written consent of the underwriters. Upon the expiration of the 30-day lockup period, all of our officers and directors will be able to sell these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shares into the public market. In addition, as of November 12, 2008, there were 2.8 million shares of our common stock reserved and subject to issuance upon exercise of outstanding vested and unvested options and 943,500 unvested restricted shares had been issued.</w:t>
      </w:r>
    </w:p>
    <w:p>
      <w:pPr>
        <w:spacing w:after="0" w:line="155"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cannot predict the effect, if any, that the future issuance or market sales of shares of our common stock will have on the market price of our common stock prevailing from time to time. Sales of substantial amounts of our common stock, or the perception that such sales are likely to occur, could materially adversely affect the prevailing market price for our common stock and could impair our future ability to raise capital through an offering of equity or equity-linked securities.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We intend to use the proceeds from the sale of the common stock in this offering for general corporate purposes, including repayment of any of our debt or debt of our subsidiaries, and to enhance our financial flexibility for future projects and potential new developments.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 AND DIVIDEND POLICY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99"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Our common stock began trading on the Nasdaq under the symbol “WYNN” on October 25, 2002, at a price of $13.00 per share. Our common stock currently trades on the Nasdaq Global Select Market. The following table sets forth the high and low sale prices for the indicated periods as reported on the Nasdaq Global Select Market.</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00" w:type="dxa"/>
            <w:vAlign w:val="bottom"/>
            <w:shd w:val="clear" w:color="auto" w:fill="CCEEFF"/>
          </w:tcPr>
          <w:p>
            <w:pPr>
              <w:jc w:val="right"/>
              <w:ind w:right="5832"/>
              <w:spacing w:after="0" w:line="196" w:lineRule="exact"/>
              <w:rPr>
                <w:sz w:val="20"/>
                <w:szCs w:val="20"/>
                <w:color w:val="auto"/>
              </w:rPr>
            </w:pPr>
            <w:r>
              <w:rPr>
                <w:rFonts w:ascii="Arial" w:cs="Arial" w:eastAsia="Arial" w:hAnsi="Arial"/>
                <w:sz w:val="18"/>
                <w:szCs w:val="18"/>
                <w:b w:val="1"/>
                <w:bCs w:val="1"/>
                <w:color w:val="auto"/>
                <w:w w:val="89"/>
              </w:rPr>
              <w:t>2006</w:t>
            </w:r>
          </w:p>
        </w:tc>
        <w:tc>
          <w:tcPr>
            <w:tcW w:w="2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420"/>
              <w:spacing w:after="0" w:line="202" w:lineRule="exact"/>
              <w:rPr>
                <w:sz w:val="20"/>
                <w:szCs w:val="20"/>
                <w:color w:val="auto"/>
              </w:rPr>
            </w:pPr>
            <w:r>
              <w:rPr>
                <w:rFonts w:ascii="Arial" w:cs="Arial" w:eastAsia="Arial" w:hAnsi="Arial"/>
                <w:sz w:val="18"/>
                <w:szCs w:val="18"/>
                <w:color w:val="auto"/>
              </w:rPr>
              <w:t>First Quarter</w:t>
            </w:r>
          </w:p>
        </w:tc>
        <w:tc>
          <w:tcPr>
            <w:tcW w:w="2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78.75</w:t>
            </w:r>
          </w:p>
        </w:tc>
        <w:tc>
          <w:tcPr>
            <w:tcW w:w="5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52.44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Second Quarter</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80.19</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420"/>
              <w:spacing w:after="0" w:line="202" w:lineRule="exact"/>
              <w:rPr>
                <w:sz w:val="20"/>
                <w:szCs w:val="20"/>
                <w:color w:val="auto"/>
              </w:rPr>
            </w:pPr>
            <w:r>
              <w:rPr>
                <w:rFonts w:ascii="Arial" w:cs="Arial" w:eastAsia="Arial" w:hAnsi="Arial"/>
                <w:sz w:val="18"/>
                <w:szCs w:val="18"/>
                <w:color w:val="auto"/>
              </w:rPr>
              <w:t>Third Quarter</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78.86</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60.82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Fourth Quarter</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98.45</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311"/>
        </w:trPr>
        <w:tc>
          <w:tcPr>
            <w:tcW w:w="6320" w:type="dxa"/>
            <w:vAlign w:val="bottom"/>
            <w:gridSpan w:val="2"/>
          </w:tcPr>
          <w:p>
            <w:pPr>
              <w:jc w:val="right"/>
              <w:ind w:right="5832"/>
              <w:spacing w:after="0"/>
              <w:rPr>
                <w:sz w:val="20"/>
                <w:szCs w:val="20"/>
                <w:color w:val="auto"/>
              </w:rPr>
            </w:pPr>
            <w:r>
              <w:rPr>
                <w:rFonts w:ascii="Arial" w:cs="Arial" w:eastAsia="Arial" w:hAnsi="Arial"/>
                <w:sz w:val="18"/>
                <w:szCs w:val="18"/>
                <w:b w:val="1"/>
                <w:bCs w:val="1"/>
                <w:color w:val="auto"/>
                <w:w w:val="94"/>
              </w:rPr>
              <w:t>2007</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First Quarter</w:t>
            </w:r>
          </w:p>
        </w:tc>
        <w:tc>
          <w:tcPr>
            <w:tcW w:w="2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114.60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420"/>
              <w:spacing w:after="0" w:line="202" w:lineRule="exact"/>
              <w:rPr>
                <w:sz w:val="20"/>
                <w:szCs w:val="20"/>
                <w:color w:val="auto"/>
              </w:rPr>
            </w:pPr>
            <w:r>
              <w:rPr>
                <w:rFonts w:ascii="Arial" w:cs="Arial" w:eastAsia="Arial" w:hAnsi="Arial"/>
                <w:sz w:val="18"/>
                <w:szCs w:val="18"/>
                <w:color w:val="auto"/>
              </w:rPr>
              <w:t>Second Quarter</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4"/>
              </w:rPr>
              <w:t>107.98</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85.53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Third Quarter</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168.80</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Fourth Quarter</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176.14</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110.50</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300" w:type="dxa"/>
            <w:vAlign w:val="bottom"/>
            <w:shd w:val="clear" w:color="auto" w:fill="CCEEFF"/>
          </w:tcPr>
          <w:p>
            <w:pPr>
              <w:jc w:val="right"/>
              <w:ind w:right="5832"/>
              <w:spacing w:after="0" w:line="202" w:lineRule="exact"/>
              <w:rPr>
                <w:sz w:val="20"/>
                <w:szCs w:val="20"/>
                <w:color w:val="auto"/>
              </w:rPr>
            </w:pPr>
            <w:r>
              <w:rPr>
                <w:rFonts w:ascii="Arial" w:cs="Arial" w:eastAsia="Arial" w:hAnsi="Arial"/>
                <w:sz w:val="18"/>
                <w:szCs w:val="18"/>
                <w:b w:val="1"/>
                <w:bCs w:val="1"/>
                <w:color w:val="auto"/>
                <w:w w:val="89"/>
              </w:rPr>
              <w:t>2008</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420"/>
              <w:spacing w:after="0" w:line="202" w:lineRule="exact"/>
              <w:rPr>
                <w:sz w:val="20"/>
                <w:szCs w:val="20"/>
                <w:color w:val="auto"/>
              </w:rPr>
            </w:pPr>
            <w:r>
              <w:rPr>
                <w:rFonts w:ascii="Arial" w:cs="Arial" w:eastAsia="Arial" w:hAnsi="Arial"/>
                <w:sz w:val="18"/>
                <w:szCs w:val="18"/>
                <w:color w:val="auto"/>
              </w:rPr>
              <w:t>First Quarter</w:t>
            </w:r>
          </w:p>
        </w:tc>
        <w:tc>
          <w:tcPr>
            <w:tcW w:w="2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4"/>
              </w:rPr>
              <w:t>124.77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Second Quarter</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4"/>
              </w:rPr>
              <w:t>116.54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420"/>
              <w:spacing w:after="0" w:line="202" w:lineRule="exact"/>
              <w:rPr>
                <w:sz w:val="20"/>
                <w:szCs w:val="20"/>
                <w:color w:val="auto"/>
              </w:rPr>
            </w:pPr>
            <w:r>
              <w:rPr>
                <w:rFonts w:ascii="Arial" w:cs="Arial" w:eastAsia="Arial" w:hAnsi="Arial"/>
                <w:sz w:val="18"/>
                <w:szCs w:val="18"/>
                <w:color w:val="auto"/>
              </w:rPr>
              <w:t>Third Quarter</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w w:val="94"/>
              </w:rPr>
              <w:t>119.74</w:t>
            </w:r>
          </w:p>
        </w:tc>
        <w:tc>
          <w:tcPr>
            <w:tcW w:w="10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Fourth Quarter (through November 12, 2008)</w:t>
            </w:r>
          </w:p>
        </w:tc>
        <w:tc>
          <w:tcPr>
            <w:tcW w:w="2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80.19</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32.88</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November 12, 2008, the last sales price of our common stock, as reported on the Nasdaq Global Select Market, was $45.25 per share.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approximately 203 holders of record of our common stock as of November 11, 2008.</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November 13, 2006, our Board of Directors declared a cash distribution of $6.00 per common share which was paid on December 4,</w:t>
      </w:r>
    </w:p>
    <w:p>
      <w:pPr>
        <w:spacing w:after="0"/>
        <w:rPr>
          <w:sz w:val="20"/>
          <w:szCs w:val="20"/>
          <w:color w:val="auto"/>
        </w:rPr>
      </w:pPr>
      <w:r>
        <w:rPr>
          <w:rFonts w:ascii="Arial" w:cs="Arial" w:eastAsia="Arial" w:hAnsi="Arial"/>
          <w:sz w:val="16"/>
          <w:szCs w:val="16"/>
          <w:color w:val="auto"/>
        </w:rPr>
        <w:t>2006. On November 20, 2007 our Board of Directors declared a cash distribution of $6.00 per common share which was paid on December 10,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158"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are a holding company and, as a result, our ability to pay dividends is dependent on our subsidiaries’ ability to provide funds to us. Additionally, we are the borrower under an aggregate $1.0 billion delayed-draw term loan credit facility dated as of June 21, 2007, as amended, that imposes (i) restrictions on our ability to make “restricted payments,” as defined in the facility, or to incur obligations to make such restricted payments and (ii) restrictions and prepayment obligations with respect to dispositions and distributions of equity interests and other funds from our subsidiaries. Restrictions imposed by our subsidiaries’ debt instruments significantly restrict certain key subsidiaries holding a majority of our assets, including Wynn Las Vegas, LLC and Wynn Macau, S.A. from making dividends or distributions to Wynn Resorts. Specifically, Wynn Las Vegas, LLC and certain of its subsidiaries are restricted under the indenture governing our first mortgage notes from making certain “restricted payments,” as</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20"/>
          </w:cols>
          <w:pgMar w:left="24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defined in the indenture. These restricted payments include the payment of dividends or distributions to any direct or indirect holders of equity interests of Wynn Las Vegas, LLC. These restricted payments cannot be made unless certain financial and non-financial criteria have been satisfied. In addition, the terms of the other loan agreements of Wynn Las Vegas, LLC and Wynn Macau, S.A. contain similar restrictions.</w:t>
      </w:r>
    </w:p>
    <w:p>
      <w:pPr>
        <w:spacing w:after="0" w:line="11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60"/>
          </w:cols>
          <w:pgMar w:left="24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0"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8"/>
          <w:szCs w:val="18"/>
          <w:color w:val="auto"/>
        </w:rPr>
        <w:t>Subject to the terms and conditions of the underwriting agreement, Deutsche Bank Securities Inc. and Banc of America Securities LLC have severally agreed to purchase from us the number of shares of common stock set forth opposite the underwriter’s name at the public offering price set forth on the cover page of this prospectus supplement.</w:t>
      </w:r>
    </w:p>
    <w:p>
      <w:pPr>
        <w:sectPr>
          <w:pgSz w:w="11900" w:h="16838" w:orient="portrait"/>
          <w:cols w:equalWidth="0" w:num="1">
            <w:col w:w="11420"/>
          </w:cols>
          <w:pgMar w:left="240" w:top="459" w:right="239" w:bottom="1440" w:gutter="0" w:footer="0" w:header="0"/>
        </w:sectPr>
      </w:pPr>
    </w:p>
    <w:p>
      <w:pPr>
        <w:spacing w:after="0" w:line="323" w:lineRule="exact"/>
        <w:rPr>
          <w:sz w:val="20"/>
          <w:szCs w:val="20"/>
          <w:color w:val="auto"/>
        </w:rPr>
      </w:pPr>
    </w:p>
    <w:p>
      <w:pPr>
        <w:ind w:left="4420"/>
        <w:spacing w:after="0"/>
        <w:rPr>
          <w:sz w:val="20"/>
          <w:szCs w:val="20"/>
          <w:color w:val="auto"/>
        </w:rPr>
      </w:pPr>
      <w:r>
        <w:rPr>
          <w:rFonts w:ascii="Arial" w:cs="Arial" w:eastAsia="Arial" w:hAnsi="Arial"/>
          <w:sz w:val="12"/>
          <w:szCs w:val="12"/>
          <w:b w:val="1"/>
          <w:bCs w:val="1"/>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Number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428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0020" w:space="720"/>
            <w:col w:w="68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Deutsche Bank Securities Inc.</w:t>
      </w:r>
    </w:p>
    <w:p>
      <w:pPr>
        <w:spacing w:after="0"/>
        <w:rPr>
          <w:sz w:val="20"/>
          <w:szCs w:val="20"/>
          <w:color w:val="auto"/>
        </w:rPr>
      </w:pPr>
      <w:r>
        <w:rPr>
          <w:rFonts w:ascii="Arial" w:cs="Arial" w:eastAsia="Arial" w:hAnsi="Arial"/>
          <w:sz w:val="18"/>
          <w:szCs w:val="18"/>
          <w:color w:val="auto"/>
        </w:rPr>
        <w:t>Banc of America Securities LLC</w:t>
      </w:r>
    </w:p>
    <w:p>
      <w:pPr>
        <w:spacing w:after="0" w:line="158"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of common stock offered hereby are subject to certain conditions precedent. The underwriting agreement also provides that the underwriters will purchase all of the shares of common stock offered by this prospectus supplement, other than those covered by the option described below.</w:t>
      </w:r>
    </w:p>
    <w:p>
      <w:pPr>
        <w:spacing w:after="0" w:line="154" w:lineRule="exact"/>
        <w:rPr>
          <w:sz w:val="20"/>
          <w:szCs w:val="20"/>
          <w:color w:val="auto"/>
        </w:rPr>
      </w:pPr>
    </w:p>
    <w:p>
      <w:pPr>
        <w:jc w:val="both"/>
        <w:ind w:right="60" w:firstLine="456"/>
        <w:spacing w:after="0" w:line="299" w:lineRule="auto"/>
        <w:rPr>
          <w:sz w:val="20"/>
          <w:szCs w:val="20"/>
          <w:color w:val="auto"/>
        </w:rPr>
      </w:pPr>
      <w:r>
        <w:rPr>
          <w:rFonts w:ascii="Arial" w:cs="Arial" w:eastAsia="Arial" w:hAnsi="Arial"/>
          <w:sz w:val="16"/>
          <w:szCs w:val="16"/>
          <w:color w:val="auto"/>
        </w:rPr>
        <w:t>We have been advised by the underwriters that they propose to offer the shares of common stock to the public at the public offering price set forth on the cover of this prospectus. After the initial offering of the shares of common stock, the underwriters may change the public offering price.</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underwriting discounts or commissions paid to the underwriters by us. However, in connection with this offering, we have</w:t>
      </w:r>
    </w:p>
    <w:p>
      <w:pPr>
        <w:spacing w:after="0"/>
        <w:tabs>
          <w:tab w:leader="none" w:pos="3540" w:val="left"/>
        </w:tabs>
        <w:rPr>
          <w:sz w:val="20"/>
          <w:szCs w:val="20"/>
          <w:color w:val="auto"/>
        </w:rPr>
      </w:pPr>
      <w:r>
        <w:rPr>
          <w:rFonts w:ascii="Arial" w:cs="Arial" w:eastAsia="Arial" w:hAnsi="Arial"/>
          <w:sz w:val="18"/>
          <w:szCs w:val="18"/>
          <w:color w:val="auto"/>
        </w:rPr>
        <w:t>agreed to pay the underwriters a fee of $</w:t>
      </w:r>
      <w:r>
        <w:rPr>
          <w:sz w:val="20"/>
          <w:szCs w:val="20"/>
          <w:color w:val="auto"/>
        </w:rPr>
        <w:tab/>
      </w:r>
      <w:r>
        <w:rPr>
          <w:rFonts w:ascii="Arial" w:cs="Arial" w:eastAsia="Arial" w:hAnsi="Arial"/>
          <w:sz w:val="14"/>
          <w:szCs w:val="14"/>
          <w:color w:val="auto"/>
        </w:rPr>
        <w: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“WYNN.”</w:t>
      </w:r>
    </w:p>
    <w:p>
      <w:pPr>
        <w:spacing w:after="0" w:line="158" w:lineRule="exact"/>
        <w:rPr>
          <w:sz w:val="20"/>
          <w:szCs w:val="20"/>
          <w:color w:val="auto"/>
        </w:rPr>
      </w:pPr>
    </w:p>
    <w:p>
      <w:pPr>
        <w:ind w:right="140" w:firstLine="456"/>
        <w:spacing w:after="0" w:line="236" w:lineRule="auto"/>
        <w:rPr>
          <w:sz w:val="20"/>
          <w:szCs w:val="20"/>
          <w:color w:val="auto"/>
        </w:rPr>
      </w:pPr>
      <w:r>
        <w:rPr>
          <w:rFonts w:ascii="Arial" w:cs="Arial" w:eastAsia="Arial" w:hAnsi="Arial"/>
          <w:sz w:val="18"/>
          <w:szCs w:val="18"/>
          <w:color w:val="auto"/>
        </w:rPr>
        <w:t>We have granted to the underwriters an option, exercisable not later than 30 days after the date of this prospectus supplement, to purchase up to 750,000 additional shares of common stock at the public offering price less the underwriting discounts and commissions set forth on the cover page of this prospectus supplement. The underwriters may exercise this option only to cover over-alltoments made in connection with the sale of the common stock offered by this prospectus supplement. We will be obligated, pursuant to the option, to sell these additional shares of common stock to the underwriters to the extent the option is exercised. If any additional shares of common stock are purchased, the underwriters will offer the additional shares on the same terms as those on which the 5,000,000 shares are being offered.</w:t>
      </w:r>
    </w:p>
    <w:p>
      <w:pPr>
        <w:spacing w:after="0" w:line="156" w:lineRule="exact"/>
        <w:rPr>
          <w:sz w:val="20"/>
          <w:szCs w:val="20"/>
          <w:color w:val="auto"/>
        </w:rPr>
      </w:pPr>
    </w:p>
    <w:p>
      <w:pPr>
        <w:ind w:left="460"/>
        <w:spacing w:after="0"/>
        <w:tabs>
          <w:tab w:leader="none" w:pos="7580" w:val="left"/>
        </w:tabs>
        <w:rPr>
          <w:sz w:val="20"/>
          <w:szCs w:val="20"/>
          <w:color w:val="auto"/>
        </w:rPr>
      </w:pPr>
      <w:r>
        <w:rPr>
          <w:rFonts w:ascii="Arial" w:cs="Arial" w:eastAsia="Arial" w:hAnsi="Arial"/>
          <w:sz w:val="18"/>
          <w:szCs w:val="18"/>
          <w:color w:val="auto"/>
        </w:rPr>
        <w:t>We estimate that our share of the total expenses of this offering will be approximately $</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of 1933, as amended, and to contribute to payments the underwriters may be required to make in respect of any of these liabilities.</w:t>
      </w:r>
    </w:p>
    <w:p>
      <w:pPr>
        <w:spacing w:after="0" w:line="155"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Stephen A. Wynn, our Chairman of the Board and Chief Executive Officer and one of our principal stockholders, and Aruze USA, Inc., another of our principal stockholders have agreed, subject to certain exceptions, not to directly or indirectly offer, sell, pledge, contract to sell, sell any option or contract to purchase, purchase any option or contract to sell, grant any option, right or warrant to purchase, lend or otherwise transfer or dispose of any shares of common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stock, shares of common stock which may be issued upon exercise of a stock option or warrant and any other security convertible into or exchangeable for common stock, or enter into any hedging transaction relating to the common stock for a period of 30 days after the date of this prospectus supplement without the prior written consent of the underwriters. This consent may be given at any time without public notice. Transfers or dispositions can be made during the lock-up period in the case of gifts, for estate planning purposes or other specified transactions where the donee signs a lock-up agreement.</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 have advised us that it does not intend to confirm sales to any account over which they exercise discretionary authority.</w:t>
      </w:r>
    </w:p>
    <w:p>
      <w:pPr>
        <w:spacing w:after="0" w:line="158"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purchases to cover positions created by short sales and stabilizing transactions.</w:t>
      </w:r>
    </w:p>
    <w:p>
      <w:pPr>
        <w:spacing w:after="0" w:line="155" w:lineRule="exact"/>
        <w:rPr>
          <w:sz w:val="20"/>
          <w:szCs w:val="20"/>
          <w:color w:val="auto"/>
        </w:rPr>
      </w:pPr>
    </w:p>
    <w:p>
      <w:pPr>
        <w:jc w:val="both"/>
        <w:ind w:right="240" w:firstLine="456"/>
        <w:spacing w:after="0" w:line="237" w:lineRule="auto"/>
        <w:rPr>
          <w:sz w:val="20"/>
          <w:szCs w:val="20"/>
          <w:color w:val="auto"/>
        </w:rPr>
      </w:pPr>
      <w:r>
        <w:rPr>
          <w:rFonts w:ascii="Arial" w:cs="Arial" w:eastAsia="Arial" w:hAnsi="Arial"/>
          <w:sz w:val="18"/>
          <w:szCs w:val="18"/>
          <w:color w:val="auto"/>
        </w:rPr>
        <w:t>Short sales involve the sale by the underwriters of a greater number of shares than they are required to purchase in the offering. Covered short sales are sales made in an amount not greater than the underwriters’ option to purchase additional shares of common stock from us in the offering. The underwriters may close out any covered short position by either exercising their option to purchase additional shares or purchasing shares in the open market.</w:t>
      </w:r>
    </w:p>
    <w:p>
      <w:pPr>
        <w:spacing w:after="0" w:line="155" w:lineRule="exact"/>
        <w:rPr>
          <w:sz w:val="20"/>
          <w:szCs w:val="20"/>
          <w:color w:val="auto"/>
        </w:rPr>
      </w:pPr>
    </w:p>
    <w:p>
      <w:pPr>
        <w:ind w:right="380" w:firstLine="456"/>
        <w:spacing w:after="0" w:line="236" w:lineRule="auto"/>
        <w:rPr>
          <w:sz w:val="20"/>
          <w:szCs w:val="20"/>
          <w:color w:val="auto"/>
        </w:rPr>
      </w:pPr>
      <w:r>
        <w:rPr>
          <w:rFonts w:ascii="Arial" w:cs="Arial" w:eastAsia="Arial" w:hAnsi="Arial"/>
          <w:sz w:val="18"/>
          <w:szCs w:val="18"/>
          <w:color w:val="auto"/>
        </w:rPr>
        <w:t>Naked short sales are any sales in excess of the over-allotment option. The underwriters must close out any naked short position by purchasing shares in the open market. A naked short position is more likely to be created if the underwriters are concerned that there may be downward pressure on the price of the shares in the open market prior to the completion of the offering.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w:t>
      </w:r>
    </w:p>
    <w:p>
      <w:pPr>
        <w:spacing w:after="0" w:line="157"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Stabilizing transactions consist of various bids for or purchases of our common stock made by the underwriters in the open market prior to the completion of the offering.</w:t>
      </w:r>
    </w:p>
    <w:p>
      <w:pPr>
        <w:spacing w:after="0" w:line="155" w:lineRule="exact"/>
        <w:rPr>
          <w:sz w:val="20"/>
          <w:szCs w:val="20"/>
          <w:color w:val="auto"/>
        </w:rPr>
      </w:pPr>
    </w:p>
    <w:p>
      <w:pPr>
        <w:jc w:val="both"/>
        <w:ind w:right="40" w:firstLine="456"/>
        <w:spacing w:after="0" w:line="237"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our common stock. Additionally, these purchases may stabilize, maintain or otherwise affect the market price of our common stock. As a result, the price of our common stock may be higher than the price that might otherwise exist in the open market. These transactions may be effected on the Nasdaq Global Select Market, in the over-the-counter market or otherwise.</w:t>
      </w:r>
    </w:p>
    <w:p>
      <w:pPr>
        <w:spacing w:after="0" w:line="155"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A prospectus in electronic format is being made available on the Internet web site maintained by Deutsche Bank Securities Inc. (“DBSI”). Other than the prospectus in electronic format, the information on DBSI’s web site and any information contained in any other web site maintained by DBSI is not part of the prospectus supplement or the registration statement of which the prospectus supplement forms a part. The underwriters and certain of their affiliates have performed investment banking, commercial lending and advisory services for us and our affiliates, from time to time, for which they have received customary fees and expenses.</w:t>
      </w:r>
    </w:p>
    <w:p>
      <w:pPr>
        <w:spacing w:after="0" w:line="157" w:lineRule="exact"/>
        <w:rPr>
          <w:sz w:val="20"/>
          <w:szCs w:val="20"/>
          <w:color w:val="auto"/>
        </w:rPr>
      </w:pPr>
    </w:p>
    <w:p>
      <w:pPr>
        <w:ind w:right="300" w:firstLine="456"/>
        <w:spacing w:after="0" w:line="238" w:lineRule="auto"/>
        <w:rPr>
          <w:sz w:val="20"/>
          <w:szCs w:val="20"/>
          <w:color w:val="auto"/>
        </w:rPr>
      </w:pPr>
      <w:r>
        <w:rPr>
          <w:rFonts w:ascii="Arial" w:cs="Arial" w:eastAsia="Arial" w:hAnsi="Arial"/>
          <w:sz w:val="18"/>
          <w:szCs w:val="18"/>
          <w:color w:val="auto"/>
        </w:rPr>
        <w:t>Deutsche Bank Securities Inc. acted as joint lead arranger and joint book-running manager, Deutsche Bank Trust Company Americas, an affiliate of Deutsche Bank Securities Inc., acted as administrative agent, Banc of America Securities LLC acted as joint lead arranger and joint book-running manager, Bank of America, N.A., an affiliate of Banc of America Securities LLC,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acted as syndication agent, and certain of the foregoing entities or affiliates of the foregoing entities have made extensions of credit to the Company in connection with a credit facility, dated as of June 21, 2007, as amended, providing for a delayed-draw term loan facility to us in the aggregate principal amount of $1.0 billion.</w:t>
      </w:r>
    </w:p>
    <w:p>
      <w:pPr>
        <w:spacing w:after="0" w:line="154"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Deutsche Bank Securities Inc. acted as lead arranger and joint book-running manager, Deutsche Bank Trust Company Americas, an affiliate of Deutsche Bank Securities, Inc., acted as administrative agent, issuing lender and swing line lender, Banc of America Securities LLC acted as lead arranger and joint book running manager, Bank of America, N.A., an affiliate of Banc of America Securities LLC, acted as syndication agent, and certain of the foregoing entities or affiliates of the foregoing entities have made extensions of credit to the Company in connection with the amended and restated credit agreement, dated as of August 15, 2006, as amended, providing for revolving credit and term loan borrowings to Wynn Las Vegas, LLC in the aggregate principal amount of $1.125 billion, which may be increased to an aggregate principal amount of $1.575 billion under certain circumstances and upon the satisfaction of certain conditions.</w:t>
      </w:r>
    </w:p>
    <w:p>
      <w:pPr>
        <w:spacing w:after="0" w:line="15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Deutsche Bank AG, Hong Kong Branch, an affiliate of Deutsche Bank Securities Inc. and Bank of America Securities Asia Limited, an affiliate of Banc of America Securities LLC, each acted as a global coordinating lead arranger under a $1.550 billion amended credit agreement executed on June 27, 2007 by one of our affiliates.</w:t>
      </w:r>
    </w:p>
    <w:p>
      <w:pPr>
        <w:spacing w:after="0" w:line="154" w:lineRule="exact"/>
        <w:rPr>
          <w:sz w:val="20"/>
          <w:szCs w:val="20"/>
          <w:color w:val="auto"/>
        </w:rPr>
      </w:pPr>
    </w:p>
    <w:p>
      <w:pPr>
        <w:ind w:right="120" w:firstLine="456"/>
        <w:spacing w:after="0" w:line="235" w:lineRule="auto"/>
        <w:rPr>
          <w:sz w:val="20"/>
          <w:szCs w:val="20"/>
          <w:color w:val="auto"/>
        </w:rPr>
      </w:pPr>
      <w:r>
        <w:rPr>
          <w:rFonts w:ascii="Arial" w:cs="Arial" w:eastAsia="Arial" w:hAnsi="Arial"/>
          <w:sz w:val="18"/>
          <w:szCs w:val="18"/>
          <w:color w:val="auto"/>
        </w:rPr>
        <w:t>The underwriters have represented and agreed that (i) they have not offered or sold and, prior to the expiration of the period of six months from the closing date of this offering, will not offer or sell any shares of our common stock to persons in the United Kingdom except to persons whose ordinary activities involve them in acquiring, holding, managing or disposing of investments (as principal or agent) for the purposes of their businesses or otherwise in circumstances which have not resulted and will not result in an offer to the public in the United Kingdom within the meaning of the Public Offers of Securities Regulations 1995; (ii) they have complied with and will comply with all applicable provisions of the Financial Services Act 1986 with respect to anything done by it in relation to the shares of our common stock in, form or otherwise involving the United Kingdom; and (iii) they have only issued or passed on and will only issue or pass on in the United Kingdom, any document received by it in connection with the issue of the shares of our common stock to a person who is of a kind described in Article 11(3) of the Financial Services Act 1986 (Investment Advertisements) (Exemptions) Order 1996 or is a person to whom such document may otherwise lawfully be issued or passed 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Certain legal matters regarding the securities being offered hereby will be passed upon for us by Skadden, Arps, Slate, Meagher &amp; Flom LLP, Los Angeles, California. Certain matters of Nevada law, including the validity of the shares of common stock offered hereby, will be passed upon for us by Brownstein Hyatt Farber Schreck, LLP, Las Vegas, Nevada. Certain legal matters in connection with this offering will be passed upon for the underwriters by Latham &amp; Watkins LLP, Los Angeles, California.</w:t>
      </w:r>
    </w:p>
    <w:p>
      <w:pPr>
        <w:spacing w:after="0" w:line="29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INCORPORATION BY REFERENCE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5520" w:right="5520" w:hanging="5066"/>
        <w:spacing w:after="0" w:line="366" w:lineRule="auto"/>
        <w:tabs>
          <w:tab w:leader="none" w:pos="76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incorporated documents are considered part of this prospectus; S-11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780" w:right="200" w:hanging="326"/>
        <w:spacing w:after="0" w:line="23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2007;</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2008, June 30, 2008 and September 30, 2008;</w:t>
      </w:r>
    </w:p>
    <w:p>
      <w:pPr>
        <w:spacing w:after="0" w:line="76" w:lineRule="exact"/>
        <w:rPr>
          <w:rFonts w:ascii="Arial" w:cs="Arial" w:eastAsia="Arial" w:hAnsi="Arial"/>
          <w:sz w:val="18"/>
          <w:szCs w:val="18"/>
          <w:color w:val="auto"/>
        </w:rPr>
      </w:pPr>
    </w:p>
    <w:p>
      <w:pPr>
        <w:ind w:left="780" w:right="460" w:hanging="326"/>
        <w:spacing w:after="0" w:line="23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reports on Form 8-K filed on March 4, 2008, March 7, 2008, March 18, 2008, March 18, 2008, March 28, 2008, May 6, 2008, May 7, 2008, May 30, 2008 (as amended by the Form 8-K/A filed on June 12, 2008), June 12, 2008, July 10, 2008, August 1, 2008, August 5, 2008, September 15, 2008, September 19, 2008, October 15, 2008 and November 13, 2008;</w:t>
      </w:r>
    </w:p>
    <w:p>
      <w:pPr>
        <w:spacing w:after="0" w:line="72"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on October 7, 2002 (File No. 000-50028); and</w:t>
      </w:r>
    </w:p>
    <w:p>
      <w:pPr>
        <w:spacing w:after="0" w:line="73"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other documents that we file with the SEC pursuant to Section 13(a), 13(c), 14 or 15(d) of the Exchange Act after the date of this prospectus and prior to termination of the offering of the securities hereunder.</w:t>
      </w:r>
    </w:p>
    <w:p>
      <w:pPr>
        <w:spacing w:after="0" w:line="155"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 this prospectus.</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56"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Copies of the documents incorporated by reference in this prospectus are available from us upon request. We will provide to each person, including any beneficial owner, to whom a prospectus is delivered, a copy of any or all of the information that has been incorporated by reference in this prospectus, but not delivered with this prospectus, without charge to the requester, upon written or oral request. Exhibits to information incorporated by reference in this prospectus will not be sent, however, unless those exhibits have specifically been incorporated by reference in such information. Requests for such copies should be directed to the following: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Limited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3131 Las Vegas Boulevard South</w:t>
      </w:r>
    </w:p>
    <w:p>
      <w:pPr>
        <w:ind w:left="460"/>
        <w:spacing w:after="0" w:line="234" w:lineRule="auto"/>
        <w:rPr>
          <w:sz w:val="20"/>
          <w:szCs w:val="20"/>
          <w:color w:val="auto"/>
        </w:rPr>
      </w:pPr>
      <w:r>
        <w:rPr>
          <w:rFonts w:ascii="Arial" w:cs="Arial" w:eastAsia="Arial" w:hAnsi="Arial"/>
          <w:sz w:val="18"/>
          <w:szCs w:val="18"/>
          <w:color w:val="auto"/>
        </w:rPr>
        <w:t>Las Vegas, Nevada 89109</w:t>
      </w:r>
    </w:p>
    <w:p>
      <w:pPr>
        <w:ind w:left="460"/>
        <w:spacing w:after="0" w:line="235" w:lineRule="auto"/>
        <w:rPr>
          <w:sz w:val="20"/>
          <w:szCs w:val="20"/>
          <w:color w:val="auto"/>
        </w:rPr>
      </w:pPr>
      <w:r>
        <w:rPr>
          <w:rFonts w:ascii="Arial" w:cs="Arial" w:eastAsia="Arial" w:hAnsi="Arial"/>
          <w:sz w:val="18"/>
          <w:szCs w:val="18"/>
          <w:color w:val="auto"/>
        </w:rPr>
        <w:t>(702) 770-7555</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Vice President—Investor Relations</w:t>
      </w:r>
    </w:p>
    <w:p>
      <w:pPr>
        <w:spacing w:after="0" w:line="77"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992755" cy="128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Under this prospectus, we may offer from time to time shares of our common stock to the public.</w:t>
      </w:r>
    </w:p>
    <w:p>
      <w:pPr>
        <w:spacing w:after="0" w:line="266"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Prospectus supplements will be filed and other offering material may be provided at later dates that will contain specific terms of each offering of shares of our common stock.</w:t>
      </w:r>
    </w:p>
    <w:p>
      <w:pPr>
        <w:spacing w:after="0" w:line="26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Our common stock is quoted on The Nasdaq Global Select Market under the symbol “WYNN.” Our principal executive offices are located at 3131 Las Vegas Boulevard South, Las Vegas, Nevada 89109.</w:t>
      </w:r>
    </w:p>
    <w:p>
      <w:pPr>
        <w:spacing w:after="0" w:line="245"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i w:val="1"/>
          <w:iCs w:val="1"/>
          <w:color w:val="auto"/>
        </w:rPr>
        <w:t>We urge you to read carefully this prospectus and any prospectus supplement and any other offering material filed or provided by us before you make your investment decision.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in our common stock involves risks. See “Risk Factors” on page 1.</w:t>
      </w:r>
    </w:p>
    <w:p>
      <w:pPr>
        <w:spacing w:after="0" w:line="274"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Neither the Nevada Gaming Commission, the Nevada State Gaming Control Board, nor any other gaming authority has passed upon the adequacy or accuracy of this prospectus or any accompanying prospectus supplement or the investment merits of the common stock or debt securities offered hereby. Any representation to the contrary is unlawful.</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sell securities unless accompanied by a prospectus supplement.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The date of this prospectus is September 27, 2007.</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120" w:type="dxa"/>
            <w:vAlign w:val="bottom"/>
          </w:tcPr>
          <w:p>
            <w:pPr>
              <w:jc w:val="right"/>
              <w:ind w:right="4672"/>
              <w:spacing w:after="0"/>
              <w:rPr>
                <w:sz w:val="20"/>
                <w:szCs w:val="20"/>
                <w:color w:val="auto"/>
              </w:rPr>
            </w:pPr>
            <w:r>
              <w:rPr>
                <w:rFonts w:ascii="Arial" w:cs="Arial" w:eastAsia="Arial" w:hAnsi="Arial"/>
                <w:sz w:val="18"/>
                <w:szCs w:val="18"/>
                <w:b w:val="1"/>
                <w:bCs w:val="1"/>
                <w:color w:val="auto"/>
              </w:rPr>
              <w:t>TABLE OF CONTENTS</w:t>
            </w:r>
          </w:p>
        </w:tc>
      </w:tr>
      <w:tr>
        <w:trPr>
          <w:trHeight w:val="367"/>
        </w:trPr>
        <w:tc>
          <w:tcPr>
            <w:tcW w:w="232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15">
              <w:r>
                <w:rPr>
                  <w:rFonts w:ascii="Arial" w:cs="Arial" w:eastAsia="Arial" w:hAnsi="Arial"/>
                  <w:sz w:val="18"/>
                  <w:szCs w:val="18"/>
                  <w:color w:val="0000EE"/>
                  <w:w w:val="97"/>
                </w:rPr>
                <w:t>ABOUT THIS PROSPECTUS</w:t>
              </w:r>
            </w:hyperlink>
          </w:p>
        </w:tc>
        <w:tc>
          <w:tcPr>
            <w:tcW w:w="1980" w:type="dxa"/>
            <w:vAlign w:val="bottom"/>
            <w:gridSpan w:val="4"/>
          </w:tcPr>
          <w:p>
            <w:pPr>
              <w:spacing w:after="0"/>
              <w:rPr>
                <w:sz w:val="24"/>
                <w:szCs w:val="24"/>
                <w:color w:val="auto"/>
              </w:rPr>
            </w:pPr>
          </w:p>
        </w:tc>
        <w:tc>
          <w:tcPr>
            <w:tcW w:w="7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RISK FACTORS</w:t>
              </w:r>
            </w:hyperlink>
          </w:p>
        </w:tc>
        <w:tc>
          <w:tcPr>
            <w:tcW w:w="3000" w:type="dxa"/>
            <w:vAlign w:val="bottom"/>
            <w:gridSpan w:val="7"/>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4300" w:type="dxa"/>
            <w:vAlign w:val="bottom"/>
            <w:gridSpan w:val="10"/>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WHERE YOU CAN FIND MORE INFORMATION</w:t>
              </w:r>
            </w:hyperlink>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9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2"/>
          </w:tcPr>
          <w:p>
            <w:pPr>
              <w:spacing w:after="0"/>
              <w:rPr>
                <w:sz w:val="15"/>
                <w:szCs w:val="15"/>
                <w:color w:val="auto"/>
              </w:rPr>
            </w:pPr>
          </w:p>
        </w:tc>
        <w:tc>
          <w:tcPr>
            <w:tcW w:w="500" w:type="dxa"/>
            <w:vAlign w:val="bottom"/>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4300" w:type="dxa"/>
            <w:vAlign w:val="bottom"/>
            <w:gridSpan w:val="10"/>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FORWARD-LOOKING STATEMENTS</w:t>
              </w:r>
            </w:hyperlink>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9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THE COMPANY</w:t>
              </w:r>
            </w:hyperlink>
          </w:p>
        </w:tc>
        <w:tc>
          <w:tcPr>
            <w:tcW w:w="1340" w:type="dxa"/>
            <w:vAlign w:val="bottom"/>
            <w:gridSpan w:val="2"/>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8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183"/>
        </w:trPr>
        <w:tc>
          <w:tcPr>
            <w:tcW w:w="170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USE OF PROCEEDS</w:t>
              </w:r>
            </w:hyperlink>
          </w:p>
        </w:tc>
        <w:tc>
          <w:tcPr>
            <w:tcW w:w="2600" w:type="dxa"/>
            <w:vAlign w:val="bottom"/>
            <w:gridSpan w:val="5"/>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4300" w:type="dxa"/>
            <w:vAlign w:val="bottom"/>
            <w:gridSpan w:val="10"/>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LEGAL MATTERS</w:t>
              </w:r>
            </w:hyperlink>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144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2860" w:type="dxa"/>
            <w:vAlign w:val="bottom"/>
            <w:gridSpan w:val="6"/>
          </w:tcPr>
          <w:p>
            <w:pPr>
              <w:spacing w:after="0"/>
              <w:rPr>
                <w:sz w:val="15"/>
                <w:szCs w:val="15"/>
                <w:color w:val="auto"/>
              </w:rPr>
            </w:pPr>
          </w:p>
        </w:tc>
        <w:tc>
          <w:tcPr>
            <w:tcW w:w="712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20"/>
        </w:trPr>
        <w:tc>
          <w:tcPr>
            <w:tcW w:w="8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00" w:firstLine="456"/>
        <w:spacing w:after="0" w:line="239" w:lineRule="auto"/>
        <w:rPr>
          <w:sz w:val="20"/>
          <w:szCs w:val="20"/>
          <w:color w:val="auto"/>
        </w:rPr>
      </w:pPr>
      <w:r>
        <w:rPr>
          <w:rFonts w:ascii="Arial" w:cs="Arial" w:eastAsia="Arial" w:hAnsi="Arial"/>
          <w:sz w:val="18"/>
          <w:szCs w:val="18"/>
          <w:color w:val="auto"/>
        </w:rPr>
        <w:t>Unless the context otherwise requires or unless otherwise specified, all references in this prospectus to “Wynn Resorts,” “the Company,” “we,” “us” or “our,” or similar terms, refer to Wynn Resorts, Limited and its consolidated subsidiaries.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80"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using a “shelf” registration process. Under this shelf process, we may sell the common stock described in this prospectus in one or more offerings. This prospectus provides you with a general description of the common stock we may offer. Each time we sell common stock pursuant to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Investing in our common stock involves risks. You are urged to read and carefully consider the information under the heading “Risk Factors” in our Annual Report on Form 10-K for the year ended December 31, 2006, which is incorporated by reference into this prospectus, and in documents we file with the SEC after the date of this prospectus and which are incorporated by reference into this prospectus, as described below under the heading “Incorporation by Reference.” Before making an investment decision, you should carefully consider these risks as well as other information we incorporate by reference in this prospectus. The risks and uncertainties that we have described are not the only ones facing us. The prospectus supplement applicable to each offering of common stock will contain additional information about risks applicable to an investment in us and shares of our common stock.</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80"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We are subject to the informational reporting requirements of the Securities Exchange Act of 1934, as amended (the “Exchange Act”), and in accordance with these requirements file reports, proxy statements and other information with the SEC. The reports, proxy statements and other information may be inspected and copied at the SEC’s Public Reference Room at 100 F Street, N.E., Washington, D.C. 20549. You may obtain information on the operation of the Public Reference Room by calling the SEC at 1-800-SEC-0330. The SEC also maintains 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 xml:space="preserve">Internet 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(not an active hyperlink) that contains reports, proxy and information statements, and other information regarding issuers, like Wynn Resorts, that file electronically with the SEC. Our filings with the SEC also may be accessed through our Internet website at </w:t>
      </w:r>
      <w:r>
        <w:rPr>
          <w:rFonts w:ascii="Arial" w:cs="Arial" w:eastAsia="Arial" w:hAnsi="Arial"/>
          <w:sz w:val="18"/>
          <w:szCs w:val="18"/>
          <w:i w:val="1"/>
          <w:iCs w:val="1"/>
          <w:color w:val="auto"/>
        </w:rPr>
        <w:t>http://www.wynnresorts.com</w:t>
      </w:r>
      <w:r>
        <w:rPr>
          <w:rFonts w:ascii="Arial" w:cs="Arial" w:eastAsia="Arial" w:hAnsi="Arial"/>
          <w:sz w:val="18"/>
          <w:szCs w:val="18"/>
          <w:color w:val="auto"/>
        </w:rPr>
        <w:t xml:space="preserve"> (not an active hyperlink). Our website, and the information contained in, accessible from or connected to our website, shall not be deemed to be incorporated into, or otherwise constitute a part of, this prospectus.</w:t>
      </w:r>
    </w:p>
    <w:p>
      <w:pPr>
        <w:spacing w:after="0" w:line="292"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INCORPORATION BY REFERENCE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specified documents that we file with the SEC, which means that:</w:t>
      </w:r>
    </w:p>
    <w:p>
      <w:pPr>
        <w:spacing w:after="0" w:line="77"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documents are considered part of this prospectus;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disclosing important information to you by referring you to those documents; and</w:t>
      </w:r>
    </w:p>
    <w:p>
      <w:pPr>
        <w:spacing w:after="0" w:line="76" w:lineRule="exact"/>
        <w:rPr>
          <w:rFonts w:ascii="Arial" w:cs="Arial" w:eastAsia="Arial" w:hAnsi="Arial"/>
          <w:sz w:val="18"/>
          <w:szCs w:val="18"/>
          <w:color w:val="auto"/>
        </w:rPr>
      </w:pPr>
    </w:p>
    <w:p>
      <w:pPr>
        <w:ind w:left="780" w:right="200" w:hanging="326"/>
        <w:spacing w:after="0" w:line="23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information that we file in the future with the SEC automatically will update and supersede earlier information contained or incorporated by reference in this prospectus.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incorporating by reference in this prospectus the following documents filed with the SEC:</w:t>
      </w:r>
    </w:p>
    <w:p>
      <w:pPr>
        <w:spacing w:after="0" w:line="77"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2006;</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March 31, 2007 and June 30, 2007;</w:t>
      </w:r>
    </w:p>
    <w:p>
      <w:pPr>
        <w:spacing w:after="0" w:line="76"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current reports on Form 8-K filed on January 11, 2007, February 1, 2007, April 13, 2007, June 7, 2007, June 15, 2007, June 21, 2007, June 29, 2007 and July 5, 2007;</w:t>
      </w:r>
    </w:p>
    <w:p>
      <w:pPr>
        <w:spacing w:after="0" w:line="73"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description of our common stock set forth in our Registration Statement on Form 8-A, filed on October 7, 2002 (File No. 000-50028); and</w:t>
      </w:r>
    </w:p>
    <w:p>
      <w:pPr>
        <w:spacing w:after="0" w:line="73" w:lineRule="exact"/>
        <w:rPr>
          <w:rFonts w:ascii="Arial" w:cs="Arial" w:eastAsia="Arial" w:hAnsi="Arial"/>
          <w:sz w:val="18"/>
          <w:szCs w:val="18"/>
          <w:color w:val="auto"/>
        </w:rPr>
      </w:pPr>
    </w:p>
    <w:p>
      <w:pPr>
        <w:ind w:left="780" w:right="460" w:hanging="326"/>
        <w:spacing w:after="0" w:line="23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other documents that we file with the SEC pursuant to Section 13(a), 13(c), 14 or 15(d) of the Exchange Act after the date of this prospectus and prior to termination of the offering of the securities hereunder.</w:t>
      </w:r>
    </w:p>
    <w:p>
      <w:pPr>
        <w:spacing w:after="0" w:line="155" w:lineRule="exact"/>
        <w:rPr>
          <w:sz w:val="20"/>
          <w:szCs w:val="20"/>
          <w:color w:val="auto"/>
        </w:rPr>
      </w:pPr>
    </w:p>
    <w:p>
      <w:pPr>
        <w:ind w:right="360" w:firstLine="456"/>
        <w:spacing w:after="0" w:line="239" w:lineRule="auto"/>
        <w:rPr>
          <w:sz w:val="20"/>
          <w:szCs w:val="20"/>
          <w:color w:val="auto"/>
        </w:rPr>
      </w:pPr>
      <w:r>
        <w:rPr>
          <w:rFonts w:ascii="Arial" w:cs="Arial" w:eastAsia="Arial" w:hAnsi="Arial"/>
          <w:sz w:val="18"/>
          <w:szCs w:val="18"/>
          <w:color w:val="auto"/>
        </w:rPr>
        <w:t>Notwithstanding the foregoing, information furnished under Items 2.02 and 7.01 of any Current Report on Form 8-K, including the related exhibits under Item 9.01, is not incorporated by reference in this prospectus.</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any additional information. Any statement contained in this prospectus, or a document incorporated or deemed to be incorporated by reference in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56"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Copies of the documents incorporated by reference in this prospectus are available from us upon request. We will provide to each person, including any beneficial owner, to whom a prospectus is delivered, a copy of any or all of the information that has been incorporated by reference in this prospectus, but not delivered with this prospectus, without charge to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requester, upon written or oral request. Exhibits to information incorporated by reference in this prospectus will not be sent, however, unless those exhibits have specifically been incorporated by reference in such information. Requests for such copies should be directed to the following:</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Wynn Resorts, Limited</w:t>
      </w:r>
    </w:p>
    <w:p>
      <w:pPr>
        <w:ind w:left="900"/>
        <w:spacing w:after="0" w:line="234" w:lineRule="auto"/>
        <w:rPr>
          <w:sz w:val="20"/>
          <w:szCs w:val="20"/>
          <w:color w:val="auto"/>
        </w:rPr>
      </w:pPr>
      <w:r>
        <w:rPr>
          <w:rFonts w:ascii="Arial" w:cs="Arial" w:eastAsia="Arial" w:hAnsi="Arial"/>
          <w:sz w:val="18"/>
          <w:szCs w:val="18"/>
          <w:color w:val="auto"/>
        </w:rPr>
        <w:t>3131 Las Vegas Boulevard South</w:t>
      </w:r>
    </w:p>
    <w:p>
      <w:pPr>
        <w:ind w:left="900"/>
        <w:spacing w:after="0" w:line="235" w:lineRule="auto"/>
        <w:rPr>
          <w:sz w:val="20"/>
          <w:szCs w:val="20"/>
          <w:color w:val="auto"/>
        </w:rPr>
      </w:pPr>
      <w:r>
        <w:rPr>
          <w:rFonts w:ascii="Arial" w:cs="Arial" w:eastAsia="Arial" w:hAnsi="Arial"/>
          <w:sz w:val="18"/>
          <w:szCs w:val="18"/>
          <w:color w:val="auto"/>
        </w:rPr>
        <w:t>Las Vegas, Nevada 89109</w:t>
      </w:r>
    </w:p>
    <w:p>
      <w:pPr>
        <w:ind w:left="900"/>
        <w:spacing w:after="0" w:line="235" w:lineRule="auto"/>
        <w:rPr>
          <w:sz w:val="20"/>
          <w:szCs w:val="20"/>
          <w:color w:val="auto"/>
        </w:rPr>
      </w:pPr>
      <w:r>
        <w:rPr>
          <w:rFonts w:ascii="Arial" w:cs="Arial" w:eastAsia="Arial" w:hAnsi="Arial"/>
          <w:sz w:val="18"/>
          <w:szCs w:val="18"/>
          <w:color w:val="auto"/>
        </w:rPr>
        <w:t>(702) 770-7555</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Vice President—Investor Relations</w:t>
      </w:r>
    </w:p>
    <w:p>
      <w:pPr>
        <w:spacing w:after="0" w:line="158"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Except as provided above, no other information, including information on our internet site (http://www.wynnresorts.com), is incorporated by reference in this prospectus.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FORWARD-LOOKING STATEMENTS</w:t>
      </w:r>
    </w:p>
    <w:p>
      <w:pPr>
        <w:spacing w:after="0" w:line="180"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color w:val="auto"/>
        </w:rPr>
        <w:t>This prospectus, including the documents incorporated by reference in this prospectus, contain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prospectus, including the documents incorporated by reference in this prospectus,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55" w:lineRule="exact"/>
        <w:rPr>
          <w:sz w:val="20"/>
          <w:szCs w:val="20"/>
          <w:color w:val="auto"/>
        </w:rPr>
      </w:pPr>
    </w:p>
    <w:p>
      <w:pPr>
        <w:ind w:left="780" w:right="360" w:hanging="326"/>
        <w:spacing w:after="0" w:line="23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the second phase of our Wynn Macau casino resort on time and within budget;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76" w:lineRule="exact"/>
        <w:rPr>
          <w:rFonts w:ascii="Arial" w:cs="Arial" w:eastAsia="Arial" w:hAnsi="Arial"/>
          <w:sz w:val="18"/>
          <w:szCs w:val="18"/>
          <w:color w:val="auto"/>
        </w:rPr>
      </w:pPr>
    </w:p>
    <w:p>
      <w:pPr>
        <w:ind w:left="780" w:right="100" w:hanging="326"/>
        <w:spacing w:after="0" w:line="23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73" w:lineRule="exact"/>
        <w:rPr>
          <w:rFonts w:ascii="Arial" w:cs="Arial" w:eastAsia="Arial" w:hAnsi="Arial"/>
          <w:sz w:val="18"/>
          <w:szCs w:val="18"/>
          <w:color w:val="auto"/>
        </w:rPr>
      </w:pPr>
    </w:p>
    <w:p>
      <w:pPr>
        <w:ind w:left="780" w:right="840" w:hanging="326"/>
        <w:spacing w:after="0" w:line="23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doing business in foreign locations such as Macau (including the risks associated with Macau’s developing gaming regulatory framework);</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dependence on a limited number of properties for all of our cash flow;</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jurisdictional laws and regulations (including gaming laws and regulations);</w:t>
      </w:r>
    </w:p>
    <w:p>
      <w:pPr>
        <w:spacing w:after="0" w:line="76" w:lineRule="exact"/>
        <w:rPr>
          <w:rFonts w:ascii="Arial" w:cs="Arial" w:eastAsia="Arial" w:hAnsi="Arial"/>
          <w:sz w:val="18"/>
          <w:szCs w:val="18"/>
          <w:color w:val="auto"/>
        </w:rPr>
      </w:pPr>
    </w:p>
    <w:p>
      <w:pPr>
        <w:ind w:left="780" w:right="300" w:hanging="326"/>
        <w:spacing w:after="0" w:line="239"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181"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the sections entitled “Risk Factors” in our Annual Report on Form 10-K for the year ended December 31, 2006,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prospectus.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COMPANY</w:t>
      </w:r>
    </w:p>
    <w:p>
      <w:pPr>
        <w:spacing w:after="0" w:line="180"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and Wynn Macau, a destination casino resort in the Macau Special Administrative Region of the People’s Republic of China, which opened on September 6, 2006. In addition, on April 28, 2006, we commenced construction of Encore at Wynn Las Vegas, a hotel casino resort which, when completed, will be fully integrated with Wynn Las Vegas. We are also currently expanding Wynn Macau and in November 2006, announced “Wynn Diamond Suites” an additional hotel tower for Wynn Macau. Until the opening of Wynn Las Vegas in 2005, we were solely a development stage company.</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July 2007:</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Approximate</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5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Hotel</w:t>
            </w:r>
          </w:p>
        </w:tc>
        <w:tc>
          <w:tcPr>
            <w:tcW w:w="620" w:type="dxa"/>
            <w:vAlign w:val="bottom"/>
          </w:tcPr>
          <w:p>
            <w:pPr>
              <w:spacing w:after="0"/>
              <w:rPr>
                <w:sz w:val="12"/>
                <w:szCs w:val="12"/>
                <w:color w:val="auto"/>
              </w:rPr>
            </w:pPr>
          </w:p>
        </w:tc>
        <w:tc>
          <w:tcPr>
            <w:tcW w:w="14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Casino</w:t>
            </w: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spacing w:after="0"/>
              <w:rPr>
                <w:sz w:val="12"/>
                <w:szCs w:val="12"/>
                <w:color w:val="auto"/>
              </w:rPr>
            </w:pPr>
          </w:p>
        </w:tc>
      </w:tr>
      <w:tr>
        <w:trPr>
          <w:trHeight w:val="149"/>
        </w:trPr>
        <w:tc>
          <w:tcPr>
            <w:tcW w:w="59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Rooms &amp;</w:t>
            </w:r>
          </w:p>
        </w:tc>
        <w:tc>
          <w:tcPr>
            <w:tcW w:w="620" w:type="dxa"/>
            <w:vAlign w:val="bottom"/>
          </w:tcPr>
          <w:p>
            <w:pPr>
              <w:spacing w:after="0"/>
              <w:rPr>
                <w:sz w:val="12"/>
                <w:szCs w:val="12"/>
                <w:color w:val="auto"/>
              </w:rPr>
            </w:pPr>
          </w:p>
        </w:tc>
        <w:tc>
          <w:tcPr>
            <w:tcW w:w="14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Square</w:t>
            </w:r>
          </w:p>
        </w:tc>
        <w:tc>
          <w:tcPr>
            <w:tcW w:w="12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Table</w:t>
            </w: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Number of</w:t>
            </w:r>
          </w:p>
        </w:tc>
      </w:tr>
      <w:tr>
        <w:trPr>
          <w:trHeight w:val="165"/>
        </w:trPr>
        <w:tc>
          <w:tcPr>
            <w:tcW w:w="59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Suites</w:t>
            </w:r>
          </w:p>
        </w:tc>
        <w:tc>
          <w:tcPr>
            <w:tcW w:w="6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Footage</w:t>
            </w:r>
          </w:p>
        </w:tc>
        <w:tc>
          <w:tcPr>
            <w:tcW w:w="600" w:type="dxa"/>
            <w:vAlign w:val="bottom"/>
          </w:tcPr>
          <w:p>
            <w:pPr>
              <w:spacing w:after="0"/>
              <w:rPr>
                <w:sz w:val="14"/>
                <w:szCs w:val="14"/>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Games</w:t>
            </w:r>
          </w:p>
        </w:tc>
        <w:tc>
          <w:tcPr>
            <w:tcW w:w="600" w:type="dxa"/>
            <w:vAlign w:val="bottom"/>
          </w:tcPr>
          <w:p>
            <w:pPr>
              <w:spacing w:after="0"/>
              <w:rPr>
                <w:sz w:val="14"/>
                <w:szCs w:val="14"/>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Slots</w:t>
            </w: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Wynn Las Vegas</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2,716</w:t>
            </w:r>
          </w:p>
        </w:tc>
        <w:tc>
          <w:tcPr>
            <w:tcW w:w="2060" w:type="dxa"/>
            <w:vAlign w:val="bottom"/>
            <w:gridSpan w:val="3"/>
            <w:shd w:val="clear" w:color="auto" w:fill="CCEEFF"/>
          </w:tcPr>
          <w:p>
            <w:pPr>
              <w:ind w:left="820"/>
              <w:spacing w:after="0" w:line="196" w:lineRule="exact"/>
              <w:rPr>
                <w:sz w:val="20"/>
                <w:szCs w:val="20"/>
                <w:color w:val="auto"/>
              </w:rPr>
            </w:pPr>
            <w:r>
              <w:rPr>
                <w:rFonts w:ascii="Arial" w:cs="Arial" w:eastAsia="Arial" w:hAnsi="Arial"/>
                <w:sz w:val="18"/>
                <w:szCs w:val="18"/>
                <w:color w:val="auto"/>
              </w:rPr>
              <w:t>111,000</w:t>
            </w:r>
          </w:p>
        </w:tc>
        <w:tc>
          <w:tcPr>
            <w:tcW w:w="1280" w:type="dxa"/>
            <w:vAlign w:val="bottom"/>
            <w:gridSpan w:val="2"/>
            <w:shd w:val="clear" w:color="auto" w:fill="CCEEFF"/>
          </w:tcPr>
          <w:p>
            <w:pPr>
              <w:jc w:val="right"/>
              <w:ind w:right="600"/>
              <w:spacing w:after="0" w:line="196" w:lineRule="exact"/>
              <w:rPr>
                <w:sz w:val="20"/>
                <w:szCs w:val="20"/>
                <w:color w:val="auto"/>
              </w:rPr>
            </w:pPr>
            <w:r>
              <w:rPr>
                <w:rFonts w:ascii="Arial" w:cs="Arial" w:eastAsia="Arial" w:hAnsi="Arial"/>
                <w:sz w:val="18"/>
                <w:szCs w:val="18"/>
                <w:color w:val="auto"/>
              </w:rPr>
              <w:t>146</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1,975</w:t>
            </w:r>
          </w:p>
        </w:tc>
      </w:tr>
      <w:tr>
        <w:trPr>
          <w:trHeight w:val="214"/>
        </w:trPr>
        <w:tc>
          <w:tcPr>
            <w:tcW w:w="5900" w:type="dxa"/>
            <w:vAlign w:val="bottom"/>
          </w:tcPr>
          <w:p>
            <w:pPr>
              <w:spacing w:after="0"/>
              <w:rPr>
                <w:sz w:val="20"/>
                <w:szCs w:val="20"/>
                <w:color w:val="auto"/>
              </w:rPr>
            </w:pPr>
            <w:r>
              <w:rPr>
                <w:rFonts w:ascii="Arial" w:cs="Arial" w:eastAsia="Arial" w:hAnsi="Arial"/>
                <w:sz w:val="18"/>
                <w:szCs w:val="18"/>
                <w:color w:val="auto"/>
              </w:rPr>
              <w:t>Wynn Macau</w:t>
            </w:r>
          </w:p>
        </w:tc>
        <w:tc>
          <w:tcPr>
            <w:tcW w:w="580" w:type="dxa"/>
            <w:vAlign w:val="bottom"/>
          </w:tcPr>
          <w:p>
            <w:pPr>
              <w:jc w:val="right"/>
              <w:spacing w:after="0"/>
              <w:rPr>
                <w:sz w:val="20"/>
                <w:szCs w:val="20"/>
                <w:color w:val="auto"/>
              </w:rPr>
            </w:pPr>
            <w:r>
              <w:rPr>
                <w:rFonts w:ascii="Arial" w:cs="Arial" w:eastAsia="Arial" w:hAnsi="Arial"/>
                <w:sz w:val="18"/>
                <w:szCs w:val="18"/>
                <w:color w:val="auto"/>
              </w:rPr>
              <w:t>600</w:t>
            </w:r>
          </w:p>
        </w:tc>
        <w:tc>
          <w:tcPr>
            <w:tcW w:w="2060" w:type="dxa"/>
            <w:vAlign w:val="bottom"/>
            <w:gridSpan w:val="3"/>
          </w:tcPr>
          <w:p>
            <w:pPr>
              <w:ind w:left="820"/>
              <w:spacing w:after="0"/>
              <w:rPr>
                <w:sz w:val="20"/>
                <w:szCs w:val="20"/>
                <w:color w:val="auto"/>
              </w:rPr>
            </w:pPr>
            <w:r>
              <w:rPr>
                <w:rFonts w:ascii="Arial" w:cs="Arial" w:eastAsia="Arial" w:hAnsi="Arial"/>
                <w:sz w:val="18"/>
                <w:szCs w:val="18"/>
                <w:color w:val="auto"/>
              </w:rPr>
              <w:t>130,000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283</w:t>
            </w:r>
          </w:p>
        </w:tc>
        <w:tc>
          <w:tcPr>
            <w:tcW w:w="680" w:type="dxa"/>
            <w:vAlign w:val="bottom"/>
          </w:tcPr>
          <w:p>
            <w:pPr>
              <w:jc w:val="right"/>
              <w:spacing w:after="0"/>
              <w:rPr>
                <w:sz w:val="20"/>
                <w:szCs w:val="20"/>
                <w:color w:val="auto"/>
              </w:rPr>
            </w:pPr>
            <w:r>
              <w:rPr>
                <w:rFonts w:ascii="Arial" w:cs="Arial" w:eastAsia="Arial" w:hAnsi="Arial"/>
                <w:sz w:val="18"/>
                <w:szCs w:val="18"/>
                <w:color w:val="auto"/>
              </w:rPr>
              <w:t>708</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77" w:lineRule="exact"/>
        <w:rPr>
          <w:sz w:val="20"/>
          <w:szCs w:val="20"/>
          <w:color w:val="auto"/>
        </w:rPr>
      </w:pPr>
    </w:p>
    <w:p>
      <w:pPr>
        <w:ind w:left="780" w:right="300" w:hanging="326"/>
        <w:spacing w:after="0" w:line="23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73" w:lineRule="exact"/>
        <w:rPr>
          <w:rFonts w:ascii="Arial" w:cs="Arial" w:eastAsia="Arial" w:hAnsi="Arial"/>
          <w:sz w:val="18"/>
          <w:szCs w:val="18"/>
          <w:color w:val="auto"/>
        </w:rPr>
      </w:pPr>
    </w:p>
    <w:p>
      <w:pPr>
        <w:ind w:left="780" w:right="240" w:hanging="326"/>
        <w:spacing w:after="0" w:line="23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 (in 2006, the Tower Suites at Wynn Las Vegas became the only casino resort in the world to receive both the Mobil Five Star and AAA Five Diamond distinctions);</w:t>
      </w:r>
    </w:p>
    <w:p>
      <w:pPr>
        <w:spacing w:after="0" w:line="73" w:lineRule="exact"/>
        <w:rPr>
          <w:rFonts w:ascii="Arial" w:cs="Arial" w:eastAsia="Arial" w:hAnsi="Arial"/>
          <w:sz w:val="18"/>
          <w:szCs w:val="18"/>
          <w:color w:val="auto"/>
        </w:rPr>
      </w:pPr>
    </w:p>
    <w:p>
      <w:pPr>
        <w:ind w:left="780" w:right="120" w:hanging="326"/>
        <w:spacing w:after="0" w:line="23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22 food and beverage outlets featuring signature chefs, including the AAA Five Diamond and Mobil Five Star award-winning restaurant, Alex;</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76" w:lineRule="exact"/>
        <w:rPr>
          <w:rFonts w:ascii="Arial" w:cs="Arial" w:eastAsia="Arial" w:hAnsi="Arial"/>
          <w:sz w:val="18"/>
          <w:szCs w:val="18"/>
          <w:color w:val="auto"/>
        </w:rPr>
      </w:pPr>
    </w:p>
    <w:p>
      <w:pPr>
        <w:ind w:left="780" w:hanging="326"/>
        <w:spacing w:after="0" w:line="23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Brioni, Chanel, Dior, Graff, Jean-Paul Gaultier, Louis Vuitton and Manolo Blahnik;</w:t>
      </w:r>
    </w:p>
    <w:p>
      <w:pPr>
        <w:spacing w:after="0" w:line="73" w:lineRule="exact"/>
        <w:rPr>
          <w:rFonts w:ascii="Arial" w:cs="Arial" w:eastAsia="Arial" w:hAnsi="Arial"/>
          <w:sz w:val="18"/>
          <w:szCs w:val="18"/>
          <w:color w:val="auto"/>
        </w:rPr>
      </w:pPr>
    </w:p>
    <w:p>
      <w:pPr>
        <w:ind w:left="780" w:right="180" w:hanging="326"/>
        <w:spacing w:after="0" w:line="239" w:lineRule="auto"/>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Recreation and leisure facilities, including an 18-hole golf course, five swimming pools, private cabanas and full service spa and salon; and</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Two showrooms, a nightclub and lounge entertainment.</w:t>
      </w:r>
    </w:p>
    <w:p>
      <w:pPr>
        <w:spacing w:after="0" w:line="158"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In March 2007, we remodeled the Le Rêve Theatre to enhance the customer experience. The theatre went from 2,087 to 1,606 seats providing additional room for guests and a more intimate experience. The remodel effort lasted approximately 30 days from March 6, 2007 through April 4, 2007, during which time there were no performances of Le Rêve. Also, in March 2007, we commenced performances of “Monty Python’s Spamalot” in our Grail Theatre.</w:t>
      </w:r>
    </w:p>
    <w:p>
      <w:pPr>
        <w:spacing w:after="0" w:line="155"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approximately 18 additional acres across Sands Avenue, a portion of which is utilized for employee parking.</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Las Vegas</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early 2009. Our project budget is currently estimated at approximately $2.2 billion, consisting of approximately $2.1 billion for Encore and approximately $100 million for an employee parking garage on our Koval property, an associated pedestrian bridge and costs incurred in connection with the theatre remodeling and production of “Monty Python’s Spamalot” at Wynn Las Vegas, which opened March 2007.</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opened Wynn Macau on September 6, 2006. Wynn Macau is located on 11 acres of a total site area of 16 acres of land and features:</w:t>
      </w:r>
    </w:p>
    <w:p>
      <w:pPr>
        <w:spacing w:after="0" w:line="77"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approximately 130,000 square foot casino offering 24-hour gaming and a full range of games, including private gaming salons;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Casual and fine dining in five restaurants;</w:t>
      </w:r>
    </w:p>
    <w:p>
      <w:pPr>
        <w:spacing w:after="0" w:line="76" w:lineRule="exact"/>
        <w:rPr>
          <w:rFonts w:ascii="Arial" w:cs="Arial" w:eastAsia="Arial" w:hAnsi="Arial"/>
          <w:sz w:val="18"/>
          <w:szCs w:val="18"/>
          <w:color w:val="auto"/>
        </w:rPr>
      </w:pPr>
    </w:p>
    <w:p>
      <w:pPr>
        <w:ind w:left="780" w:right="340" w:hanging="326"/>
        <w:spacing w:after="0" w:line="23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26,000 square feet of high-end, brand-name retail shopping, including stores and boutiques featuring Bulgari, Chanel, Dior, Fendi, Giorgio Armani, Louis Vuitton, Piaget, Prada, Tiffany, and others;</w:t>
      </w:r>
    </w:p>
    <w:p>
      <w:pPr>
        <w:spacing w:after="0" w:line="7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76"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58" w:lineRule="exact"/>
        <w:rPr>
          <w:sz w:val="20"/>
          <w:szCs w:val="20"/>
          <w:color w:val="auto"/>
        </w:rPr>
      </w:pPr>
    </w:p>
    <w:p>
      <w:pPr>
        <w:ind w:right="220" w:firstLine="456"/>
        <w:spacing w:after="0" w:line="236" w:lineRule="auto"/>
        <w:rPr>
          <w:sz w:val="20"/>
          <w:szCs w:val="20"/>
          <w:color w:val="auto"/>
        </w:rPr>
      </w:pPr>
      <w:r>
        <w:rPr>
          <w:rFonts w:ascii="Arial" w:cs="Arial" w:eastAsia="Arial" w:hAnsi="Arial"/>
          <w:sz w:val="18"/>
          <w:szCs w:val="18"/>
          <w:color w:val="auto"/>
        </w:rPr>
        <w:t>Construction and development continues on the second phase. This phase includes additional gaming space, a dramatic front feature attraction, a theater showroom and additional food, beverage and retail amenities. In September 2007, we opened approximately 20,000 square feet of additional gaming space and one restaurant at Wynn Macau in this second phase. The remaining portion of the expansion is expected to open by Chinese New Year, 2008. After the completion of the expansion, Wynn Macau is expected to have a total of approximately 380 table games and 1,200 slot machines.</w:t>
      </w:r>
    </w:p>
    <w:p>
      <w:pPr>
        <w:spacing w:after="0" w:line="15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6"/>
          <w:szCs w:val="16"/>
          <w:color w:val="auto"/>
        </w:rPr>
        <w:t>In July 2007, Wynn Macau S.A. issued a notice to proceed to the general contractor with respect to approximately $347.8 million of construction costs relating to the construction of Wynn Diamond Suites. While the complete project budget is still being finalized, we expect the costs to be in the range of $550 to $600 million. We expect Wynn Diamond Suites to open to the public in the first half of 2010. First announced in November 2006, Wynn Diamond Suites will be fully integrated into Wynn Macau and is expected to have 400 luxury suites and villas.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under a 20-year casino concession agreement granted by the Macau government in June 2002.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Cotai Development</w:t>
      </w:r>
    </w:p>
    <w:p>
      <w:pPr>
        <w:spacing w:after="0" w:line="9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We have submitted an application to the Macau government for a concession of land in Cotai. We recently reconfigured our site plan for 52 acres and are awaiting final approval.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executive offices are located at 3131 Las Vegas Boulevard South, Las Vegas, Nevada 89109, telephone (702) 770-7555.</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80"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Unless otherwise stated in the applicable prospectus supplement, we intend to use the net proceeds of any securities sold by us for general corporate purposes.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80" w:lineRule="exact"/>
        <w:rPr>
          <w:sz w:val="20"/>
          <w:szCs w:val="20"/>
          <w:color w:val="auto"/>
        </w:rPr>
      </w:pPr>
    </w:p>
    <w:p>
      <w:pPr>
        <w:ind w:right="480" w:firstLine="456"/>
        <w:spacing w:after="0" w:line="239" w:lineRule="auto"/>
        <w:rPr>
          <w:sz w:val="20"/>
          <w:szCs w:val="20"/>
          <w:color w:val="auto"/>
        </w:rPr>
      </w:pPr>
      <w:r>
        <w:rPr>
          <w:rFonts w:ascii="Arial" w:cs="Arial" w:eastAsia="Arial" w:hAnsi="Arial"/>
          <w:sz w:val="18"/>
          <w:szCs w:val="18"/>
          <w:color w:val="auto"/>
        </w:rPr>
        <w:t>Unless otherwise specified in connection with the particular offering of common stock, certain legal matters regarding the offering of the common stock pursuant to this prospectus will be passed upon for us by Brownstein Hyatt Farber Schreck, P.C., Las Vegas, Nevada.</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8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6"/>
          <w:szCs w:val="16"/>
          <w:color w:val="auto"/>
        </w:rPr>
        <w:t>The consolidated financial statements of Wynn Resorts, Limited appearing in Wynn Resorts, Limited’s Annual Report on Form 10-K for the year ended December 31, 2006 (including financial statement schedules appearing therein) and Wynn Resorts, Limited’s management’s assessment of the effectiveness of internal control over financial reporting as of December 31, 2006 included therein, have been audited by Ernst</w:t>
      </w:r>
    </w:p>
    <w:p>
      <w:pPr>
        <w:spacing w:after="0" w:line="1" w:lineRule="exact"/>
        <w:rPr>
          <w:sz w:val="20"/>
          <w:szCs w:val="20"/>
          <w:color w:val="auto"/>
        </w:rPr>
      </w:pPr>
    </w:p>
    <w:p>
      <w:pPr>
        <w:jc w:val="both"/>
        <w:ind w:right="420" w:firstLine="8"/>
        <w:spacing w:after="0" w:line="238" w:lineRule="auto"/>
        <w:tabs>
          <w:tab w:leader="none" w:pos="1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Young LLP, independent registered public accounting firm, as set forth in their reports thereon, included therein, and incorporated herein by reference. Such consolidated financial statements and management’s assessment are incorporated herein by reference in reliance upon such reports given on the authority of such firm as experts in accounting and auditing.</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and related financial statement schedules, of Wynn Resorts, Limited as of the year ended</w:t>
      </w:r>
    </w:p>
    <w:p>
      <w:pPr>
        <w:spacing w:after="0"/>
        <w:rPr>
          <w:sz w:val="20"/>
          <w:szCs w:val="20"/>
          <w:color w:val="auto"/>
        </w:rPr>
      </w:pPr>
      <w:r>
        <w:rPr>
          <w:rFonts w:ascii="Arial" w:cs="Arial" w:eastAsia="Arial" w:hAnsi="Arial"/>
          <w:sz w:val="16"/>
          <w:szCs w:val="16"/>
          <w:color w:val="auto"/>
        </w:rPr>
        <w:t>December 31, 2005 and for each of the two years in the period ended December 31, 2005, incorporated in this prospectus by reference from Wynn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Resorts’ Annual Report on Form 10-K for the year ended December 31, 2006, have been audited by Deloitte &amp; Touche LLP, an independent</w:t>
      </w:r>
    </w:p>
    <w:p>
      <w:pPr>
        <w:spacing w:after="0"/>
        <w:rPr>
          <w:sz w:val="20"/>
          <w:szCs w:val="20"/>
          <w:color w:val="auto"/>
        </w:rPr>
      </w:pPr>
      <w:r>
        <w:rPr>
          <w:rFonts w:ascii="Arial" w:cs="Arial" w:eastAsia="Arial" w:hAnsi="Arial"/>
          <w:sz w:val="16"/>
          <w:szCs w:val="16"/>
          <w:color w:val="auto"/>
        </w:rPr>
        <w:t>registered public accounting firm, as stated in their report, which is incorporated herein by reference and has been so incorporated in reliance upon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report of such firm given upon their authority as experts in accounting and auditing.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and the accompanying prospectus. We have not authorized anyone to provide you with different information. We are offering to sell, and seeking offers to buy, shares of common stock only in jurisdictions where offers and sales are permitted. The information contained in this prospectus supplement and the accompanying prospectus is accurate only as of the date of this prospectus supplement, regardless of the time of delivery of this prospectus supplement or the accompanying prospectus or of any sale of our common stock.</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20" w:type="dxa"/>
            <w:vAlign w:val="bottom"/>
            <w:gridSpan w:val="2"/>
          </w:tcPr>
          <w:p>
            <w:pPr>
              <w:jc w:val="right"/>
              <w:ind w:right="4674"/>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20" w:type="dxa"/>
            <w:vAlign w:val="bottom"/>
            <w:gridSpan w:val="2"/>
          </w:tcPr>
          <w:p>
            <w:pPr>
              <w:jc w:val="right"/>
              <w:ind w:right="4614"/>
              <w:spacing w:after="0"/>
              <w:rPr>
                <w:sz w:val="20"/>
                <w:szCs w:val="20"/>
                <w:color w:val="auto"/>
              </w:rPr>
            </w:pPr>
            <w:r>
              <w:rPr>
                <w:rFonts w:ascii="Arial" w:cs="Arial" w:eastAsia="Arial" w:hAnsi="Arial"/>
                <w:sz w:val="18"/>
                <w:szCs w:val="18"/>
                <w:b w:val="1"/>
                <w:bCs w:val="1"/>
                <w:color w:val="auto"/>
              </w:rPr>
              <w:t>Prospectus Supplement</w:t>
            </w:r>
          </w:p>
        </w:tc>
      </w:tr>
      <w:tr>
        <w:trPr>
          <w:trHeight w:val="340"/>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0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Page</w:t>
            </w:r>
          </w:p>
        </w:tc>
      </w:tr>
      <w:tr>
        <w:trPr>
          <w:trHeight w:val="176"/>
        </w:trPr>
        <w:tc>
          <w:tcPr>
            <w:tcW w:w="2760" w:type="dxa"/>
            <w:vAlign w:val="bottom"/>
            <w:tcBorders>
              <w:bottom w:val="single" w:sz="8" w:color="0000EE"/>
            </w:tcBorders>
            <w:gridSpan w:val="6"/>
            <w:shd w:val="clear" w:color="auto" w:fill="CCEEFF"/>
          </w:tcPr>
          <w:p>
            <w:pPr>
              <w:spacing w:after="0" w:line="170" w:lineRule="exact"/>
              <w:rPr>
                <w:rFonts w:ascii="Arial" w:cs="Arial" w:eastAsia="Arial" w:hAnsi="Arial"/>
                <w:sz w:val="18"/>
                <w:szCs w:val="18"/>
                <w:color w:val="0000EE"/>
                <w:w w:val="97"/>
              </w:rPr>
            </w:pPr>
            <w:hyperlink w:anchor="page2">
              <w:r>
                <w:rPr>
                  <w:rFonts w:ascii="Arial" w:cs="Arial" w:eastAsia="Arial" w:hAnsi="Arial"/>
                  <w:sz w:val="18"/>
                  <w:szCs w:val="18"/>
                  <w:color w:val="0000EE"/>
                  <w:w w:val="97"/>
                </w:rPr>
                <w:t>About This Prospectus Supplement</w:t>
              </w:r>
            </w:hyperlink>
          </w:p>
        </w:tc>
        <w:tc>
          <w:tcPr>
            <w:tcW w:w="1240" w:type="dxa"/>
            <w:vAlign w:val="bottom"/>
            <w:tcBorders>
              <w:bottom w:val="single" w:sz="8" w:color="CCEEFF"/>
            </w:tcBorders>
            <w:shd w:val="clear" w:color="auto" w:fill="CCEEFF"/>
          </w:tcPr>
          <w:p>
            <w:pPr>
              <w:spacing w:after="0"/>
              <w:rPr>
                <w:sz w:val="15"/>
                <w:szCs w:val="15"/>
                <w:color w:val="auto"/>
              </w:rPr>
            </w:pPr>
          </w:p>
        </w:tc>
        <w:tc>
          <w:tcPr>
            <w:tcW w:w="63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S-1</w:t>
            </w:r>
          </w:p>
        </w:tc>
      </w:tr>
      <w:tr>
        <w:trPr>
          <w:trHeight w:val="183"/>
        </w:trPr>
        <w:tc>
          <w:tcPr>
            <w:tcW w:w="1740" w:type="dxa"/>
            <w:vAlign w:val="bottom"/>
            <w:tcBorders>
              <w:bottom w:val="single" w:sz="8" w:color="0000EE"/>
            </w:tcBorders>
            <w:gridSpan w:val="4"/>
          </w:tcPr>
          <w:p>
            <w:pPr>
              <w:spacing w:after="0" w:line="176" w:lineRule="exact"/>
              <w:rPr>
                <w:rFonts w:ascii="Arial" w:cs="Arial" w:eastAsia="Arial" w:hAnsi="Arial"/>
                <w:sz w:val="18"/>
                <w:szCs w:val="18"/>
                <w:color w:val="0000EE"/>
                <w:w w:val="97"/>
              </w:rPr>
            </w:pPr>
            <w:hyperlink w:anchor="page3">
              <w:r>
                <w:rPr>
                  <w:rFonts w:ascii="Arial" w:cs="Arial" w:eastAsia="Arial" w:hAnsi="Arial"/>
                  <w:sz w:val="18"/>
                  <w:szCs w:val="18"/>
                  <w:color w:val="0000EE"/>
                  <w:w w:val="97"/>
                </w:rPr>
                <w:t>Recent Developments</w:t>
              </w:r>
            </w:hyperlink>
          </w:p>
        </w:tc>
        <w:tc>
          <w:tcPr>
            <w:tcW w:w="2260" w:type="dxa"/>
            <w:vAlign w:val="bottom"/>
            <w:gridSpan w:val="3"/>
          </w:tcPr>
          <w:p>
            <w:pPr>
              <w:spacing w:after="0"/>
              <w:rPr>
                <w:sz w:val="15"/>
                <w:szCs w:val="15"/>
                <w:color w:val="auto"/>
              </w:rPr>
            </w:pPr>
          </w:p>
        </w:tc>
        <w:tc>
          <w:tcPr>
            <w:tcW w:w="63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S-2</w:t>
            </w:r>
          </w:p>
        </w:tc>
      </w:tr>
      <w:tr>
        <w:trPr>
          <w:trHeight w:val="176"/>
        </w:trPr>
        <w:tc>
          <w:tcPr>
            <w:tcW w:w="4000" w:type="dxa"/>
            <w:vAlign w:val="bottom"/>
            <w:gridSpan w:val="7"/>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Risk Factors</w:t>
              </w:r>
            </w:hyperlink>
          </w:p>
        </w:tc>
        <w:tc>
          <w:tcPr>
            <w:tcW w:w="63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S-3</w:t>
            </w:r>
          </w:p>
        </w:tc>
      </w:tr>
      <w:tr>
        <w:trPr>
          <w:trHeight w:val="27"/>
        </w:trPr>
        <w:tc>
          <w:tcPr>
            <w:tcW w:w="1000" w:type="dxa"/>
            <w:vAlign w:val="bottom"/>
            <w:tcBorders>
              <w:right w:val="single" w:sz="8" w:color="CCEEFF"/>
            </w:tcBorders>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r>
        <w:trPr>
          <w:trHeight w:val="176"/>
        </w:trPr>
        <w:tc>
          <w:tcPr>
            <w:tcW w:w="4000" w:type="dxa"/>
            <w:vAlign w:val="bottom"/>
            <w:gridSpan w:val="7"/>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63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S-6</w:t>
            </w:r>
          </w:p>
        </w:tc>
      </w:tr>
      <w:tr>
        <w:trPr>
          <w:trHeight w:val="27"/>
        </w:trPr>
        <w:tc>
          <w:tcPr>
            <w:tcW w:w="10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3"/>
        </w:trPr>
        <w:tc>
          <w:tcPr>
            <w:tcW w:w="4000" w:type="dxa"/>
            <w:vAlign w:val="bottom"/>
            <w:tcBorders>
              <w:bottom w:val="single" w:sz="8" w:color="0000EE"/>
            </w:tcBorders>
            <w:gridSpan w:val="7"/>
            <w:shd w:val="clear" w:color="auto" w:fill="CCEEFF"/>
          </w:tcPr>
          <w:p>
            <w:pPr>
              <w:spacing w:after="0" w:line="176"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Price Range of Common Stock and Dividend Policy</w:t>
              </w:r>
            </w:hyperlink>
          </w:p>
        </w:tc>
        <w:tc>
          <w:tcPr>
            <w:tcW w:w="63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S-7</w:t>
            </w:r>
          </w:p>
        </w:tc>
      </w:tr>
      <w:tr>
        <w:trPr>
          <w:trHeight w:val="183"/>
        </w:trPr>
        <w:tc>
          <w:tcPr>
            <w:tcW w:w="1000" w:type="dxa"/>
            <w:vAlign w:val="bottom"/>
            <w:tcBorders>
              <w:bottom w:val="single" w:sz="8" w:color="0000EE"/>
            </w:tcBorders>
          </w:tcPr>
          <w:p>
            <w:pPr>
              <w:spacing w:after="0" w:line="176" w:lineRule="exact"/>
              <w:rPr>
                <w:rFonts w:ascii="Arial" w:cs="Arial" w:eastAsia="Arial" w:hAnsi="Arial"/>
                <w:sz w:val="18"/>
                <w:szCs w:val="18"/>
                <w:color w:val="0000EE"/>
                <w:w w:val="94"/>
              </w:rPr>
            </w:pPr>
            <w:hyperlink w:anchor="page10">
              <w:r>
                <w:rPr>
                  <w:rFonts w:ascii="Arial" w:cs="Arial" w:eastAsia="Arial" w:hAnsi="Arial"/>
                  <w:sz w:val="18"/>
                  <w:szCs w:val="18"/>
                  <w:color w:val="0000EE"/>
                  <w:w w:val="94"/>
                </w:rPr>
                <w:t>Underwriting</w:t>
              </w:r>
            </w:hyperlink>
          </w:p>
        </w:tc>
        <w:tc>
          <w:tcPr>
            <w:tcW w:w="3000" w:type="dxa"/>
            <w:vAlign w:val="bottom"/>
            <w:gridSpan w:val="6"/>
          </w:tcPr>
          <w:p>
            <w:pPr>
              <w:spacing w:after="0"/>
              <w:rPr>
                <w:sz w:val="15"/>
                <w:szCs w:val="15"/>
                <w:color w:val="auto"/>
              </w:rPr>
            </w:pPr>
          </w:p>
        </w:tc>
        <w:tc>
          <w:tcPr>
            <w:tcW w:w="63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S-9</w:t>
            </w:r>
          </w:p>
        </w:tc>
      </w:tr>
      <w:tr>
        <w:trPr>
          <w:trHeight w:val="183"/>
        </w:trPr>
        <w:tc>
          <w:tcPr>
            <w:tcW w:w="10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Legal Matters</w:t>
              </w:r>
            </w:hyperlink>
          </w:p>
        </w:tc>
        <w:tc>
          <w:tcPr>
            <w:tcW w:w="2920" w:type="dxa"/>
            <w:vAlign w:val="bottom"/>
            <w:tcBorders>
              <w:bottom w:val="single" w:sz="8" w:color="CCEEFF"/>
            </w:tcBorders>
            <w:gridSpan w:val="5"/>
            <w:shd w:val="clear" w:color="auto" w:fill="CCEEFF"/>
          </w:tcPr>
          <w:p>
            <w:pPr>
              <w:spacing w:after="0"/>
              <w:rPr>
                <w:sz w:val="15"/>
                <w:szCs w:val="15"/>
                <w:color w:val="auto"/>
              </w:rPr>
            </w:pPr>
          </w:p>
        </w:tc>
        <w:tc>
          <w:tcPr>
            <w:tcW w:w="63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S-11</w:t>
            </w:r>
          </w:p>
        </w:tc>
      </w:tr>
      <w:tr>
        <w:trPr>
          <w:trHeight w:val="176"/>
        </w:trPr>
        <w:tc>
          <w:tcPr>
            <w:tcW w:w="4000" w:type="dxa"/>
            <w:vAlign w:val="bottom"/>
            <w:gridSpan w:val="7"/>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Incorporation by Reference</w:t>
              </w:r>
            </w:hyperlink>
          </w:p>
        </w:tc>
        <w:tc>
          <w:tcPr>
            <w:tcW w:w="6380" w:type="dxa"/>
            <w:vAlign w:val="bottom"/>
          </w:tcPr>
          <w:p>
            <w:pPr>
              <w:spacing w:after="0"/>
              <w:rPr>
                <w:sz w:val="15"/>
                <w:szCs w:val="15"/>
                <w:color w:val="auto"/>
              </w:rPr>
            </w:pPr>
          </w:p>
        </w:tc>
        <w:tc>
          <w:tcPr>
            <w:tcW w:w="1040" w:type="dxa"/>
            <w:vAlign w:val="bottom"/>
          </w:tcPr>
          <w:p>
            <w:pPr>
              <w:jc w:val="right"/>
              <w:spacing w:after="0" w:line="176" w:lineRule="exact"/>
              <w:rPr>
                <w:sz w:val="20"/>
                <w:szCs w:val="20"/>
                <w:color w:val="auto"/>
              </w:rPr>
            </w:pPr>
            <w:r>
              <w:rPr>
                <w:rFonts w:ascii="Arial" w:cs="Arial" w:eastAsia="Arial" w:hAnsi="Arial"/>
                <w:sz w:val="18"/>
                <w:szCs w:val="18"/>
                <w:color w:val="auto"/>
              </w:rPr>
              <w:t>S-11</w:t>
            </w:r>
          </w:p>
        </w:tc>
      </w:tr>
      <w:tr>
        <w:trPr>
          <w:trHeight w:val="20"/>
        </w:trPr>
        <w:tc>
          <w:tcPr>
            <w:tcW w:w="10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90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Prospectus</w:t>
            </w:r>
          </w:p>
        </w:tc>
      </w:tr>
      <w:tr>
        <w:trPr>
          <w:trHeight w:val="340"/>
        </w:trPr>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176"/>
        </w:trPr>
        <w:tc>
          <w:tcPr>
            <w:tcW w:w="2320" w:type="dxa"/>
            <w:vAlign w:val="bottom"/>
            <w:tcBorders>
              <w:bottom w:val="single" w:sz="8" w:color="0000EE"/>
            </w:tcBorders>
            <w:gridSpan w:val="6"/>
            <w:shd w:val="clear" w:color="auto" w:fill="CCEEFF"/>
          </w:tcPr>
          <w:p>
            <w:pPr>
              <w:spacing w:after="0" w:line="170"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ABOUT THIS PROSPECTUS</w:t>
              </w:r>
            </w:hyperlink>
          </w:p>
        </w:tc>
        <w:tc>
          <w:tcPr>
            <w:tcW w:w="2200" w:type="dxa"/>
            <w:vAlign w:val="bottom"/>
            <w:tcBorders>
              <w:bottom w:val="single" w:sz="8" w:color="CCEEFF"/>
            </w:tcBorders>
            <w:gridSpan w:val="4"/>
            <w:shd w:val="clear" w:color="auto" w:fill="CCEEFF"/>
          </w:tcPr>
          <w:p>
            <w:pPr>
              <w:spacing w:after="0"/>
              <w:rPr>
                <w:sz w:val="15"/>
                <w:szCs w:val="15"/>
                <w:color w:val="auto"/>
              </w:rPr>
            </w:pPr>
          </w:p>
        </w:tc>
        <w:tc>
          <w:tcPr>
            <w:tcW w:w="6900" w:type="dxa"/>
            <w:vAlign w:val="bottom"/>
            <w:tcBorders>
              <w:bottom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1</w:t>
            </w:r>
          </w:p>
        </w:tc>
      </w:tr>
      <w:tr>
        <w:trPr>
          <w:trHeight w:val="183"/>
        </w:trPr>
        <w:tc>
          <w:tcPr>
            <w:tcW w:w="1300" w:type="dxa"/>
            <w:vAlign w:val="bottom"/>
            <w:tcBorders>
              <w:bottom w:val="single" w:sz="8" w:color="0000EE"/>
            </w:tcBorders>
            <w:gridSpan w:val="3"/>
          </w:tcPr>
          <w:p>
            <w:pPr>
              <w:spacing w:after="0" w:line="17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RISK FACTORS</w:t>
              </w:r>
            </w:hyperlink>
          </w:p>
        </w:tc>
        <w:tc>
          <w:tcPr>
            <w:tcW w:w="3220" w:type="dxa"/>
            <w:vAlign w:val="bottom"/>
            <w:gridSpan w:val="7"/>
          </w:tcPr>
          <w:p>
            <w:pPr>
              <w:spacing w:after="0"/>
              <w:rPr>
                <w:sz w:val="15"/>
                <w:szCs w:val="15"/>
                <w:color w:val="auto"/>
              </w:rPr>
            </w:pPr>
          </w:p>
        </w:tc>
        <w:tc>
          <w:tcPr>
            <w:tcW w:w="69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w:t>
            </w:r>
          </w:p>
        </w:tc>
      </w:tr>
      <w:tr>
        <w:trPr>
          <w:trHeight w:val="183"/>
        </w:trPr>
        <w:tc>
          <w:tcPr>
            <w:tcW w:w="4520" w:type="dxa"/>
            <w:vAlign w:val="bottom"/>
            <w:gridSpan w:val="10"/>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WHERE YOU CAN FIND MORE INFORMATION</w:t>
              </w:r>
            </w:hyperlink>
          </w:p>
        </w:tc>
        <w:tc>
          <w:tcPr>
            <w:tcW w:w="6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r>
      <w:tr>
        <w:trPr>
          <w:trHeight w:val="183"/>
        </w:trPr>
        <w:tc>
          <w:tcPr>
            <w:tcW w:w="2900" w:type="dxa"/>
            <w:vAlign w:val="bottom"/>
            <w:tcBorders>
              <w:top w:val="single" w:sz="8" w:color="0000EE"/>
              <w:bottom w:val="single" w:sz="8" w:color="0000EE"/>
            </w:tcBorders>
            <w:gridSpan w:val="7"/>
          </w:tcPr>
          <w:p>
            <w:pPr>
              <w:spacing w:after="0" w:line="176"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2"/>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69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2</w:t>
            </w:r>
          </w:p>
        </w:tc>
      </w:tr>
      <w:tr>
        <w:trPr>
          <w:trHeight w:val="183"/>
        </w:trPr>
        <w:tc>
          <w:tcPr>
            <w:tcW w:w="4520" w:type="dxa"/>
            <w:vAlign w:val="bottom"/>
            <w:gridSpan w:val="10"/>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FORWARD-LOOKING STATEMENTS</w:t>
              </w:r>
            </w:hyperlink>
          </w:p>
        </w:tc>
        <w:tc>
          <w:tcPr>
            <w:tcW w:w="6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r>
      <w:tr>
        <w:trPr>
          <w:trHeight w:val="176"/>
        </w:trPr>
        <w:tc>
          <w:tcPr>
            <w:tcW w:w="296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THE COMPANY</w:t>
              </w:r>
            </w:hyperlink>
          </w:p>
        </w:tc>
        <w:tc>
          <w:tcPr>
            <w:tcW w:w="1560" w:type="dxa"/>
            <w:vAlign w:val="bottom"/>
            <w:tcBorders>
              <w:top w:val="single" w:sz="8" w:color="CCEEFF"/>
            </w:tcBorders>
            <w:gridSpan w:val="2"/>
          </w:tcPr>
          <w:p>
            <w:pPr>
              <w:spacing w:after="0"/>
              <w:rPr>
                <w:sz w:val="15"/>
                <w:szCs w:val="15"/>
                <w:color w:val="auto"/>
              </w:rPr>
            </w:pPr>
          </w:p>
        </w:tc>
        <w:tc>
          <w:tcPr>
            <w:tcW w:w="690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6</w:t>
            </w:r>
          </w:p>
        </w:tc>
      </w:tr>
      <w:tr>
        <w:trPr>
          <w:trHeight w:val="27"/>
        </w:trPr>
        <w:tc>
          <w:tcPr>
            <w:tcW w:w="82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83"/>
        </w:trPr>
        <w:tc>
          <w:tcPr>
            <w:tcW w:w="17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USE OF PROCEEDS</w:t>
              </w:r>
            </w:hyperlink>
          </w:p>
        </w:tc>
        <w:tc>
          <w:tcPr>
            <w:tcW w:w="2820" w:type="dxa"/>
            <w:vAlign w:val="bottom"/>
            <w:tcBorders>
              <w:bottom w:val="single" w:sz="8" w:color="CCEEFF"/>
            </w:tcBorders>
            <w:gridSpan w:val="5"/>
            <w:shd w:val="clear" w:color="auto" w:fill="CCEEFF"/>
          </w:tcPr>
          <w:p>
            <w:pPr>
              <w:spacing w:after="0"/>
              <w:rPr>
                <w:sz w:val="15"/>
                <w:szCs w:val="15"/>
                <w:color w:val="auto"/>
              </w:rPr>
            </w:pPr>
          </w:p>
        </w:tc>
        <w:tc>
          <w:tcPr>
            <w:tcW w:w="690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r>
      <w:tr>
        <w:trPr>
          <w:trHeight w:val="183"/>
        </w:trPr>
        <w:tc>
          <w:tcPr>
            <w:tcW w:w="4520" w:type="dxa"/>
            <w:vAlign w:val="bottom"/>
            <w:gridSpan w:val="10"/>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LEGAL MATTERS</w:t>
              </w:r>
            </w:hyperlink>
          </w:p>
        </w:tc>
        <w:tc>
          <w:tcPr>
            <w:tcW w:w="69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8</w:t>
            </w:r>
          </w:p>
        </w:tc>
      </w:tr>
      <w:tr>
        <w:trPr>
          <w:trHeight w:val="176"/>
        </w:trPr>
        <w:tc>
          <w:tcPr>
            <w:tcW w:w="1440" w:type="dxa"/>
            <w:vAlign w:val="bottom"/>
            <w:tcBorders>
              <w:top w:val="single" w:sz="8" w:color="0000EE"/>
            </w:tcBorders>
            <w:gridSpan w:val="4"/>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3080" w:type="dxa"/>
            <w:vAlign w:val="bottom"/>
            <w:gridSpan w:val="6"/>
            <w:shd w:val="clear" w:color="auto" w:fill="CCEEFF"/>
          </w:tcPr>
          <w:p>
            <w:pPr>
              <w:spacing w:after="0"/>
              <w:rPr>
                <w:sz w:val="15"/>
                <w:szCs w:val="15"/>
                <w:color w:val="auto"/>
              </w:rPr>
            </w:pPr>
          </w:p>
        </w:tc>
        <w:tc>
          <w:tcPr>
            <w:tcW w:w="6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r>
      <w:tr>
        <w:trPr>
          <w:trHeight w:val="27"/>
        </w:trPr>
        <w:tc>
          <w:tcPr>
            <w:tcW w:w="820" w:type="dxa"/>
            <w:vAlign w:val="bottom"/>
            <w:shd w:val="clear" w:color="auto" w:fill="0000EE"/>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2992755" cy="128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92755" cy="128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5,000,000 Shares</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Deutsche Bank Securities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Banc of America Securities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September 27, 2007)</w:t>
      </w:r>
    </w:p>
    <w:p>
      <w:pPr>
        <w:spacing w:after="0" w:line="244"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November</w:t>
        <w:tab/>
        <w:t>, 2008</w:t>
      </w:r>
    </w:p>
    <w:sectPr>
      <w:pgSz w:w="11900" w:h="16838" w:orient="portrait"/>
      <w:cols w:equalWidth="0" w:num="1">
        <w:col w:w="11420"/>
      </w:cols>
      <w:pgMar w:left="240" w:top="459" w:right="2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2019-12-15T07:54:49Z</dcterms:created>
  <dcterms:modified xsi:type="dcterms:W3CDTF">2019-12-15T07:54:49Z</dcterms:modified>
</cp:coreProperties>
</file>