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26, 2010</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880" w:type="dxa"/>
            <w:vAlign w:val="bottom"/>
          </w:tcPr>
          <w:p>
            <w:pPr>
              <w:jc w:val="center"/>
              <w:ind w:right="46"/>
              <w:spacing w:after="0"/>
              <w:rPr>
                <w:sz w:val="20"/>
                <w:szCs w:val="20"/>
                <w:color w:val="auto"/>
              </w:rPr>
            </w:pPr>
            <w:r>
              <w:rPr>
                <w:rFonts w:ascii="Arial" w:cs="Arial" w:eastAsia="Arial" w:hAnsi="Arial"/>
                <w:sz w:val="18"/>
                <w:szCs w:val="18"/>
                <w:b w:val="1"/>
                <w:bCs w:val="1"/>
                <w:color w:val="auto"/>
                <w:w w:val="87"/>
              </w:rPr>
              <w:t>Nevada</w:t>
            </w:r>
          </w:p>
        </w:tc>
        <w:tc>
          <w:tcPr>
            <w:tcW w:w="5360" w:type="dxa"/>
            <w:vAlign w:val="bottom"/>
            <w:gridSpan w:val="3"/>
          </w:tcPr>
          <w:p>
            <w:pPr>
              <w:jc w:val="center"/>
              <w:ind w:left="4197"/>
              <w:spacing w:after="0"/>
              <w:rPr>
                <w:sz w:val="20"/>
                <w:szCs w:val="20"/>
                <w:color w:val="auto"/>
              </w:rPr>
            </w:pPr>
            <w:r>
              <w:rPr>
                <w:rFonts w:ascii="Arial" w:cs="Arial" w:eastAsia="Arial" w:hAnsi="Arial"/>
                <w:sz w:val="18"/>
                <w:szCs w:val="18"/>
                <w:b w:val="1"/>
                <w:bCs w:val="1"/>
                <w:color w:val="auto"/>
                <w:w w:val="87"/>
              </w:rPr>
              <w:t>40-0484987</w:t>
            </w:r>
          </w:p>
        </w:tc>
      </w:tr>
      <w:tr>
        <w:trPr>
          <w:trHeight w:val="149"/>
        </w:trPr>
        <w:tc>
          <w:tcPr>
            <w:tcW w:w="1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6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8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incorporation or organization)</w:t>
            </w:r>
          </w:p>
        </w:tc>
        <w:tc>
          <w:tcPr>
            <w:tcW w:w="6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283"/>
        </w:trPr>
        <w:tc>
          <w:tcPr>
            <w:tcW w:w="1880" w:type="dxa"/>
            <w:vAlign w:val="bottom"/>
          </w:tcPr>
          <w:p>
            <w:pPr>
              <w:spacing w:after="0"/>
              <w:rPr>
                <w:sz w:val="24"/>
                <w:szCs w:val="24"/>
                <w:color w:val="auto"/>
              </w:rPr>
            </w:pPr>
          </w:p>
        </w:tc>
        <w:tc>
          <w:tcPr>
            <w:tcW w:w="536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6"/>
              </w:rPr>
              <w:t>3131 Las Vegas Boulevard South</w:t>
            </w:r>
          </w:p>
        </w:tc>
      </w:tr>
      <w:tr>
        <w:trPr>
          <w:trHeight w:val="218"/>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86"/>
              </w:rPr>
              <w:t>Las Vegas, Nevada 89109</w:t>
            </w:r>
          </w:p>
        </w:tc>
      </w:tr>
      <w:tr>
        <w:trPr>
          <w:trHeight w:val="174"/>
        </w:trPr>
        <w:tc>
          <w:tcPr>
            <w:tcW w:w="1880" w:type="dxa"/>
            <w:vAlign w:val="bottom"/>
          </w:tcPr>
          <w:p>
            <w:pPr>
              <w:spacing w:after="0"/>
              <w:rPr>
                <w:sz w:val="15"/>
                <w:szCs w:val="15"/>
                <w:color w:val="auto"/>
              </w:rPr>
            </w:pPr>
          </w:p>
        </w:tc>
        <w:tc>
          <w:tcPr>
            <w:tcW w:w="5360" w:type="dxa"/>
            <w:vAlign w:val="bottom"/>
            <w:gridSpan w:val="3"/>
          </w:tcPr>
          <w:p>
            <w:pPr>
              <w:jc w:val="center"/>
              <w:ind w:right="1592"/>
              <w:spacing w:after="0"/>
              <w:rPr>
                <w:sz w:val="20"/>
                <w:szCs w:val="20"/>
                <w:color w:val="auto"/>
              </w:rPr>
            </w:pPr>
            <w:r>
              <w:rPr>
                <w:rFonts w:ascii="Arial" w:cs="Arial" w:eastAsia="Arial" w:hAnsi="Arial"/>
                <w:sz w:val="14"/>
                <w:szCs w:val="14"/>
                <w:b w:val="1"/>
                <w:bCs w:val="1"/>
                <w:color w:val="auto"/>
                <w:w w:val="85"/>
              </w:rPr>
              <w:t>(Address, including zip code, of principal executive offices)</w:t>
            </w:r>
          </w:p>
        </w:tc>
      </w:tr>
      <w:tr>
        <w:trPr>
          <w:trHeight w:val="163"/>
        </w:trPr>
        <w:tc>
          <w:tcPr>
            <w:tcW w:w="1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320" w:type="dxa"/>
            <w:vAlign w:val="bottom"/>
          </w:tcPr>
          <w:p>
            <w:pPr>
              <w:spacing w:after="0"/>
              <w:rPr>
                <w:sz w:val="14"/>
                <w:szCs w:val="14"/>
                <w:color w:val="auto"/>
              </w:rPr>
            </w:pPr>
          </w:p>
        </w:tc>
      </w:tr>
      <w:tr>
        <w:trPr>
          <w:trHeight w:val="278"/>
        </w:trPr>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8"/>
              </w:rPr>
              <w:t>2002 Stock Incentive Plan</w:t>
            </w:r>
          </w:p>
        </w:tc>
      </w:tr>
      <w:tr>
        <w:trPr>
          <w:trHeight w:val="174"/>
        </w:trPr>
        <w:tc>
          <w:tcPr>
            <w:tcW w:w="1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4"/>
                <w:szCs w:val="14"/>
                <w:b w:val="1"/>
                <w:bCs w:val="1"/>
                <w:color w:val="auto"/>
                <w:w w:val="88"/>
              </w:rPr>
              <w:t>(Full title of the plan)</w:t>
            </w:r>
          </w:p>
        </w:tc>
      </w:tr>
      <w:tr>
        <w:trPr>
          <w:trHeight w:val="149"/>
        </w:trPr>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320" w:type="dxa"/>
            <w:vAlign w:val="bottom"/>
          </w:tcPr>
          <w:p>
            <w:pPr>
              <w:spacing w:after="0"/>
              <w:rPr>
                <w:sz w:val="12"/>
                <w:szCs w:val="12"/>
                <w:color w:val="auto"/>
              </w:rPr>
            </w:pPr>
          </w:p>
        </w:tc>
      </w:tr>
      <w:tr>
        <w:trPr>
          <w:trHeight w:val="276"/>
        </w:trPr>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93"/>
              </w:rPr>
              <w:t>Kim Sinatra</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7"/>
              </w:rPr>
              <w:t>General Counsel and Secretary</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9"/>
              </w:rPr>
              <w:t>Wynn Resorts, Limited</w:t>
            </w:r>
          </w:p>
        </w:tc>
      </w:tr>
      <w:tr>
        <w:trPr>
          <w:trHeight w:val="216"/>
        </w:trPr>
        <w:tc>
          <w:tcPr>
            <w:tcW w:w="1880" w:type="dxa"/>
            <w:vAlign w:val="bottom"/>
          </w:tcPr>
          <w:p>
            <w:pPr>
              <w:spacing w:after="0"/>
              <w:rPr>
                <w:sz w:val="18"/>
                <w:szCs w:val="18"/>
                <w:color w:val="auto"/>
              </w:rPr>
            </w:pPr>
          </w:p>
        </w:tc>
        <w:tc>
          <w:tcPr>
            <w:tcW w:w="536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6"/>
              </w:rPr>
              <w:t>3131 Las Vegas Boulevard South</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86"/>
              </w:rPr>
              <w:t>Las Vegas, Nevada 89109</w:t>
            </w:r>
          </w:p>
        </w:tc>
      </w:tr>
      <w:tr>
        <w:trPr>
          <w:trHeight w:val="218"/>
        </w:trPr>
        <w:tc>
          <w:tcPr>
            <w:tcW w:w="1880" w:type="dxa"/>
            <w:vAlign w:val="bottom"/>
          </w:tcPr>
          <w:p>
            <w:pPr>
              <w:spacing w:after="0"/>
              <w:rPr>
                <w:sz w:val="18"/>
                <w:szCs w:val="18"/>
                <w:color w:val="auto"/>
              </w:rPr>
            </w:pPr>
          </w:p>
        </w:tc>
        <w:tc>
          <w:tcPr>
            <w:tcW w:w="3040" w:type="dxa"/>
            <w:vAlign w:val="bottom"/>
            <w:gridSpan w:val="2"/>
          </w:tcPr>
          <w:p>
            <w:pPr>
              <w:jc w:val="center"/>
              <w:ind w:left="577"/>
              <w:spacing w:after="0"/>
              <w:rPr>
                <w:sz w:val="20"/>
                <w:szCs w:val="20"/>
                <w:color w:val="auto"/>
              </w:rPr>
            </w:pPr>
            <w:r>
              <w:rPr>
                <w:rFonts w:ascii="Arial" w:cs="Arial" w:eastAsia="Arial" w:hAnsi="Arial"/>
                <w:sz w:val="18"/>
                <w:szCs w:val="18"/>
                <w:b w:val="1"/>
                <w:bCs w:val="1"/>
                <w:color w:val="auto"/>
                <w:w w:val="89"/>
              </w:rPr>
              <w:t>(702) 770-7555</w:t>
            </w:r>
          </w:p>
        </w:tc>
        <w:tc>
          <w:tcPr>
            <w:tcW w:w="2320" w:type="dxa"/>
            <w:vAlign w:val="bottom"/>
          </w:tcPr>
          <w:p>
            <w:pPr>
              <w:spacing w:after="0"/>
              <w:rPr>
                <w:sz w:val="18"/>
                <w:szCs w:val="18"/>
                <w:color w:val="auto"/>
              </w:rPr>
            </w:pPr>
          </w:p>
        </w:tc>
      </w:tr>
      <w:tr>
        <w:trPr>
          <w:trHeight w:val="174"/>
        </w:trPr>
        <w:tc>
          <w:tcPr>
            <w:tcW w:w="1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4"/>
                <w:szCs w:val="14"/>
                <w:b w:val="1"/>
                <w:bCs w:val="1"/>
                <w:color w:val="auto"/>
                <w:w w:val="85"/>
              </w:rPr>
              <w:t>(Name and address of agent for service)</w:t>
            </w:r>
          </w:p>
        </w:tc>
      </w:tr>
      <w:tr>
        <w:trPr>
          <w:trHeight w:val="149"/>
        </w:trPr>
        <w:tc>
          <w:tcPr>
            <w:tcW w:w="1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320" w:type="dxa"/>
            <w:vAlign w:val="bottom"/>
          </w:tcPr>
          <w:p>
            <w:pPr>
              <w:spacing w:after="0"/>
              <w:rPr>
                <w:sz w:val="12"/>
                <w:szCs w:val="12"/>
                <w:color w:val="auto"/>
              </w:rPr>
            </w:pPr>
          </w:p>
        </w:tc>
      </w:tr>
      <w:tr>
        <w:trPr>
          <w:trHeight w:val="289"/>
        </w:trPr>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i w:val="1"/>
                <w:iCs w:val="1"/>
                <w:color w:val="auto"/>
                <w:w w:val="81"/>
              </w:rPr>
              <w:t>Copies to:</w:t>
            </w:r>
          </w:p>
        </w:tc>
      </w:tr>
      <w:tr>
        <w:trPr>
          <w:trHeight w:val="285"/>
        </w:trPr>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89"/>
              </w:rPr>
              <w:t>Ronald O. Mueller, Esq.</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92"/>
              </w:rPr>
              <w:t>Gibson, Dunn &amp; Crutcher LLP</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32"/>
              <w:spacing w:after="0"/>
              <w:rPr>
                <w:sz w:val="20"/>
                <w:szCs w:val="20"/>
                <w:color w:val="auto"/>
              </w:rPr>
            </w:pPr>
            <w:r>
              <w:rPr>
                <w:rFonts w:ascii="Arial" w:cs="Arial" w:eastAsia="Arial" w:hAnsi="Arial"/>
                <w:sz w:val="18"/>
                <w:szCs w:val="18"/>
                <w:b w:val="1"/>
                <w:bCs w:val="1"/>
                <w:color w:val="auto"/>
                <w:w w:val="87"/>
              </w:rPr>
              <w:t>1050 Connecticut Avenue N.W.</w:t>
            </w:r>
          </w:p>
        </w:tc>
      </w:tr>
      <w:tr>
        <w:trPr>
          <w:trHeight w:val="216"/>
        </w:trPr>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700" w:type="dxa"/>
            <w:vAlign w:val="bottom"/>
            <w:gridSpan w:val="2"/>
          </w:tcPr>
          <w:p>
            <w:pPr>
              <w:jc w:val="center"/>
              <w:ind w:right="2252"/>
              <w:spacing w:after="0"/>
              <w:rPr>
                <w:sz w:val="20"/>
                <w:szCs w:val="20"/>
                <w:color w:val="auto"/>
              </w:rPr>
            </w:pPr>
            <w:r>
              <w:rPr>
                <w:rFonts w:ascii="Arial" w:cs="Arial" w:eastAsia="Arial" w:hAnsi="Arial"/>
                <w:sz w:val="18"/>
                <w:szCs w:val="18"/>
                <w:b w:val="1"/>
                <w:bCs w:val="1"/>
                <w:color w:val="auto"/>
                <w:w w:val="89"/>
              </w:rPr>
              <w:t>Washington, D.C. 20036</w:t>
            </w:r>
          </w:p>
        </w:tc>
      </w:tr>
      <w:tr>
        <w:trPr>
          <w:trHeight w:val="228"/>
        </w:trPr>
        <w:tc>
          <w:tcPr>
            <w:tcW w:w="1880" w:type="dxa"/>
            <w:vAlign w:val="bottom"/>
          </w:tcPr>
          <w:p>
            <w:pPr>
              <w:spacing w:after="0"/>
              <w:rPr>
                <w:sz w:val="19"/>
                <w:szCs w:val="19"/>
                <w:color w:val="auto"/>
              </w:rPr>
            </w:pPr>
          </w:p>
        </w:tc>
        <w:tc>
          <w:tcPr>
            <w:tcW w:w="3040" w:type="dxa"/>
            <w:vAlign w:val="bottom"/>
            <w:gridSpan w:val="2"/>
          </w:tcPr>
          <w:p>
            <w:pPr>
              <w:jc w:val="center"/>
              <w:ind w:left="577"/>
              <w:spacing w:after="0"/>
              <w:rPr>
                <w:sz w:val="20"/>
                <w:szCs w:val="20"/>
                <w:color w:val="auto"/>
              </w:rPr>
            </w:pPr>
            <w:r>
              <w:rPr>
                <w:rFonts w:ascii="Arial" w:cs="Arial" w:eastAsia="Arial" w:hAnsi="Arial"/>
                <w:sz w:val="18"/>
                <w:szCs w:val="18"/>
                <w:b w:val="1"/>
                <w:bCs w:val="1"/>
                <w:color w:val="auto"/>
                <w:w w:val="89"/>
              </w:rPr>
              <w:t>(202) 955-8500</w:t>
            </w:r>
          </w:p>
        </w:tc>
        <w:tc>
          <w:tcPr>
            <w:tcW w:w="2320" w:type="dxa"/>
            <w:vAlign w:val="bottom"/>
          </w:tcPr>
          <w:p>
            <w:pPr>
              <w:spacing w:after="0"/>
              <w:rPr>
                <w:sz w:val="19"/>
                <w:szCs w:val="19"/>
                <w:color w:val="auto"/>
              </w:rPr>
            </w:pPr>
          </w:p>
        </w:tc>
      </w:tr>
      <w:tr>
        <w:trPr>
          <w:trHeight w:val="367"/>
        </w:trPr>
        <w:tc>
          <w:tcPr>
            <w:tcW w:w="1880" w:type="dxa"/>
            <w:vAlign w:val="bottom"/>
          </w:tcPr>
          <w:p>
            <w:pPr>
              <w:spacing w:after="0"/>
              <w:rPr>
                <w:sz w:val="24"/>
                <w:szCs w:val="24"/>
                <w:color w:val="auto"/>
              </w:rPr>
            </w:pPr>
          </w:p>
        </w:tc>
        <w:tc>
          <w:tcPr>
            <w:tcW w:w="3040" w:type="dxa"/>
            <w:vAlign w:val="bottom"/>
            <w:gridSpan w:val="2"/>
          </w:tcPr>
          <w:p>
            <w:pPr>
              <w:jc w:val="center"/>
              <w:ind w:left="577"/>
              <w:spacing w:after="0"/>
              <w:rPr>
                <w:sz w:val="20"/>
                <w:szCs w:val="20"/>
                <w:color w:val="auto"/>
              </w:rPr>
            </w:pPr>
            <w:r>
              <w:rPr>
                <w:rFonts w:ascii="Arial" w:cs="Arial" w:eastAsia="Arial" w:hAnsi="Arial"/>
                <w:sz w:val="18"/>
                <w:szCs w:val="18"/>
                <w:b w:val="1"/>
                <w:bCs w:val="1"/>
                <w:color w:val="auto"/>
                <w:w w:val="89"/>
              </w:rPr>
              <w:t>(702) 770-7555</w:t>
            </w:r>
          </w:p>
        </w:tc>
        <w:tc>
          <w:tcPr>
            <w:tcW w:w="2320" w:type="dxa"/>
            <w:vAlign w:val="bottom"/>
          </w:tcPr>
          <w:p>
            <w:pPr>
              <w:spacing w:after="0"/>
              <w:rPr>
                <w:sz w:val="24"/>
                <w:szCs w:val="24"/>
                <w:color w:val="auto"/>
              </w:rPr>
            </w:pPr>
          </w:p>
        </w:tc>
      </w:tr>
      <w:tr>
        <w:trPr>
          <w:trHeight w:val="174"/>
        </w:trPr>
        <w:tc>
          <w:tcPr>
            <w:tcW w:w="1880" w:type="dxa"/>
            <w:vAlign w:val="bottom"/>
          </w:tcPr>
          <w:p>
            <w:pPr>
              <w:spacing w:after="0"/>
              <w:rPr>
                <w:sz w:val="15"/>
                <w:szCs w:val="15"/>
                <w:color w:val="auto"/>
              </w:rPr>
            </w:pPr>
          </w:p>
        </w:tc>
        <w:tc>
          <w:tcPr>
            <w:tcW w:w="5360" w:type="dxa"/>
            <w:vAlign w:val="bottom"/>
            <w:gridSpan w:val="3"/>
          </w:tcPr>
          <w:p>
            <w:pPr>
              <w:jc w:val="center"/>
              <w:ind w:right="157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color w:val="auto"/>
              </w:rPr>
              <w:t>Accelerated filer</w:t>
            </w:r>
          </w:p>
        </w:tc>
        <w:tc>
          <w:tcPr>
            <w:tcW w:w="960" w:type="dxa"/>
            <w:vAlign w:val="bottom"/>
          </w:tcPr>
          <w:p>
            <w:pPr>
              <w:spacing w:after="0"/>
              <w:rPr>
                <w:sz w:val="23"/>
                <w:szCs w:val="23"/>
                <w:color w:val="auto"/>
              </w:rPr>
            </w:pP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20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8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500" w:type="dxa"/>
            <w:vAlign w:val="bottom"/>
            <w:gridSpan w:val="5"/>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Borders>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Borders>
              <w:right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87"/>
              </w:rPr>
              <w:t>Proposed Maximum</w:t>
            </w:r>
          </w:p>
        </w:tc>
        <w:tc>
          <w:tcPr>
            <w:tcW w:w="3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23"/>
                <w:szCs w:val="23"/>
                <w:color w:val="auto"/>
              </w:rPr>
            </w:pPr>
          </w:p>
        </w:tc>
      </w:tr>
      <w:tr>
        <w:trPr>
          <w:trHeight w:val="14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8"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9"/>
              <w:spacing w:after="0" w:line="148" w:lineRule="exact"/>
              <w:rPr>
                <w:sz w:val="20"/>
                <w:szCs w:val="20"/>
                <w:color w:val="auto"/>
              </w:rPr>
            </w:pPr>
            <w:r>
              <w:rPr>
                <w:rFonts w:ascii="Arial" w:cs="Arial" w:eastAsia="Arial" w:hAnsi="Arial"/>
                <w:sz w:val="14"/>
                <w:szCs w:val="14"/>
                <w:b w:val="1"/>
                <w:bCs w:val="1"/>
                <w:color w:val="auto"/>
                <w:w w:val="89"/>
              </w:rPr>
              <w:t>Offering Price Per</w:t>
            </w:r>
          </w:p>
        </w:tc>
        <w:tc>
          <w:tcPr>
            <w:tcW w:w="1600" w:type="dxa"/>
            <w:vAlign w:val="bottom"/>
            <w:tcBorders>
              <w:right w:val="single" w:sz="8" w:color="auto"/>
            </w:tcBorders>
          </w:tcPr>
          <w:p>
            <w:pPr>
              <w:jc w:val="center"/>
              <w:ind w:left="3"/>
              <w:spacing w:after="0" w:line="148" w:lineRule="exact"/>
              <w:rPr>
                <w:sz w:val="20"/>
                <w:szCs w:val="20"/>
                <w:color w:val="auto"/>
              </w:rPr>
            </w:pPr>
            <w:r>
              <w:rPr>
                <w:rFonts w:ascii="Arial" w:cs="Arial" w:eastAsia="Arial" w:hAnsi="Arial"/>
                <w:sz w:val="14"/>
                <w:szCs w:val="14"/>
                <w:b w:val="1"/>
                <w:bCs w:val="1"/>
                <w:color w:val="auto"/>
                <w:w w:val="87"/>
              </w:rPr>
              <w:t>Aggregate Offering</w:t>
            </w:r>
          </w:p>
        </w:tc>
        <w:tc>
          <w:tcPr>
            <w:tcW w:w="320" w:type="dxa"/>
            <w:vAlign w:val="bottom"/>
          </w:tcPr>
          <w:p>
            <w:pPr>
              <w:spacing w:after="0"/>
              <w:rPr>
                <w:sz w:val="12"/>
                <w:szCs w:val="12"/>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Registration</w:t>
            </w:r>
          </w:p>
        </w:tc>
        <w:tc>
          <w:tcPr>
            <w:tcW w:w="28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3740" w:type="dxa"/>
            <w:vAlign w:val="bottom"/>
            <w:tcBorders>
              <w:bottom w:val="single" w:sz="8" w:color="auto"/>
            </w:tcBorders>
            <w:gridSpan w:val="2"/>
          </w:tcPr>
          <w:p>
            <w:pPr>
              <w:ind w:left="1520"/>
              <w:spacing w:after="0"/>
              <w:rPr>
                <w:sz w:val="20"/>
                <w:szCs w:val="20"/>
                <w:color w:val="auto"/>
              </w:rPr>
            </w:pPr>
            <w:r>
              <w:rPr>
                <w:rFonts w:ascii="Arial" w:cs="Arial" w:eastAsia="Arial" w:hAnsi="Arial"/>
                <w:sz w:val="14"/>
                <w:szCs w:val="14"/>
                <w:b w:val="1"/>
                <w:bCs w:val="1"/>
                <w:color w:val="auto"/>
                <w:w w:val="95"/>
              </w:rPr>
              <w:t>Title of Securities to be Registered</w:t>
            </w: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Registered</w:t>
            </w:r>
            <w:r>
              <w:rPr>
                <w:rFonts w:ascii="Arial" w:cs="Arial" w:eastAsia="Arial" w:hAnsi="Arial"/>
                <w:sz w:val="20"/>
                <w:szCs w:val="20"/>
                <w:b w:val="1"/>
                <w:bCs w:val="1"/>
                <w:color w:val="auto"/>
                <w:w w:val="88"/>
                <w:vertAlign w:val="superscript"/>
              </w:rPr>
              <w:t>(1)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9"/>
              <w:spacing w:after="0" w:line="17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(2)</w:t>
            </w:r>
          </w:p>
        </w:tc>
        <w:tc>
          <w:tcPr>
            <w:tcW w:w="1600" w:type="dxa"/>
            <w:vAlign w:val="bottom"/>
            <w:tcBorders>
              <w:bottom w:val="single" w:sz="8" w:color="auto"/>
              <w:right w:val="single" w:sz="8" w:color="auto"/>
            </w:tcBorders>
          </w:tcPr>
          <w:p>
            <w:pPr>
              <w:jc w:val="center"/>
              <w:ind w:left="3"/>
              <w:spacing w:after="0" w:line="176" w:lineRule="exact"/>
              <w:rPr>
                <w:sz w:val="20"/>
                <w:szCs w:val="20"/>
                <w:color w:val="auto"/>
              </w:rPr>
            </w:pPr>
            <w:r>
              <w:rPr>
                <w:rFonts w:ascii="Arial" w:cs="Arial" w:eastAsia="Arial" w:hAnsi="Arial"/>
                <w:sz w:val="13"/>
                <w:szCs w:val="13"/>
                <w:b w:val="1"/>
                <w:bCs w:val="1"/>
                <w:color w:val="auto"/>
                <w:w w:val="91"/>
              </w:rPr>
              <w:t>Price</w:t>
            </w:r>
            <w:r>
              <w:rPr>
                <w:rFonts w:ascii="Arial" w:cs="Arial" w:eastAsia="Arial" w:hAnsi="Arial"/>
                <w:sz w:val="20"/>
                <w:szCs w:val="20"/>
                <w:b w:val="1"/>
                <w:bCs w:val="1"/>
                <w:color w:val="auto"/>
                <w:w w:val="91"/>
                <w:vertAlign w:val="superscript"/>
              </w:rPr>
              <w:t>(2)</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w w:val="98"/>
                <w:vertAlign w:val="subscript"/>
              </w:rPr>
              <w:t>Fee</w:t>
            </w:r>
            <w:r>
              <w:rPr>
                <w:rFonts w:ascii="Arial" w:cs="Arial" w:eastAsia="Arial" w:hAnsi="Arial"/>
                <w:sz w:val="9"/>
                <w:szCs w:val="9"/>
                <w:b w:val="1"/>
                <w:bCs w:val="1"/>
                <w:color w:val="auto"/>
                <w:w w:val="98"/>
              </w:rPr>
              <w:t>(2 )</w:t>
            </w:r>
          </w:p>
        </w:tc>
        <w:tc>
          <w:tcPr>
            <w:tcW w:w="28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$0.01 par value per share</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3,000,000 shares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8"/>
                <w:szCs w:val="18"/>
                <w:color w:val="auto"/>
                <w:w w:val="87"/>
              </w:rPr>
              <w:t>$83.24</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87"/>
              </w:rPr>
              <w:t>$249,720,000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$17,805</w:t>
            </w:r>
          </w:p>
        </w:tc>
        <w:tc>
          <w:tcPr>
            <w:tcW w:w="28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3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the Registrant’s Common Stock in respect of the securities identified in the above table as a result of any stock dividend, stock split, recapitalization or other similar transaction.</w:t>
      </w:r>
    </w:p>
    <w:p>
      <w:pPr>
        <w:ind w:left="460" w:right="120" w:hanging="452"/>
        <w:spacing w:after="0" w:line="30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July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STATEMENT</w:t>
      </w:r>
    </w:p>
    <w:p>
      <w:pPr>
        <w:spacing w:after="0" w:line="17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This Registration Statement on Form S-8 is filed by Wynn Resorts, Limited, a Nevada corporation (the “Company” or the “Registrant”), relating to 3,000,000 shares of its common stock, par value $0.01 per share (the “Common Stock”), to be issued pursuant to the Company’s 2002 Stock Incentive Plan (the “Plan”), which Common Stock is in addition to the 9,750,000 shares of Common Stock registered on the Company’s Form S-8 filed on October 31, 2002 (Commission File No. 333-100891).</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accordance with the Note to Part I of Form S-8, as promulgated by the Securities and Exchange Commission (the “Commission”), the information specified by Part I of Form S-8 has been omitted from this Registration Statement.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documents filed by the Company with the Commission pursuant to the Securities Exchange Act of 1934, as amended (the “Exchange Act”), are hereby incorporated by reference in this Registration Statement:</w:t>
      </w:r>
    </w:p>
    <w:p>
      <w:pPr>
        <w:spacing w:after="0" w:line="51" w:lineRule="exact"/>
        <w:rPr>
          <w:sz w:val="20"/>
          <w:szCs w:val="20"/>
          <w:color w:val="auto"/>
        </w:rPr>
      </w:pPr>
    </w:p>
    <w:p>
      <w:pPr>
        <w:ind w:left="90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latest Annual Report pursuant to Sections 13(a) or 15(d) of the Exchange Act or latest prospectus filed pursuant to Rule 424(b) under the Securities Act that contains audited financial statements for the Registrant’s latest fiscal year for which such statements have been filed;</w:t>
      </w:r>
    </w:p>
    <w:p>
      <w:pPr>
        <w:spacing w:after="0" w:line="4"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Registrant’s latest Annual Report or prospectus referred to in (1) above; and</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the Registration Statement on Form 8-A filed on October 7, 2002, including any amendment or report filed for the purpose of updating the description of Common Stock contained therein.</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Company discloses under Items 2.02 or 7.01 of any Current Report on Form 8-K that it may from time to time furnish to the Commission will be incorporated by reference into, or otherwise included in, this Registration Statement.</w:t>
      </w:r>
    </w:p>
    <w:p>
      <w:pPr>
        <w:spacing w:after="0" w:line="144"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Exchange Act file number with the Commission is 000-50028.</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Kim Sinatra, General Counsel and Secretary of the Company, has rendered an opinion as to the validity of the Common Stock offered hereby. As of July 26, 2010, Ms. Sinatra owned a total of 50,000 shares of Common Stock (all of which are shares of restricted stock) and held options to purchase 325,000 shares of Common Stock.</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brought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2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bylaws provide that it will indemnify its directors and officers to the fullest extent permitted by Nevada law. In addition, The Company has entered into separate indemnification agreements with its directors and officers that require the Company, among other things, to indemnify such directors and officers against certain liabilities that may arise by reason of their status or service other than liabilities arising from willful misconduct of a culpable nature. The Company also intends to maintain director and officer liability insurance, if available on reasonable terms.</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274" w:right="25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No.</w:t>
            </w:r>
          </w:p>
        </w:tc>
        <w:tc>
          <w:tcPr>
            <w:tcW w:w="51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309"/>
        </w:trPr>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w w:val="89"/>
              </w:rPr>
              <w:t>Second Amended and Restated Articles of Incorporation of the Company dated September 16, 2002 (incorporated by reference to Exhibit 3.1 of</w:t>
            </w:r>
          </w:p>
        </w:tc>
      </w:tr>
      <w:tr>
        <w:trPr>
          <w:trHeight w:val="222"/>
        </w:trPr>
        <w:tc>
          <w:tcPr>
            <w:tcW w:w="700" w:type="dxa"/>
            <w:vAlign w:val="bottom"/>
          </w:tcPr>
          <w:p>
            <w:pPr>
              <w:spacing w:after="0"/>
              <w:rPr>
                <w:sz w:val="19"/>
                <w:szCs w:val="19"/>
                <w:color w:val="auto"/>
              </w:rPr>
            </w:pP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the Company’s Amendment No. 4 to the Form S-1 filed on October 7, 2002)</w:t>
            </w:r>
          </w:p>
        </w:tc>
      </w:tr>
      <w:tr>
        <w:trPr>
          <w:trHeight w:val="318"/>
        </w:trPr>
        <w:tc>
          <w:tcPr>
            <w:tcW w:w="7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w w:val="88"/>
              </w:rPr>
              <w:t>Fourth Amended and Restated Bylaws of the Company (incorporated by reference to Exhibit 3.2 of the Company’s Form 10-Q filed on August 9,</w:t>
            </w:r>
          </w:p>
        </w:tc>
      </w:tr>
      <w:tr>
        <w:trPr>
          <w:trHeight w:val="222"/>
        </w:trPr>
        <w:tc>
          <w:tcPr>
            <w:tcW w:w="70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2007)</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70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Opinion of Kim Sinatra, General Counsel and Secretary</w:t>
            </w:r>
          </w:p>
        </w:tc>
      </w:tr>
      <w:tr>
        <w:trPr>
          <w:trHeight w:val="324"/>
        </w:trPr>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2002 Stock Incentive Plan as Amended and Restated effective May 12, 2010</w:t>
            </w:r>
          </w:p>
        </w:tc>
      </w:tr>
      <w:tr>
        <w:trPr>
          <w:trHeight w:val="324"/>
        </w:trPr>
        <w:tc>
          <w:tcPr>
            <w:tcW w:w="70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0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Consent of Kim Sinatra (included in Exhibit 5)</w:t>
            </w:r>
          </w:p>
        </w:tc>
      </w:tr>
      <w:tr>
        <w:trPr>
          <w:trHeight w:val="324"/>
        </w:trPr>
        <w:tc>
          <w:tcPr>
            <w:tcW w:w="70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0620" w:type="dxa"/>
            <w:vAlign w:val="bottom"/>
            <w:gridSpan w:val="3"/>
          </w:tcPr>
          <w:p>
            <w:pPr>
              <w:ind w:left="400"/>
              <w:spacing w:after="0"/>
              <w:rPr>
                <w:sz w:val="20"/>
                <w:szCs w:val="20"/>
                <w:color w:val="auto"/>
              </w:rPr>
            </w:pPr>
            <w:r>
              <w:rPr>
                <w:rFonts w:ascii="Arial" w:cs="Arial" w:eastAsia="Arial" w:hAnsi="Arial"/>
                <w:sz w:val="18"/>
                <w:szCs w:val="18"/>
                <w:color w:val="auto"/>
              </w:rPr>
              <w:t>Power of Attorney (contained on signature page hereto)</w:t>
            </w:r>
          </w:p>
        </w:tc>
      </w:tr>
    </w:tbl>
    <w:p>
      <w:pPr>
        <w:spacing w:after="0" w:line="27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1920" w:right="40" w:hanging="440"/>
        <w:spacing w:after="0" w:line="290" w:lineRule="auto"/>
        <w:tabs>
          <w:tab w:leader="none" w:pos="192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37" w:lineRule="exact"/>
        <w:rPr>
          <w:rFonts w:ascii="Arial" w:cs="Arial" w:eastAsia="Arial" w:hAnsi="Arial"/>
          <w:sz w:val="16"/>
          <w:szCs w:val="16"/>
          <w:color w:val="auto"/>
        </w:rPr>
      </w:pPr>
    </w:p>
    <w:p>
      <w:pPr>
        <w:ind w:left="1920" w:right="180" w:hanging="440"/>
        <w:spacing w:after="0" w:line="268" w:lineRule="auto"/>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1" w:lineRule="exact"/>
        <w:rPr>
          <w:sz w:val="20"/>
          <w:szCs w:val="20"/>
          <w:color w:val="auto"/>
        </w:rPr>
      </w:pPr>
    </w:p>
    <w:p>
      <w:pPr>
        <w:ind w:left="1500" w:right="340"/>
        <w:spacing w:after="0" w:line="30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and (a)(1)(ii)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26" w:lineRule="exact"/>
        <w:rPr>
          <w:sz w:val="20"/>
          <w:szCs w:val="20"/>
          <w:color w:val="auto"/>
        </w:rPr>
      </w:pPr>
    </w:p>
    <w:p>
      <w:pPr>
        <w:jc w:val="both"/>
        <w:ind w:left="1480" w:hanging="567"/>
        <w:spacing w:after="0" w:line="259"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1480" w:right="46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1380"/>
          </w:cols>
          <w:pgMar w:left="240" w:top="274" w:right="279" w:bottom="1440" w:gutter="0" w:footer="0" w:header="0"/>
        </w:sectPr>
      </w:pPr>
    </w:p>
    <w:bookmarkStart w:id="4" w:name="page5"/>
    <w:bookmarkEnd w:id="4"/>
    <w:p>
      <w:pPr>
        <w:ind w:left="1026" w:hanging="567"/>
        <w:spacing w:after="0" w:line="287" w:lineRule="auto"/>
        <w:tabs>
          <w:tab w:leader="none" w:pos="1026"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41" w:lineRule="exact"/>
        <w:rPr>
          <w:rFonts w:ascii="Arial" w:cs="Arial" w:eastAsia="Arial" w:hAnsi="Arial"/>
          <w:sz w:val="16"/>
          <w:szCs w:val="16"/>
          <w:color w:val="auto"/>
        </w:rPr>
      </w:pPr>
    </w:p>
    <w:p>
      <w:pPr>
        <w:ind w:left="446" w:right="80" w:hanging="446"/>
        <w:spacing w:after="0" w:line="256"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2" w:lineRule="exact"/>
        <w:rPr>
          <w:rFonts w:ascii="Arial" w:cs="Arial" w:eastAsia="Arial" w:hAnsi="Arial"/>
          <w:sz w:val="18"/>
          <w:szCs w:val="18"/>
          <w:color w:val="auto"/>
        </w:rPr>
      </w:pPr>
    </w:p>
    <w:p>
      <w:pPr>
        <w:ind w:left="446" w:right="220" w:hanging="446"/>
        <w:spacing w:after="0" w:line="289" w:lineRule="auto"/>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ind w:left="2806"/>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926"/>
          </w:cols>
          <w:pgMar w:left="694" w:top="280"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26 day of July, 2010.</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&amp; Treasurer</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person whose signature appears below constitutes and appoints Stephen A. Wynn and Kim Sinatra and each of them, his/her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1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4"/>
                <w:szCs w:val="14"/>
                <w:color w:val="auto"/>
              </w:rPr>
            </w:pPr>
          </w:p>
        </w:tc>
      </w:tr>
      <w:tr>
        <w:trPr>
          <w:trHeight w:val="426"/>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A. Wynn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1820" w:type="dxa"/>
            <w:vAlign w:val="bottom"/>
          </w:tcPr>
          <w:p>
            <w:pPr>
              <w:spacing w:after="0"/>
              <w:rPr>
                <w:sz w:val="18"/>
                <w:szCs w:val="18"/>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Kazuo Okada</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Linda Chen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Russell Goldsmith</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Ray R. Irani</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J. Miller</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Moran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Alvin V. Shoemaker</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 Boone Wayson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Elaine P. Wynn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8"/>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Allan Zeman</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7"/>
        </w:trPr>
        <w:tc>
          <w:tcPr>
            <w:tcW w:w="242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437"/>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c>
          <w:tcPr>
            <w:tcW w:w="1820" w:type="dxa"/>
            <w:vAlign w:val="bottom"/>
            <w:tcBorders>
              <w:bottom w:val="single" w:sz="8" w:color="auto"/>
            </w:tcBorders>
          </w:tcPr>
          <w:p>
            <w:pPr>
              <w:spacing w:after="0"/>
              <w:rPr>
                <w:sz w:val="24"/>
                <w:szCs w:val="24"/>
                <w:color w:val="auto"/>
              </w:rPr>
            </w:pPr>
          </w:p>
        </w:tc>
        <w:tc>
          <w:tcPr>
            <w:tcW w:w="48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c>
          <w:tcPr>
            <w:tcW w:w="1940" w:type="dxa"/>
            <w:vAlign w:val="bottom"/>
            <w:gridSpan w:val="3"/>
          </w:tcPr>
          <w:p>
            <w:pPr>
              <w:jc w:val="center"/>
              <w:ind w:left="912"/>
              <w:spacing w:after="0"/>
              <w:rPr>
                <w:sz w:val="20"/>
                <w:szCs w:val="20"/>
                <w:color w:val="auto"/>
              </w:rPr>
            </w:pPr>
            <w:r>
              <w:rPr>
                <w:rFonts w:ascii="Arial" w:cs="Arial" w:eastAsia="Arial" w:hAnsi="Arial"/>
                <w:sz w:val="18"/>
                <w:szCs w:val="18"/>
                <w:color w:val="auto"/>
                <w:w w:val="87"/>
              </w:rPr>
              <w:t>July 26, 2010</w:t>
            </w:r>
          </w:p>
        </w:tc>
      </w:tr>
      <w:tr>
        <w:trPr>
          <w:trHeight w:val="218"/>
        </w:trPr>
        <w:tc>
          <w:tcPr>
            <w:tcW w:w="24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820" w:type="dxa"/>
            <w:vAlign w:val="bottom"/>
          </w:tcPr>
          <w:p>
            <w:pPr>
              <w:spacing w:after="0"/>
              <w:rPr>
                <w:sz w:val="18"/>
                <w:szCs w:val="18"/>
                <w:color w:val="auto"/>
              </w:rPr>
            </w:pPr>
          </w:p>
        </w:tc>
        <w:tc>
          <w:tcPr>
            <w:tcW w:w="48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1320"/>
          </w:cols>
          <w:pgMar w:left="240" w:top="274" w:right="3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592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2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r>
        <w:trPr>
          <w:trHeight w:val="316"/>
        </w:trPr>
        <w:tc>
          <w:tcPr>
            <w:tcW w:w="720" w:type="dxa"/>
            <w:vAlign w:val="bottom"/>
          </w:tcPr>
          <w:p>
            <w:pPr>
              <w:jc w:val="center"/>
              <w:ind w:left="16"/>
              <w:spacing w:after="0"/>
              <w:rPr>
                <w:sz w:val="20"/>
                <w:szCs w:val="20"/>
                <w:color w:val="auto"/>
              </w:rPr>
            </w:pPr>
            <w:r>
              <w:rPr>
                <w:rFonts w:ascii="Arial" w:cs="Arial" w:eastAsia="Arial" w:hAnsi="Arial"/>
                <w:sz w:val="18"/>
                <w:szCs w:val="18"/>
                <w:color w:val="auto"/>
                <w:w w:val="87"/>
              </w:rPr>
              <w:t>5.1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Opinion of Kim Sinatra, General Counsel and Secretary</w:t>
            </w:r>
          </w:p>
        </w:tc>
      </w:tr>
      <w:tr>
        <w:trPr>
          <w:trHeight w:val="324"/>
        </w:trPr>
        <w:tc>
          <w:tcPr>
            <w:tcW w:w="720" w:type="dxa"/>
            <w:vAlign w:val="bottom"/>
          </w:tcPr>
          <w:p>
            <w:pPr>
              <w:jc w:val="center"/>
              <w:ind w:left="16"/>
              <w:spacing w:after="0"/>
              <w:rPr>
                <w:sz w:val="20"/>
                <w:szCs w:val="20"/>
                <w:color w:val="auto"/>
              </w:rPr>
            </w:pPr>
            <w:r>
              <w:rPr>
                <w:rFonts w:ascii="Arial" w:cs="Arial" w:eastAsia="Arial" w:hAnsi="Arial"/>
                <w:sz w:val="18"/>
                <w:szCs w:val="18"/>
                <w:color w:val="auto"/>
                <w:w w:val="85"/>
              </w:rPr>
              <w:t>10.1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w w:val="89"/>
              </w:rPr>
              <w:t>2002 Stock Incentive Plan as Amended and Restated effective May 12, 2010</w:t>
            </w:r>
          </w:p>
        </w:tc>
      </w:tr>
      <w:tr>
        <w:trPr>
          <w:trHeight w:val="324"/>
        </w:trPr>
        <w:tc>
          <w:tcPr>
            <w:tcW w:w="720" w:type="dxa"/>
            <w:vAlign w:val="bottom"/>
          </w:tcPr>
          <w:p>
            <w:pPr>
              <w:jc w:val="center"/>
              <w:ind w:left="16"/>
              <w:spacing w:after="0"/>
              <w:rPr>
                <w:sz w:val="20"/>
                <w:szCs w:val="20"/>
                <w:color w:val="auto"/>
              </w:rPr>
            </w:pPr>
            <w:r>
              <w:rPr>
                <w:rFonts w:ascii="Arial" w:cs="Arial" w:eastAsia="Arial" w:hAnsi="Arial"/>
                <w:sz w:val="18"/>
                <w:szCs w:val="18"/>
                <w:color w:val="auto"/>
                <w:w w:val="85"/>
              </w:rPr>
              <w:t>23.1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720" w:type="dxa"/>
            <w:vAlign w:val="bottom"/>
          </w:tcPr>
          <w:p>
            <w:pPr>
              <w:jc w:val="center"/>
              <w:ind w:left="16"/>
              <w:spacing w:after="0"/>
              <w:rPr>
                <w:sz w:val="20"/>
                <w:szCs w:val="20"/>
                <w:color w:val="auto"/>
              </w:rPr>
            </w:pPr>
            <w:r>
              <w:rPr>
                <w:rFonts w:ascii="Arial" w:cs="Arial" w:eastAsia="Arial" w:hAnsi="Arial"/>
                <w:sz w:val="18"/>
                <w:szCs w:val="18"/>
                <w:color w:val="auto"/>
                <w:w w:val="85"/>
              </w:rPr>
              <w:t>23.2</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Consent of Kim Sinatra (included in Exhibit 5)</w:t>
            </w:r>
          </w:p>
        </w:tc>
      </w:tr>
      <w:tr>
        <w:trPr>
          <w:trHeight w:val="324"/>
        </w:trPr>
        <w:tc>
          <w:tcPr>
            <w:tcW w:w="720" w:type="dxa"/>
            <w:vAlign w:val="bottom"/>
          </w:tcPr>
          <w:p>
            <w:pPr>
              <w:jc w:val="center"/>
              <w:ind w:left="16"/>
              <w:spacing w:after="0"/>
              <w:rPr>
                <w:sz w:val="20"/>
                <w:szCs w:val="20"/>
                <w:color w:val="auto"/>
              </w:rPr>
            </w:pPr>
            <w:r>
              <w:rPr>
                <w:rFonts w:ascii="Arial" w:cs="Arial" w:eastAsia="Arial" w:hAnsi="Arial"/>
                <w:sz w:val="18"/>
                <w:szCs w:val="18"/>
                <w:color w:val="auto"/>
                <w:w w:val="85"/>
              </w:rPr>
              <w:t>24.1</w:t>
            </w:r>
          </w:p>
        </w:tc>
        <w:tc>
          <w:tcPr>
            <w:tcW w:w="5920" w:type="dxa"/>
            <w:vAlign w:val="bottom"/>
            <w:gridSpan w:val="2"/>
          </w:tcPr>
          <w:p>
            <w:pPr>
              <w:ind w:left="440"/>
              <w:spacing w:after="0"/>
              <w:rPr>
                <w:sz w:val="20"/>
                <w:szCs w:val="20"/>
                <w:color w:val="auto"/>
              </w:rPr>
            </w:pPr>
            <w:r>
              <w:rPr>
                <w:rFonts w:ascii="Arial" w:cs="Arial" w:eastAsia="Arial" w:hAnsi="Arial"/>
                <w:sz w:val="18"/>
                <w:szCs w:val="18"/>
                <w:color w:val="auto"/>
              </w:rPr>
              <w:t>Power of Attorney (contained on signature page hereto)</w:t>
            </w:r>
          </w:p>
        </w:tc>
      </w:tr>
    </w:tbl>
    <w:p>
      <w:pPr>
        <w:sectPr>
          <w:pgSz w:w="11900" w:h="16838" w:orient="portrait"/>
          <w:cols w:equalWidth="0" w:num="1">
            <w:col w:w="10219"/>
          </w:cols>
          <w:pgMar w:left="240" w:top="27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 am General Counsel and Secretary of Wynn Resorts, Limited, a Nevada corporation (the “Corporation”). The Corporation is about to register with the Securities and Exchange Commission on a registration statement on Form S-8 (the “Registration Statement”) under the Securities Act of l933, as amended, 3,000,000 shares of the Company’s Common Stock, par value $0.01 per share (“Common Stock”), to be issued under the 2002 Stock Incentive Plan (the “Plan”). The shares registered (the “Shares”) may be offered and sold under the Plan.</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rendering the opinions hereinafter expressed, I have examined the Registration Statement, the Plan, and the Company’s Articles of Incorporation and Bylaws, each as amended to date. I have also examined and relied upon such corporate records of the Corporation and other documents and certificates with respect to factual matters as I have deemed necessary to render the opinion expressed herein. Without limiting the generality of the foregoing, I have assumed without independent verification, that (i) each document I reviewed has been duly and validly executed and delivered by each party thereto to the extent due execution and delivery are a prerequisite to the effectiveness thereof, (ii) each natural person executing a document has sufficient legal capacity to do so, and (iii) all original documents reviewed are authentic, the signatures on all documents examined are genuine, and all certified, conformed, photostatic or facsimile copies of documents reviewed conform to the original document.</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the basis of the foregoing, and in reliance thereon, and having regard to legal considerations and other relevant information, I am of the opinion that the Shares, when and to the extent issued and sold in accordance with the Registration Statement and the Plan, will be validly issued, fully paid and non-assessable provided that any Shares issued pursuant to certain deferred payment arrangements will be fully paid when such deferred payments are made in full pursuant to the Registration Statement and the Plan.</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opinions set forth herein are expressly limited to the effect of the general corporate laws of the State of Nevada as in effect as of the date hereof and does not extend to or express any opinion concerning any other laws, including any federal securities law, or any state securities or “blue sky” laws or regulations.</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 hereby consent to the filing of this opinion as part of the Registration Statement. In giving this consent, I do not thereby admit that I am within the category of persons whose consent is required under Section 7 of the Securities Act of 1933, as amended, or the Rules and Regulations of the Securities and Exchange Commission thereunder. This opinion is intended solely for your use in connection with the transactions described above. No other person may rely on this opinion for any other purpose without my prior written consent.</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Kim Sinatra</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2002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May 12, 2010</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Purposes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purposes of this Plan are: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purposes of this Plan, the following terms will have the following meanings:</w:t>
      </w:r>
    </w:p>
    <w:p>
      <w:pPr>
        <w:spacing w:after="0" w:line="165" w:lineRule="exact"/>
        <w:rPr>
          <w:rFonts w:ascii="Arial" w:cs="Arial" w:eastAsia="Arial" w:hAnsi="Arial"/>
          <w:sz w:val="18"/>
          <w:szCs w:val="18"/>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171" w:lineRule="exact"/>
        <w:rPr>
          <w:rFonts w:ascii="Arial" w:cs="Arial" w:eastAsia="Arial" w:hAnsi="Arial"/>
          <w:sz w:val="18"/>
          <w:szCs w:val="18"/>
          <w:color w:val="auto"/>
        </w:rPr>
      </w:pPr>
    </w:p>
    <w:p>
      <w:pPr>
        <w:ind w:right="320" w:firstLine="464"/>
        <w:spacing w:after="0" w:line="301" w:lineRule="auto"/>
        <w:tabs>
          <w:tab w:leader="none" w:pos="705"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103" w:lineRule="exact"/>
        <w:rPr>
          <w:rFonts w:ascii="Arial" w:cs="Arial" w:eastAsia="Arial" w:hAnsi="Arial"/>
          <w:sz w:val="16"/>
          <w:szCs w:val="16"/>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40" w:firstLine="464"/>
        <w:spacing w:after="0" w:line="293" w:lineRule="auto"/>
        <w:tabs>
          <w:tab w:leader="none" w:pos="705" w:val="left"/>
        </w:tabs>
        <w:numPr>
          <w:ilvl w:val="1"/>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110" w:lineRule="exact"/>
        <w:rPr>
          <w:rFonts w:ascii="Arial" w:cs="Arial" w:eastAsia="Arial" w:hAnsi="Arial"/>
          <w:sz w:val="16"/>
          <w:szCs w:val="16"/>
          <w:color w:val="auto"/>
        </w:rPr>
      </w:pPr>
    </w:p>
    <w:p>
      <w:pPr>
        <w:ind w:left="700" w:hanging="236"/>
        <w:spacing w:after="0"/>
        <w:tabs>
          <w:tab w:leader="none" w:pos="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the occurrence of any one of the following events:</w:t>
      </w:r>
    </w:p>
    <w:p>
      <w:pPr>
        <w:spacing w:after="0" w:line="96" w:lineRule="exact"/>
        <w:rPr>
          <w:rFonts w:ascii="Arial" w:cs="Arial" w:eastAsia="Arial" w:hAnsi="Arial"/>
          <w:sz w:val="18"/>
          <w:szCs w:val="18"/>
          <w:color w:val="auto"/>
        </w:rPr>
      </w:pPr>
    </w:p>
    <w:p>
      <w:pPr>
        <w:ind w:left="920" w:right="60" w:firstLine="421"/>
        <w:spacing w:after="0" w:line="259" w:lineRule="auto"/>
        <w:tabs>
          <w:tab w:leader="none" w:pos="1549"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spacing w:after="0" w:line="59" w:lineRule="exact"/>
        <w:rPr>
          <w:rFonts w:ascii="Arial" w:cs="Arial" w:eastAsia="Arial" w:hAnsi="Arial"/>
          <w:sz w:val="18"/>
          <w:szCs w:val="18"/>
          <w:color w:val="auto"/>
        </w:rPr>
      </w:pPr>
    </w:p>
    <w:p>
      <w:pPr>
        <w:ind w:left="920" w:right="20" w:firstLine="421"/>
        <w:spacing w:after="0" w:line="268" w:lineRule="auto"/>
        <w:tabs>
          <w:tab w:leader="none" w:pos="1598"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direct or indirect sale or transfer by the Company of substantially all of its assets to one or more unrelated Persons or Groups in a single transaction or a series of related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 w:name="page11"/>
    <w:bookmarkEnd w:id="10"/>
    <w:p>
      <w:pPr>
        <w:jc w:val="both"/>
        <w:ind w:left="900" w:right="40" w:firstLine="421"/>
        <w:spacing w:after="0" w:line="298" w:lineRule="auto"/>
        <w:tabs>
          <w:tab w:leader="none" w:pos="162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31" w:lineRule="exact"/>
        <w:rPr>
          <w:rFonts w:ascii="Arial" w:cs="Arial" w:eastAsia="Arial" w:hAnsi="Arial"/>
          <w:sz w:val="16"/>
          <w:szCs w:val="16"/>
          <w:color w:val="auto"/>
        </w:rPr>
      </w:pPr>
    </w:p>
    <w:p>
      <w:pPr>
        <w:ind w:left="1620" w:hanging="299"/>
        <w:spacing w:after="0"/>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are individuals who were neither members of the Board</w:t>
      </w:r>
    </w:p>
    <w:p>
      <w:pPr>
        <w:spacing w:after="0" w:line="38" w:lineRule="exact"/>
        <w:rPr>
          <w:rFonts w:ascii="Arial" w:cs="Arial" w:eastAsia="Arial" w:hAnsi="Arial"/>
          <w:sz w:val="16"/>
          <w:szCs w:val="16"/>
          <w:color w:val="auto"/>
        </w:rPr>
      </w:pPr>
    </w:p>
    <w:p>
      <w:pPr>
        <w:ind w:left="900" w:right="120"/>
        <w:spacing w:after="0" w:line="255" w:lineRule="auto"/>
        <w:rPr>
          <w:rFonts w:ascii="Arial" w:cs="Arial" w:eastAsia="Arial" w:hAnsi="Arial"/>
          <w:sz w:val="16"/>
          <w:szCs w:val="16"/>
          <w:color w:val="auto"/>
        </w:rPr>
      </w:pPr>
      <w:r>
        <w:rPr>
          <w:rFonts w:ascii="Arial" w:cs="Arial" w:eastAsia="Arial" w:hAnsi="Arial"/>
          <w:sz w:val="18"/>
          <w:szCs w:val="18"/>
          <w:color w:val="auto"/>
        </w:rPr>
        <w:t>immediately following the closing of the Company’s initial public offering nor individuals whose election (or nomination for election) to the Board was approved by a vote of at least fifty percent (50%) of the members of the Board immediately before such election or nomination (“Approved Directors”).</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w:t>
      </w:r>
    </w:p>
    <w:p>
      <w:pPr>
        <w:spacing w:after="0" w:line="38" w:lineRule="exact"/>
        <w:rPr>
          <w:sz w:val="20"/>
          <w:szCs w:val="20"/>
          <w:color w:val="auto"/>
        </w:rPr>
      </w:pPr>
    </w:p>
    <w:p>
      <w:pPr>
        <w:ind w:left="900" w:firstLine="1"/>
        <w:spacing w:after="0" w:line="287" w:lineRule="auto"/>
        <w:tabs>
          <w:tab w:leader="none" w:pos="111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Securities Exchange Act of 1934 and the rules and regulations promulgated thereunder (the “Exchange Act”).</w:t>
      </w:r>
    </w:p>
    <w:p>
      <w:pPr>
        <w:spacing w:after="0" w:line="39" w:lineRule="exact"/>
        <w:rPr>
          <w:sz w:val="20"/>
          <w:szCs w:val="20"/>
          <w:color w:val="auto"/>
        </w:rPr>
      </w:pPr>
    </w:p>
    <w:p>
      <w:pPr>
        <w:ind w:left="900" w:right="20"/>
        <w:spacing w:after="0" w:line="256" w:lineRule="auto"/>
        <w:rPr>
          <w:sz w:val="20"/>
          <w:szCs w:val="20"/>
          <w:color w:val="auto"/>
        </w:rPr>
      </w:pPr>
      <w:r>
        <w:rPr>
          <w:rFonts w:ascii="Arial" w:cs="Arial" w:eastAsia="Arial" w:hAnsi="Arial"/>
          <w:sz w:val="18"/>
          <w:szCs w:val="18"/>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“Proxy Contest”), or as a result of an agreement to avoid or settle an Election Contest or Proxy Contest.</w:t>
      </w:r>
    </w:p>
    <w:p>
      <w:pPr>
        <w:spacing w:after="0" w:line="137" w:lineRule="exact"/>
        <w:rPr>
          <w:sz w:val="20"/>
          <w:szCs w:val="20"/>
          <w:color w:val="auto"/>
        </w:rPr>
      </w:pPr>
    </w:p>
    <w:p>
      <w:pPr>
        <w:ind w:left="-20" w:right="260" w:firstLine="464"/>
        <w:spacing w:after="0" w:line="275" w:lineRule="auto"/>
        <w:tabs>
          <w:tab w:leader="none" w:pos="6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119" w:lineRule="exact"/>
        <w:rPr>
          <w:rFonts w:ascii="Arial" w:cs="Arial" w:eastAsia="Arial" w:hAnsi="Arial"/>
          <w:sz w:val="18"/>
          <w:szCs w:val="18"/>
          <w:color w:val="auto"/>
        </w:rPr>
      </w:pPr>
    </w:p>
    <w:p>
      <w:pPr>
        <w:ind w:left="700" w:hanging="2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171" w:lineRule="exact"/>
        <w:rPr>
          <w:rFonts w:ascii="Arial" w:cs="Arial" w:eastAsia="Arial" w:hAnsi="Arial"/>
          <w:sz w:val="18"/>
          <w:szCs w:val="18"/>
          <w:color w:val="auto"/>
        </w:rPr>
      </w:pPr>
    </w:p>
    <w:p>
      <w:pPr>
        <w:ind w:left="-20" w:right="100" w:firstLine="464"/>
        <w:spacing w:after="0" w:line="301" w:lineRule="auto"/>
        <w:tabs>
          <w:tab w:leader="none" w:pos="646"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103" w:lineRule="exact"/>
        <w:rPr>
          <w:rFonts w:ascii="Arial" w:cs="Arial" w:eastAsia="Arial" w:hAnsi="Arial"/>
          <w:sz w:val="16"/>
          <w:szCs w:val="16"/>
          <w:color w:val="auto"/>
        </w:rPr>
      </w:pPr>
    </w:p>
    <w:p>
      <w:pPr>
        <w:ind w:left="-20" w:right="240" w:firstLine="464"/>
        <w:spacing w:after="0" w:line="339" w:lineRule="auto"/>
        <w:tabs>
          <w:tab w:leader="none" w:pos="6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Continuous Status as an Employee, Director or Consultant</w:t>
      </w:r>
      <w:r>
        <w:rPr>
          <w:rFonts w:ascii="Arial" w:cs="Arial" w:eastAsia="Arial" w:hAnsi="Arial"/>
          <w:sz w:val="16"/>
          <w:szCs w:val="16"/>
          <w:color w:val="auto"/>
        </w:rPr>
        <w:t>” means that the employment, director or consulting relationship is not interrupted or terminated by the Company, any Parent or Subsidiary, or by the Employee, Director or Consultant. Continuous Status as an Employee, Director or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80" w:right="259" w:bottom="1440" w:gutter="0" w:footer="0" w:header="0"/>
        </w:sectPr>
      </w:pPr>
    </w:p>
    <w:bookmarkStart w:id="11" w:name="page12"/>
    <w:bookmarkEnd w:id="1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Consultant will not be considered interrupted in the case of: (i) any leave of absence approved by the Board or required by Applicable Law, including sick leave, military leave, or any other personal leave,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Incentive Stock Options, any such leave may not exceed 90 days, unless reemployment upon the expiration of such leave is guaranteed by contract (including certain Company policies) or statute; (ii) transfers between locations of the Company or between the Company, its Parent, its Subsidiaries or its successor, or (iii) 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114" w:lineRule="exact"/>
        <w:rPr>
          <w:sz w:val="20"/>
          <w:szCs w:val="20"/>
          <w:color w:val="auto"/>
        </w:rPr>
      </w:pPr>
    </w:p>
    <w:p>
      <w:pPr>
        <w:ind w:left="680" w:hanging="21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left="760" w:hanging="29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171" w:lineRule="exact"/>
        <w:rPr>
          <w:rFonts w:ascii="Arial" w:cs="Arial" w:eastAsia="Arial" w:hAnsi="Arial"/>
          <w:sz w:val="18"/>
          <w:szCs w:val="18"/>
          <w:color w:val="auto"/>
        </w:rPr>
      </w:pPr>
    </w:p>
    <w:p>
      <w:pPr>
        <w:ind w:right="40" w:firstLine="464"/>
        <w:spacing w:after="0" w:line="262"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132"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96" w:lineRule="exact"/>
        <w:rPr>
          <w:rFonts w:ascii="Arial" w:cs="Arial" w:eastAsia="Arial" w:hAnsi="Arial"/>
          <w:sz w:val="18"/>
          <w:szCs w:val="18"/>
          <w:color w:val="auto"/>
        </w:rPr>
      </w:pPr>
    </w:p>
    <w:p>
      <w:pPr>
        <w:ind w:left="920" w:firstLine="421"/>
        <w:spacing w:after="0" w:line="291" w:lineRule="auto"/>
        <w:tabs>
          <w:tab w:leader="none" w:pos="1549"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u w:val="single" w:color="auto"/>
          <w:color w:val="auto"/>
        </w:rPr>
        <w:t>Wall Street Journal</w:t>
      </w:r>
      <w:r>
        <w:rPr>
          <w:rFonts w:ascii="Arial" w:cs="Arial" w:eastAsia="Arial" w:hAnsi="Arial"/>
          <w:sz w:val="16"/>
          <w:szCs w:val="16"/>
          <w:color w:val="auto"/>
        </w:rPr>
        <w:t xml:space="preserve"> or any other source the Administrator considers reliable.</w:t>
      </w:r>
    </w:p>
    <w:p>
      <w:pPr>
        <w:spacing w:after="0" w:line="39" w:lineRule="exact"/>
        <w:rPr>
          <w:rFonts w:ascii="Arial" w:cs="Arial" w:eastAsia="Arial" w:hAnsi="Arial"/>
          <w:sz w:val="16"/>
          <w:szCs w:val="16"/>
          <w:color w:val="auto"/>
        </w:rPr>
      </w:pPr>
    </w:p>
    <w:p>
      <w:pPr>
        <w:ind w:left="920" w:right="260" w:firstLine="421"/>
        <w:spacing w:after="0" w:line="298" w:lineRule="auto"/>
        <w:tabs>
          <w:tab w:leader="none" w:pos="15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If the Common Stock is quoted on the NASDAQ System (but not on the NASDAQ National Market System) or is regularly quoted by 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6"/>
          <w:szCs w:val="16"/>
          <w:i w:val="1"/>
          <w:iCs w:val="1"/>
          <w:u w:val="single" w:color="auto"/>
          <w:color w:val="auto"/>
        </w:rPr>
        <w:t>Wall Street Journal</w:t>
      </w:r>
      <w:r>
        <w:rPr>
          <w:rFonts w:ascii="Arial" w:cs="Arial" w:eastAsia="Arial" w:hAnsi="Arial"/>
          <w:sz w:val="16"/>
          <w:szCs w:val="16"/>
          <w:color w:val="auto"/>
        </w:rPr>
        <w:t xml:space="preserve"> or any other source the Administrator considers reliable.</w:t>
      </w:r>
    </w:p>
    <w:p>
      <w:pPr>
        <w:spacing w:after="0" w:line="31" w:lineRule="exact"/>
        <w:rPr>
          <w:rFonts w:ascii="Arial" w:cs="Arial" w:eastAsia="Arial" w:hAnsi="Arial"/>
          <w:sz w:val="16"/>
          <w:szCs w:val="16"/>
          <w:color w:val="auto"/>
        </w:rPr>
      </w:pPr>
    </w:p>
    <w:p>
      <w:pPr>
        <w:ind w:left="920" w:right="260" w:firstLine="421"/>
        <w:spacing w:after="0" w:line="306" w:lineRule="auto"/>
        <w:tabs>
          <w:tab w:leader="none" w:pos="1647" w:val="left"/>
        </w:tabs>
        <w:numPr>
          <w:ilvl w:val="1"/>
          <w:numId w:val="11"/>
        </w:numPr>
        <w:rPr>
          <w:rFonts w:ascii="Arial" w:cs="Arial" w:eastAsia="Arial" w:hAnsi="Arial"/>
          <w:sz w:val="16"/>
          <w:szCs w:val="16"/>
          <w:color w:val="auto"/>
        </w:rPr>
      </w:pPr>
      <w:r>
        <w:rPr>
          <w:rFonts w:ascii="Arial" w:cs="Arial" w:eastAsia="Arial" w:hAnsi="Arial"/>
          <w:sz w:val="16"/>
          <w:szCs w:val="16"/>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00" w:lineRule="exact"/>
        <w:rPr>
          <w:rFonts w:ascii="Arial" w:cs="Arial" w:eastAsia="Arial" w:hAnsi="Arial"/>
          <w:sz w:val="16"/>
          <w:szCs w:val="16"/>
          <w:color w:val="auto"/>
        </w:rPr>
      </w:pPr>
    </w:p>
    <w:p>
      <w:pPr>
        <w:ind w:right="180" w:firstLine="464"/>
        <w:spacing w:after="0" w:line="25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any person sharing the Grantee’s household (other than a tenant or employee), a trust in which these persons (or the Grantee) control the management of assets, and any other entity in which these persons (or the Grantee) own more than fifty percent of the voting interests.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2" w:name="page13"/>
    <w:bookmarkEnd w:id="12"/>
    <w:p>
      <w:pPr>
        <w:ind w:right="460" w:firstLine="464"/>
        <w:spacing w:after="0" w:line="275" w:lineRule="auto"/>
        <w:tabs>
          <w:tab w:leader="none" w:pos="67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119"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 Plan.</w:t>
      </w:r>
    </w:p>
    <w:p>
      <w:pPr>
        <w:spacing w:after="0" w:line="194" w:lineRule="exact"/>
        <w:rPr>
          <w:rFonts w:ascii="Arial" w:cs="Arial" w:eastAsia="Arial" w:hAnsi="Arial"/>
          <w:sz w:val="16"/>
          <w:szCs w:val="16"/>
          <w:color w:val="auto"/>
        </w:rPr>
      </w:pPr>
    </w:p>
    <w:p>
      <w:pPr>
        <w:ind w:right="360" w:firstLine="464"/>
        <w:spacing w:after="0" w:line="275"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171" w:lineRule="exact"/>
        <w:rPr>
          <w:rFonts w:ascii="Arial" w:cs="Arial" w:eastAsia="Arial" w:hAnsi="Arial"/>
          <w:sz w:val="18"/>
          <w:szCs w:val="18"/>
          <w:color w:val="auto"/>
        </w:rPr>
      </w:pPr>
    </w:p>
    <w:p>
      <w:pPr>
        <w:ind w:right="500" w:firstLine="464"/>
        <w:spacing w:after="0" w:line="275" w:lineRule="auto"/>
        <w:tabs>
          <w:tab w:leader="none" w:pos="7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19" w:lineRule="exact"/>
        <w:rPr>
          <w:rFonts w:ascii="Arial" w:cs="Arial" w:eastAsia="Arial" w:hAnsi="Arial"/>
          <w:sz w:val="18"/>
          <w:szCs w:val="18"/>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this Plan.</w:t>
      </w:r>
    </w:p>
    <w:p>
      <w:pPr>
        <w:spacing w:after="0" w:line="171" w:lineRule="exact"/>
        <w:rPr>
          <w:rFonts w:ascii="Arial" w:cs="Arial" w:eastAsia="Arial" w:hAnsi="Arial"/>
          <w:sz w:val="18"/>
          <w:szCs w:val="18"/>
          <w:color w:val="auto"/>
        </w:rPr>
      </w:pPr>
    </w:p>
    <w:p>
      <w:pPr>
        <w:ind w:right="120" w:firstLine="464"/>
        <w:spacing w:after="0" w:line="275"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119" w:lineRule="exact"/>
        <w:rPr>
          <w:rFonts w:ascii="Arial" w:cs="Arial" w:eastAsia="Arial" w:hAnsi="Arial"/>
          <w:sz w:val="18"/>
          <w:szCs w:val="18"/>
          <w:color w:val="auto"/>
        </w:rPr>
      </w:pPr>
    </w:p>
    <w:p>
      <w:pPr>
        <w:ind w:firstLine="464"/>
        <w:spacing w:after="0" w:line="262"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Exchange Program</w:t>
      </w:r>
      <w:r>
        <w:rPr>
          <w:rFonts w:ascii="Arial" w:cs="Arial" w:eastAsia="Arial" w:hAnsi="Arial"/>
          <w:sz w:val="18"/>
          <w:szCs w:val="18"/>
          <w:color w:val="auto"/>
        </w:rPr>
        <w:t>” means a program in which outstanding Options with an exercise price above the then Fair Market Value of a Share are surrendered in exchange for Options with a lower exercise price, other equity awards or cash, provided that an adjustment pursuant to Section 15 of this Plan shall not be deemed an Option Exchange Program.</w:t>
      </w:r>
    </w:p>
    <w:p>
      <w:pPr>
        <w:spacing w:after="0" w:line="132" w:lineRule="exact"/>
        <w:rPr>
          <w:sz w:val="20"/>
          <w:szCs w:val="20"/>
          <w:color w:val="auto"/>
        </w:rPr>
      </w:pPr>
    </w:p>
    <w:p>
      <w:pPr>
        <w:ind w:left="780" w:hanging="31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Optioned Stock</w:t>
      </w:r>
      <w:r>
        <w:rPr>
          <w:rFonts w:ascii="Arial" w:cs="Arial" w:eastAsia="Arial" w:hAnsi="Arial"/>
          <w:sz w:val="16"/>
          <w:szCs w:val="16"/>
          <w:color w:val="auto"/>
        </w:rPr>
        <w:t>” means the Common Stock subject to an Option.</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an Employee, Consultant or Director who holds an outstanding Option.</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w:t>
      </w:r>
      <w:r>
        <w:rPr>
          <w:rFonts w:ascii="Arial" w:cs="Arial" w:eastAsia="Arial" w:hAnsi="Arial"/>
          <w:sz w:val="16"/>
          <w:szCs w:val="16"/>
          <w:color w:val="auto"/>
        </w:rPr>
        <w:t>” means, except as otherwise specified, a section of this Plan.</w:t>
      </w:r>
    </w:p>
    <w:p>
      <w:pPr>
        <w:spacing w:after="0" w:line="194" w:lineRule="exact"/>
        <w:rPr>
          <w:rFonts w:ascii="Arial" w:cs="Arial" w:eastAsia="Arial" w:hAnsi="Arial"/>
          <w:sz w:val="16"/>
          <w:szCs w:val="16"/>
          <w:color w:val="auto"/>
        </w:rPr>
      </w:pPr>
    </w:p>
    <w:p>
      <w:pPr>
        <w:ind w:left="740" w:hanging="27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Common Stock, as adjusted in accordance with Section 15.</w:t>
      </w:r>
    </w:p>
    <w:p>
      <w:pPr>
        <w:spacing w:after="0" w:line="171" w:lineRule="exact"/>
        <w:rPr>
          <w:rFonts w:ascii="Arial" w:cs="Arial" w:eastAsia="Arial" w:hAnsi="Arial"/>
          <w:sz w:val="18"/>
          <w:szCs w:val="18"/>
          <w:color w:val="auto"/>
        </w:rPr>
      </w:pPr>
    </w:p>
    <w:p>
      <w:pPr>
        <w:ind w:right="960" w:firstLine="464"/>
        <w:spacing w:after="0" w:line="275" w:lineRule="auto"/>
        <w:tabs>
          <w:tab w:leader="none" w:pos="7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w:t>
      </w:r>
      <w:r>
        <w:rPr>
          <w:rFonts w:ascii="Arial" w:cs="Arial" w:eastAsia="Arial" w:hAnsi="Arial"/>
          <w:sz w:val="18"/>
          <w:szCs w:val="18"/>
          <w:color w:val="auto"/>
        </w:rPr>
        <w:t>” shall mean a grant or sale by the Company of a specified number of Shares upon terms and conditions determined by the Administrator.</w:t>
      </w:r>
    </w:p>
    <w:p>
      <w:pPr>
        <w:spacing w:after="0" w:line="119" w:lineRule="exact"/>
        <w:rPr>
          <w:rFonts w:ascii="Arial" w:cs="Arial" w:eastAsia="Arial" w:hAnsi="Arial"/>
          <w:sz w:val="18"/>
          <w:szCs w:val="18"/>
          <w:color w:val="auto"/>
        </w:rPr>
      </w:pPr>
    </w:p>
    <w:p>
      <w:pPr>
        <w:ind w:right="360" w:firstLine="464"/>
        <w:spacing w:after="0" w:line="262" w:lineRule="auto"/>
        <w:tabs>
          <w:tab w:leader="none" w:pos="7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 a “subsidiary corporation” with respect to the Company, whether now or later existing, as defined in Section 424(f) of the Code, or (ii) a limited liability company, whether now or later existing, which would be a “subsidiary corporation” with respect to the Company under Section 424(f) of the Code if it were a corporation.</w:t>
      </w:r>
    </w:p>
    <w:p>
      <w:pPr>
        <w:spacing w:after="0" w:line="138" w:lineRule="exact"/>
        <w:rPr>
          <w:sz w:val="20"/>
          <w:szCs w:val="20"/>
          <w:color w:val="auto"/>
        </w:rPr>
      </w:pPr>
    </w:p>
    <w:p>
      <w:pPr>
        <w:ind w:right="22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Subject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provisions of Section 15 of the Plan, the maximum aggregate number of Shares which may be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12,750,000 Shares of Common Stock. The Shares may be authorized, but unissued, or reacquired Common Stock.</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3" w:name="page14"/>
    <w:bookmarkEnd w:id="1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purchased or received or that were cancelled will become available for future grant or sale under the Plan (unless the Plan has terminated). If the Company repurchases Shares which were issued pursuant to the exercise of an Option or grant of a Stock Award, however, those repurchased Shares will not be available for future grant under the Plan.</w:t>
      </w:r>
    </w:p>
    <w:p>
      <w:pPr>
        <w:spacing w:after="0" w:line="22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920" w:right="60" w:firstLine="421"/>
        <w:spacing w:after="0" w:line="294" w:lineRule="auto"/>
        <w:tabs>
          <w:tab w:leader="none" w:pos="1549" w:val="left"/>
        </w:tabs>
        <w:numPr>
          <w:ilvl w:val="2"/>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Composition of the Administrator. </w:t>
      </w:r>
      <w:r>
        <w:rPr>
          <w:rFonts w:ascii="Arial" w:cs="Arial" w:eastAsia="Arial" w:hAnsi="Arial"/>
          <w:sz w:val="16"/>
          <w:szCs w:val="16"/>
          <w:color w:val="auto"/>
        </w:rPr>
        <w:t>Unless the Board expressly resolves to the contrary, the Plan will be administered only by a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will then consist solely of persons appointed by 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34" w:lineRule="exact"/>
        <w:rPr>
          <w:rFonts w:ascii="Arial" w:cs="Arial" w:eastAsia="Arial" w:hAnsi="Arial"/>
          <w:sz w:val="16"/>
          <w:szCs w:val="16"/>
          <w:color w:val="auto"/>
        </w:rPr>
      </w:pPr>
    </w:p>
    <w:p>
      <w:pPr>
        <w:ind w:left="920" w:right="720" w:firstLine="421"/>
        <w:spacing w:after="0" w:line="268" w:lineRule="auto"/>
        <w:tabs>
          <w:tab w:leader="none" w:pos="1598" w:val="left"/>
        </w:tabs>
        <w:numPr>
          <w:ilvl w:val="2"/>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Multiple Administrative Bodies. </w:t>
      </w:r>
      <w:r>
        <w:rPr>
          <w:rFonts w:ascii="Arial" w:cs="Arial" w:eastAsia="Arial" w:hAnsi="Arial"/>
          <w:sz w:val="18"/>
          <w:szCs w:val="18"/>
          <w:color w:val="auto"/>
        </w:rPr>
        <w:t>The Plan may be administered by different bodies with respect to Directors, Officers who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Employees and Consultants who are neither Directors nor Officers.</w:t>
      </w:r>
    </w:p>
    <w:p>
      <w:pPr>
        <w:spacing w:after="0" w:line="131" w:lineRule="exact"/>
        <w:rPr>
          <w:rFonts w:ascii="Arial" w:cs="Arial" w:eastAsia="Arial" w:hAnsi="Arial"/>
          <w:sz w:val="18"/>
          <w:szCs w:val="18"/>
          <w:color w:val="auto"/>
        </w:rPr>
      </w:pPr>
    </w:p>
    <w:p>
      <w:pPr>
        <w:ind w:right="80" w:firstLine="464"/>
        <w:spacing w:after="0" w:line="268"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Powers of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the Plan, and in the case of a Committee, subject to the specific duties delegated by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to that Committee, the Administrator will have the authority, in its discretion:</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to select the Employees, Consultants or Directors to whom Options or Stock Awards may be granted; provided, however, that the</w:t>
      </w:r>
    </w:p>
    <w:p>
      <w:pPr>
        <w:spacing w:after="0" w:line="38" w:lineRule="exact"/>
        <w:rPr>
          <w:rFonts w:ascii="Arial" w:cs="Arial" w:eastAsia="Arial" w:hAnsi="Arial"/>
          <w:sz w:val="16"/>
          <w:szCs w:val="16"/>
          <w:color w:val="auto"/>
        </w:rPr>
      </w:pPr>
    </w:p>
    <w:p>
      <w:pPr>
        <w:ind w:left="920" w:right="60"/>
        <w:spacing w:after="0" w:line="261" w:lineRule="auto"/>
        <w:rPr>
          <w:rFonts w:ascii="Arial" w:cs="Arial" w:eastAsia="Arial" w:hAnsi="Arial"/>
          <w:sz w:val="16"/>
          <w:szCs w:val="16"/>
          <w:color w:val="auto"/>
        </w:rPr>
      </w:pPr>
      <w:r>
        <w:rPr>
          <w:rFonts w:ascii="Arial" w:cs="Arial" w:eastAsia="Arial" w:hAnsi="Arial"/>
          <w:sz w:val="18"/>
          <w:szCs w:val="18"/>
          <w:color w:val="auto"/>
        </w:rPr>
        <w:t>Administrator shall have no authority or discretion to grant an Option or Stock Award to any Employee, Consultant or Director who owns more than five percent of the issued and outstanding Common Stock;</w:t>
      </w:r>
    </w:p>
    <w:p>
      <w:pPr>
        <w:spacing w:after="0" w:line="56" w:lineRule="exact"/>
        <w:rPr>
          <w:rFonts w:ascii="Arial" w:cs="Arial" w:eastAsia="Arial" w:hAnsi="Arial"/>
          <w:sz w:val="16"/>
          <w:szCs w:val="16"/>
          <w:color w:val="auto"/>
        </w:rPr>
      </w:pPr>
    </w:p>
    <w:p>
      <w:pPr>
        <w:ind w:left="920" w:right="520" w:firstLine="421"/>
        <w:spacing w:after="0" w:line="268" w:lineRule="auto"/>
        <w:tabs>
          <w:tab w:leader="none" w:pos="1647"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determine whether and to what extent Options or Stock Awards are granted, and whether Options are intended as Incentive Stock Options or Nonqualified Stock Options;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90" w:lineRule="exact"/>
        <w:rPr>
          <w:rFonts w:ascii="Arial" w:cs="Arial" w:eastAsia="Arial" w:hAnsi="Arial"/>
          <w:sz w:val="18"/>
          <w:szCs w:val="18"/>
          <w:color w:val="auto"/>
        </w:rPr>
      </w:pPr>
    </w:p>
    <w:p>
      <w:pPr>
        <w:ind w:left="920" w:firstLine="421"/>
        <w:spacing w:after="0" w:line="289" w:lineRule="auto"/>
        <w:tabs>
          <w:tab w:leader="none" w:pos="1637" w:val="left"/>
        </w:tabs>
        <w:numPr>
          <w:ilvl w:val="2"/>
          <w:numId w:val="15"/>
        </w:numPr>
        <w:rPr>
          <w:rFonts w:ascii="Arial" w:cs="Arial" w:eastAsia="Arial" w:hAnsi="Arial"/>
          <w:sz w:val="16"/>
          <w:szCs w:val="16"/>
          <w:color w:val="auto"/>
        </w:rPr>
      </w:pPr>
      <w:r>
        <w:rPr>
          <w:rFonts w:ascii="Arial" w:cs="Arial" w:eastAsia="Arial" w:hAnsi="Arial"/>
          <w:sz w:val="16"/>
          <w:szCs w:val="16"/>
          <w:color w:val="auto"/>
        </w:rPr>
        <w:t xml:space="preserve">to determine the terms and conditions, not inconsistent with the terms of this Plan, of any grant of Options or Stock Awards, including, but not limited to, (A)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6"/>
          <w:szCs w:val="16"/>
          <w:i w:val="1"/>
          <w:iCs w:val="1"/>
          <w:color w:val="auto"/>
        </w:rPr>
        <w:t>(1)</w:t>
      </w:r>
      <w:r>
        <w:rPr>
          <w:rFonts w:ascii="Arial" w:cs="Arial" w:eastAsia="Arial" w:hAnsi="Arial"/>
          <w:sz w:val="16"/>
          <w:szCs w:val="16"/>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6"/>
          <w:szCs w:val="16"/>
          <w:i w:val="1"/>
          <w:iCs w:val="1"/>
          <w:color w:val="auto"/>
        </w:rPr>
        <w:t>(2)</w:t>
      </w:r>
      <w:r>
        <w:rPr>
          <w:rFonts w:ascii="Arial" w:cs="Arial" w:eastAsia="Arial" w:hAnsi="Arial"/>
          <w:sz w:val="16"/>
          <w:szCs w:val="16"/>
          <w:color w:val="auto"/>
        </w:rPr>
        <w:t xml:space="preserve"> a right of repurchase in favor of the Company upon termination of the Grantee’s Continuous Status as an Employee, Director or Consultant;</w:t>
      </w:r>
    </w:p>
    <w:p>
      <w:pPr>
        <w:spacing w:after="0" w:line="37" w:lineRule="exact"/>
        <w:rPr>
          <w:rFonts w:ascii="Arial" w:cs="Arial" w:eastAsia="Arial" w:hAnsi="Arial"/>
          <w:sz w:val="16"/>
          <w:szCs w:val="16"/>
          <w:color w:val="auto"/>
        </w:rPr>
      </w:pPr>
    </w:p>
    <w:p>
      <w:pPr>
        <w:ind w:left="1680" w:hanging="339"/>
        <w:spacing w:after="0"/>
        <w:tabs>
          <w:tab w:leader="none" w:pos="16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90" w:lineRule="exact"/>
        <w:rPr>
          <w:rFonts w:ascii="Arial" w:cs="Arial" w:eastAsia="Arial" w:hAnsi="Arial"/>
          <w:sz w:val="18"/>
          <w:szCs w:val="18"/>
          <w:color w:val="auto"/>
        </w:rPr>
      </w:pPr>
    </w:p>
    <w:p>
      <w:pPr>
        <w:ind w:left="1740" w:hanging="399"/>
        <w:spacing w:after="0"/>
        <w:tabs>
          <w:tab w:leader="none" w:pos="17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 w:name="page15"/>
    <w:bookmarkEnd w:id="14"/>
    <w:p>
      <w:pPr>
        <w:ind w:left="912" w:right="20" w:firstLine="421"/>
        <w:spacing w:after="0" w:line="268" w:lineRule="auto"/>
        <w:tabs>
          <w:tab w:leader="none" w:pos="1580" w:val="left"/>
        </w:tabs>
        <w:numPr>
          <w:ilvl w:val="2"/>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authorize any person to execute on behalf of the Company any instrument required to effect the grant of an Option previously granted by the Administrator;</w:t>
      </w:r>
    </w:p>
    <w:p>
      <w:pPr>
        <w:spacing w:after="0" w:line="50" w:lineRule="exact"/>
        <w:rPr>
          <w:rFonts w:ascii="Arial" w:cs="Arial" w:eastAsia="Arial" w:hAnsi="Arial"/>
          <w:sz w:val="18"/>
          <w:szCs w:val="18"/>
          <w:color w:val="auto"/>
        </w:rPr>
      </w:pPr>
    </w:p>
    <w:p>
      <w:pPr>
        <w:ind w:left="912" w:right="840" w:firstLine="421"/>
        <w:spacing w:after="0" w:line="268" w:lineRule="auto"/>
        <w:tabs>
          <w:tab w:leader="none" w:pos="1629"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institute an Option Exchange Program, but only if such Option Exchange Program has been pre-approved by the Company’s stockholders;</w:t>
      </w:r>
    </w:p>
    <w:p>
      <w:pPr>
        <w:spacing w:after="0" w:line="50" w:lineRule="exact"/>
        <w:rPr>
          <w:rFonts w:ascii="Arial" w:cs="Arial" w:eastAsia="Arial" w:hAnsi="Arial"/>
          <w:sz w:val="18"/>
          <w:szCs w:val="18"/>
          <w:color w:val="auto"/>
        </w:rPr>
      </w:pPr>
    </w:p>
    <w:p>
      <w:pPr>
        <w:ind w:left="1672" w:hanging="339"/>
        <w:spacing w:after="0"/>
        <w:tabs>
          <w:tab w:leader="none" w:pos="1672"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90" w:lineRule="exact"/>
        <w:rPr>
          <w:rFonts w:ascii="Arial" w:cs="Arial" w:eastAsia="Arial" w:hAnsi="Arial"/>
          <w:sz w:val="18"/>
          <w:szCs w:val="18"/>
          <w:color w:val="auto"/>
        </w:rPr>
      </w:pPr>
    </w:p>
    <w:p>
      <w:pPr>
        <w:ind w:left="1732" w:hanging="399"/>
        <w:spacing w:after="0"/>
        <w:tabs>
          <w:tab w:leader="none" w:pos="1732"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90" w:lineRule="exact"/>
        <w:rPr>
          <w:rFonts w:ascii="Arial" w:cs="Arial" w:eastAsia="Arial" w:hAnsi="Arial"/>
          <w:sz w:val="18"/>
          <w:szCs w:val="18"/>
          <w:color w:val="auto"/>
        </w:rPr>
      </w:pPr>
    </w:p>
    <w:p>
      <w:pPr>
        <w:ind w:left="1712" w:hanging="379"/>
        <w:spacing w:after="0"/>
        <w:tabs>
          <w:tab w:leader="none" w:pos="1712"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171" w:lineRule="exact"/>
        <w:rPr>
          <w:rFonts w:ascii="Arial" w:cs="Arial" w:eastAsia="Arial" w:hAnsi="Arial"/>
          <w:sz w:val="18"/>
          <w:szCs w:val="18"/>
          <w:color w:val="auto"/>
        </w:rPr>
      </w:pPr>
    </w:p>
    <w:p>
      <w:pPr>
        <w:ind w:left="-8" w:right="40" w:firstLine="464"/>
        <w:spacing w:after="0" w:line="332" w:lineRule="auto"/>
        <w:tabs>
          <w:tab w:leader="none" w:pos="687" w:val="left"/>
        </w:tabs>
        <w:numPr>
          <w:ilvl w:val="1"/>
          <w:numId w:val="17"/>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Administrator’s Decision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Administrator’s decisions, determinations and interpretations will be final and binding on all holders of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Awards. The Administrator shall not be required to exercise its authority or discretion on a uniform or nondiscriminatory basis.</w:t>
      </w:r>
    </w:p>
    <w:p>
      <w:pPr>
        <w:spacing w:after="0" w:line="85" w:lineRule="exact"/>
        <w:rPr>
          <w:rFonts w:ascii="Arial" w:cs="Arial" w:eastAsia="Arial" w:hAnsi="Arial"/>
          <w:sz w:val="16"/>
          <w:szCs w:val="16"/>
          <w:color w:val="auto"/>
        </w:rPr>
      </w:pPr>
    </w:p>
    <w:p>
      <w:pPr>
        <w:ind w:left="-8" w:right="160" w:firstLine="8"/>
        <w:spacing w:after="0" w:line="294" w:lineRule="auto"/>
        <w:tabs>
          <w:tab w:leader="none" w:pos="168"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under this Plan may be Incentive Stock Options or Nonqualified Stock Options, as determined by the Administrator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Nonqualified Stock Options and Stock Awards may be granted to Employees, Consultants and Directors. Incentive 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15" w:lineRule="exact"/>
        <w:rPr>
          <w:rFonts w:ascii="Arial" w:cs="Arial" w:eastAsia="Arial" w:hAnsi="Arial"/>
          <w:sz w:val="16"/>
          <w:szCs w:val="16"/>
          <w:color w:val="auto"/>
        </w:rPr>
      </w:pPr>
    </w:p>
    <w:p>
      <w:pPr>
        <w:ind w:left="-8" w:right="40" w:firstLine="8"/>
        <w:spacing w:after="0" w:line="294" w:lineRule="auto"/>
        <w:tabs>
          <w:tab w:leader="none" w:pos="168"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Limitations on Grants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will be designated in the Grant Notice as either an Incentive Stock Option or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However, notwithstanding such designations, if the Shares subject to an Optionee’s Incentive Stock Options (granted under all 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15" w:lineRule="exact"/>
        <w:rPr>
          <w:rFonts w:ascii="Arial" w:cs="Arial" w:eastAsia="Arial" w:hAnsi="Arial"/>
          <w:sz w:val="16"/>
          <w:szCs w:val="16"/>
          <w:color w:val="auto"/>
        </w:rPr>
      </w:pPr>
    </w:p>
    <w:p>
      <w:pPr>
        <w:ind w:left="-8" w:right="200" w:firstLine="8"/>
        <w:spacing w:after="0" w:line="255" w:lineRule="auto"/>
        <w:tabs>
          <w:tab w:leader="none" w:pos="168"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 on Annual Grants to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after such time as the Company is required to be registered pursuant to Section 12 of the Exchange Act, no</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may receive grants, during any fiscal year of the Company or portion thereof, of Options which, in the aggregate, cover more than 1,500,000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42" w:lineRule="exact"/>
        <w:rPr>
          <w:rFonts w:ascii="Arial" w:cs="Arial" w:eastAsia="Arial" w:hAnsi="Arial"/>
          <w:sz w:val="18"/>
          <w:szCs w:val="18"/>
          <w:color w:val="auto"/>
        </w:rPr>
      </w:pPr>
    </w:p>
    <w:p>
      <w:pPr>
        <w:ind w:left="-8" w:right="240" w:firstLine="8"/>
        <w:spacing w:after="0" w:line="256" w:lineRule="auto"/>
        <w:tabs>
          <w:tab w:leader="none" w:pos="168"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Term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21, this Plan will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 described in Section 21. It will continue in effect for a term of twenty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43" w:lineRule="exact"/>
        <w:rPr>
          <w:rFonts w:ascii="Arial" w:cs="Arial" w:eastAsia="Arial" w:hAnsi="Arial"/>
          <w:sz w:val="18"/>
          <w:szCs w:val="18"/>
          <w:color w:val="auto"/>
        </w:rPr>
      </w:pPr>
    </w:p>
    <w:p>
      <w:pPr>
        <w:ind w:left="-8" w:firstLine="8"/>
        <w:spacing w:after="0" w:line="298" w:lineRule="auto"/>
        <w:tabs>
          <w:tab w:leader="none" w:pos="168"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Term of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each Option will be stated in the Option Agreement;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no event may the term be more than ten years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15" w:name="page16"/>
    <w:bookmarkEnd w:id="15"/>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 Price and Consideration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464"/>
        <w:spacing w:after="0" w:line="294" w:lineRule="auto"/>
        <w:tabs>
          <w:tab w:leader="none" w:pos="695" w:val="left"/>
        </w:tabs>
        <w:numPr>
          <w:ilvl w:val="1"/>
          <w:numId w:val="19"/>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Shares to be issued pursuant to exercise of an Incentive Stock Option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115" w:lineRule="exact"/>
        <w:rPr>
          <w:rFonts w:ascii="Arial" w:cs="Arial" w:eastAsia="Arial" w:hAnsi="Arial"/>
          <w:sz w:val="16"/>
          <w:szCs w:val="16"/>
          <w:color w:val="auto"/>
        </w:rPr>
      </w:pPr>
    </w:p>
    <w:p>
      <w:pPr>
        <w:ind w:right="360" w:firstLine="464"/>
        <w:spacing w:after="0" w:line="268"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Price of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a Nonqualified Stock Option, the exercise price for Shares to be issued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any such Option will be determined by the Administrator.</w:t>
      </w:r>
    </w:p>
    <w:p>
      <w:pPr>
        <w:spacing w:after="0" w:line="131" w:lineRule="exact"/>
        <w:rPr>
          <w:rFonts w:ascii="Arial" w:cs="Arial" w:eastAsia="Arial" w:hAnsi="Arial"/>
          <w:sz w:val="18"/>
          <w:szCs w:val="18"/>
          <w:color w:val="auto"/>
        </w:rPr>
      </w:pPr>
    </w:p>
    <w:p>
      <w:pPr>
        <w:ind w:right="220" w:firstLine="464"/>
        <w:spacing w:after="0" w:line="259"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Waiting Period and Exercise Dates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 Option is granted, the Administrator will fix the period within which the Option may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140" w:lineRule="exact"/>
        <w:rPr>
          <w:rFonts w:ascii="Arial" w:cs="Arial" w:eastAsia="Arial" w:hAnsi="Arial"/>
          <w:sz w:val="18"/>
          <w:szCs w:val="18"/>
          <w:color w:val="auto"/>
        </w:rPr>
      </w:pPr>
    </w:p>
    <w:p>
      <w:pPr>
        <w:ind w:right="480" w:firstLine="464"/>
        <w:spacing w:after="0" w:line="268"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Form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will determine the acceptable form of consideration for exercising an Option, including the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Such consideration may consist partially or entirely of:</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pacing w:after="0" w:line="90"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19"/>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an Option will be exercised;</w:t>
      </w:r>
    </w:p>
    <w:p>
      <w:pPr>
        <w:spacing w:after="0" w:line="50" w:lineRule="exact"/>
        <w:rPr>
          <w:rFonts w:ascii="Arial" w:cs="Arial" w:eastAsia="Arial" w:hAnsi="Arial"/>
          <w:sz w:val="18"/>
          <w:szCs w:val="18"/>
          <w:color w:val="auto"/>
        </w:rPr>
      </w:pPr>
    </w:p>
    <w:p>
      <w:pPr>
        <w:ind w:left="920" w:right="80" w:firstLine="421"/>
        <w:spacing w:after="0" w:line="357" w:lineRule="auto"/>
        <w:tabs>
          <w:tab w:leader="none" w:pos="1637" w:val="left"/>
        </w:tabs>
        <w:numPr>
          <w:ilvl w:val="2"/>
          <w:numId w:val="19"/>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ind w:left="1580" w:hanging="239"/>
        <w:spacing w:after="0"/>
        <w:tabs>
          <w:tab w:leader="none" w:pos="15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171" w:lineRule="exact"/>
        <w:rPr>
          <w:rFonts w:ascii="Arial" w:cs="Arial" w:eastAsia="Arial" w:hAnsi="Arial"/>
          <w:sz w:val="18"/>
          <w:szCs w:val="18"/>
          <w:color w:val="auto"/>
        </w:rPr>
      </w:pPr>
    </w:p>
    <w:p>
      <w:pPr>
        <w:ind w:firstLine="464"/>
        <w:spacing w:after="0" w:line="256"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No Repricing without Shareholder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in connection with a change in the Company’s capitalization (as described in Section 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without the approval of shareholders, “reprice” any Options. For purposes of this Plan, the term “reprice” means reducing the exercise price of outstanding Options or canceling outstanding Options with a purchase price in excess of Fair Market Value in exchange for cash or new Options with a lower exercise price or other Stock Awards.</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of Option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464"/>
        <w:spacing w:after="0" w:line="259"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 for Exercise; Rights as a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granted hereunder will be exercisable according to the terms of the Plan and at times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conditions determined by the Administrator and set forth in the Option Agreement;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an Option may not be exercised for a fraction of a Share.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6" w:name="page17"/>
    <w:bookmarkEnd w:id="16"/>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 to the Optioned Stock, notwithstanding the exercise of the Option. Subject to the provisions of Sections 14, 18, and 19, the Company will issue (or cause to be issued) such stock certificate promptly after the Option is 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132" w:lineRule="exact"/>
        <w:rPr>
          <w:sz w:val="20"/>
          <w:szCs w:val="20"/>
          <w:color w:val="auto"/>
        </w:rPr>
      </w:pPr>
    </w:p>
    <w:p>
      <w:pPr>
        <w:ind w:firstLine="464"/>
        <w:spacing w:after="0" w:line="288"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Employment or Consulting Relationship or Directorship</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holds exercisable Options on the date his or her Continuous</w:t>
      </w:r>
      <w:r>
        <w:rPr>
          <w:rFonts w:ascii="Arial" w:cs="Arial" w:eastAsia="Arial" w:hAnsi="Arial"/>
          <w:sz w:val="16"/>
          <w:szCs w:val="16"/>
          <w:i w:val="1"/>
          <w:iCs w:val="1"/>
          <w:color w:val="auto"/>
        </w:rPr>
        <w:t xml:space="preserve"> </w:t>
      </w:r>
      <w:r>
        <w:rPr>
          <w:rFonts w:ascii="Arial" w:cs="Arial" w:eastAsia="Arial" w:hAnsi="Arial"/>
          <w:sz w:val="16"/>
          <w:szCs w:val="16"/>
          <w:color w:val="auto"/>
        </w:rPr>
        <w:t>Status as an Employee, Director or Consultant terminates (other than because of termination due to Cause, death or Disability), the Optionee may exercise 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9" w:lineRule="exact"/>
        <w:rPr>
          <w:rFonts w:ascii="Arial" w:cs="Arial" w:eastAsia="Arial" w:hAnsi="Arial"/>
          <w:sz w:val="16"/>
          <w:szCs w:val="16"/>
          <w:color w:val="auto"/>
        </w:rPr>
      </w:pPr>
    </w:p>
    <w:p>
      <w:pPr>
        <w:ind w:right="40" w:firstLine="464"/>
        <w:spacing w:after="0" w:line="289" w:lineRule="auto"/>
        <w:tabs>
          <w:tab w:leader="none" w:pos="695"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Disability of Optionee</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holds exercisable Options on the date his or her Continuous Status as an Employee, Director or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terminates because of Disability, the Optionee may exercise the Options that were vested and exercisable as of the date of termination for a period of 12 months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right="120" w:firstLine="464"/>
        <w:spacing w:after="0" w:line="291"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Optionee</w:t>
      </w:r>
      <w:r>
        <w:rPr>
          <w:rFonts w:ascii="Arial" w:cs="Arial" w:eastAsia="Arial" w:hAnsi="Arial"/>
          <w:sz w:val="16"/>
          <w:szCs w:val="16"/>
          <w:color w:val="auto"/>
        </w:rPr>
        <w:t>. If an Optionee holds exercisable Options on the date his or her death, the Optionee’s estate or a person who acquired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terms as the Administrator may determine in its sole discretion. If the Optionee’s estate or a person who acquired the right to exercise the Option by bequest or inheritance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40" w:lineRule="exact"/>
        <w:rPr>
          <w:sz w:val="20"/>
          <w:szCs w:val="20"/>
          <w:color w:val="auto"/>
        </w:rPr>
      </w:pPr>
    </w:p>
    <w:p>
      <w:pPr>
        <w:ind w:right="100" w:firstLine="464"/>
        <w:spacing w:after="0" w:line="268" w:lineRule="auto"/>
        <w:tabs>
          <w:tab w:leader="none" w:pos="695" w:val="left"/>
        </w:tabs>
        <w:numPr>
          <w:ilvl w:val="1"/>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If an Optionee’s Continuous Status as an Employee, Director or Consultant is terminated for Cause, then all Options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any vested Options) held by Optionee shall immediately be terminated and cancelled.</w:t>
      </w:r>
    </w:p>
    <w:p>
      <w:pPr>
        <w:spacing w:after="0" w:line="131" w:lineRule="exact"/>
        <w:rPr>
          <w:rFonts w:ascii="Arial" w:cs="Arial" w:eastAsia="Arial" w:hAnsi="Arial"/>
          <w:sz w:val="18"/>
          <w:szCs w:val="18"/>
          <w:color w:val="auto"/>
        </w:rPr>
      </w:pPr>
    </w:p>
    <w:p>
      <w:pPr>
        <w:jc w:val="both"/>
        <w:ind w:right="60" w:firstLine="464"/>
        <w:spacing w:after="0" w:line="256" w:lineRule="auto"/>
        <w:tabs>
          <w:tab w:leader="none" w:pos="676" w:val="left"/>
        </w:tabs>
        <w:numPr>
          <w:ilvl w:val="1"/>
          <w:numId w:val="21"/>
        </w:numPr>
        <w:rPr>
          <w:rFonts w:ascii="Arial" w:cs="Arial" w:eastAsia="Arial" w:hAnsi="Arial"/>
          <w:sz w:val="18"/>
          <w:szCs w:val="18"/>
          <w:color w:val="auto"/>
        </w:rPr>
      </w:pPr>
      <w:r>
        <w:rPr>
          <w:rFonts w:ascii="Arial" w:cs="Arial" w:eastAsia="Arial" w:hAnsi="Arial"/>
          <w:sz w:val="18"/>
          <w:szCs w:val="18"/>
          <w:i w:val="1"/>
          <w:iCs w:val="1"/>
          <w:u w:val="single" w:color="auto"/>
          <w:color w:val="auto"/>
        </w:rPr>
        <w:t>Disqualifying Dispositions of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If Common Stock acquired upon exercise of any Incentive Stock Option is disposed of in a</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that, under Section 422 of the Code, disqualifies the holder from the application of Section 421(a) of the Code, the holder of the Common Stock immediately before the disposition will comply with any requirements imposed by the Company in order to enable the Company to secure the related income tax deduction to which it is entitled in such event.</w:t>
      </w:r>
    </w:p>
    <w:p>
      <w:pPr>
        <w:spacing w:after="0" w:line="224"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firstLine="464"/>
        <w:spacing w:after="0" w:line="289"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No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may not be sold, pledged, assigned, hypothecated, transferred, or disposed of in any manner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 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w:t>
      </w:r>
    </w:p>
    <w:p>
      <w:pPr>
        <w:spacing w:after="0" w:line="118" w:lineRule="exact"/>
        <w:rPr>
          <w:rFonts w:ascii="Arial" w:cs="Arial" w:eastAsia="Arial" w:hAnsi="Arial"/>
          <w:sz w:val="16"/>
          <w:szCs w:val="16"/>
          <w:color w:val="auto"/>
        </w:rPr>
      </w:pPr>
    </w:p>
    <w:p>
      <w:pPr>
        <w:jc w:val="both"/>
        <w:ind w:right="180" w:firstLine="464"/>
        <w:spacing w:after="0" w:line="256"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Designation of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Optionee may file a written designation of a beneficiary who is to receive any Options that remain unexercised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143" w:lineRule="exact"/>
        <w:rPr>
          <w:rFonts w:ascii="Arial" w:cs="Arial" w:eastAsia="Arial" w:hAnsi="Arial"/>
          <w:sz w:val="18"/>
          <w:szCs w:val="18"/>
          <w:color w:val="auto"/>
        </w:rPr>
      </w:pPr>
    </w:p>
    <w:p>
      <w:pPr>
        <w:ind w:right="60" w:firstLine="464"/>
        <w:spacing w:after="0" w:line="298" w:lineRule="auto"/>
        <w:tabs>
          <w:tab w:leader="none" w:pos="695" w:val="left"/>
        </w:tabs>
        <w:numPr>
          <w:ilvl w:val="1"/>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No Designation</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dies and there is no beneficiary validly designated and living at the time of the Optionee’s death,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will deliver such Optionee’s Options to the executor or 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112" w:lineRule="exact"/>
        <w:rPr>
          <w:rFonts w:ascii="Arial" w:cs="Arial" w:eastAsia="Arial" w:hAnsi="Arial"/>
          <w:sz w:val="16"/>
          <w:szCs w:val="16"/>
          <w:color w:val="auto"/>
        </w:rPr>
      </w:pPr>
    </w:p>
    <w:p>
      <w:pPr>
        <w:ind w:right="140" w:firstLine="464"/>
        <w:spacing w:after="0" w:line="291" w:lineRule="auto"/>
        <w:tabs>
          <w:tab w:leader="none" w:pos="705" w:val="left"/>
        </w:tabs>
        <w:numPr>
          <w:ilvl w:val="1"/>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Spouse or Dissolution of Marriage</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designates his or her spouse as beneficiary, that designation will be deemed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revoked 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8" w:name="page19"/>
    <w:bookmarkEnd w:id="18"/>
    <w:p>
      <w:pPr>
        <w:ind w:left="272" w:hanging="272"/>
        <w:spacing w:after="0"/>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Awards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8" w:right="40" w:firstLine="464"/>
        <w:spacing w:after="0" w:line="323" w:lineRule="auto"/>
        <w:tabs>
          <w:tab w:leader="none" w:pos="687" w:val="left"/>
        </w:tabs>
        <w:numPr>
          <w:ilvl w:val="1"/>
          <w:numId w:val="23"/>
        </w:numPr>
        <w:rPr>
          <w:rFonts w:ascii="Arial" w:cs="Arial" w:eastAsia="Arial" w:hAnsi="Arial"/>
          <w:sz w:val="15"/>
          <w:szCs w:val="15"/>
          <w:color w:val="auto"/>
        </w:rPr>
      </w:pPr>
      <w:r>
        <w:rPr>
          <w:rFonts w:ascii="Arial" w:cs="Arial" w:eastAsia="Arial" w:hAnsi="Arial"/>
          <w:sz w:val="15"/>
          <w:szCs w:val="15"/>
          <w:i w:val="1"/>
          <w:iCs w:val="1"/>
          <w:u w:val="single" w:color="auto"/>
          <w:color w:val="auto"/>
        </w:rPr>
        <w:t>Grant</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express provisions and limitations of the Plan, the Administrator, in its sole and absolute discretion, may grant Stock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97" w:lineRule="exact"/>
        <w:rPr>
          <w:rFonts w:ascii="Arial" w:cs="Arial" w:eastAsia="Arial" w:hAnsi="Arial"/>
          <w:sz w:val="15"/>
          <w:szCs w:val="15"/>
          <w:color w:val="auto"/>
        </w:rPr>
      </w:pPr>
    </w:p>
    <w:p>
      <w:pPr>
        <w:ind w:left="-8" w:firstLine="464"/>
        <w:spacing w:after="0" w:line="289" w:lineRule="auto"/>
        <w:tabs>
          <w:tab w:leader="none" w:pos="697" w:val="left"/>
        </w:tabs>
        <w:numPr>
          <w:ilvl w:val="1"/>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in its sole and absolute discretion, may impose restrictions in connection with any Stock Award,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(i) imposing a restricted period during which all or a portion of the Common Stock subject to the Stock Award may not be sold, assigned, transferred, pledged or otherwise encumbered (the “</w:t>
      </w:r>
      <w:r>
        <w:rPr>
          <w:rFonts w:ascii="Arial" w:cs="Arial" w:eastAsia="Arial" w:hAnsi="Arial"/>
          <w:sz w:val="16"/>
          <w:szCs w:val="16"/>
          <w:b w:val="1"/>
          <w:bCs w:val="1"/>
          <w:color w:val="auto"/>
        </w:rPr>
        <w:t>Restricted Period</w:t>
      </w:r>
      <w:r>
        <w:rPr>
          <w:rFonts w:ascii="Arial" w:cs="Arial" w:eastAsia="Arial" w:hAnsi="Arial"/>
          <w:sz w:val="16"/>
          <w:szCs w:val="16"/>
          <w:color w:val="auto"/>
        </w:rPr>
        <w:t>”), (ii) providing for a vesting schedule with respect to such Common Stock such that if a Grantee ceases to be an Employee, Consultant or Director during 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118" w:lineRule="exact"/>
        <w:rPr>
          <w:rFonts w:ascii="Arial" w:cs="Arial" w:eastAsia="Arial" w:hAnsi="Arial"/>
          <w:sz w:val="16"/>
          <w:szCs w:val="16"/>
          <w:color w:val="auto"/>
        </w:rPr>
      </w:pPr>
    </w:p>
    <w:p>
      <w:pPr>
        <w:ind w:left="-8" w:right="80" w:firstLine="464"/>
        <w:spacing w:after="0" w:line="255" w:lineRule="auto"/>
        <w:tabs>
          <w:tab w:leader="none" w:pos="687" w:val="left"/>
        </w:tabs>
        <w:numPr>
          <w:ilvl w:val="1"/>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As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of any agreement governing a Stock Award, the Grantee of a Stock Award shall have all the rights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with respect to the Common Stock issued pursuant to a Stock Award, including the right to vote such Shares; provided, however, that dividends or distributions paid with respect to any such Shares which have not vested shall be deposited with the Company and shall be subject to forfeiture until the underlying Shares have vested unless otherwise provided by the Administrator in its sole discretion. A Grantee shall not be entitled to interest with respect to the dividends or distributions so deposited.</w:t>
      </w:r>
    </w:p>
    <w:p>
      <w:pPr>
        <w:spacing w:after="0" w:line="142" w:lineRule="exact"/>
        <w:rPr>
          <w:rFonts w:ascii="Arial" w:cs="Arial" w:eastAsia="Arial" w:hAnsi="Arial"/>
          <w:sz w:val="18"/>
          <w:szCs w:val="18"/>
          <w:color w:val="auto"/>
        </w:rPr>
      </w:pPr>
    </w:p>
    <w:p>
      <w:pPr>
        <w:ind w:left="-8" w:firstLine="8"/>
        <w:spacing w:after="0" w:line="287"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Withholding Taxes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have the right to take whatever steps the Administrator deems necessary or appropriate to comply with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 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pacing w:after="0" w:line="10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72"/>
          </w:cols>
          <w:pgMar w:left="248" w:top="280" w:right="279" w:bottom="1440" w:gutter="0" w:footer="0" w:header="0"/>
        </w:sectPr>
      </w:pPr>
    </w:p>
    <w:bookmarkStart w:id="19" w:name="page20"/>
    <w:bookmarkEnd w:id="19"/>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 Dissolution, Merger or Asset Sale</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right="60" w:firstLine="464"/>
        <w:spacing w:after="0" w:line="288" w:lineRule="auto"/>
        <w:tabs>
          <w:tab w:leader="none" w:pos="695" w:val="left"/>
        </w:tabs>
        <w:numPr>
          <w:ilvl w:val="1"/>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Changes in 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any required action by the shareholders of the Company, if the outstanding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132" w:lineRule="exact"/>
        <w:rPr>
          <w:sz w:val="20"/>
          <w:szCs w:val="20"/>
          <w:color w:val="auto"/>
        </w:rPr>
      </w:pPr>
    </w:p>
    <w:p>
      <w:pPr>
        <w:ind w:right="20" w:firstLine="464"/>
        <w:spacing w:after="0" w:line="255"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Dissolution or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proposed dissolution or liquidation of the Company, to the extent that an Option had not been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or a Stock Award had not previously vested, it will 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142" w:lineRule="exact"/>
        <w:rPr>
          <w:rFonts w:ascii="Arial" w:cs="Arial" w:eastAsia="Arial" w:hAnsi="Arial"/>
          <w:sz w:val="18"/>
          <w:szCs w:val="18"/>
          <w:color w:val="auto"/>
        </w:rPr>
      </w:pPr>
    </w:p>
    <w:p>
      <w:pPr>
        <w:ind w:firstLine="464"/>
        <w:spacing w:after="0" w:line="286"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Corporate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Change of Control</w:t>
      </w:r>
      <w:r>
        <w:rPr>
          <w:rFonts w:ascii="Arial" w:cs="Arial" w:eastAsia="Arial" w:hAnsi="Arial"/>
          <w:sz w:val="16"/>
          <w:szCs w:val="16"/>
          <w:color w:val="auto"/>
        </w:rPr>
        <w:t>, the Administrator, may, in its sole discretion, do one or more of the following: (i) shorten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which Options are exercisable (provided they remain exercisable for at least 30 days after the date notice of such shortening is given to the Optionees);</w:t>
      </w:r>
    </w:p>
    <w:p>
      <w:pPr>
        <w:ind w:firstLine="8"/>
        <w:spacing w:after="0" w:line="286" w:lineRule="auto"/>
        <w:tabs>
          <w:tab w:leader="none" w:pos="25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accelerate any vesting schedule to which an Option or Stock Award is subject; (iii) 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24" w:lineRule="exact"/>
        <w:rPr>
          <w:sz w:val="20"/>
          <w:szCs w:val="20"/>
          <w:color w:val="auto"/>
        </w:rPr>
      </w:pPr>
    </w:p>
    <w:p>
      <w:pPr>
        <w:ind w:right="480" w:firstLine="8"/>
        <w:spacing w:after="0" w:line="259"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of an Option or Stock Award will be, for all purposes, the date as of which the Administrator makes the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such Option or Stock Award, or any other, later date determined by the Administrator and specified in the Option Agreement. Notice of the determination will be provided to each Grantee within a reasonable time after the date of grant.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0" w:name="page21"/>
    <w:bookmarkEnd w:id="20"/>
    <w:p>
      <w:pPr>
        <w:ind w:left="272" w:hanging="272"/>
        <w:spacing w:after="0"/>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and Termination of the Plan</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692" w:hanging="236"/>
        <w:spacing w:after="0"/>
        <w:tabs>
          <w:tab w:leader="none" w:pos="692"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at any time amend, alter or suspend or terminate the Plan.</w:t>
      </w:r>
    </w:p>
    <w:p>
      <w:pPr>
        <w:spacing w:after="0" w:line="171" w:lineRule="exact"/>
        <w:rPr>
          <w:rFonts w:ascii="Arial" w:cs="Arial" w:eastAsia="Arial" w:hAnsi="Arial"/>
          <w:sz w:val="18"/>
          <w:szCs w:val="18"/>
          <w:color w:val="auto"/>
        </w:rPr>
      </w:pPr>
    </w:p>
    <w:p>
      <w:pPr>
        <w:jc w:val="both"/>
        <w:ind w:left="-8" w:right="160" w:firstLine="464"/>
        <w:spacing w:after="0" w:line="298" w:lineRule="auto"/>
        <w:tabs>
          <w:tab w:leader="none" w:pos="697" w:val="left"/>
        </w:tabs>
        <w:numPr>
          <w:ilvl w:val="1"/>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obtain shareholder approval of any Plan amendment that increases the number of Shares for which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112" w:lineRule="exact"/>
        <w:rPr>
          <w:rFonts w:ascii="Arial" w:cs="Arial" w:eastAsia="Arial" w:hAnsi="Arial"/>
          <w:sz w:val="16"/>
          <w:szCs w:val="16"/>
          <w:color w:val="auto"/>
        </w:rPr>
      </w:pPr>
    </w:p>
    <w:p>
      <w:pPr>
        <w:ind w:left="-8" w:right="420" w:firstLine="464"/>
        <w:spacing w:after="0" w:line="370" w:lineRule="auto"/>
        <w:tabs>
          <w:tab w:leader="none" w:pos="687" w:val="left"/>
        </w:tabs>
        <w:numPr>
          <w:ilvl w:val="1"/>
          <w:numId w:val="28"/>
        </w:numPr>
        <w:rPr>
          <w:rFonts w:ascii="Arial" w:cs="Arial" w:eastAsia="Arial" w:hAnsi="Arial"/>
          <w:sz w:val="15"/>
          <w:szCs w:val="15"/>
          <w:color w:val="auto"/>
        </w:rPr>
      </w:pPr>
      <w:r>
        <w:rPr>
          <w:rFonts w:ascii="Arial" w:cs="Arial" w:eastAsia="Arial" w:hAnsi="Arial"/>
          <w:sz w:val="15"/>
          <w:szCs w:val="15"/>
          <w:i w:val="1"/>
          <w:iCs w:val="1"/>
          <w:u w:val="single" w:color="auto"/>
          <w:color w:val="auto"/>
        </w:rPr>
        <w:t>Effect of Amendment or Termination</w:t>
      </w:r>
      <w:r>
        <w:rPr>
          <w:rFonts w:ascii="Arial" w:cs="Arial" w:eastAsia="Arial" w:hAnsi="Arial"/>
          <w:sz w:val="15"/>
          <w:szCs w:val="15"/>
          <w:i w:val="1"/>
          <w:iCs w:val="1"/>
          <w:color w:val="auto"/>
        </w:rPr>
        <w:t xml:space="preserve">. </w:t>
      </w:r>
      <w:r>
        <w:rPr>
          <w:rFonts w:ascii="Arial" w:cs="Arial" w:eastAsia="Arial" w:hAnsi="Arial"/>
          <w:sz w:val="15"/>
          <w:szCs w:val="15"/>
          <w:color w:val="auto"/>
        </w:rPr>
        <w:t>No amendment, alteration, suspension or termination of the Plan will impair the rights of a Grantee, unless</w:t>
      </w:r>
      <w:r>
        <w:rPr>
          <w:rFonts w:ascii="Arial" w:cs="Arial" w:eastAsia="Arial" w:hAnsi="Arial"/>
          <w:sz w:val="15"/>
          <w:szCs w:val="15"/>
          <w:i w:val="1"/>
          <w:iCs w:val="1"/>
          <w:color w:val="auto"/>
        </w:rPr>
        <w:t xml:space="preserve"> </w:t>
      </w:r>
      <w:r>
        <w:rPr>
          <w:rFonts w:ascii="Arial" w:cs="Arial" w:eastAsia="Arial" w:hAnsi="Arial"/>
          <w:sz w:val="15"/>
          <w:szCs w:val="15"/>
          <w:color w:val="auto"/>
        </w:rPr>
        <w:t>mutually agreed otherwise between the Grantee and the Administrator. Any such agreement must be in writing and signed by the Grantee and the Company.</w:t>
      </w:r>
    </w:p>
    <w:p>
      <w:pPr>
        <w:spacing w:after="0" w:line="143" w:lineRule="exact"/>
        <w:rPr>
          <w:rFonts w:ascii="Arial" w:cs="Arial" w:eastAsia="Arial" w:hAnsi="Arial"/>
          <w:sz w:val="15"/>
          <w:szCs w:val="15"/>
          <w:color w:val="auto"/>
        </w:rPr>
      </w:pPr>
    </w:p>
    <w:p>
      <w:pPr>
        <w:ind w:left="272" w:hanging="272"/>
        <w:spacing w:after="0"/>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8" w:firstLine="464"/>
        <w:spacing w:after="0" w:line="291" w:lineRule="auto"/>
        <w:tabs>
          <w:tab w:leader="none" w:pos="687" w:val="left"/>
        </w:tabs>
        <w:numPr>
          <w:ilvl w:val="1"/>
          <w:numId w:val="28"/>
        </w:numPr>
        <w:rPr>
          <w:rFonts w:ascii="Arial" w:cs="Arial" w:eastAsia="Arial" w:hAnsi="Arial"/>
          <w:sz w:val="16"/>
          <w:szCs w:val="16"/>
          <w:color w:val="auto"/>
        </w:rPr>
      </w:pPr>
      <w:r>
        <w:rPr>
          <w:rFonts w:ascii="Arial" w:cs="Arial" w:eastAsia="Arial" w:hAnsi="Arial"/>
          <w:sz w:val="16"/>
          <w:szCs w:val="16"/>
          <w:i w:val="1"/>
          <w:iCs w:val="1"/>
          <w:u w:val="single" w:color="auto"/>
          <w:color w:val="auto"/>
        </w:rPr>
        <w:t>Legal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not be issued in connection with a Stock Award or pursuant to the exercise of an Option unless the exercise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and 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 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120" w:lineRule="exact"/>
        <w:rPr>
          <w:rFonts w:ascii="Arial" w:cs="Arial" w:eastAsia="Arial" w:hAnsi="Arial"/>
          <w:sz w:val="16"/>
          <w:szCs w:val="16"/>
          <w:color w:val="auto"/>
        </w:rPr>
      </w:pPr>
    </w:p>
    <w:p>
      <w:pPr>
        <w:ind w:left="-8" w:right="60" w:firstLine="464"/>
        <w:spacing w:after="0" w:line="259" w:lineRule="auto"/>
        <w:tabs>
          <w:tab w:leader="none" w:pos="69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condition to the exercise of an Option or grant of a Stock Award, the Company may require the person exercising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receiving such Stock Award to represent and warrant at the time of any such exercise or receipt that the Shares are being acquired only for investment and without any present intention to sell, transfer, or distribute such Shares.</w:t>
      </w:r>
    </w:p>
    <w:p>
      <w:pPr>
        <w:spacing w:after="0" w:line="221" w:lineRule="exact"/>
        <w:rPr>
          <w:rFonts w:ascii="Arial" w:cs="Arial" w:eastAsia="Arial" w:hAnsi="Arial"/>
          <w:sz w:val="18"/>
          <w:szCs w:val="18"/>
          <w:color w:val="auto"/>
        </w:rPr>
      </w:pPr>
    </w:p>
    <w:p>
      <w:pPr>
        <w:ind w:left="272" w:hanging="272"/>
        <w:spacing w:after="0"/>
        <w:tabs>
          <w:tab w:leader="none" w:pos="272"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Liability of Company</w:t>
      </w:r>
      <w:r>
        <w:rPr>
          <w:rFonts w:ascii="Arial" w:cs="Arial" w:eastAsia="Arial" w:hAnsi="Arial"/>
          <w:sz w:val="18"/>
          <w:szCs w:val="18"/>
          <w:i w:val="1"/>
          <w:iCs w:val="1"/>
          <w:color w:val="auto"/>
        </w:rPr>
        <w:t>.</w:t>
      </w:r>
    </w:p>
    <w:p>
      <w:pPr>
        <w:spacing w:after="0" w:line="90" w:lineRule="exact"/>
        <w:rPr>
          <w:rFonts w:ascii="Arial" w:cs="Arial" w:eastAsia="Arial" w:hAnsi="Arial"/>
          <w:sz w:val="18"/>
          <w:szCs w:val="18"/>
          <w:color w:val="auto"/>
        </w:rPr>
      </w:pPr>
    </w:p>
    <w:p>
      <w:pPr>
        <w:ind w:left="-8" w:right="240" w:firstLine="464"/>
        <w:spacing w:after="0" w:line="259" w:lineRule="auto"/>
        <w:tabs>
          <w:tab w:leader="none" w:pos="68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Inability to Obtain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cannot, by the exercise of commercially reasonable efforts, obtain authority from any regulatory body</w:t>
      </w:r>
      <w:r>
        <w:rPr>
          <w:rFonts w:ascii="Arial" w:cs="Arial" w:eastAsia="Arial" w:hAnsi="Arial"/>
          <w:sz w:val="18"/>
          <w:szCs w:val="18"/>
          <w:i w:val="1"/>
          <w:iCs w:val="1"/>
          <w:color w:val="auto"/>
        </w:rPr>
        <w:t xml:space="preserve"> </w:t>
      </w:r>
      <w:r>
        <w:rPr>
          <w:rFonts w:ascii="Arial" w:cs="Arial" w:eastAsia="Arial" w:hAnsi="Arial"/>
          <w:sz w:val="18"/>
          <w:szCs w:val="18"/>
          <w:color w:val="auto"/>
        </w:rPr>
        <w:t>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40" w:lineRule="exact"/>
        <w:rPr>
          <w:rFonts w:ascii="Arial" w:cs="Arial" w:eastAsia="Arial" w:hAnsi="Arial"/>
          <w:sz w:val="18"/>
          <w:szCs w:val="18"/>
          <w:color w:val="auto"/>
        </w:rPr>
      </w:pPr>
    </w:p>
    <w:p>
      <w:pPr>
        <w:ind w:left="-8" w:right="80" w:firstLine="464"/>
        <w:spacing w:after="0" w:line="256" w:lineRule="auto"/>
        <w:tabs>
          <w:tab w:leader="none" w:pos="69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Grants Exceeding Allotted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Optioned Stock covered by an Option or Shares subject to a Stock Award exceed, as of the date of grant,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143" w:lineRule="exact"/>
        <w:rPr>
          <w:rFonts w:ascii="Arial" w:cs="Arial" w:eastAsia="Arial" w:hAnsi="Arial"/>
          <w:sz w:val="18"/>
          <w:szCs w:val="18"/>
          <w:color w:val="auto"/>
        </w:rPr>
      </w:pPr>
    </w:p>
    <w:p>
      <w:pPr>
        <w:ind w:left="-8" w:right="20" w:firstLine="464"/>
        <w:spacing w:after="0" w:line="256" w:lineRule="auto"/>
        <w:tabs>
          <w:tab w:leader="none" w:pos="687" w:val="left"/>
        </w:tabs>
        <w:numPr>
          <w:ilvl w:val="1"/>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of Participants and Beneficiaries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pay all amounts payable under this Plan only to the Grantee, or beneficiaries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43" w:lineRule="exact"/>
        <w:rPr>
          <w:rFonts w:ascii="Arial" w:cs="Arial" w:eastAsia="Arial" w:hAnsi="Arial"/>
          <w:sz w:val="18"/>
          <w:szCs w:val="18"/>
          <w:color w:val="auto"/>
        </w:rPr>
      </w:pPr>
    </w:p>
    <w:p>
      <w:pPr>
        <w:ind w:left="-8" w:right="60" w:firstLine="8"/>
        <w:spacing w:after="0" w:line="268"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Reservation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at all times reserve and keep available for issuance a number of Shares sufficient to satisfy this Plan’s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its term.</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21" w:name="page22"/>
    <w:bookmarkEnd w:id="21"/>
    <w:p>
      <w:pPr>
        <w:ind w:left="-8" w:firstLine="8"/>
        <w:spacing w:after="0" w:line="255"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Continuance of this Plan will be subject to approval by the shareholders of the Company within 12 months before or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42" w:lineRule="exact"/>
        <w:rPr>
          <w:rFonts w:ascii="Arial" w:cs="Arial" w:eastAsia="Arial" w:hAnsi="Arial"/>
          <w:sz w:val="18"/>
          <w:szCs w:val="18"/>
          <w:color w:val="auto"/>
        </w:rPr>
      </w:pPr>
    </w:p>
    <w:p>
      <w:pPr>
        <w:ind w:left="-8" w:right="120" w:firstLine="8"/>
        <w:spacing w:after="0" w:line="294"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Legending Stock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enforce any restrictions imposed upon Common Stock issued in connection with a Stock Award or upon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15" w:lineRule="exact"/>
        <w:rPr>
          <w:rFonts w:ascii="Arial" w:cs="Arial" w:eastAsia="Arial" w:hAnsi="Arial"/>
          <w:sz w:val="16"/>
          <w:szCs w:val="16"/>
          <w:color w:val="auto"/>
        </w:rPr>
      </w:pPr>
    </w:p>
    <w:p>
      <w:pPr>
        <w:ind w:left="-8" w:right="260" w:firstLine="8"/>
        <w:spacing w:after="0" w:line="306"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i w:val="1"/>
          <w:iCs w:val="1"/>
          <w:u w:val="single" w:color="auto"/>
          <w:color w:val="auto"/>
        </w:rPr>
        <w:t>No Employment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this Plan nor any Option or Stock Award will confer upon a Grantee any right with respect to continuing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106" w:lineRule="exact"/>
        <w:rPr>
          <w:rFonts w:ascii="Arial" w:cs="Arial" w:eastAsia="Arial" w:hAnsi="Arial"/>
          <w:sz w:val="16"/>
          <w:szCs w:val="16"/>
          <w:color w:val="auto"/>
        </w:rPr>
      </w:pPr>
    </w:p>
    <w:p>
      <w:pPr>
        <w:ind w:left="-8" w:right="360" w:firstLine="8"/>
        <w:spacing w:after="0" w:line="268"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will be governed by, and construed in accordance with the laws of the State of Nevada (without giving effect to conflicts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Stock Incentive Plan of Wynn Resorts, Limited of our reports dated February 26, 2010, with respect to the consolidated financial statements and schedules of Wynn Resorts, Limited and the effectiveness of internal control over financial reporting of Wynn Resorts, Limited included in its Annual Report (Form 10-K) for the year ended December 31, 2009,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26,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lowerLetter"/>
      <w:start w:val="1"/>
    </w:lvl>
    <w:lvl w:ilvl="1">
      <w:lvlJc w:val="left"/>
      <w:lvlText w:val="(%2)"/>
      <w:numFmt w:val="decimal"/>
      <w:start w:val="4"/>
    </w:lvl>
  </w:abstractNum>
  <w:abstractNum w:abstractNumId="5">
    <w:nsid w:val="519B500D"/>
    <w:multiLevelType w:val="hybridMultilevel"/>
    <w:lvl w:ilvl="0">
      <w:lvlJc w:val="left"/>
      <w:lvlText w:val="(%1)"/>
      <w:numFmt w:val="lowerLetter"/>
      <w:start w:val="2"/>
    </w:lvl>
    <w:lvl w:ilvl="1">
      <w:lvlJc w:val="left"/>
      <w:lvlText w:val="%2"/>
      <w:numFmt w:val="decimal"/>
      <w:start w:val="1"/>
    </w:lvl>
  </w:abstractNum>
  <w:abstractNum w:abstractNumId="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1)"/>
      <w:numFmt w:val="lowerRoman"/>
      <w:start w:val="1"/>
    </w:lvl>
  </w:abstractNum>
  <w:abstractNum w:abstractNumId="9">
    <w:nsid w:val="257130A3"/>
    <w:multiLevelType w:val="hybridMultilevel"/>
    <w:lvl w:ilvl="0">
      <w:lvlJc w:val="left"/>
      <w:lvlText w:val="(%1)"/>
      <w:numFmt w:val="lowerLetter"/>
      <w:start w:val="6"/>
    </w:lvl>
  </w:abstractNum>
  <w:abstractNum w:abstractNumId="10">
    <w:nsid w:val="62BBD95A"/>
    <w:multiLevelType w:val="hybridMultilevel"/>
    <w:lvl w:ilvl="0">
      <w:lvlJc w:val="left"/>
      <w:lvlText w:val="(%1)"/>
      <w:numFmt w:val="lowerLetter"/>
      <w:start w:val="12"/>
    </w:lvl>
    <w:lvl w:ilvl="1">
      <w:lvlJc w:val="left"/>
      <w:lvlText w:val="(%2)"/>
      <w:numFmt w:val="lowerRoman"/>
      <w:start w:val="1"/>
    </w:lvl>
  </w:abstractNum>
  <w:abstractNum w:abstractNumId="11">
    <w:nsid w:val="436C6125"/>
    <w:multiLevelType w:val="hybridMultilevel"/>
    <w:lvl w:ilvl="0">
      <w:lvlJc w:val="left"/>
      <w:lvlText w:val="(%1)"/>
      <w:numFmt w:val="lowerLetter"/>
      <w:start w:val="18"/>
    </w:lvl>
  </w:abstractNum>
  <w:abstractNum w:abstractNumId="12">
    <w:nsid w:val="628C895D"/>
    <w:multiLevelType w:val="hybridMultilevel"/>
    <w:lvl w:ilvl="0">
      <w:lvlJc w:val="left"/>
      <w:lvlText w:val="(%1)"/>
      <w:numFmt w:val="lowerLetter"/>
      <w:start w:val="27"/>
    </w:lvl>
  </w:abstractNum>
  <w:abstractNum w:abstractNumId="13">
    <w:nsid w:val="333AB105"/>
    <w:multiLevelType w:val="hybridMultilevel"/>
    <w:lvl w:ilvl="0">
      <w:lvlJc w:val="left"/>
      <w:lvlText w:val="%1."/>
      <w:numFmt w:val="decimal"/>
      <w:start w:val="3"/>
    </w:lvl>
  </w:abstractNum>
  <w:abstractNum w:abstractNumId="14">
    <w:nsid w:val="721DA31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16">
    <w:nsid w:val="2D1D5A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676384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75A2A8D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9">
    <w:nsid w:val="8EDBDAB"/>
    <w:multiLevelType w:val="hybridMultilevel"/>
    <w:lvl w:ilvl="0">
      <w:lvlJc w:val="left"/>
      <w:lvlText w:val="(%1)"/>
      <w:numFmt w:val="lowerLetter"/>
      <w:start w:val="2"/>
    </w:lvl>
  </w:abstractNum>
  <w:abstractNum w:abstractNumId="20">
    <w:nsid w:val="79838CB2"/>
    <w:multiLevelType w:val="hybridMultilevel"/>
    <w:lvl w:ilvl="0">
      <w:lvlJc w:val="left"/>
      <w:lvlText w:val="%1"/>
      <w:numFmt w:val="decimal"/>
      <w:start w:val="1"/>
    </w:lvl>
    <w:lvl w:ilvl="1">
      <w:lvlJc w:val="left"/>
      <w:lvlText w:val="(%2)"/>
      <w:numFmt w:val="lowerLetter"/>
      <w:start w:val="5"/>
    </w:lvl>
  </w:abstractNum>
  <w:abstractNum w:abstractNumId="21">
    <w:nsid w:val="4353D0CD"/>
    <w:multiLevelType w:val="hybridMultilevel"/>
    <w:lvl w:ilvl="0">
      <w:lvlJc w:val="left"/>
      <w:lvlText w:val="%1."/>
      <w:numFmt w:val="decimal"/>
      <w:start w:val="12"/>
    </w:lvl>
    <w:lvl w:ilvl="1">
      <w:lvlJc w:val="left"/>
      <w:lvlText w:val="(%2)"/>
      <w:numFmt w:val="lowerLetter"/>
      <w:start w:val="1"/>
    </w:lvl>
  </w:abstractNum>
  <w:abstractNum w:abstractNumId="22">
    <w:nsid w:val="B03E0C6"/>
    <w:multiLevelType w:val="hybridMultilevel"/>
    <w:lvl w:ilvl="0">
      <w:lvlJc w:val="left"/>
      <w:lvlText w:val="%1."/>
      <w:numFmt w:val="decimal"/>
      <w:start w:val="13"/>
    </w:lvl>
    <w:lvl w:ilvl="1">
      <w:lvlJc w:val="left"/>
      <w:lvlText w:val="(%2)"/>
      <w:numFmt w:val="lowerLetter"/>
      <w:start w:val="1"/>
    </w:lvl>
  </w:abstractNum>
  <w:abstractNum w:abstractNumId="23">
    <w:nsid w:val="189A769B"/>
    <w:multiLevelType w:val="hybridMultilevel"/>
    <w:lvl w:ilvl="0">
      <w:lvlJc w:val="left"/>
      <w:lvlText w:val="%1."/>
      <w:numFmt w:val="decimal"/>
      <w:start w:val="15"/>
    </w:lvl>
    <w:lvl w:ilvl="1">
      <w:lvlJc w:val="left"/>
      <w:lvlText w:val="(%2)"/>
      <w:numFmt w:val="lowerLetter"/>
      <w:start w:val="1"/>
    </w:lvl>
  </w:abstractNum>
  <w:abstractNum w:abstractNumId="24">
    <w:nsid w:val="54E49EB4"/>
    <w:multiLevelType w:val="hybridMultilevel"/>
    <w:lvl w:ilvl="0">
      <w:lvlJc w:val="left"/>
      <w:lvlText w:val="%1"/>
      <w:numFmt w:val="lowerLetter"/>
      <w:start w:val="1"/>
    </w:lvl>
    <w:lvl w:ilvl="1">
      <w:lvlJc w:val="left"/>
      <w:lvlText w:val="(%2)"/>
      <w:numFmt w:val="lowerLetter"/>
      <w:start w:val="2"/>
    </w:lvl>
  </w:abstractNum>
  <w:abstractNum w:abstractNumId="25">
    <w:nsid w:val="71F32454"/>
    <w:multiLevelType w:val="hybridMultilevel"/>
    <w:lvl w:ilvl="0">
      <w:lvlJc w:val="left"/>
      <w:lvlText w:val="(%1)"/>
      <w:numFmt w:val="lowerLetter"/>
      <w:start w:val="35"/>
    </w:lvl>
    <w:lvl w:ilvl="1">
      <w:lvlJc w:val="left"/>
      <w:lvlText w:val="%2"/>
      <w:numFmt w:val="lowerLetter"/>
      <w:start w:val="1"/>
    </w:lvl>
  </w:abstractNum>
  <w:abstractNum w:abstractNumId="26">
    <w:nsid w:val="2CA88611"/>
    <w:multiLevelType w:val="hybridMultilevel"/>
    <w:lvl w:ilvl="0">
      <w:lvlJc w:val="left"/>
      <w:lvlText w:val="%1."/>
      <w:numFmt w:val="decimal"/>
      <w:start w:val="16"/>
    </w:lvl>
  </w:abstractNum>
  <w:abstractNum w:abstractNumId="27">
    <w:nsid w:val="836C40E"/>
    <w:multiLevelType w:val="hybridMultilevel"/>
    <w:lvl w:ilvl="0">
      <w:lvlJc w:val="left"/>
      <w:lvlText w:val="%1."/>
      <w:numFmt w:val="decimal"/>
      <w:start w:val="17"/>
    </w:lvl>
    <w:lvl w:ilvl="1">
      <w:lvlJc w:val="left"/>
      <w:lvlText w:val="(%2)"/>
      <w:numFmt w:val="lowerLetter"/>
      <w:start w:val="1"/>
    </w:lvl>
  </w:abstractNum>
  <w:abstractNum w:abstractNumId="28">
    <w:nsid w:val="2901D82"/>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2019-12-10T22:25:06Z</dcterms:created>
  <dcterms:modified xsi:type="dcterms:W3CDTF">2019-12-10T22:25:06Z</dcterms:modified>
</cp:coreProperties>
</file>