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6"/>
          <w:szCs w:val="16"/>
          <w:color w:val="auto"/>
        </w:rPr>
        <w:t>Date of Report (Date of earliest event reported): November 17, 2006</w:t>
      </w:r>
    </w:p>
    <w:p>
      <w:pPr>
        <w:spacing w:after="0" w:line="24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233" w:right="1440" w:bottom="0" w:gutter="0" w:footer="0" w:header="0"/>
        </w:sectPr>
      </w:pPr>
    </w:p>
    <w:p>
      <w:pPr>
        <w:spacing w:after="0" w:line="213"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17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17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380" w:space="700"/>
            <w:col w:w="1960" w:space="440"/>
            <w:col w:w="4739"/>
          </w:cols>
          <w:pgMar w:left="240" w:top="233" w:right="1440" w:bottom="0" w:gutter="0" w:footer="0" w:header="0"/>
          <w:type w:val="continuous"/>
        </w:sectPr>
      </w:pPr>
    </w:p>
    <w:p>
      <w:pPr>
        <w:ind w:left="86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233" w:right="1440" w:bottom="0" w:gutter="0" w:footer="0" w:header="0"/>
          <w:type w:val="continuous"/>
        </w:sectPr>
      </w:pPr>
    </w:p>
    <w:p>
      <w:pPr>
        <w:spacing w:after="0" w:line="263"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jc w:val="center"/>
        <w:ind w:right="239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239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20" w:space="720"/>
            <w:col w:w="317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23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8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right="235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rFonts w:ascii="Arial" w:cs="Arial" w:eastAsia="Arial" w:hAnsi="Arial"/>
          <w:sz w:val="18"/>
          <w:szCs w:val="18"/>
          <w:color w:val="auto"/>
        </w:rPr>
      </w:pPr>
    </w:p>
    <w:p>
      <w:pPr>
        <w:ind w:left="340" w:right="231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4"/>
          <w:szCs w:val="24"/>
          <w:color w:val="auto"/>
        </w:rPr>
      </w:pPr>
    </w:p>
    <w:p>
      <w:pPr>
        <w:ind w:right="2119" w:firstLine="648"/>
        <w:spacing w:after="0" w:line="259" w:lineRule="auto"/>
        <w:rPr>
          <w:sz w:val="20"/>
          <w:szCs w:val="20"/>
          <w:color w:val="auto"/>
        </w:rPr>
      </w:pPr>
      <w:r>
        <w:rPr>
          <w:rFonts w:ascii="Arial" w:cs="Arial" w:eastAsia="Arial" w:hAnsi="Arial"/>
          <w:sz w:val="18"/>
          <w:szCs w:val="18"/>
          <w:color w:val="auto"/>
        </w:rPr>
        <w:t>On November 17, 2006, Wynn Resorts, Limited issued a press release announcing a special cash payment to holders of its 6% Convertible Subordinated Debentures due 2015. The press release is filed as Exhibit 99.1 to this report and is incorporated herein by reference.</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406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4"/>
        </w:trPr>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1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83"/>
        </w:trPr>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w w:val="85"/>
              </w:rPr>
              <w:t>Press Release, dated November 17, 2006.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633730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 November 17, 2006</w:t>
      </w:r>
    </w:p>
    <w:p>
      <w:pPr>
        <w:sectPr>
          <w:pgSz w:w="11900" w:h="16838" w:orient="portrait"/>
          <w:cols w:equalWidth="0" w:num="1">
            <w:col w:w="10219"/>
          </w:cols>
          <w:pgMar w:left="240" w:top="233" w:right="1440" w:bottom="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6"/>
          <w:szCs w:val="16"/>
          <w:color w:val="auto"/>
        </w:rPr>
        <w:t>WYNN RESORTS, LIMITED</w:t>
      </w:r>
    </w:p>
    <w:p>
      <w:pPr>
        <w:spacing w:after="0" w:line="200" w:lineRule="exact"/>
        <w:rPr>
          <w:sz w:val="20"/>
          <w:szCs w:val="20"/>
          <w:color w:val="auto"/>
        </w:rPr>
      </w:pPr>
    </w:p>
    <w:p>
      <w:pPr>
        <w:spacing w:after="0" w:line="264" w:lineRule="exact"/>
        <w:rPr>
          <w:sz w:val="20"/>
          <w:szCs w:val="20"/>
          <w:color w:val="auto"/>
        </w:rPr>
      </w:pPr>
    </w:p>
    <w:p>
      <w:pPr>
        <w:ind w:left="3340"/>
        <w:spacing w:after="0"/>
        <w:tabs>
          <w:tab w:leader="none" w:pos="3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-13970</wp:posOffset>
            </wp:positionV>
            <wp:extent cx="1189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31" w:right="1440" w:bottom="1440" w:gutter="0" w:footer="0" w:header="0"/>
        </w:sectPr>
      </w:pPr>
    </w:p>
    <w:bookmarkStart w:id="2" w:name="page3"/>
    <w:bookmarkEnd w:id="2"/>
    <w:p>
      <w:pPr>
        <w:ind w:left="7240"/>
        <w:spacing w:after="0"/>
        <w:rPr>
          <w:sz w:val="20"/>
          <w:szCs w:val="20"/>
          <w:color w:val="auto"/>
        </w:rPr>
      </w:pPr>
      <w:r>
        <w:rPr>
          <w:rFonts w:ascii="Arial" w:cs="Arial" w:eastAsia="Arial" w:hAnsi="Arial"/>
          <w:sz w:val="16"/>
          <w:szCs w:val="16"/>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ISSUES NOTICE REGARDING ITS 6% CONVERTIBLE DEBENTURES</w:t>
      </w:r>
    </w:p>
    <w:p>
      <w:pPr>
        <w:spacing w:after="0" w:line="200" w:lineRule="exact"/>
        <w:rPr>
          <w:sz w:val="20"/>
          <w:szCs w:val="20"/>
          <w:color w:val="auto"/>
        </w:rPr>
      </w:pPr>
    </w:p>
    <w:p>
      <w:pPr>
        <w:spacing w:after="0" w:line="201"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LAS VEGAS, Nov 17, 2006 (BUSINESS WIRE) -- Wynn Resorts, Limited (Nasdaq: WYNN) announced today that, in connection with its previously announced special cash distribution of $6.00 per share on its outstanding common stock, the Company will make a special payment to the holders of its 6% Convertible Subordinated Debentures due 2015 so that they will participate in the special distribution to the same extent as if they had converted their Debentures to common stock. The Company will pay holders of Debentures a cash amount equal to $260.87 per $1,000 principal amount. Payment will be made on December 4, 2006, to holders of record on November 23, 2006. In accordance with the indenture governing the Debentures, as a result of the payment, no adjustment will be made to the conversion price of the Debentures as a result of the special cash distribution.</w:t>
      </w:r>
    </w:p>
    <w:p>
      <w:pPr>
        <w:spacing w:after="0" w:line="36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Wynn Resorts, Limited is traded on the Nasdaq National Market under the ticker symbol WYNN and is part of the NASDAQ-100 Index. On September 6, 2006, Wynn Macau, a destination casino resort in the Macau Special Administrative Region of the People's Republic of China, opened, featuring 600 deluxe hotel rooms and suites, approximately 220 table games and 380 slot machines in approximately 100,000 square feet of casino gaming space, seven restaurants, approximately 26,000 square feet of retail space, a spa, a salon, entertainment lounges and meeting facilities. Additionally, the Company owns and operates Wynn Las Vegas (www.wynnlasvegas.com), a luxury hotel and destination casino resort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Las Vegas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www.wynnresorts.com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www.wynnlasvegas.com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www.wynnmacau.com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2019-12-15T07:55:35Z</dcterms:created>
  <dcterms:modified xsi:type="dcterms:W3CDTF">2019-12-15T07:55:35Z</dcterms:modified>
</cp:coreProperties>
</file>