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320"/>
        <w:spacing w:after="0"/>
        <w:rPr>
          <w:sz w:val="20"/>
          <w:szCs w:val="20"/>
          <w:color w:val="auto"/>
        </w:rPr>
      </w:pPr>
      <w:r>
        <w:rPr>
          <w:rFonts w:ascii="Arial" w:cs="Arial" w:eastAsia="Arial" w:hAnsi="Arial"/>
          <w:sz w:val="20"/>
          <w:szCs w:val="20"/>
          <w:color w:val="auto"/>
        </w:rPr>
        <w:t>____________________________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13D/A</w:t>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Under the Securities Exchange Act of 1934 (Amendment No. 6)</w:t>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Kim Sinatra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Senior Vice President and General Counsel</w:t>
      </w: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jc w:val="center"/>
        <w:ind w:right="-19"/>
        <w:spacing w:after="0"/>
        <w:rPr>
          <w:sz w:val="20"/>
          <w:szCs w:val="20"/>
          <w:color w:val="auto"/>
        </w:rPr>
      </w:pPr>
      <w:r>
        <w:rPr>
          <w:rFonts w:ascii="Arial" w:cs="Arial" w:eastAsia="Arial" w:hAnsi="Arial"/>
          <w:sz w:val="20"/>
          <w:szCs w:val="20"/>
          <w:b w:val="1"/>
          <w:bCs w:val="1"/>
          <w:color w:val="auto"/>
        </w:rPr>
        <w:t>3131 Las Vegas Boulevard South</w:t>
      </w:r>
    </w:p>
    <w:p>
      <w:pPr>
        <w:jc w:val="center"/>
        <w:ind w:right="-19"/>
        <w:spacing w:after="0"/>
        <w:rPr>
          <w:sz w:val="20"/>
          <w:szCs w:val="20"/>
          <w:color w:val="auto"/>
        </w:rPr>
      </w:pPr>
      <w:r>
        <w:rPr>
          <w:rFonts w:ascii="Arial" w:cs="Arial" w:eastAsia="Arial" w:hAnsi="Arial"/>
          <w:sz w:val="20"/>
          <w:szCs w:val="20"/>
          <w:b w:val="1"/>
          <w:bCs w:val="1"/>
          <w:color w:val="auto"/>
        </w:rPr>
        <w:t>Las Vegas, Nevada 89109</w:t>
      </w:r>
    </w:p>
    <w:p>
      <w:pPr>
        <w:jc w:val="center"/>
        <w:ind w:right="-19"/>
        <w:spacing w:after="0"/>
        <w:rPr>
          <w:sz w:val="20"/>
          <w:szCs w:val="20"/>
          <w:color w:val="auto"/>
        </w:rPr>
      </w:pPr>
      <w:r>
        <w:rPr>
          <w:rFonts w:ascii="Arial" w:cs="Arial" w:eastAsia="Arial" w:hAnsi="Arial"/>
          <w:sz w:val="20"/>
          <w:szCs w:val="20"/>
          <w:b w:val="1"/>
          <w:bCs w:val="1"/>
          <w:color w:val="auto"/>
        </w:rPr>
        <w:t>(702) 770-2112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Address and Telephone Number of Person Authorized to</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Receive Notices and Communications)</w:t>
      </w: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January 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5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 240.13d-1(e), 240.13d-1(f) or 240.13d-1(g), check the following box [ ].</w:t>
      </w:r>
    </w:p>
    <w:p>
      <w:pPr>
        <w:spacing w:after="0" w:line="198"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Note</w:t>
      </w:r>
      <w:r>
        <w:rPr>
          <w:rFonts w:ascii="Arial" w:cs="Arial" w:eastAsia="Arial" w:hAnsi="Arial"/>
          <w:sz w:val="20"/>
          <w:szCs w:val="20"/>
          <w:color w:val="auto"/>
        </w:rPr>
        <w:t>: Schedules filed in paper format shall include a signed original and five copies of the schedule, including all exhibits. See § 240.13d-7</w:t>
      </w:r>
      <w:r>
        <w:rPr>
          <w:rFonts w:ascii="Arial" w:cs="Arial" w:eastAsia="Arial" w:hAnsi="Arial"/>
          <w:sz w:val="20"/>
          <w:szCs w:val="20"/>
          <w:b w:val="1"/>
          <w:bCs w:val="1"/>
          <w:color w:val="auto"/>
        </w:rPr>
        <w:t xml:space="preserve"> </w:t>
      </w:r>
      <w:r>
        <w:rPr>
          <w:rFonts w:ascii="Arial" w:cs="Arial" w:eastAsia="Arial" w:hAnsi="Arial"/>
          <w:sz w:val="20"/>
          <w:szCs w:val="20"/>
          <w:color w:val="auto"/>
        </w:rPr>
        <w:t>for other parties to whom copies are to be sent.</w:t>
      </w:r>
    </w:p>
    <w:p>
      <w:pPr>
        <w:spacing w:after="0" w:line="197" w:lineRule="exact"/>
        <w:rPr>
          <w:sz w:val="24"/>
          <w:szCs w:val="24"/>
          <w:color w:val="auto"/>
        </w:rPr>
      </w:pPr>
    </w:p>
    <w:p>
      <w:pPr>
        <w:ind w:left="500" w:hanging="6"/>
        <w:spacing w:after="0" w:line="316" w:lineRule="auto"/>
        <w:tabs>
          <w:tab w:leader="none" w:pos="69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8525" cy="509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8525" cy="5095875"/>
                    </a:xfrm>
                    <a:prstGeom prst="rect">
                      <a:avLst/>
                    </a:prstGeom>
                    <a:noFill/>
                  </pic:spPr>
                </pic:pic>
              </a:graphicData>
            </a:graphic>
          </wp:anchor>
        </w:drawing>
      </w:r>
    </w:p>
    <w:p>
      <w:pPr>
        <w:spacing w:after="0" w:line="286" w:lineRule="exact"/>
        <w:rPr>
          <w:sz w:val="20"/>
          <w:szCs w:val="20"/>
          <w:color w:val="auto"/>
        </w:rPr>
      </w:pPr>
    </w:p>
    <w:p>
      <w:pPr>
        <w:ind w:left="980" w:hanging="92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Stephen A. Wynn</w:t>
      </w:r>
    </w:p>
    <w:p>
      <w:pPr>
        <w:spacing w:after="0" w:line="306" w:lineRule="exact"/>
        <w:rPr>
          <w:rFonts w:ascii="Arial" w:cs="Arial" w:eastAsia="Arial" w:hAnsi="Arial"/>
          <w:sz w:val="18"/>
          <w:szCs w:val="18"/>
          <w:color w:val="auto"/>
        </w:rPr>
      </w:pPr>
    </w:p>
    <w:p>
      <w:pPr>
        <w:ind w:left="980" w:hanging="92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2500" w:hanging="700"/>
        <w:spacing w:after="0"/>
        <w:tabs>
          <w:tab w:leader="none" w:pos="2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rFonts w:ascii="Arial" w:cs="Arial" w:eastAsia="Arial" w:hAnsi="Arial"/>
          <w:sz w:val="18"/>
          <w:szCs w:val="18"/>
          <w:color w:val="auto"/>
        </w:rPr>
      </w:pPr>
    </w:p>
    <w:p>
      <w:pPr>
        <w:ind w:left="2540" w:hanging="740"/>
        <w:spacing w:after="0"/>
        <w:tabs>
          <w:tab w:leader="none" w:pos="254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305" w:lineRule="exact"/>
        <w:rPr>
          <w:rFonts w:ascii="Arial" w:cs="Arial" w:eastAsia="Arial" w:hAnsi="Arial"/>
          <w:sz w:val="18"/>
          <w:szCs w:val="18"/>
          <w:color w:val="auto"/>
        </w:rPr>
      </w:pPr>
    </w:p>
    <w:p>
      <w:pPr>
        <w:ind w:left="980" w:hanging="92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19" w:lineRule="exact"/>
        <w:rPr>
          <w:rFonts w:ascii="Arial" w:cs="Arial" w:eastAsia="Arial" w:hAnsi="Arial"/>
          <w:sz w:val="18"/>
          <w:szCs w:val="18"/>
          <w:color w:val="auto"/>
        </w:rPr>
      </w:pPr>
    </w:p>
    <w:p>
      <w:pPr>
        <w:ind w:left="980" w:right="7960" w:hanging="92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48" w:lineRule="exact"/>
        <w:rPr>
          <w:rFonts w:ascii="Arial" w:cs="Arial" w:eastAsia="Arial" w:hAnsi="Arial"/>
          <w:sz w:val="18"/>
          <w:szCs w:val="18"/>
          <w:color w:val="auto"/>
        </w:rPr>
      </w:pPr>
    </w:p>
    <w:p>
      <w:pPr>
        <w:ind w:left="980" w:hanging="92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[__]</w:t>
      </w:r>
    </w:p>
    <w:p>
      <w:pPr>
        <w:spacing w:after="0" w:line="319" w:lineRule="exact"/>
        <w:rPr>
          <w:rFonts w:ascii="Arial" w:cs="Arial" w:eastAsia="Arial" w:hAnsi="Arial"/>
          <w:sz w:val="18"/>
          <w:szCs w:val="18"/>
          <w:color w:val="auto"/>
        </w:rPr>
      </w:pPr>
    </w:p>
    <w:p>
      <w:pPr>
        <w:ind w:left="980" w:right="7800" w:hanging="923"/>
        <w:spacing w:after="0" w:line="317"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tbl>
      <w:tblPr>
        <w:tblLayout w:type="fixed"/>
        <w:tblInd w:w="0" w:type="dxa"/>
        <w:tblCellMar>
          <w:top w:w="0" w:type="dxa"/>
          <w:left w:w="0" w:type="dxa"/>
          <w:bottom w:w="0" w:type="dxa"/>
          <w:right w:w="0" w:type="dxa"/>
        </w:tblCellMar>
      </w:tblPr>
      <w:tr>
        <w:trPr>
          <w:trHeight w:val="237"/>
        </w:trPr>
        <w:tc>
          <w:tcPr>
            <w:tcW w:w="21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Number of Shares</w:t>
            </w:r>
          </w:p>
        </w:tc>
        <w:tc>
          <w:tcPr>
            <w:tcW w:w="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8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Beneficially Owned</w:t>
            </w:r>
          </w:p>
        </w:tc>
        <w:tc>
          <w:tcPr>
            <w:tcW w:w="800" w:type="dxa"/>
            <w:vAlign w:val="bottom"/>
            <w:tcBorders>
              <w:right w:val="single" w:sz="8" w:color="auto"/>
            </w:tcBorders>
          </w:tcPr>
          <w:p>
            <w:pPr>
              <w:spacing w:after="0"/>
              <w:rPr>
                <w:sz w:val="18"/>
                <w:szCs w:val="18"/>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5"/>
        </w:trPr>
        <w:tc>
          <w:tcPr>
            <w:tcW w:w="21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by Each Reporting</w:t>
            </w:r>
          </w:p>
        </w:tc>
        <w:tc>
          <w:tcPr>
            <w:tcW w:w="80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16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1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Person</w:t>
            </w:r>
          </w:p>
        </w:tc>
        <w:tc>
          <w:tcPr>
            <w:tcW w:w="800" w:type="dxa"/>
            <w:vAlign w:val="bottom"/>
            <w:tcBorders>
              <w:right w:val="single" w:sz="8" w:color="auto"/>
            </w:tcBorders>
            <w:vMerge w:val="continue"/>
          </w:tcPr>
          <w:p>
            <w:pPr>
              <w:spacing w:after="0"/>
              <w:rPr>
                <w:sz w:val="8"/>
                <w:szCs w:val="8"/>
                <w:color w:val="auto"/>
              </w:rPr>
            </w:pPr>
          </w:p>
        </w:tc>
        <w:tc>
          <w:tcPr>
            <w:tcW w:w="8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16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60" w:type="dxa"/>
            <w:vAlign w:val="bottom"/>
            <w:vMerge w:val="restart"/>
          </w:tcPr>
          <w:p>
            <w:pPr>
              <w:ind w:left="20"/>
              <w:spacing w:after="0" w:line="271" w:lineRule="exact"/>
              <w:rPr>
                <w:sz w:val="20"/>
                <w:szCs w:val="20"/>
                <w:color w:val="auto"/>
              </w:rPr>
            </w:pPr>
            <w:r>
              <w:rPr>
                <w:rFonts w:ascii="Arial" w:cs="Arial" w:eastAsia="Arial" w:hAnsi="Arial"/>
                <w:sz w:val="18"/>
                <w:szCs w:val="18"/>
                <w:color w:val="auto"/>
              </w:rPr>
              <w:t xml:space="preserve">46,702,639 </w:t>
            </w:r>
            <w:r>
              <w:rPr>
                <w:rFonts w:ascii="Arial" w:cs="Arial" w:eastAsia="Arial" w:hAnsi="Arial"/>
                <w:sz w:val="25"/>
                <w:szCs w:val="25"/>
                <w:color w:val="auto"/>
                <w:vertAlign w:val="superscript"/>
              </w:rPr>
              <w:t>1, 2</w:t>
            </w:r>
          </w:p>
        </w:tc>
        <w:tc>
          <w:tcPr>
            <w:tcW w:w="0" w:type="dxa"/>
            <w:vAlign w:val="bottom"/>
          </w:tcPr>
          <w:p>
            <w:pPr>
              <w:spacing w:after="0"/>
              <w:rPr>
                <w:sz w:val="1"/>
                <w:szCs w:val="1"/>
                <w:color w:val="auto"/>
              </w:rPr>
            </w:pPr>
          </w:p>
        </w:tc>
      </w:tr>
      <w:tr>
        <w:trPr>
          <w:trHeight w:val="149"/>
        </w:trPr>
        <w:tc>
          <w:tcPr>
            <w:tcW w:w="21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800" w:type="dxa"/>
            <w:vAlign w:val="bottom"/>
            <w:tcBorders>
              <w:bottom w:val="single" w:sz="8" w:color="auto"/>
              <w:right w:val="single" w:sz="8" w:color="auto"/>
            </w:tcBorders>
          </w:tcPr>
          <w:p>
            <w:pPr>
              <w:spacing w:after="0"/>
              <w:rPr>
                <w:sz w:val="12"/>
                <w:szCs w:val="12"/>
                <w:color w:val="auto"/>
              </w:rPr>
            </w:pPr>
          </w:p>
        </w:tc>
        <w:tc>
          <w:tcPr>
            <w:tcW w:w="84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16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w:t>
            </w:r>
          </w:p>
        </w:tc>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5"/>
        </w:trPr>
        <w:tc>
          <w:tcPr>
            <w:tcW w:w="21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vMerge w:val="continue"/>
          </w:tcPr>
          <w:p>
            <w:pPr>
              <w:spacing w:after="0"/>
              <w:rPr>
                <w:sz w:val="15"/>
                <w:szCs w:val="15"/>
                <w:color w:val="auto"/>
              </w:rPr>
            </w:pPr>
          </w:p>
        </w:tc>
        <w:tc>
          <w:tcPr>
            <w:tcW w:w="8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2160" w:type="dxa"/>
            <w:vAlign w:val="bottom"/>
            <w:tcBorders>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1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1"/>
        </w:trPr>
        <w:tc>
          <w:tcPr>
            <w:tcW w:w="2160" w:type="dxa"/>
            <w:vAlign w:val="bottom"/>
            <w:tcBorders>
              <w:bottom w:val="single" w:sz="8" w:color="auto"/>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8460" w:type="dxa"/>
            <w:vAlign w:val="bottom"/>
            <w:tcBorders>
              <w:bottom w:val="single" w:sz="8" w:color="auto"/>
            </w:tcBorders>
          </w:tcPr>
          <w:p>
            <w:pPr>
              <w:ind w:left="20"/>
              <w:spacing w:after="0" w:line="271" w:lineRule="exact"/>
              <w:rPr>
                <w:sz w:val="20"/>
                <w:szCs w:val="20"/>
                <w:color w:val="auto"/>
              </w:rPr>
            </w:pPr>
            <w:r>
              <w:rPr>
                <w:rFonts w:ascii="Arial" w:cs="Arial" w:eastAsia="Arial" w:hAnsi="Arial"/>
                <w:sz w:val="18"/>
                <w:szCs w:val="18"/>
                <w:color w:val="auto"/>
              </w:rPr>
              <w:t xml:space="preserve">46,702,639 </w:t>
            </w:r>
            <w:r>
              <w:rPr>
                <w:rFonts w:ascii="Arial" w:cs="Arial" w:eastAsia="Arial" w:hAnsi="Arial"/>
                <w:sz w:val="25"/>
                <w:szCs w:val="25"/>
                <w:color w:val="auto"/>
                <w:vertAlign w:val="superscript"/>
              </w:rPr>
              <w:t>1, 2</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80" w:right="5620" w:hanging="923"/>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46,702,639 </w:t>
      </w:r>
      <w:r>
        <w:rPr>
          <w:rFonts w:ascii="Arial" w:cs="Arial" w:eastAsia="Arial" w:hAnsi="Arial"/>
          <w:sz w:val="25"/>
          <w:szCs w:val="25"/>
          <w:color w:val="auto"/>
          <w:vertAlign w:val="superscript"/>
        </w:rPr>
        <w:t>1, 2</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12.</w:t>
            </w:r>
          </w:p>
        </w:tc>
        <w:tc>
          <w:tcPr>
            <w:tcW w:w="7220" w:type="dxa"/>
            <w:vAlign w:val="bottom"/>
          </w:tcPr>
          <w:p>
            <w:pPr>
              <w:ind w:left="340"/>
              <w:spacing w:after="0"/>
              <w:rPr>
                <w:sz w:val="20"/>
                <w:szCs w:val="20"/>
                <w:color w:val="auto"/>
              </w:rPr>
            </w:pPr>
            <w:r>
              <w:rPr>
                <w:rFonts w:ascii="Arial" w:cs="Arial" w:eastAsia="Arial" w:hAnsi="Arial"/>
                <w:sz w:val="18"/>
                <w:szCs w:val="18"/>
                <w:color w:val="auto"/>
                <w:w w:val="92"/>
              </w:rPr>
              <w:t>Check if the Aggregate Amount In Row (11) Excludes Certain Shares (See Instructions)   [__]</w:t>
            </w:r>
          </w:p>
        </w:tc>
      </w:tr>
    </w:tbl>
    <w:p>
      <w:pPr>
        <w:spacing w:after="0" w:line="200" w:lineRule="exact"/>
        <w:rPr>
          <w:sz w:val="20"/>
          <w:szCs w:val="20"/>
          <w:color w:val="auto"/>
        </w:rPr>
      </w:pPr>
    </w:p>
    <w:p>
      <w:pPr>
        <w:spacing w:after="0" w:line="296" w:lineRule="exact"/>
        <w:rPr>
          <w:sz w:val="20"/>
          <w:szCs w:val="20"/>
          <w:color w:val="auto"/>
        </w:rPr>
      </w:pPr>
    </w:p>
    <w:p>
      <w:pPr>
        <w:ind w:left="980" w:right="6680" w:hanging="923"/>
        <w:spacing w:after="0" w:line="263"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37.9% </w:t>
      </w:r>
      <w:r>
        <w:rPr>
          <w:rFonts w:ascii="Arial" w:cs="Arial" w:eastAsia="Arial" w:hAnsi="Arial"/>
          <w:sz w:val="25"/>
          <w:szCs w:val="25"/>
          <w:color w:val="auto"/>
          <w:vertAlign w:val="superscript"/>
        </w:rPr>
        <w:t>3</w:t>
      </w:r>
    </w:p>
    <w:p>
      <w:pPr>
        <w:ind w:left="980" w:hanging="923"/>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91" w:lineRule="exact"/>
        <w:rPr>
          <w:rFonts w:ascii="Arial" w:cs="Arial" w:eastAsia="Arial" w:hAnsi="Arial"/>
          <w:sz w:val="18"/>
          <w:szCs w:val="18"/>
          <w:color w:val="auto"/>
        </w:rPr>
      </w:pPr>
    </w:p>
    <w:p>
      <w:pPr>
        <w:ind w:left="360" w:right="60" w:hanging="352"/>
        <w:spacing w:after="0" w:line="297" w:lineRule="auto"/>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11,076,708 shares (the “SAW Shares”) held by Stephen A. Wynn (“Mr. Wynn”) and 11,076,709 shares (the “EW Shares”) held by Elaine P. Wynn (“Ms. Wynn” and, together with Mr. Wynn, the “Reporting Persons”). The EW Shares were previously held as community property by Mr. Wynn and Ms. Wynn and they were transferred to Ms. Wynn pursuant to a divorce settlement on January 6, 2010. The EW Shares may be deemed to be beneficially owned by Mr. Wynn under the amended and restated stockholders agreement, dated as of January 6, 2010, among Mr. Wynn, Ms. Wynn and Aruze USA, Inc. (“Aruze USA”) (the “Amended and Restated Stockholders Agreement”). Mr. Wynn disclaims beneficial ownership of the EW Shares.</w:t>
      </w:r>
    </w:p>
    <w:p>
      <w:pPr>
        <w:spacing w:after="0" w:line="158" w:lineRule="exact"/>
        <w:rPr>
          <w:rFonts w:ascii="Arial" w:cs="Arial" w:eastAsia="Arial" w:hAnsi="Arial"/>
          <w:sz w:val="16"/>
          <w:szCs w:val="16"/>
          <w:color w:val="auto"/>
        </w:rPr>
      </w:pPr>
    </w:p>
    <w:p>
      <w:pPr>
        <w:ind w:left="360" w:hanging="352"/>
        <w:spacing w:after="0" w:line="277"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24,549,222 shares (the “Aruze Shares”) held by Aruze USA that may be deemed to be beneficially owned by Mr. Wynn under the Amended and Restated Stockholders Agreement. The Reporting Persons disclaim beneficial ownership of the Aruze Shares.</w:t>
      </w:r>
    </w:p>
    <w:p>
      <w:pPr>
        <w:spacing w:after="0" w:line="170" w:lineRule="exact"/>
        <w:rPr>
          <w:rFonts w:ascii="Arial" w:cs="Arial" w:eastAsia="Arial" w:hAnsi="Arial"/>
          <w:sz w:val="18"/>
          <w:szCs w:val="18"/>
          <w:color w:val="auto"/>
        </w:rPr>
      </w:pPr>
    </w:p>
    <w:p>
      <w:pPr>
        <w:ind w:left="360" w:right="80" w:hanging="352"/>
        <w:spacing w:after="0" w:line="286"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aggregate percentage of the outstanding shares that the Reporting Persons may be deemed to beneficially own is approximately 37.9%. Excluding the Aruze Shares that the Reporting Persons may be deemed to beneficially own as a result of the Amended and Restated Stockholders Agreement, each Reporting Person may be deemed to beneficially own approximately 18.0% of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8525" cy="509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5095875"/>
                    </a:xfrm>
                    <a:prstGeom prst="rect">
                      <a:avLst/>
                    </a:prstGeom>
                    <a:noFill/>
                  </pic:spPr>
                </pic:pic>
              </a:graphicData>
            </a:graphic>
          </wp:anchor>
        </w:drawing>
      </w:r>
    </w:p>
    <w:p>
      <w:pPr>
        <w:spacing w:after="0" w:line="286" w:lineRule="exact"/>
        <w:rPr>
          <w:sz w:val="20"/>
          <w:szCs w:val="20"/>
          <w:color w:val="auto"/>
        </w:rPr>
      </w:pPr>
    </w:p>
    <w:p>
      <w:pPr>
        <w:ind w:left="980" w:hanging="923"/>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  Elaine P. Wynn</w:t>
      </w:r>
    </w:p>
    <w:p>
      <w:pPr>
        <w:spacing w:after="0" w:line="306" w:lineRule="exact"/>
        <w:rPr>
          <w:rFonts w:ascii="Arial" w:cs="Arial" w:eastAsia="Arial" w:hAnsi="Arial"/>
          <w:sz w:val="18"/>
          <w:szCs w:val="18"/>
          <w:color w:val="auto"/>
        </w:rPr>
      </w:pPr>
    </w:p>
    <w:p>
      <w:pPr>
        <w:ind w:left="980" w:hanging="923"/>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2460" w:hanging="660"/>
        <w:spacing w:after="0"/>
        <w:tabs>
          <w:tab w:leader="none" w:pos="2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rFonts w:ascii="Arial" w:cs="Arial" w:eastAsia="Arial" w:hAnsi="Arial"/>
          <w:sz w:val="18"/>
          <w:szCs w:val="18"/>
          <w:color w:val="auto"/>
        </w:rPr>
      </w:pPr>
    </w:p>
    <w:p>
      <w:pPr>
        <w:ind w:left="2480" w:hanging="680"/>
        <w:spacing w:after="0"/>
        <w:tabs>
          <w:tab w:leader="none" w:pos="2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   ]</w:t>
      </w:r>
    </w:p>
    <w:p>
      <w:pPr>
        <w:spacing w:after="0" w:line="305" w:lineRule="exact"/>
        <w:rPr>
          <w:rFonts w:ascii="Arial" w:cs="Arial" w:eastAsia="Arial" w:hAnsi="Arial"/>
          <w:sz w:val="18"/>
          <w:szCs w:val="18"/>
          <w:color w:val="auto"/>
        </w:rPr>
      </w:pPr>
    </w:p>
    <w:p>
      <w:pPr>
        <w:ind w:left="980" w:hanging="923"/>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19" w:lineRule="exact"/>
        <w:rPr>
          <w:rFonts w:ascii="Arial" w:cs="Arial" w:eastAsia="Arial" w:hAnsi="Arial"/>
          <w:sz w:val="18"/>
          <w:szCs w:val="18"/>
          <w:color w:val="auto"/>
        </w:rPr>
      </w:pPr>
    </w:p>
    <w:p>
      <w:pPr>
        <w:ind w:left="980" w:right="7960" w:hanging="923"/>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48" w:lineRule="exact"/>
        <w:rPr>
          <w:rFonts w:ascii="Arial" w:cs="Arial" w:eastAsia="Arial" w:hAnsi="Arial"/>
          <w:sz w:val="18"/>
          <w:szCs w:val="18"/>
          <w:color w:val="auto"/>
        </w:rPr>
      </w:pPr>
    </w:p>
    <w:p>
      <w:pPr>
        <w:ind w:left="980" w:hanging="923"/>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[__]</w:t>
      </w:r>
    </w:p>
    <w:p>
      <w:pPr>
        <w:spacing w:after="0" w:line="319" w:lineRule="exact"/>
        <w:rPr>
          <w:rFonts w:ascii="Arial" w:cs="Arial" w:eastAsia="Arial" w:hAnsi="Arial"/>
          <w:sz w:val="18"/>
          <w:szCs w:val="18"/>
          <w:color w:val="auto"/>
        </w:rPr>
      </w:pPr>
    </w:p>
    <w:p>
      <w:pPr>
        <w:ind w:left="980" w:right="7800" w:hanging="923"/>
        <w:spacing w:after="0" w:line="317"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tbl>
      <w:tblPr>
        <w:tblLayout w:type="fixed"/>
        <w:tblInd w:w="0" w:type="dxa"/>
        <w:tblCellMar>
          <w:top w:w="0" w:type="dxa"/>
          <w:left w:w="0" w:type="dxa"/>
          <w:bottom w:w="0" w:type="dxa"/>
          <w:right w:w="0" w:type="dxa"/>
        </w:tblCellMar>
      </w:tblPr>
      <w:tr>
        <w:trPr>
          <w:trHeight w:val="237"/>
        </w:trPr>
        <w:tc>
          <w:tcPr>
            <w:tcW w:w="21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Number of Shares</w:t>
            </w:r>
          </w:p>
        </w:tc>
        <w:tc>
          <w:tcPr>
            <w:tcW w:w="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8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Beneficially Owned</w:t>
            </w:r>
          </w:p>
        </w:tc>
        <w:tc>
          <w:tcPr>
            <w:tcW w:w="800" w:type="dxa"/>
            <w:vAlign w:val="bottom"/>
            <w:tcBorders>
              <w:right w:val="single" w:sz="8" w:color="auto"/>
            </w:tcBorders>
          </w:tcPr>
          <w:p>
            <w:pPr>
              <w:spacing w:after="0"/>
              <w:rPr>
                <w:sz w:val="18"/>
                <w:szCs w:val="18"/>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5"/>
        </w:trPr>
        <w:tc>
          <w:tcPr>
            <w:tcW w:w="21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by Each Reporting</w:t>
            </w:r>
          </w:p>
        </w:tc>
        <w:tc>
          <w:tcPr>
            <w:tcW w:w="80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16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1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Person</w:t>
            </w:r>
          </w:p>
        </w:tc>
        <w:tc>
          <w:tcPr>
            <w:tcW w:w="800" w:type="dxa"/>
            <w:vAlign w:val="bottom"/>
            <w:tcBorders>
              <w:right w:val="single" w:sz="8" w:color="auto"/>
            </w:tcBorders>
            <w:vMerge w:val="continue"/>
          </w:tcPr>
          <w:p>
            <w:pPr>
              <w:spacing w:after="0"/>
              <w:rPr>
                <w:sz w:val="8"/>
                <w:szCs w:val="8"/>
                <w:color w:val="auto"/>
              </w:rPr>
            </w:pPr>
          </w:p>
        </w:tc>
        <w:tc>
          <w:tcPr>
            <w:tcW w:w="8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16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60" w:type="dxa"/>
            <w:vAlign w:val="bottom"/>
            <w:vMerge w:val="restart"/>
          </w:tcPr>
          <w:p>
            <w:pPr>
              <w:ind w:left="20"/>
              <w:spacing w:after="0" w:line="271" w:lineRule="exact"/>
              <w:rPr>
                <w:sz w:val="20"/>
                <w:szCs w:val="20"/>
                <w:color w:val="auto"/>
              </w:rPr>
            </w:pPr>
            <w:r>
              <w:rPr>
                <w:rFonts w:ascii="Arial" w:cs="Arial" w:eastAsia="Arial" w:hAnsi="Arial"/>
                <w:sz w:val="18"/>
                <w:szCs w:val="18"/>
                <w:color w:val="auto"/>
              </w:rPr>
              <w:t xml:space="preserve">46,702,639 </w:t>
            </w:r>
            <w:r>
              <w:rPr>
                <w:rFonts w:ascii="Arial" w:cs="Arial" w:eastAsia="Arial" w:hAnsi="Arial"/>
                <w:sz w:val="25"/>
                <w:szCs w:val="25"/>
                <w:color w:val="auto"/>
                <w:vertAlign w:val="superscript"/>
              </w:rPr>
              <w:t>1, 2</w:t>
            </w:r>
          </w:p>
        </w:tc>
        <w:tc>
          <w:tcPr>
            <w:tcW w:w="0" w:type="dxa"/>
            <w:vAlign w:val="bottom"/>
          </w:tcPr>
          <w:p>
            <w:pPr>
              <w:spacing w:after="0"/>
              <w:rPr>
                <w:sz w:val="1"/>
                <w:szCs w:val="1"/>
                <w:color w:val="auto"/>
              </w:rPr>
            </w:pPr>
          </w:p>
        </w:tc>
      </w:tr>
      <w:tr>
        <w:trPr>
          <w:trHeight w:val="149"/>
        </w:trPr>
        <w:tc>
          <w:tcPr>
            <w:tcW w:w="21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800" w:type="dxa"/>
            <w:vAlign w:val="bottom"/>
            <w:tcBorders>
              <w:bottom w:val="single" w:sz="8" w:color="auto"/>
              <w:right w:val="single" w:sz="8" w:color="auto"/>
            </w:tcBorders>
          </w:tcPr>
          <w:p>
            <w:pPr>
              <w:spacing w:after="0"/>
              <w:rPr>
                <w:sz w:val="12"/>
                <w:szCs w:val="12"/>
                <w:color w:val="auto"/>
              </w:rPr>
            </w:pPr>
          </w:p>
        </w:tc>
        <w:tc>
          <w:tcPr>
            <w:tcW w:w="84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16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w:t>
            </w:r>
          </w:p>
        </w:tc>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5"/>
        </w:trPr>
        <w:tc>
          <w:tcPr>
            <w:tcW w:w="21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vMerge w:val="continue"/>
          </w:tcPr>
          <w:p>
            <w:pPr>
              <w:spacing w:after="0"/>
              <w:rPr>
                <w:sz w:val="15"/>
                <w:szCs w:val="15"/>
                <w:color w:val="auto"/>
              </w:rPr>
            </w:pPr>
          </w:p>
        </w:tc>
        <w:tc>
          <w:tcPr>
            <w:tcW w:w="8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2160" w:type="dxa"/>
            <w:vAlign w:val="bottom"/>
            <w:tcBorders>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1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1"/>
        </w:trPr>
        <w:tc>
          <w:tcPr>
            <w:tcW w:w="2160" w:type="dxa"/>
            <w:vAlign w:val="bottom"/>
            <w:tcBorders>
              <w:bottom w:val="single" w:sz="8" w:color="auto"/>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8460" w:type="dxa"/>
            <w:vAlign w:val="bottom"/>
            <w:tcBorders>
              <w:bottom w:val="single" w:sz="8" w:color="auto"/>
            </w:tcBorders>
          </w:tcPr>
          <w:p>
            <w:pPr>
              <w:ind w:left="20"/>
              <w:spacing w:after="0" w:line="271" w:lineRule="exact"/>
              <w:rPr>
                <w:sz w:val="20"/>
                <w:szCs w:val="20"/>
                <w:color w:val="auto"/>
              </w:rPr>
            </w:pPr>
            <w:r>
              <w:rPr>
                <w:rFonts w:ascii="Arial" w:cs="Arial" w:eastAsia="Arial" w:hAnsi="Arial"/>
                <w:sz w:val="18"/>
                <w:szCs w:val="18"/>
                <w:color w:val="auto"/>
              </w:rPr>
              <w:t xml:space="preserve">46,702,639 </w:t>
            </w:r>
            <w:r>
              <w:rPr>
                <w:rFonts w:ascii="Arial" w:cs="Arial" w:eastAsia="Arial" w:hAnsi="Arial"/>
                <w:sz w:val="25"/>
                <w:szCs w:val="25"/>
                <w:color w:val="auto"/>
                <w:vertAlign w:val="superscript"/>
              </w:rPr>
              <w:t>1, 2</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80" w:right="5620" w:hanging="923"/>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46,702,639 </w:t>
      </w:r>
      <w:r>
        <w:rPr>
          <w:rFonts w:ascii="Arial" w:cs="Arial" w:eastAsia="Arial" w:hAnsi="Arial"/>
          <w:sz w:val="25"/>
          <w:szCs w:val="25"/>
          <w:color w:val="auto"/>
          <w:vertAlign w:val="superscript"/>
        </w:rPr>
        <w:t>1, 2</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12.</w:t>
            </w:r>
          </w:p>
        </w:tc>
        <w:tc>
          <w:tcPr>
            <w:tcW w:w="7220" w:type="dxa"/>
            <w:vAlign w:val="bottom"/>
          </w:tcPr>
          <w:p>
            <w:pPr>
              <w:ind w:left="340"/>
              <w:spacing w:after="0"/>
              <w:rPr>
                <w:sz w:val="20"/>
                <w:szCs w:val="20"/>
                <w:color w:val="auto"/>
              </w:rPr>
            </w:pPr>
            <w:r>
              <w:rPr>
                <w:rFonts w:ascii="Arial" w:cs="Arial" w:eastAsia="Arial" w:hAnsi="Arial"/>
                <w:sz w:val="18"/>
                <w:szCs w:val="18"/>
                <w:color w:val="auto"/>
                <w:w w:val="92"/>
              </w:rPr>
              <w:t>Check if the Aggregate Amount In Row (11) Excludes Certain Shares (See Instructions)   [__]</w:t>
            </w:r>
          </w:p>
        </w:tc>
      </w:tr>
    </w:tbl>
    <w:p>
      <w:pPr>
        <w:spacing w:after="0" w:line="200" w:lineRule="exact"/>
        <w:rPr>
          <w:sz w:val="20"/>
          <w:szCs w:val="20"/>
          <w:color w:val="auto"/>
        </w:rPr>
      </w:pPr>
    </w:p>
    <w:p>
      <w:pPr>
        <w:spacing w:after="0" w:line="296" w:lineRule="exact"/>
        <w:rPr>
          <w:sz w:val="20"/>
          <w:szCs w:val="20"/>
          <w:color w:val="auto"/>
        </w:rPr>
      </w:pPr>
    </w:p>
    <w:p>
      <w:pPr>
        <w:ind w:left="980" w:right="6680" w:hanging="923"/>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37.9% </w:t>
      </w:r>
      <w:r>
        <w:rPr>
          <w:rFonts w:ascii="Arial" w:cs="Arial" w:eastAsia="Arial" w:hAnsi="Arial"/>
          <w:sz w:val="25"/>
          <w:szCs w:val="25"/>
          <w:color w:val="auto"/>
          <w:vertAlign w:val="superscript"/>
        </w:rPr>
        <w:t>3</w:t>
      </w:r>
    </w:p>
    <w:p>
      <w:pPr>
        <w:ind w:left="980" w:hanging="923"/>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91"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SAW Shares held by Mr. Wynn that may be deemed to be beneficially owned by Ms. Wynn under the Amended and Restated Stockholders Agreement. Ms. Wynn disclaims beneficial ownership of the SAW Shares.</w:t>
      </w:r>
    </w:p>
    <w:p>
      <w:pPr>
        <w:spacing w:after="0" w:line="170" w:lineRule="exact"/>
        <w:rPr>
          <w:rFonts w:ascii="Arial" w:cs="Arial" w:eastAsia="Arial" w:hAnsi="Arial"/>
          <w:sz w:val="18"/>
          <w:szCs w:val="18"/>
          <w:color w:val="auto"/>
        </w:rPr>
      </w:pPr>
    </w:p>
    <w:p>
      <w:pPr>
        <w:ind w:left="360" w:right="100" w:hanging="352"/>
        <w:spacing w:after="0" w:line="277"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Aruze Shares held by Aruze USA that may be deemed to be beneficially owned by the Reporting Persons under the Amended and Restated Stockholders Agreement. The Reporting Persons disclaim beneficial ownership of the Aruze Shares.</w:t>
      </w:r>
    </w:p>
    <w:p>
      <w:pPr>
        <w:spacing w:after="0" w:line="170" w:lineRule="exact"/>
        <w:rPr>
          <w:rFonts w:ascii="Arial" w:cs="Arial" w:eastAsia="Arial" w:hAnsi="Arial"/>
          <w:sz w:val="18"/>
          <w:szCs w:val="18"/>
          <w:color w:val="auto"/>
        </w:rPr>
      </w:pPr>
    </w:p>
    <w:p>
      <w:pPr>
        <w:ind w:left="360" w:right="80" w:hanging="352"/>
        <w:spacing w:after="0" w:line="286" w:lineRule="auto"/>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aggregate percentage of the outstanding shares that the Reporting Persons may be deemed to beneficially own is approximately 37.9%. Excluding the Aruze Shares that the Reporting Persons may be deemed to beneficially own as a result of the Amended and Restated Stockholders Agreement, each Reporting Person may be deemed to beneficially own approximately 18.0% of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line="256" w:lineRule="auto"/>
        <w:rPr>
          <w:sz w:val="20"/>
          <w:szCs w:val="20"/>
          <w:color w:val="auto"/>
        </w:rPr>
      </w:pPr>
      <w:r>
        <w:rPr>
          <w:rFonts w:ascii="Arial" w:cs="Arial" w:eastAsia="Arial" w:hAnsi="Arial"/>
          <w:sz w:val="19"/>
          <w:szCs w:val="19"/>
          <w:color w:val="auto"/>
        </w:rPr>
        <w:t>This Schedule 13D/A (this “Amendment No. 6”) hereby amends and supplements the Schedule 13D filed by Mr. Wynn with the Securities and Exchange Commission (the “Commission”) on November 13, 2002 (the “Original Schedule 13D”), as amended by the Schedule 13D/A filed by the Reporting Persons with the Commission on April 21, 2003 (“Amendment No. 1”), as amended by the Schedule 13D/A filed by the Reporting Persons with the Commission on September 22, 2003 (“Amendment No. 2”), as amended by the Schedule 13D/A filed by the Reporting Persons with the Commission on November 13, 2006 (“Amendment No. 3”), as amended by the Schedule 13D/A filed by the Reporting Persons with the Commission on August 3, 2009 (“Amendment No. 4”) and as amended by the Schedule 13D/A filed by the Reporting Persons with the Commission on August 18, 2009 (“Amendment No. 5” and, collectively with the Original Schedule 13D, Amendment No. 1, Amendment No. 2, Amendment No. 3 and Amendment No. 4, the “Schedule 13D”). Capitalized terms used but not defined herein shall have the respective meanings set forth in the Schedule 13D.</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response set forth in Item 3 of Amendment No. 3 is hereby amended and restated in its entirety as follows: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All references in the Schedule 13D to the Stockholders Agreement shall mean the Amended and Restated Stockholders Agreement.</w:t>
      </w:r>
    </w:p>
    <w:p>
      <w:pPr>
        <w:spacing w:after="0" w:line="25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As described in Item 6, Mr. Wynn, Ms. Wynn and Aruze USA have entered into an Amended and Restated Stockholders Agreement in connection with Ms. Wynn’s ownership of 11,076,709 shares of Common Stock that were transferred by Mr. Wynn to Ms. Wynn pursuant to a divorce settlement between Mr. Wynn and Ms. Wynn. The Reporting Persons have not paid, and do not expect to pay, any additional consideration in connection with the execution, delivery or performance of the Amended and Restated Stockholders Agreement.</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response set forth in Item 5 of Schedule 13D is hereby amended and restated in its entirety as follows:</w:t>
      </w:r>
    </w:p>
    <w:p>
      <w:pPr>
        <w:spacing w:after="0" w:line="237" w:lineRule="exact"/>
        <w:rPr>
          <w:sz w:val="20"/>
          <w:szCs w:val="20"/>
          <w:color w:val="auto"/>
        </w:rPr>
      </w:pPr>
    </w:p>
    <w:p>
      <w:pPr>
        <w:ind w:right="580" w:firstLine="8"/>
        <w:spacing w:after="0" w:line="267" w:lineRule="auto"/>
        <w:tabs>
          <w:tab w:leader="none" w:pos="269"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Aggregate Number and Percentage of Securities</w:t>
      </w:r>
      <w:r>
        <w:rPr>
          <w:rFonts w:ascii="Arial" w:cs="Arial" w:eastAsia="Arial" w:hAnsi="Arial"/>
          <w:sz w:val="20"/>
          <w:szCs w:val="20"/>
          <w:color w:val="auto"/>
        </w:rPr>
        <w:t>. The Reporting Persons may be deemed to beneficially own 46,702,639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representing approximately 37.9% of the outstanding Common Stock of the Issuer.</w:t>
      </w:r>
    </w:p>
    <w:p>
      <w:pPr>
        <w:spacing w:after="0" w:line="197"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Unless otherwise indicated, all percentages in this Amendment No. 6 assume there to be 123,284,206 shares of Common Stock outstanding, as of January 4, 2010.</w:t>
      </w:r>
    </w:p>
    <w:p>
      <w:pPr>
        <w:spacing w:after="0" w:line="198" w:lineRule="exact"/>
        <w:rPr>
          <w:sz w:val="20"/>
          <w:szCs w:val="20"/>
          <w:color w:val="auto"/>
        </w:rPr>
      </w:pPr>
    </w:p>
    <w:p>
      <w:pPr>
        <w:ind w:right="20" w:firstLine="8"/>
        <w:spacing w:after="0" w:line="273"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Power to Vote and Dispose</w:t>
      </w:r>
      <w:r>
        <w:rPr>
          <w:rFonts w:ascii="Arial" w:cs="Arial" w:eastAsia="Arial" w:hAnsi="Arial"/>
          <w:sz w:val="18"/>
          <w:szCs w:val="18"/>
          <w:color w:val="auto"/>
        </w:rPr>
        <w:t>. The Reporting Persons possess the shared power to vote and direct the vote of 22,153,417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representing the SAW Shares and the EW Shares, subject to the Amended and Restated Stockholders Agreement described in Item 6 below. As a result of the Amended and Restated Stockholders Agreement, the Reporting Persons possess shared power to vote or direct the vote of, and thus may be deemed to beneficially own, an additional 24,549,222 shares of Common Stock representing the Aruze Shares held by Aruze USA. In addition, pursuant to the Amended and Restated Stockholders Agreement, none of Mr. Wynn, Ms. Wynn or Aruze USA (nor any of their respective permitted transferees (except as described in Item 6 below)) shall transfer, or permit any of their respective affiliates to transfer, any shares of Common Stock beneficially owned by such person without the prior written consent of each of the others, and each Reporting Person may therefore share the power to dispose of all such shares of Common Stock. Pursuant to the Amended and Restated Stockholders Agreement and as described in Item 6 below, $10 million of the EW Shares are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4" w:name="page5"/>
    <w:bookmarkEnd w:id="4"/>
    <w:p>
      <w:pPr>
        <w:ind w:right="180"/>
        <w:spacing w:after="0" w:line="250" w:lineRule="auto"/>
        <w:rPr>
          <w:sz w:val="20"/>
          <w:szCs w:val="20"/>
          <w:color w:val="auto"/>
        </w:rPr>
      </w:pPr>
      <w:r>
        <w:rPr>
          <w:rFonts w:ascii="Arial" w:cs="Arial" w:eastAsia="Arial" w:hAnsi="Arial"/>
          <w:sz w:val="20"/>
          <w:szCs w:val="20"/>
          <w:color w:val="auto"/>
        </w:rPr>
        <w:t>from certain covenants and provisions set forth in the Amended and Restated Stockholders Agreement on January 6, 2010 and on each of the following nine anniversaries thereof. Mr. Wynn and Ms. Wynn each disclaim beneficial ownership of the other’s shares and of the Aruze Shares.</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Aruze USA is a Nevada corporation. The business address of Aruze USA is 745 Grier Drive, Las Vegas, NV 89119. To the knowledge of the Reporting Persons, Aruze USA beneficially owns the Aruze Shares, which constitute approximately 19.9% of the outstanding Common Stock of the Issuer. To the knowledge of the Reporting Persons, Universal Entertainment Corporation (f/k/a Aruze Corp.), a Japan public corporation and Aruze USA’s parent company, and Mr. Kazuo Okada, the founder, president and controlling shareholder of Universal Entertainment Corporation, may be deemed to beneficially own the shares held by Aruze USA.</w:t>
      </w:r>
    </w:p>
    <w:p>
      <w:pPr>
        <w:spacing w:after="0" w:line="208" w:lineRule="exact"/>
        <w:rPr>
          <w:sz w:val="20"/>
          <w:szCs w:val="20"/>
          <w:color w:val="auto"/>
        </w:rPr>
      </w:pPr>
    </w:p>
    <w:p>
      <w:pPr>
        <w:jc w:val="both"/>
        <w:ind w:right="280"/>
        <w:spacing w:after="0" w:line="250" w:lineRule="auto"/>
        <w:rPr>
          <w:sz w:val="20"/>
          <w:szCs w:val="20"/>
          <w:color w:val="auto"/>
        </w:rPr>
      </w:pPr>
      <w:r>
        <w:rPr>
          <w:rFonts w:ascii="Arial" w:cs="Arial" w:eastAsia="Arial" w:hAnsi="Arial"/>
          <w:sz w:val="20"/>
          <w:szCs w:val="20"/>
          <w:color w:val="auto"/>
        </w:rPr>
        <w:t>Except as set forth in the Amended and Restated Stockholders Agreement, the Reporting Persons, on the one hand, and Aruze USA, on the other hand, do not have any other agreement, arrangement or understanding with respect to the acquisition, holding, voting or disposition of equity securities of the Issuer.</w:t>
      </w:r>
    </w:p>
    <w:p>
      <w:pPr>
        <w:spacing w:after="0" w:line="207" w:lineRule="exact"/>
        <w:rPr>
          <w:sz w:val="20"/>
          <w:szCs w:val="20"/>
          <w:color w:val="auto"/>
        </w:rPr>
      </w:pPr>
    </w:p>
    <w:p>
      <w:pPr>
        <w:ind w:right="660" w:firstLine="8"/>
        <w:spacing w:after="0" w:line="293" w:lineRule="auto"/>
        <w:tabs>
          <w:tab w:leader="none" w:pos="269" w:val="left"/>
        </w:tabs>
        <w:numPr>
          <w:ilvl w:val="0"/>
          <w:numId w:val="12"/>
        </w:numPr>
        <w:rPr>
          <w:rFonts w:ascii="Arial" w:cs="Arial" w:eastAsia="Arial" w:hAnsi="Arial"/>
          <w:sz w:val="19"/>
          <w:szCs w:val="19"/>
          <w:color w:val="auto"/>
        </w:rPr>
      </w:pPr>
      <w:r>
        <w:rPr>
          <w:rFonts w:ascii="Arial" w:cs="Arial" w:eastAsia="Arial" w:hAnsi="Arial"/>
          <w:sz w:val="19"/>
          <w:szCs w:val="19"/>
          <w:b w:val="1"/>
          <w:bCs w:val="1"/>
          <w:color w:val="auto"/>
        </w:rPr>
        <w:t>Transactions within the past 60 days</w:t>
      </w:r>
      <w:r>
        <w:rPr>
          <w:rFonts w:ascii="Arial" w:cs="Arial" w:eastAsia="Arial" w:hAnsi="Arial"/>
          <w:sz w:val="19"/>
          <w:szCs w:val="19"/>
          <w:color w:val="auto"/>
        </w:rPr>
        <w:t>. Except as noted in this Schedule 13D/A, the Reporting Persons have not effected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transactions in the Issuer’s securities, including the Common Stock, within sixty (60) days preceding the date hereof.</w:t>
      </w:r>
    </w:p>
    <w:p>
      <w:pPr>
        <w:spacing w:after="0" w:line="168" w:lineRule="exact"/>
        <w:rPr>
          <w:rFonts w:ascii="Arial" w:cs="Arial" w:eastAsia="Arial" w:hAnsi="Arial"/>
          <w:sz w:val="19"/>
          <w:szCs w:val="19"/>
          <w:color w:val="auto"/>
        </w:rPr>
      </w:pPr>
    </w:p>
    <w:p>
      <w:pPr>
        <w:ind w:left="280" w:hanging="272"/>
        <w:spacing w:after="0"/>
        <w:tabs>
          <w:tab w:leader="none" w:pos="28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Certain Rights of Other Persons</w:t>
      </w:r>
      <w:r>
        <w:rPr>
          <w:rFonts w:ascii="Arial" w:cs="Arial" w:eastAsia="Arial" w:hAnsi="Arial"/>
          <w:sz w:val="20"/>
          <w:szCs w:val="20"/>
          <w:color w:val="auto"/>
        </w:rPr>
        <w:t>. Not applicable.</w:t>
      </w:r>
    </w:p>
    <w:p>
      <w:pPr>
        <w:spacing w:after="0" w:line="242" w:lineRule="exact"/>
        <w:rPr>
          <w:rFonts w:ascii="Arial" w:cs="Arial" w:eastAsia="Arial" w:hAnsi="Arial"/>
          <w:sz w:val="20"/>
          <w:szCs w:val="20"/>
          <w:color w:val="auto"/>
        </w:rPr>
      </w:pPr>
    </w:p>
    <w:p>
      <w:pPr>
        <w:ind w:left="280" w:hanging="272"/>
        <w:spacing w:after="0"/>
        <w:tabs>
          <w:tab w:leader="none" w:pos="28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Date Ceased to be a 5% Owner</w:t>
      </w:r>
      <w:r>
        <w:rPr>
          <w:rFonts w:ascii="Arial" w:cs="Arial" w:eastAsia="Arial" w:hAnsi="Arial"/>
          <w:sz w:val="20"/>
          <w:szCs w:val="20"/>
          <w:color w:val="auto"/>
        </w:rPr>
        <w:t>. Not applicable.</w:t>
      </w:r>
    </w:p>
    <w:p>
      <w:pPr>
        <w:spacing w:after="0" w:line="24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49"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The response set forth in Item 6 of the Schedule 13D is hereby amended and supplemented by adding the following paragraphs at the end of such Item 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Amended and Restated Stockholders Agreement</w:t>
      </w:r>
    </w:p>
    <w:p>
      <w:pPr>
        <w:spacing w:after="0" w:line="249"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On January 6, 2010, Mr. Wynn, Ms. Wynn and Aruze USA, entered into an Amended and Restated Stockholders Agreement whereby that certain Stockholders Agreement, entered into as of April 11, 2002, between Mr. Wynn and Aruze, as amended by that certain Amendment to Stockholders Agreement, entered into as of November 8, 2006, between Mr. Wynn and Aruze USA, the Waiver and Consent, dated July 31, 2009, and the Waiver and Consent, dated as of August 13, 2009, was amended and restated in its entirety. Pursuant to the Amended and Restated Stockholders Agreement, Ms. Wynn (a) became a party to the Amended and Restated Stockholders Agreement in connection with her ownership of the EW Shares that were transferred to Ms.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Ms. Wynn and Aruze USA agree to vote all shares of the Issuer held by them and subject to the terms of the Amended and Restated Stockholders Agreement in a manner so as to elect to the Issuer’s Board of Directors each of the nominees contained on each and every slate of directors endorsed by Mr. Wynn, which slate shall include, subject to certain conditions, Ms. Wynn and, so long as such slate results in a majority of directors at all times being candidates endorsed by Mr. Wynn, nominees approved by Aruze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52" w:right="299" w:bottom="1440" w:gutter="0" w:footer="0" w:header="0"/>
        </w:sectPr>
      </w:pPr>
    </w:p>
    <w:bookmarkStart w:id="5" w:name="page6"/>
    <w:bookmarkEnd w:id="5"/>
    <w:p>
      <w:pPr>
        <w:spacing w:after="0" w:line="250" w:lineRule="auto"/>
        <w:rPr>
          <w:sz w:val="20"/>
          <w:szCs w:val="20"/>
          <w:color w:val="auto"/>
        </w:rPr>
      </w:pPr>
      <w:r>
        <w:rPr>
          <w:rFonts w:ascii="Arial" w:cs="Arial" w:eastAsia="Arial" w:hAnsi="Arial"/>
          <w:sz w:val="20"/>
          <w:szCs w:val="20"/>
          <w:color w:val="auto"/>
        </w:rPr>
        <w:t>The foregoing description of the Amended and Restated Stockholders Agreement does not purport to be complete and is qualified in its entirety by reference to the Amended and Restated Stockholders Agreement which is filed herewith as Exhibit 7 and is incorporated herein by this reference.</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Item 7 of the Schedule 13D is hereby amended and supplemented by adding the following items at the end of such Item 7:</w:t>
      </w:r>
    </w:p>
    <w:p>
      <w:pPr>
        <w:spacing w:after="0" w:line="266" w:lineRule="exact"/>
        <w:rPr>
          <w:sz w:val="20"/>
          <w:szCs w:val="20"/>
          <w:color w:val="auto"/>
        </w:rPr>
      </w:pPr>
    </w:p>
    <w:p>
      <w:pPr>
        <w:ind w:left="1160" w:right="220" w:hanging="1147"/>
        <w:spacing w:after="0" w:line="260" w:lineRule="auto"/>
        <w:tabs>
          <w:tab w:leader="none" w:pos="1140" w:val="left"/>
        </w:tabs>
        <w:rPr>
          <w:sz w:val="20"/>
          <w:szCs w:val="20"/>
          <w:color w:val="auto"/>
        </w:rPr>
      </w:pPr>
      <w:r>
        <w:rPr>
          <w:rFonts w:ascii="Arial" w:cs="Arial" w:eastAsia="Arial" w:hAnsi="Arial"/>
          <w:sz w:val="20"/>
          <w:szCs w:val="20"/>
          <w:color w:val="auto"/>
        </w:rPr>
        <w:t>Exhibit 7</w:t>
      </w:r>
      <w:r>
        <w:rPr>
          <w:sz w:val="20"/>
          <w:szCs w:val="20"/>
          <w:color w:val="auto"/>
        </w:rPr>
        <w:tab/>
      </w:r>
      <w:r>
        <w:rPr>
          <w:rFonts w:ascii="Arial" w:cs="Arial" w:eastAsia="Arial" w:hAnsi="Arial"/>
          <w:sz w:val="20"/>
          <w:szCs w:val="20"/>
          <w:color w:val="auto"/>
        </w:rPr>
        <w:t>Amended and Restated Stockholders Agreement, dated January 6, 2010, by and among Stephen A. Wynn, Elaine P. Wynn and Aruze USA, Inc.</w:t>
      </w:r>
    </w:p>
    <w:p>
      <w:pPr>
        <w:spacing w:after="0" w:line="177" w:lineRule="exact"/>
        <w:rPr>
          <w:sz w:val="20"/>
          <w:szCs w:val="20"/>
          <w:color w:val="auto"/>
        </w:rPr>
      </w:pPr>
    </w:p>
    <w:p>
      <w:pPr>
        <w:ind w:left="1160" w:right="140" w:hanging="1147"/>
        <w:spacing w:after="0" w:line="250" w:lineRule="auto"/>
        <w:tabs>
          <w:tab w:leader="none" w:pos="1140" w:val="left"/>
        </w:tabs>
        <w:rPr>
          <w:sz w:val="20"/>
          <w:szCs w:val="20"/>
          <w:color w:val="auto"/>
        </w:rPr>
      </w:pPr>
      <w:r>
        <w:rPr>
          <w:rFonts w:ascii="Arial" w:cs="Arial" w:eastAsia="Arial" w:hAnsi="Arial"/>
          <w:sz w:val="20"/>
          <w:szCs w:val="20"/>
          <w:color w:val="auto"/>
        </w:rPr>
        <w:t>Exhibit 8</w:t>
      </w:r>
      <w:r>
        <w:rPr>
          <w:sz w:val="20"/>
          <w:szCs w:val="20"/>
          <w:color w:val="auto"/>
        </w:rPr>
        <w:tab/>
      </w:r>
      <w:r>
        <w:rPr>
          <w:rFonts w:ascii="Arial" w:cs="Arial" w:eastAsia="Arial" w:hAnsi="Arial"/>
          <w:sz w:val="20"/>
          <w:szCs w:val="20"/>
          <w:color w:val="auto"/>
        </w:rPr>
        <w:t>Joint Filing Agreement, dated April 21, 2003, between Stephen A. Wynn and Elaine P. Wynn (previously filed as Exhibit (g) to the Schedule 13D/A of Stephen A. Wynn and Elaine P. Wynn, Commission File No. 005-78590, filed on April 21, 2003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6" w:name="page7"/>
    <w:bookmarkEnd w:id="6"/>
    <w:p>
      <w:pPr>
        <w:jc w:val="center"/>
        <w:ind w:right="-379"/>
        <w:spacing w:after="0"/>
        <w:rPr>
          <w:sz w:val="20"/>
          <w:szCs w:val="20"/>
          <w:color w:val="auto"/>
        </w:rPr>
      </w:pPr>
      <w:r>
        <w:rPr>
          <w:rFonts w:ascii="Arial" w:cs="Arial" w:eastAsia="Arial" w:hAnsi="Arial"/>
          <w:sz w:val="20"/>
          <w:szCs w:val="20"/>
          <w:b w:val="1"/>
          <w:bCs w:val="1"/>
          <w:color w:val="auto"/>
        </w:rPr>
        <w:t>SIGNATURE</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Dated: January 6, 2010</w:t>
      </w: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STEPHEN A. WYNN</w:t>
      </w: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10160</wp:posOffset>
            </wp:positionV>
            <wp:extent cx="3944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Stephen A. Wynn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ELAINE P. WYNN</w:t>
      </w: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10160</wp:posOffset>
            </wp:positionV>
            <wp:extent cx="3944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360" w:right="599" w:bottom="1440" w:gutter="0" w:footer="0" w:header="0"/>
        </w:sectPr>
      </w:pPr>
    </w:p>
    <w:bookmarkStart w:id="7" w:name="page8"/>
    <w:bookmarkEnd w:id="7"/>
    <w:p>
      <w:pPr>
        <w:jc w:val="center"/>
        <w:ind w:right="-199"/>
        <w:spacing w:after="0"/>
        <w:rPr>
          <w:sz w:val="20"/>
          <w:szCs w:val="20"/>
          <w:color w:val="auto"/>
        </w:rPr>
      </w:pPr>
      <w:r>
        <w:rPr>
          <w:rFonts w:ascii="Arial" w:cs="Arial" w:eastAsia="Arial" w:hAnsi="Arial"/>
          <w:sz w:val="20"/>
          <w:szCs w:val="20"/>
          <w:b w:val="1"/>
          <w:bCs w:val="1"/>
          <w:color w:val="auto"/>
        </w:rPr>
        <w:t>EXHIBIT INDEX</w:t>
      </w:r>
    </w:p>
    <w:p>
      <w:pPr>
        <w:spacing w:after="0" w:line="249"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color w:val="auto"/>
        </w:rPr>
        <w:t>Exhibit</w:t>
      </w:r>
      <w:r>
        <w:rPr>
          <w:sz w:val="20"/>
          <w:szCs w:val="20"/>
          <w:color w:val="auto"/>
        </w:rPr>
        <w:tab/>
      </w:r>
      <w:r>
        <w:rPr>
          <w:rFonts w:ascii="Arial" w:cs="Arial" w:eastAsia="Arial" w:hAnsi="Arial"/>
          <w:sz w:val="20"/>
          <w:szCs w:val="20"/>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1160" w:right="80" w:hanging="1152"/>
        <w:spacing w:after="0" w:line="260" w:lineRule="auto"/>
        <w:tabs>
          <w:tab w:leader="none" w:pos="11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Amended and Restated Stockholders Agreement, dated January 6, 2010, by and among Stephen A. Wynn, Elaine P. Wynn and Aruze USA, Inc.</w:t>
      </w:r>
    </w:p>
    <w:p>
      <w:pPr>
        <w:spacing w:after="0" w:line="177" w:lineRule="exact"/>
        <w:rPr>
          <w:sz w:val="20"/>
          <w:szCs w:val="20"/>
          <w:color w:val="auto"/>
        </w:rPr>
      </w:pPr>
    </w:p>
    <w:p>
      <w:pPr>
        <w:ind w:left="1160" w:hanging="1152"/>
        <w:spacing w:after="0" w:line="250" w:lineRule="auto"/>
        <w:tabs>
          <w:tab w:leader="none" w:pos="11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Joint Filing Agreement, dated April 21, 2003, between Stephen A. Wynn and Elaine P. Wynn (previously filed as Exhibit (g) to the Schedule 13D/A of Stephen A. Wynn and Elaine P. Wynn, Commission File No. 005-78590, filed on April 21, 2003 and incorporated herein by reference).</w:t>
      </w:r>
    </w:p>
    <w:p>
      <w:pPr>
        <w:sectPr>
          <w:pgSz w:w="11900" w:h="16838" w:orient="portrait"/>
          <w:cols w:equalWidth="0" w:num="1">
            <w:col w:w="11240"/>
          </w:cols>
          <w:pgMar w:left="240" w:top="346" w:right="41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STOCKHOLDERS AGREEMENT</w:t>
      </w:r>
    </w:p>
    <w:p>
      <w:pPr>
        <w:spacing w:after="0" w:line="209" w:lineRule="exact"/>
        <w:rPr>
          <w:sz w:val="20"/>
          <w:szCs w:val="20"/>
          <w:color w:val="auto"/>
        </w:rPr>
      </w:pPr>
    </w:p>
    <w:p>
      <w:pPr>
        <w:jc w:val="both"/>
        <w:ind w:right="340" w:firstLine="648"/>
        <w:spacing w:after="0" w:line="216" w:lineRule="auto"/>
        <w:rPr>
          <w:sz w:val="20"/>
          <w:szCs w:val="20"/>
          <w:color w:val="auto"/>
        </w:rPr>
      </w:pPr>
      <w:r>
        <w:rPr>
          <w:rFonts w:ascii="Arial" w:cs="Arial" w:eastAsia="Arial" w:hAnsi="Arial"/>
          <w:sz w:val="22"/>
          <w:szCs w:val="22"/>
          <w:color w:val="auto"/>
        </w:rPr>
        <w:t xml:space="preserve">This Amended and Restated Stockholders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as of the 6</w:t>
      </w:r>
      <w:r>
        <w:rPr>
          <w:rFonts w:ascii="Arial" w:cs="Arial" w:eastAsia="Arial" w:hAnsi="Arial"/>
          <w:sz w:val="30"/>
          <w:szCs w:val="30"/>
          <w:color w:val="auto"/>
          <w:vertAlign w:val="superscript"/>
        </w:rPr>
        <w:t>th</w:t>
      </w:r>
      <w:r>
        <w:rPr>
          <w:rFonts w:ascii="Arial" w:cs="Arial" w:eastAsia="Arial" w:hAnsi="Arial"/>
          <w:sz w:val="22"/>
          <w:szCs w:val="22"/>
          <w:color w:val="auto"/>
        </w:rPr>
        <w:t xml:space="preserve"> day of January, 2010, by and among Stephen A. Wynn (</w:t>
      </w:r>
      <w:r>
        <w:rPr>
          <w:rFonts w:ascii="Arial" w:cs="Arial" w:eastAsia="Arial" w:hAnsi="Arial"/>
          <w:sz w:val="22"/>
          <w:szCs w:val="22"/>
          <w:b w:val="1"/>
          <w:bCs w:val="1"/>
          <w:color w:val="auto"/>
        </w:rPr>
        <w:t>"SAW"</w:t>
      </w:r>
      <w:r>
        <w:rPr>
          <w:rFonts w:ascii="Arial" w:cs="Arial" w:eastAsia="Arial" w:hAnsi="Arial"/>
          <w:sz w:val="22"/>
          <w:szCs w:val="22"/>
          <w:color w:val="auto"/>
        </w:rPr>
        <w:t>), an individual, Elaine P. Wynn (</w:t>
      </w:r>
      <w:r>
        <w:rPr>
          <w:rFonts w:ascii="Arial" w:cs="Arial" w:eastAsia="Arial" w:hAnsi="Arial"/>
          <w:sz w:val="22"/>
          <w:szCs w:val="22"/>
          <w:b w:val="1"/>
          <w:bCs w:val="1"/>
          <w:color w:val="auto"/>
        </w:rPr>
        <w:t>“EW”</w:t>
      </w:r>
      <w:r>
        <w:rPr>
          <w:rFonts w:ascii="Arial" w:cs="Arial" w:eastAsia="Arial" w:hAnsi="Arial"/>
          <w:sz w:val="22"/>
          <w:szCs w:val="22"/>
          <w:color w:val="auto"/>
        </w:rPr>
        <w:t>), an individual, and Aruze USA, Inc., a Nevada corporation (</w:t>
      </w:r>
      <w:r>
        <w:rPr>
          <w:rFonts w:ascii="Arial" w:cs="Arial" w:eastAsia="Arial" w:hAnsi="Arial"/>
          <w:sz w:val="22"/>
          <w:szCs w:val="22"/>
          <w:b w:val="1"/>
          <w:bCs w:val="1"/>
          <w:color w:val="auto"/>
        </w:rPr>
        <w:t>"Aruze"</w:t>
      </w:r>
      <w:r>
        <w:rPr>
          <w:rFonts w:ascii="Arial" w:cs="Arial" w:eastAsia="Arial" w:hAnsi="Arial"/>
          <w:sz w:val="22"/>
          <w:szCs w:val="22"/>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33"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color w:val="auto"/>
        </w:rPr>
        <w:t>WHEREAS, SAW, Baron Asset Fund (“Baron”) and Aruze entered into that certain Stockholders Agreement as of April 2002, which Stockholders Agreement was amended by that certain Amendment to Stockholders Agreement dated as of November 8, 2006, Waiver and Consent dated as of July 31, 2009, and Waiver and Consent dated as of August 13, 2009 (the “Existing Agreement”);</w:t>
      </w:r>
    </w:p>
    <w:p>
      <w:pPr>
        <w:spacing w:after="0" w:line="212" w:lineRule="exact"/>
        <w:rPr>
          <w:sz w:val="20"/>
          <w:szCs w:val="20"/>
          <w:color w:val="auto"/>
        </w:rPr>
      </w:pPr>
    </w:p>
    <w:p>
      <w:pPr>
        <w:ind w:right="200" w:firstLine="648"/>
        <w:spacing w:after="0" w:line="251" w:lineRule="auto"/>
        <w:rPr>
          <w:sz w:val="20"/>
          <w:szCs w:val="20"/>
          <w:color w:val="auto"/>
        </w:rPr>
      </w:pPr>
      <w:r>
        <w:rPr>
          <w:rFonts w:ascii="Arial" w:cs="Arial" w:eastAsia="Arial" w:hAnsi="Arial"/>
          <w:sz w:val="22"/>
          <w:szCs w:val="22"/>
          <w:color w:val="auto"/>
        </w:rPr>
        <w:t>WHEREAS, SAW has agreed to transfer to EW, 11,076,709 (the “EW Shares”) shares of common stock of Wynn Resorts, Limited (“Wynn”) as permitted by the Existing Agreement;</w:t>
      </w:r>
    </w:p>
    <w:p>
      <w:pPr>
        <w:spacing w:after="0" w:line="200" w:lineRule="exact"/>
        <w:rPr>
          <w:sz w:val="20"/>
          <w:szCs w:val="20"/>
          <w:color w:val="auto"/>
        </w:rPr>
      </w:pPr>
    </w:p>
    <w:p>
      <w:pPr>
        <w:ind w:right="660" w:firstLine="648"/>
        <w:spacing w:after="0" w:line="251" w:lineRule="auto"/>
        <w:rPr>
          <w:sz w:val="20"/>
          <w:szCs w:val="20"/>
          <w:color w:val="auto"/>
        </w:rPr>
      </w:pPr>
      <w:r>
        <w:rPr>
          <w:rFonts w:ascii="Arial" w:cs="Arial" w:eastAsia="Arial" w:hAnsi="Arial"/>
          <w:sz w:val="22"/>
          <w:szCs w:val="22"/>
          <w:color w:val="auto"/>
        </w:rPr>
        <w:t>WHEREAS, pursuant to the terms of the Existing Agreement, EW is to become a party to the Existing Agreement in connection with her ownership of the EW Shares; and</w:t>
      </w:r>
    </w:p>
    <w:p>
      <w:pPr>
        <w:spacing w:after="0" w:line="200"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WHEREAS, the parties have agreed to further amend the terms of the Existing Agreement and have agreed to amend and restate the terms and provisions of the Existing Agreement as provided herein.</w:t>
      </w:r>
    </w:p>
    <w:p>
      <w:pPr>
        <w:spacing w:after="0" w:line="200" w:lineRule="exact"/>
        <w:rPr>
          <w:sz w:val="20"/>
          <w:szCs w:val="20"/>
          <w:color w:val="auto"/>
        </w:rPr>
      </w:pPr>
    </w:p>
    <w:p>
      <w:pPr>
        <w:ind w:right="560" w:firstLine="648"/>
        <w:spacing w:after="0" w:line="251" w:lineRule="auto"/>
        <w:rPr>
          <w:sz w:val="20"/>
          <w:szCs w:val="20"/>
          <w:color w:val="auto"/>
        </w:rPr>
      </w:pPr>
      <w:r>
        <w:rPr>
          <w:rFonts w:ascii="Arial" w:cs="Arial" w:eastAsia="Arial" w:hAnsi="Arial"/>
          <w:sz w:val="22"/>
          <w:szCs w:val="22"/>
          <w:color w:val="auto"/>
        </w:rPr>
        <w:t>NOW, THEREFORE, in consideration of the foregoing and the agreements set forth below, the parties hereto agree as follows:</w:t>
      </w:r>
    </w:p>
    <w:p>
      <w:pPr>
        <w:spacing w:after="0" w:line="20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w:t>
      </w:r>
    </w:p>
    <w:p>
      <w:pPr>
        <w:spacing w:after="0" w:line="233" w:lineRule="exact"/>
        <w:rPr>
          <w:rFonts w:ascii="Arial" w:cs="Arial" w:eastAsia="Arial" w:hAnsi="Arial"/>
          <w:sz w:val="22"/>
          <w:szCs w:val="22"/>
          <w:color w:val="auto"/>
        </w:rPr>
      </w:pPr>
    </w:p>
    <w:p>
      <w:pPr>
        <w:ind w:left="1300" w:right="600" w:hanging="644"/>
        <w:spacing w:after="0" w:line="251" w:lineRule="auto"/>
        <w:tabs>
          <w:tab w:leader="none" w:pos="13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"Affiliate" of any Person means another Person that directly or indirectly, through one or more intermediaries, controls, is controlled by, or is under common control with, such first Person.</w:t>
      </w:r>
    </w:p>
    <w:p>
      <w:pPr>
        <w:spacing w:after="0" w:line="200" w:lineRule="exact"/>
        <w:rPr>
          <w:rFonts w:ascii="Arial" w:cs="Arial" w:eastAsia="Arial" w:hAnsi="Arial"/>
          <w:sz w:val="22"/>
          <w:szCs w:val="22"/>
          <w:color w:val="auto"/>
        </w:rPr>
      </w:pPr>
    </w:p>
    <w:p>
      <w:pPr>
        <w:ind w:left="1300" w:right="360" w:hanging="644"/>
        <w:spacing w:after="0"/>
        <w:tabs>
          <w:tab w:leader="none" w:pos="13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"Aruze Parent" means Universal Entertainment Corporation (formerly known as Aruze Corp.), a Japanese public corporation, of which Kazuo Okada is Chairman of the Board and, together with his family members, a 67.5% shareholder.</w:t>
      </w:r>
    </w:p>
    <w:p>
      <w:pPr>
        <w:spacing w:after="0" w:line="213" w:lineRule="exact"/>
        <w:rPr>
          <w:rFonts w:ascii="Arial" w:cs="Arial" w:eastAsia="Arial" w:hAnsi="Arial"/>
          <w:sz w:val="22"/>
          <w:szCs w:val="22"/>
          <w:color w:val="auto"/>
        </w:rPr>
      </w:pPr>
    </w:p>
    <w:p>
      <w:pPr>
        <w:ind w:left="1300" w:right="400" w:hanging="644"/>
        <w:spacing w:after="0" w:line="271" w:lineRule="auto"/>
        <w:tabs>
          <w:tab w:leader="none" w:pos="1300"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"Bankruptcy" means, and a Stockholder shall be referred to as a "Bankrupt Stockholder" upon, (a) the entry of a decree or order for relief against such Stockholder, by a court of competent jurisdiction in any voluntary or involuntary case brought against the Stockholder under any bankruptcy, insolvency or similar law (collectively, </w:t>
      </w:r>
      <w:r>
        <w:rPr>
          <w:rFonts w:ascii="Arial" w:cs="Arial" w:eastAsia="Arial" w:hAnsi="Arial"/>
          <w:sz w:val="19"/>
          <w:szCs w:val="19"/>
          <w:b w:val="1"/>
          <w:bCs w:val="1"/>
          <w:color w:val="auto"/>
        </w:rPr>
        <w:t>"Debtor Relief Laws"</w:t>
      </w:r>
      <w:r>
        <w:rPr>
          <w:rFonts w:ascii="Arial" w:cs="Arial" w:eastAsia="Arial" w:hAnsi="Arial"/>
          <w:sz w:val="19"/>
          <w:szCs w:val="19"/>
          <w:color w:val="auto"/>
        </w:rPr>
        <w:t>) generally affecting the right of creditors and relief of debtors now or hereafter in effect;</w:t>
      </w:r>
    </w:p>
    <w:p>
      <w:pPr>
        <w:spacing w:after="0" w:line="3"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(b) the appointment of a receiver, liquidator, assignee, 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 w:name="page10"/>
    <w:bookmarkEnd w:id="9"/>
    <w:p>
      <w:pPr>
        <w:ind w:left="644" w:right="140"/>
        <w:spacing w:after="0" w:line="274" w:lineRule="auto"/>
        <w:rPr>
          <w:sz w:val="20"/>
          <w:szCs w:val="20"/>
          <w:color w:val="auto"/>
        </w:rPr>
      </w:pPr>
      <w:r>
        <w:rPr>
          <w:rFonts w:ascii="Arial" w:cs="Arial" w:eastAsia="Arial" w:hAnsi="Arial"/>
          <w:sz w:val="19"/>
          <w:szCs w:val="19"/>
          <w:color w:val="auto"/>
        </w:rPr>
        <w:t>trustee, sequestrator or other similar agent under applicable Debtor Relief Laws for such Stockholder or for any substantial part of such Stockholder's assets or property; (c) the ordering of the winding up or liquidation of such Stockholder's affairs; (d) the filing of a voluntary petition in bankruptcy by such Stockholder or the filing of an involuntary petition against such Stockholder, which petition is not dismissed within a period of 180 days; (e) the consent by such Stockholder to the entry of an order for relief in a voluntary or involuntary case under any Debtor Relief Laws or to the appointment of, or the taking of any possession by, a receiver, liquidator, assignee, trustee, custodian, sequestrator or other similar agent under any applicable Debtor Relief Laws for such Stockholder or for any substantial part of such Stockholder's assets or property; or (f) the making by such Stockholder of any general assignment for the benefit of such Stockholder's creditors.</w:t>
      </w:r>
    </w:p>
    <w:p>
      <w:pPr>
        <w:spacing w:after="0" w:line="186" w:lineRule="exact"/>
        <w:rPr>
          <w:sz w:val="20"/>
          <w:szCs w:val="20"/>
          <w:color w:val="auto"/>
        </w:rPr>
      </w:pPr>
    </w:p>
    <w:p>
      <w:pPr>
        <w:ind w:left="644" w:right="60" w:hanging="644"/>
        <w:spacing w:after="0" w:line="279" w:lineRule="auto"/>
        <w:tabs>
          <w:tab w:leader="none" w:pos="644"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"Beneficially Own" or "Beneficial Ownership" with respect to any securities shall mean having "beneficial ownership" of such securities (as determined pursuant to Rule 13d-3 under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including pursuant to any agreement, arrangement or understanding, whether or not in writing. Without duplicative counting of the same securities by the same holder, securities Beneficially Owned by a Person shall include securities Beneficially Owned by all other Persons who together with such Person would constitute a "group" within the meaning of Section 13(d)(3) of the Exchange Act.</w:t>
      </w:r>
    </w:p>
    <w:p>
      <w:pPr>
        <w:spacing w:after="0" w:line="177" w:lineRule="exact"/>
        <w:rPr>
          <w:rFonts w:ascii="Arial" w:cs="Arial" w:eastAsia="Arial" w:hAnsi="Arial"/>
          <w:sz w:val="19"/>
          <w:szCs w:val="19"/>
          <w:color w:val="auto"/>
        </w:rPr>
      </w:pPr>
    </w:p>
    <w:p>
      <w:pPr>
        <w:ind w:left="644" w:right="320" w:hanging="644"/>
        <w:spacing w:after="0" w:line="251" w:lineRule="auto"/>
        <w:tabs>
          <w:tab w:leader="none" w:pos="644" w:val="left"/>
        </w:tabs>
        <w:numPr>
          <w:ilvl w:val="0"/>
          <w:numId w:val="16"/>
        </w:numPr>
        <w:rPr>
          <w:rFonts w:ascii="Arial" w:cs="Arial" w:eastAsia="Arial" w:hAnsi="Arial"/>
          <w:sz w:val="22"/>
          <w:szCs w:val="22"/>
          <w:color w:val="auto"/>
        </w:rPr>
      </w:pPr>
      <w:r>
        <w:rPr>
          <w:rFonts w:ascii="Arial" w:cs="Arial" w:eastAsia="Arial" w:hAnsi="Arial"/>
          <w:sz w:val="22"/>
          <w:szCs w:val="22"/>
          <w:color w:val="auto"/>
        </w:rPr>
        <w:t>"Designated Stockholders" means SAW, EW, Aruze, any additional Persons made a party to this Agreement and Permitted Transferees of any such Person and their Permitted Transferees.</w:t>
      </w:r>
    </w:p>
    <w:p>
      <w:pPr>
        <w:spacing w:after="0" w:line="200" w:lineRule="exact"/>
        <w:rPr>
          <w:rFonts w:ascii="Arial" w:cs="Arial" w:eastAsia="Arial" w:hAnsi="Arial"/>
          <w:sz w:val="22"/>
          <w:szCs w:val="22"/>
          <w:color w:val="auto"/>
        </w:rPr>
      </w:pPr>
    </w:p>
    <w:p>
      <w:pPr>
        <w:ind w:left="644" w:hanging="644"/>
        <w:spacing w:after="0" w:line="274" w:lineRule="auto"/>
        <w:tabs>
          <w:tab w:leader="none" w:pos="644" w:val="left"/>
        </w:tabs>
        <w:numPr>
          <w:ilvl w:val="0"/>
          <w:numId w:val="16"/>
        </w:numPr>
        <w:rPr>
          <w:rFonts w:ascii="Arial" w:cs="Arial" w:eastAsia="Arial" w:hAnsi="Arial"/>
          <w:sz w:val="19"/>
          <w:szCs w:val="19"/>
          <w:color w:val="auto"/>
        </w:rPr>
      </w:pPr>
      <w:r>
        <w:rPr>
          <w:rFonts w:ascii="Arial" w:cs="Arial" w:eastAsia="Arial" w:hAnsi="Arial"/>
          <w:sz w:val="19"/>
          <w:szCs w:val="19"/>
          <w:color w:val="auto"/>
        </w:rPr>
        <w:t>"Fair Market Value" means, with respect to each Share of any class or series for any day, (i) the closing price on the principal national securities exchange on which such Shares are listed or admitted for trading, in either case as reported by Bloomberg Financial Markets (</w:t>
      </w:r>
      <w:r>
        <w:rPr>
          <w:rFonts w:ascii="Arial" w:cs="Arial" w:eastAsia="Arial" w:hAnsi="Arial"/>
          <w:sz w:val="19"/>
          <w:szCs w:val="19"/>
          <w:b w:val="1"/>
          <w:bCs w:val="1"/>
          <w:color w:val="auto"/>
        </w:rPr>
        <w:t>"Bloomberg"</w:t>
      </w:r>
      <w:r>
        <w:rPr>
          <w:rFonts w:ascii="Arial" w:cs="Arial" w:eastAsia="Arial" w:hAnsi="Arial"/>
          <w:sz w:val="19"/>
          <w:szCs w:val="19"/>
          <w:color w:val="auto"/>
        </w:rPr>
        <w:t>) or The Wall Street Journal if Bloomberg is no longer reporting such information, or a similar service if Bloomberg and The Wall Street Journal are no longer reporting such information or (ii) if such Shares are not listed or admitted for trading on any national securities exchange, the last reported sale price or, in case no such sale takes place on such day, the average of the highest reported bid and the lowest reported asked quotation for such class or series of Shares, in either case as reported by Bloomberg or The Wall Street Journal if Bloomberg is no longer reporting such information, or a similar service if Bloomberg and The Wall Street Journal are no longer reporting such information.</w:t>
      </w:r>
    </w:p>
    <w:p>
      <w:pPr>
        <w:spacing w:after="0" w:line="185" w:lineRule="exact"/>
        <w:rPr>
          <w:rFonts w:ascii="Arial" w:cs="Arial" w:eastAsia="Arial" w:hAnsi="Arial"/>
          <w:sz w:val="19"/>
          <w:szCs w:val="19"/>
          <w:color w:val="auto"/>
        </w:rPr>
      </w:pPr>
    </w:p>
    <w:p>
      <w:pPr>
        <w:ind w:left="644" w:right="240" w:hanging="644"/>
        <w:spacing w:after="0"/>
        <w:tabs>
          <w:tab w:leader="none" w:pos="644" w:val="left"/>
        </w:tabs>
        <w:numPr>
          <w:ilvl w:val="0"/>
          <w:numId w:val="16"/>
        </w:numPr>
        <w:rPr>
          <w:rFonts w:ascii="Arial" w:cs="Arial" w:eastAsia="Arial" w:hAnsi="Arial"/>
          <w:sz w:val="22"/>
          <w:szCs w:val="22"/>
          <w:color w:val="auto"/>
        </w:rPr>
      </w:pPr>
      <w:r>
        <w:rPr>
          <w:rFonts w:ascii="Arial" w:cs="Arial" w:eastAsia="Arial" w:hAnsi="Arial"/>
          <w:sz w:val="22"/>
          <w:szCs w:val="22"/>
          <w:color w:val="auto"/>
        </w:rPr>
        <w:t>"Gaming Authority" means those federal, state and local governmental, regulatory and administrative authorities, agencies, boards and officials responsible for or involved in the regulation of gaming or gaming activities in any jurisdiction and, within the State of Nevada, specifically, the Nevada</w:t>
      </w:r>
    </w:p>
    <w:p>
      <w:pPr>
        <w:spacing w:after="0" w:line="213" w:lineRule="exact"/>
        <w:rPr>
          <w:rFonts w:ascii="Arial" w:cs="Arial" w:eastAsia="Arial" w:hAnsi="Arial"/>
          <w:sz w:val="22"/>
          <w:szCs w:val="22"/>
          <w:color w:val="auto"/>
        </w:rPr>
      </w:pPr>
    </w:p>
    <w:p>
      <w:pPr>
        <w:ind w:left="4944" w:hanging="129"/>
        <w:spacing w:after="0"/>
        <w:tabs>
          <w:tab w:leader="none" w:pos="4944" w:val="left"/>
        </w:tabs>
        <w:numPr>
          <w:ilvl w:val="1"/>
          <w:numId w:val="16"/>
        </w:numPr>
        <w:rPr>
          <w:rFonts w:ascii="Arial" w:cs="Arial" w:eastAsia="Arial" w:hAnsi="Arial"/>
          <w:sz w:val="22"/>
          <w:szCs w:val="22"/>
          <w:color w:val="auto"/>
        </w:rPr>
      </w:pPr>
      <w:r>
        <w:rPr>
          <w:rFonts w:ascii="Arial" w:cs="Arial" w:eastAsia="Arial" w:hAnsi="Arial"/>
          <w:sz w:val="22"/>
          <w:szCs w:val="22"/>
          <w:color w:val="auto"/>
        </w:rPr>
        <w:t>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4"/>
          </w:cols>
          <w:pgMar w:left="896" w:top="361" w:right="319" w:bottom="1440" w:gutter="0" w:footer="0" w:header="0"/>
        </w:sectPr>
      </w:pPr>
    </w:p>
    <w:bookmarkStart w:id="10" w:name="page11"/>
    <w:bookmarkEnd w:id="10"/>
    <w:p>
      <w:pPr>
        <w:ind w:left="644"/>
        <w:spacing w:after="0" w:line="251" w:lineRule="auto"/>
        <w:rPr>
          <w:sz w:val="20"/>
          <w:szCs w:val="20"/>
          <w:color w:val="auto"/>
        </w:rPr>
      </w:pPr>
      <w:r>
        <w:rPr>
          <w:rFonts w:ascii="Arial" w:cs="Arial" w:eastAsia="Arial" w:hAnsi="Arial"/>
          <w:sz w:val="22"/>
          <w:szCs w:val="22"/>
          <w:color w:val="auto"/>
        </w:rPr>
        <w:t>Gaming Commission, the Nevada State Gaming Control Board, and the Clark County Liquor and Gaming Licensing Board.</w:t>
      </w:r>
    </w:p>
    <w:p>
      <w:pPr>
        <w:spacing w:after="0" w:line="200" w:lineRule="exact"/>
        <w:rPr>
          <w:sz w:val="20"/>
          <w:szCs w:val="20"/>
          <w:color w:val="auto"/>
        </w:rPr>
      </w:pPr>
    </w:p>
    <w:p>
      <w:pPr>
        <w:ind w:left="644" w:right="200" w:hanging="644"/>
        <w:spacing w:after="0" w:line="236" w:lineRule="auto"/>
        <w:tabs>
          <w:tab w:leader="none" w:pos="644" w:val="left"/>
        </w:tabs>
        <w:numPr>
          <w:ilvl w:val="0"/>
          <w:numId w:val="17"/>
        </w:numPr>
        <w:rPr>
          <w:rFonts w:ascii="Arial" w:cs="Arial" w:eastAsia="Arial" w:hAnsi="Arial"/>
          <w:sz w:val="22"/>
          <w:szCs w:val="22"/>
          <w:color w:val="auto"/>
        </w:rPr>
      </w:pPr>
      <w:r>
        <w:rPr>
          <w:rFonts w:ascii="Arial" w:cs="Arial" w:eastAsia="Arial" w:hAnsi="Arial"/>
          <w:sz w:val="22"/>
          <w:szCs w:val="22"/>
          <w:color w:val="auto"/>
        </w:rPr>
        <w:t>"Gaming Laws" means those laws pursuant to which any Gaming Authority possesses regulatory, licensing or permit authority over gaming within any jurisdiction and, within the State of Nevada, specifically, the Nevada Gaming Control Act, as codified in NRS Chapter 463, as amended from time to time, and the regulations of the Nevada Gaming Commission promulgated thereunder, as amended from time to time, and the Clark County Code, as amended from time to time.</w:t>
      </w:r>
    </w:p>
    <w:p>
      <w:pPr>
        <w:spacing w:after="0" w:line="214" w:lineRule="exact"/>
        <w:rPr>
          <w:rFonts w:ascii="Arial" w:cs="Arial" w:eastAsia="Arial" w:hAnsi="Arial"/>
          <w:sz w:val="22"/>
          <w:szCs w:val="22"/>
          <w:color w:val="auto"/>
        </w:rPr>
      </w:pPr>
    </w:p>
    <w:p>
      <w:pPr>
        <w:ind w:left="644" w:right="380" w:hanging="644"/>
        <w:spacing w:after="0"/>
        <w:tabs>
          <w:tab w:leader="none" w:pos="644" w:val="left"/>
        </w:tabs>
        <w:numPr>
          <w:ilvl w:val="0"/>
          <w:numId w:val="17"/>
        </w:numPr>
        <w:rPr>
          <w:rFonts w:ascii="Arial" w:cs="Arial" w:eastAsia="Arial" w:hAnsi="Arial"/>
          <w:sz w:val="22"/>
          <w:szCs w:val="22"/>
          <w:color w:val="auto"/>
        </w:rPr>
      </w:pPr>
      <w:r>
        <w:rPr>
          <w:rFonts w:ascii="Arial" w:cs="Arial" w:eastAsia="Arial" w:hAnsi="Arial"/>
          <w:sz w:val="22"/>
          <w:szCs w:val="22"/>
          <w:color w:val="auto"/>
        </w:rPr>
        <w:t>"Gaming Licenses" means all licenses, permits, approvals, authorizations, registrations, findings of suitability, franchises and entitlements issued by any Gaming Authority necessary for or relating to the conduct of activities under the Gaming Laws.</w:t>
      </w:r>
    </w:p>
    <w:p>
      <w:pPr>
        <w:spacing w:after="0" w:line="213" w:lineRule="exact"/>
        <w:rPr>
          <w:rFonts w:ascii="Arial" w:cs="Arial" w:eastAsia="Arial" w:hAnsi="Arial"/>
          <w:sz w:val="22"/>
          <w:szCs w:val="22"/>
          <w:color w:val="auto"/>
        </w:rPr>
      </w:pPr>
    </w:p>
    <w:p>
      <w:pPr>
        <w:ind w:left="644" w:right="320" w:hanging="644"/>
        <w:spacing w:after="0" w:line="249" w:lineRule="auto"/>
        <w:tabs>
          <w:tab w:leader="none" w:pos="644" w:val="left"/>
        </w:tabs>
        <w:numPr>
          <w:ilvl w:val="0"/>
          <w:numId w:val="17"/>
        </w:numPr>
        <w:rPr>
          <w:rFonts w:ascii="Arial" w:cs="Arial" w:eastAsia="Arial" w:hAnsi="Arial"/>
          <w:sz w:val="21"/>
          <w:szCs w:val="21"/>
          <w:color w:val="auto"/>
        </w:rPr>
      </w:pPr>
      <w:r>
        <w:rPr>
          <w:rFonts w:ascii="Arial" w:cs="Arial" w:eastAsia="Arial" w:hAnsi="Arial"/>
          <w:sz w:val="21"/>
          <w:szCs w:val="21"/>
          <w:color w:val="auto"/>
        </w:rPr>
        <w:t>"Gaming Problem" means any circumstances that are deemed likely, in the sole and absolute discretion of SAW, based on verifiable information or information received from any Gaming Authority or otherwise, to preclude or materially delay, impede or impair the ability of Wynn or any subsidiary of Wynn to obtain or retain any Gaming Licenses, or to result in any disciplinary action, including without limitation the imposition of materially burdensome terms and conditions on any such Gaming License.</w:t>
      </w:r>
    </w:p>
    <w:p>
      <w:pPr>
        <w:spacing w:after="0" w:line="205" w:lineRule="exact"/>
        <w:rPr>
          <w:rFonts w:ascii="Arial" w:cs="Arial" w:eastAsia="Arial" w:hAnsi="Arial"/>
          <w:sz w:val="21"/>
          <w:szCs w:val="21"/>
          <w:color w:val="auto"/>
        </w:rPr>
      </w:pPr>
    </w:p>
    <w:p>
      <w:pPr>
        <w:ind w:left="644" w:right="40" w:hanging="644"/>
        <w:spacing w:after="0" w:line="238" w:lineRule="auto"/>
        <w:tabs>
          <w:tab w:leader="none" w:pos="644"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"Independent Qualified Appraiser" means an independent outside qualified appraiser appointed by Wynn to determine the fair market value of certain Shares or Wynn itself, in all cases considering Wynn as a going concern. Any determination by an Independent Qualified Appraiser as to fair market value shall be binding upon all parties.</w:t>
      </w:r>
    </w:p>
    <w:p>
      <w:pPr>
        <w:spacing w:after="0" w:line="212" w:lineRule="exact"/>
        <w:rPr>
          <w:rFonts w:ascii="Arial" w:cs="Arial" w:eastAsia="Arial" w:hAnsi="Arial"/>
          <w:sz w:val="22"/>
          <w:szCs w:val="22"/>
          <w:color w:val="auto"/>
        </w:rPr>
      </w:pPr>
    </w:p>
    <w:p>
      <w:pPr>
        <w:ind w:left="644" w:right="460" w:hanging="644"/>
        <w:spacing w:after="0" w:line="251" w:lineRule="auto"/>
        <w:tabs>
          <w:tab w:leader="none" w:pos="644" w:val="left"/>
        </w:tabs>
        <w:numPr>
          <w:ilvl w:val="0"/>
          <w:numId w:val="17"/>
        </w:numPr>
        <w:rPr>
          <w:rFonts w:ascii="Arial" w:cs="Arial" w:eastAsia="Arial" w:hAnsi="Arial"/>
          <w:sz w:val="22"/>
          <w:szCs w:val="22"/>
          <w:color w:val="auto"/>
        </w:rPr>
      </w:pPr>
      <w:r>
        <w:rPr>
          <w:rFonts w:ascii="Arial" w:cs="Arial" w:eastAsia="Arial" w:hAnsi="Arial"/>
          <w:sz w:val="22"/>
          <w:szCs w:val="22"/>
          <w:color w:val="auto"/>
        </w:rPr>
        <w:t>“Non-Compete Termination Date” means the date upon which SAW and EW have sold substantially all of their respective Shares.</w:t>
      </w:r>
    </w:p>
    <w:p>
      <w:pPr>
        <w:spacing w:after="0" w:line="200" w:lineRule="exact"/>
        <w:rPr>
          <w:rFonts w:ascii="Arial" w:cs="Arial" w:eastAsia="Arial" w:hAnsi="Arial"/>
          <w:sz w:val="22"/>
          <w:szCs w:val="22"/>
          <w:color w:val="auto"/>
        </w:rPr>
      </w:pPr>
    </w:p>
    <w:p>
      <w:pPr>
        <w:ind w:left="644" w:hanging="644"/>
        <w:spacing w:after="0"/>
        <w:tabs>
          <w:tab w:leader="none" w:pos="644" w:val="left"/>
        </w:tabs>
        <w:numPr>
          <w:ilvl w:val="0"/>
          <w:numId w:val="17"/>
        </w:numPr>
        <w:rPr>
          <w:rFonts w:ascii="Arial" w:cs="Arial" w:eastAsia="Arial" w:hAnsi="Arial"/>
          <w:sz w:val="22"/>
          <w:szCs w:val="22"/>
          <w:color w:val="auto"/>
        </w:rPr>
      </w:pPr>
      <w:r>
        <w:rPr>
          <w:rFonts w:ascii="Arial" w:cs="Arial" w:eastAsia="Arial" w:hAnsi="Arial"/>
          <w:sz w:val="22"/>
          <w:szCs w:val="22"/>
          <w:color w:val="auto"/>
        </w:rPr>
        <w:t>"NRS" means the Nevada Revised Statutes, as amended from time to time.</w:t>
      </w:r>
    </w:p>
    <w:p>
      <w:pPr>
        <w:spacing w:after="0" w:line="233" w:lineRule="exact"/>
        <w:rPr>
          <w:rFonts w:ascii="Arial" w:cs="Arial" w:eastAsia="Arial" w:hAnsi="Arial"/>
          <w:sz w:val="22"/>
          <w:szCs w:val="22"/>
          <w:color w:val="auto"/>
        </w:rPr>
      </w:pPr>
    </w:p>
    <w:p>
      <w:pPr>
        <w:ind w:left="644" w:right="580" w:hanging="644"/>
        <w:spacing w:after="0" w:line="251" w:lineRule="auto"/>
        <w:tabs>
          <w:tab w:leader="none" w:pos="644" w:val="left"/>
        </w:tabs>
        <w:numPr>
          <w:ilvl w:val="0"/>
          <w:numId w:val="17"/>
        </w:numPr>
        <w:rPr>
          <w:rFonts w:ascii="Arial" w:cs="Arial" w:eastAsia="Arial" w:hAnsi="Arial"/>
          <w:sz w:val="22"/>
          <w:szCs w:val="22"/>
          <w:color w:val="auto"/>
        </w:rPr>
      </w:pPr>
      <w:r>
        <w:rPr>
          <w:rFonts w:ascii="Arial" w:cs="Arial" w:eastAsia="Arial" w:hAnsi="Arial"/>
          <w:sz w:val="22"/>
          <w:szCs w:val="22"/>
          <w:color w:val="auto"/>
        </w:rPr>
        <w:t>"Percentage Interest" means, with respect to a specified Stockholder, the percentage computed by dividing the number of Shares held by such Stockholder by the Total Shares.</w:t>
      </w:r>
    </w:p>
    <w:p>
      <w:pPr>
        <w:spacing w:after="0" w:line="200" w:lineRule="exact"/>
        <w:rPr>
          <w:rFonts w:ascii="Arial" w:cs="Arial" w:eastAsia="Arial" w:hAnsi="Arial"/>
          <w:sz w:val="22"/>
          <w:szCs w:val="22"/>
          <w:color w:val="auto"/>
        </w:rPr>
      </w:pPr>
    </w:p>
    <w:p>
      <w:pPr>
        <w:ind w:left="644" w:hanging="644"/>
        <w:spacing w:after="0" w:line="235" w:lineRule="auto"/>
        <w:tabs>
          <w:tab w:leader="none" w:pos="644" w:val="left"/>
        </w:tabs>
        <w:numPr>
          <w:ilvl w:val="0"/>
          <w:numId w:val="17"/>
        </w:numPr>
        <w:rPr>
          <w:rFonts w:ascii="Arial" w:cs="Arial" w:eastAsia="Arial" w:hAnsi="Arial"/>
          <w:sz w:val="22"/>
          <w:szCs w:val="22"/>
          <w:color w:val="auto"/>
        </w:rPr>
      </w:pPr>
      <w:r>
        <w:rPr>
          <w:rFonts w:ascii="Arial" w:cs="Arial" w:eastAsia="Arial" w:hAnsi="Arial"/>
          <w:sz w:val="22"/>
          <w:szCs w:val="22"/>
          <w:color w:val="auto"/>
        </w:rPr>
        <w:t>"Permitted Transferee" means (a) Kazuo Okada; (b) an immediate family member of Kazuo Okada, EW or SAW; (c) a revocable, inter vivos trust of which Kazuo Okada, EW or SAW, or a family member of Kazuo Okada, EW or SAW is a beneficiary; (d) another Stockholder or an entity wholly owned by such Stockholder; or (e) if the Transfer is being made by Aruze, then in addition to the Permitted Transfers described in (a) through (d), any wholly-owned subsidiary of Aruze Parent where the Transfer has the effect of substituting a foreign corporation for Aruze with respect to all of Aruze’s Shares.</w:t>
      </w:r>
    </w:p>
    <w:p>
      <w:pPr>
        <w:spacing w:after="0" w:line="215" w:lineRule="exact"/>
        <w:rPr>
          <w:rFonts w:ascii="Arial" w:cs="Arial" w:eastAsia="Arial" w:hAnsi="Arial"/>
          <w:sz w:val="22"/>
          <w:szCs w:val="22"/>
          <w:color w:val="auto"/>
        </w:rPr>
      </w:pPr>
    </w:p>
    <w:p>
      <w:pPr>
        <w:ind w:left="4944" w:hanging="129"/>
        <w:spacing w:after="0"/>
        <w:tabs>
          <w:tab w:leader="none" w:pos="4944" w:val="left"/>
        </w:tabs>
        <w:numPr>
          <w:ilvl w:val="1"/>
          <w:numId w:val="17"/>
        </w:numPr>
        <w:rPr>
          <w:rFonts w:ascii="Arial" w:cs="Arial" w:eastAsia="Arial" w:hAnsi="Arial"/>
          <w:sz w:val="22"/>
          <w:szCs w:val="22"/>
          <w:color w:val="auto"/>
        </w:rPr>
      </w:pPr>
      <w:r>
        <w:rPr>
          <w:rFonts w:ascii="Arial" w:cs="Arial" w:eastAsia="Arial" w:hAnsi="Arial"/>
          <w:sz w:val="22"/>
          <w:szCs w:val="22"/>
          <w:color w:val="auto"/>
        </w:rPr>
        <w:t>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4"/>
          </w:cols>
          <w:pgMar w:left="896" w:top="361" w:right="259" w:bottom="1440" w:gutter="0" w:footer="0" w:header="0"/>
        </w:sectPr>
      </w:pPr>
    </w:p>
    <w:bookmarkStart w:id="11" w:name="page12"/>
    <w:bookmarkEnd w:id="11"/>
    <w:p>
      <w:pPr>
        <w:ind w:left="644" w:right="280" w:hanging="644"/>
        <w:spacing w:after="0" w:line="251" w:lineRule="auto"/>
        <w:tabs>
          <w:tab w:leader="none" w:pos="644" w:val="left"/>
        </w:tabs>
        <w:numPr>
          <w:ilvl w:val="0"/>
          <w:numId w:val="18"/>
        </w:numPr>
        <w:rPr>
          <w:rFonts w:ascii="Arial" w:cs="Arial" w:eastAsia="Arial" w:hAnsi="Arial"/>
          <w:sz w:val="22"/>
          <w:szCs w:val="22"/>
          <w:color w:val="auto"/>
        </w:rPr>
      </w:pPr>
      <w:r>
        <w:rPr>
          <w:rFonts w:ascii="Arial" w:cs="Arial" w:eastAsia="Arial" w:hAnsi="Arial"/>
          <w:sz w:val="22"/>
          <w:szCs w:val="22"/>
          <w:color w:val="auto"/>
        </w:rPr>
        <w:t>"Person" means an individual, corporation, limited liability company, partnership, joint venture, association, trust, unincorporated organization or other entity.</w:t>
      </w:r>
    </w:p>
    <w:p>
      <w:pPr>
        <w:spacing w:after="0" w:line="200" w:lineRule="exact"/>
        <w:rPr>
          <w:rFonts w:ascii="Arial" w:cs="Arial" w:eastAsia="Arial" w:hAnsi="Arial"/>
          <w:sz w:val="22"/>
          <w:szCs w:val="22"/>
          <w:color w:val="auto"/>
        </w:rPr>
      </w:pPr>
    </w:p>
    <w:p>
      <w:pPr>
        <w:ind w:left="644" w:hanging="644"/>
        <w:spacing w:after="0" w:line="271" w:lineRule="auto"/>
        <w:tabs>
          <w:tab w:leader="none" w:pos="644" w:val="left"/>
        </w:tabs>
        <w:numPr>
          <w:ilvl w:val="0"/>
          <w:numId w:val="18"/>
        </w:numPr>
        <w:rPr>
          <w:rFonts w:ascii="Arial" w:cs="Arial" w:eastAsia="Arial" w:hAnsi="Arial"/>
          <w:sz w:val="19"/>
          <w:szCs w:val="19"/>
          <w:color w:val="auto"/>
        </w:rPr>
      </w:pPr>
      <w:r>
        <w:rPr>
          <w:rFonts w:ascii="Arial" w:cs="Arial" w:eastAsia="Arial" w:hAnsi="Arial"/>
          <w:sz w:val="19"/>
          <w:szCs w:val="19"/>
          <w:color w:val="auto"/>
        </w:rPr>
        <w:t>"Prohibited Transferee" means (a) any owner, operator, or manager of, or Person primarily engaged in the business of owning or operating, a hotel, casino, or an internet or interactive gaming site, (b) any "non-profit" or "not-for-profit" corporation, association, trust, fund, foundation or other similar entity organized and operated exclusively for charitable purposes that qualifies as a tax-exempt entity under federal and state tax law or corresponding foreign law,</w:t>
      </w:r>
    </w:p>
    <w:p>
      <w:pPr>
        <w:spacing w:after="0" w:line="3" w:lineRule="exact"/>
        <w:rPr>
          <w:rFonts w:ascii="Arial" w:cs="Arial" w:eastAsia="Arial" w:hAnsi="Arial"/>
          <w:sz w:val="19"/>
          <w:szCs w:val="19"/>
          <w:color w:val="auto"/>
        </w:rPr>
      </w:pPr>
    </w:p>
    <w:p>
      <w:pPr>
        <w:ind w:left="644" w:right="100" w:firstLine="5"/>
        <w:spacing w:after="0" w:line="234" w:lineRule="auto"/>
        <w:tabs>
          <w:tab w:leader="none" w:pos="938" w:val="left"/>
        </w:tabs>
        <w:numPr>
          <w:ilvl w:val="1"/>
          <w:numId w:val="18"/>
        </w:numPr>
        <w:rPr>
          <w:rFonts w:ascii="Arial" w:cs="Arial" w:eastAsia="Arial" w:hAnsi="Arial"/>
          <w:sz w:val="22"/>
          <w:szCs w:val="22"/>
          <w:color w:val="auto"/>
        </w:rPr>
      </w:pPr>
      <w:r>
        <w:rPr>
          <w:rFonts w:ascii="Arial" w:cs="Arial" w:eastAsia="Arial" w:hAnsi="Arial"/>
          <w:sz w:val="22"/>
          <w:szCs w:val="22"/>
          <w:color w:val="auto"/>
        </w:rPr>
        <w:t>any federal, state, local or foreign governmental agency, instrumentality or similar entity, (d) any Person that has been convicted of a felony, (e) any Person regularly engaged in or affiliated with the production or distribution of alcoholic beverages, or (f) any Unsuitable Person.</w:t>
      </w:r>
    </w:p>
    <w:p>
      <w:pPr>
        <w:spacing w:after="0" w:line="214" w:lineRule="exact"/>
        <w:rPr>
          <w:rFonts w:ascii="Arial" w:cs="Arial" w:eastAsia="Arial" w:hAnsi="Arial"/>
          <w:sz w:val="22"/>
          <w:szCs w:val="22"/>
          <w:color w:val="auto"/>
        </w:rPr>
      </w:pPr>
    </w:p>
    <w:p>
      <w:pPr>
        <w:ind w:left="644" w:hanging="644"/>
        <w:spacing w:after="0"/>
        <w:tabs>
          <w:tab w:leader="none" w:pos="644" w:val="left"/>
        </w:tabs>
        <w:numPr>
          <w:ilvl w:val="0"/>
          <w:numId w:val="18"/>
        </w:numPr>
        <w:rPr>
          <w:rFonts w:ascii="Arial" w:cs="Arial" w:eastAsia="Arial" w:hAnsi="Arial"/>
          <w:sz w:val="22"/>
          <w:szCs w:val="22"/>
          <w:color w:val="auto"/>
        </w:rPr>
      </w:pPr>
      <w:r>
        <w:rPr>
          <w:rFonts w:ascii="Arial" w:cs="Arial" w:eastAsia="Arial" w:hAnsi="Arial"/>
          <w:sz w:val="22"/>
          <w:szCs w:val="22"/>
          <w:color w:val="auto"/>
        </w:rPr>
        <w:t>"Shares" means the shares of common stock of Wynn.</w:t>
      </w:r>
    </w:p>
    <w:p>
      <w:pPr>
        <w:spacing w:after="0" w:line="233" w:lineRule="exact"/>
        <w:rPr>
          <w:rFonts w:ascii="Arial" w:cs="Arial" w:eastAsia="Arial" w:hAnsi="Arial"/>
          <w:sz w:val="22"/>
          <w:szCs w:val="22"/>
          <w:color w:val="auto"/>
        </w:rPr>
      </w:pPr>
    </w:p>
    <w:p>
      <w:pPr>
        <w:ind w:left="644" w:right="20" w:hanging="644"/>
        <w:spacing w:after="0" w:line="247" w:lineRule="auto"/>
        <w:tabs>
          <w:tab w:leader="none" w:pos="644" w:val="left"/>
        </w:tabs>
        <w:numPr>
          <w:ilvl w:val="0"/>
          <w:numId w:val="18"/>
        </w:numPr>
        <w:rPr>
          <w:rFonts w:ascii="Arial" w:cs="Arial" w:eastAsia="Arial" w:hAnsi="Arial"/>
          <w:sz w:val="21"/>
          <w:szCs w:val="21"/>
          <w:color w:val="auto"/>
        </w:rPr>
      </w:pPr>
      <w:r>
        <w:rPr>
          <w:rFonts w:ascii="Arial" w:cs="Arial" w:eastAsia="Arial" w:hAnsi="Arial"/>
          <w:sz w:val="21"/>
          <w:szCs w:val="21"/>
          <w:color w:val="auto"/>
        </w:rPr>
        <w:t>"Specified Affiliate" means with respect to a specified Person, any other Person who or which is (a) directly or indirectly controlling, controlled by or under common control with the specified Person, or (b) any member, stockholder, director, officer, manager, or comparable principal of, or relative or spouse of, the specified Person. For purposes of this definition, "control", "controlling",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205" w:lineRule="exact"/>
        <w:rPr>
          <w:rFonts w:ascii="Arial" w:cs="Arial" w:eastAsia="Arial" w:hAnsi="Arial"/>
          <w:sz w:val="21"/>
          <w:szCs w:val="21"/>
          <w:color w:val="auto"/>
        </w:rPr>
      </w:pPr>
    </w:p>
    <w:p>
      <w:pPr>
        <w:ind w:left="644" w:right="360" w:hanging="644"/>
        <w:spacing w:after="0" w:line="328" w:lineRule="auto"/>
        <w:tabs>
          <w:tab w:leader="none" w:pos="644" w:val="left"/>
        </w:tabs>
        <w:numPr>
          <w:ilvl w:val="0"/>
          <w:numId w:val="18"/>
        </w:numPr>
        <w:rPr>
          <w:rFonts w:ascii="Arial" w:cs="Arial" w:eastAsia="Arial" w:hAnsi="Arial"/>
          <w:sz w:val="19"/>
          <w:szCs w:val="19"/>
          <w:color w:val="auto"/>
        </w:rPr>
      </w:pPr>
      <w:r>
        <w:rPr>
          <w:rFonts w:ascii="Arial" w:cs="Arial" w:eastAsia="Arial" w:hAnsi="Arial"/>
          <w:sz w:val="19"/>
          <w:szCs w:val="19"/>
          <w:color w:val="auto"/>
        </w:rPr>
        <w:t>"Stockholder" means any one of SAW, EW, Aruze, or any Permitted Transferee of any Shares and any additional Persons made a party to this Agreement. “Stockholders” means all of the foregoing, collectively.</w:t>
      </w:r>
    </w:p>
    <w:p>
      <w:pPr>
        <w:spacing w:after="0" w:line="132" w:lineRule="exact"/>
        <w:rPr>
          <w:rFonts w:ascii="Arial" w:cs="Arial" w:eastAsia="Arial" w:hAnsi="Arial"/>
          <w:sz w:val="19"/>
          <w:szCs w:val="19"/>
          <w:color w:val="auto"/>
        </w:rPr>
      </w:pPr>
    </w:p>
    <w:p>
      <w:pPr>
        <w:ind w:left="644" w:right="580" w:hanging="644"/>
        <w:spacing w:after="0" w:line="251" w:lineRule="auto"/>
        <w:tabs>
          <w:tab w:leader="none" w:pos="644" w:val="left"/>
        </w:tabs>
        <w:numPr>
          <w:ilvl w:val="0"/>
          <w:numId w:val="18"/>
        </w:numPr>
        <w:rPr>
          <w:rFonts w:ascii="Arial" w:cs="Arial" w:eastAsia="Arial" w:hAnsi="Arial"/>
          <w:sz w:val="22"/>
          <w:szCs w:val="22"/>
          <w:color w:val="auto"/>
        </w:rPr>
      </w:pPr>
      <w:r>
        <w:rPr>
          <w:rFonts w:ascii="Arial" w:cs="Arial" w:eastAsia="Arial" w:hAnsi="Arial"/>
          <w:sz w:val="22"/>
          <w:szCs w:val="22"/>
          <w:color w:val="auto"/>
        </w:rPr>
        <w:t>"Stockholder's Shares" means all Shares held of record or Beneficially Owned by such Stockholder, whenever acquired.</w:t>
      </w:r>
    </w:p>
    <w:p>
      <w:pPr>
        <w:spacing w:after="0" w:line="200" w:lineRule="exact"/>
        <w:rPr>
          <w:rFonts w:ascii="Arial" w:cs="Arial" w:eastAsia="Arial" w:hAnsi="Arial"/>
          <w:sz w:val="22"/>
          <w:szCs w:val="22"/>
          <w:color w:val="auto"/>
        </w:rPr>
      </w:pPr>
    </w:p>
    <w:p>
      <w:pPr>
        <w:ind w:left="644" w:right="100" w:hanging="644"/>
        <w:spacing w:after="0" w:line="251" w:lineRule="auto"/>
        <w:tabs>
          <w:tab w:leader="none" w:pos="644" w:val="left"/>
        </w:tabs>
        <w:numPr>
          <w:ilvl w:val="0"/>
          <w:numId w:val="18"/>
        </w:numPr>
        <w:rPr>
          <w:rFonts w:ascii="Arial" w:cs="Arial" w:eastAsia="Arial" w:hAnsi="Arial"/>
          <w:sz w:val="22"/>
          <w:szCs w:val="22"/>
          <w:color w:val="auto"/>
        </w:rPr>
      </w:pPr>
      <w:r>
        <w:rPr>
          <w:rFonts w:ascii="Arial" w:cs="Arial" w:eastAsia="Arial" w:hAnsi="Arial"/>
          <w:sz w:val="22"/>
          <w:szCs w:val="22"/>
          <w:color w:val="auto"/>
        </w:rPr>
        <w:t>"Termination Date" means the earlier of the date of SAW’s death or the date upon which SAW sells substantially all of his Shares in Wynn.</w:t>
      </w:r>
    </w:p>
    <w:p>
      <w:pPr>
        <w:spacing w:after="0" w:line="200" w:lineRule="exact"/>
        <w:rPr>
          <w:rFonts w:ascii="Arial" w:cs="Arial" w:eastAsia="Arial" w:hAnsi="Arial"/>
          <w:sz w:val="22"/>
          <w:szCs w:val="22"/>
          <w:color w:val="auto"/>
        </w:rPr>
      </w:pPr>
    </w:p>
    <w:p>
      <w:pPr>
        <w:ind w:left="644" w:hanging="644"/>
        <w:spacing w:after="0"/>
        <w:tabs>
          <w:tab w:leader="none" w:pos="644" w:val="left"/>
        </w:tabs>
        <w:numPr>
          <w:ilvl w:val="0"/>
          <w:numId w:val="18"/>
        </w:numPr>
        <w:rPr>
          <w:rFonts w:ascii="Arial" w:cs="Arial" w:eastAsia="Arial" w:hAnsi="Arial"/>
          <w:sz w:val="22"/>
          <w:szCs w:val="22"/>
          <w:color w:val="auto"/>
        </w:rPr>
      </w:pPr>
      <w:r>
        <w:rPr>
          <w:rFonts w:ascii="Arial" w:cs="Arial" w:eastAsia="Arial" w:hAnsi="Arial"/>
          <w:sz w:val="22"/>
          <w:szCs w:val="22"/>
          <w:color w:val="auto"/>
        </w:rPr>
        <w:t>"Total Shares" means the total number of Shares held by the Stockholders, whenever acquired.</w:t>
      </w:r>
    </w:p>
    <w:p>
      <w:pPr>
        <w:spacing w:after="0" w:line="233" w:lineRule="exact"/>
        <w:rPr>
          <w:rFonts w:ascii="Arial" w:cs="Arial" w:eastAsia="Arial" w:hAnsi="Arial"/>
          <w:sz w:val="22"/>
          <w:szCs w:val="22"/>
          <w:color w:val="auto"/>
        </w:rPr>
      </w:pPr>
    </w:p>
    <w:p>
      <w:pPr>
        <w:ind w:left="644" w:right="120" w:hanging="644"/>
        <w:spacing w:after="0" w:line="238" w:lineRule="auto"/>
        <w:tabs>
          <w:tab w:leader="none" w:pos="644" w:val="left"/>
        </w:tabs>
        <w:numPr>
          <w:ilvl w:val="0"/>
          <w:numId w:val="18"/>
        </w:numPr>
        <w:rPr>
          <w:rFonts w:ascii="Arial" w:cs="Arial" w:eastAsia="Arial" w:hAnsi="Arial"/>
          <w:sz w:val="22"/>
          <w:szCs w:val="22"/>
          <w:color w:val="auto"/>
        </w:rPr>
      </w:pPr>
      <w:r>
        <w:rPr>
          <w:rFonts w:ascii="Arial" w:cs="Arial" w:eastAsia="Arial" w:hAnsi="Arial"/>
          <w:sz w:val="22"/>
          <w:szCs w:val="22"/>
          <w:color w:val="auto"/>
        </w:rPr>
        <w:t>"Transfer" means any transfer, sale, conveyance, distribution, hypothecation, pledge, encumbrance, assignment, exchange or other disposition, either voluntary or involuntary, or by reason of death, or change in ownership by reason of merger or other transformation in the identity or form of business organization of the owner, regardless of whether such change or</w:t>
      </w:r>
    </w:p>
    <w:p>
      <w:pPr>
        <w:spacing w:after="0" w:line="212" w:lineRule="exact"/>
        <w:rPr>
          <w:rFonts w:ascii="Arial" w:cs="Arial" w:eastAsia="Arial" w:hAnsi="Arial"/>
          <w:sz w:val="22"/>
          <w:szCs w:val="22"/>
          <w:color w:val="auto"/>
        </w:rPr>
      </w:pPr>
    </w:p>
    <w:p>
      <w:pPr>
        <w:ind w:left="4944" w:hanging="129"/>
        <w:spacing w:after="0"/>
        <w:tabs>
          <w:tab w:leader="none" w:pos="4944" w:val="left"/>
        </w:tabs>
        <w:numPr>
          <w:ilvl w:val="2"/>
          <w:numId w:val="18"/>
        </w:numPr>
        <w:rPr>
          <w:rFonts w:ascii="Arial" w:cs="Arial" w:eastAsia="Arial" w:hAnsi="Arial"/>
          <w:sz w:val="22"/>
          <w:szCs w:val="22"/>
          <w:color w:val="auto"/>
        </w:rPr>
      </w:pPr>
      <w:r>
        <w:rPr>
          <w:rFonts w:ascii="Arial" w:cs="Arial" w:eastAsia="Arial" w:hAnsi="Arial"/>
          <w:sz w:val="22"/>
          <w:szCs w:val="22"/>
          <w:color w:val="auto"/>
        </w:rPr>
        <w:t>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1" w:right="239" w:bottom="1440" w:gutter="0" w:footer="0" w:header="0"/>
        </w:sectPr>
      </w:pPr>
    </w:p>
    <w:bookmarkStart w:id="12" w:name="page13"/>
    <w:bookmarkEnd w:id="12"/>
    <w:p>
      <w:pPr>
        <w:ind w:left="1292"/>
        <w:spacing w:after="0"/>
        <w:rPr>
          <w:sz w:val="20"/>
          <w:szCs w:val="20"/>
          <w:color w:val="auto"/>
        </w:rPr>
      </w:pPr>
      <w:r>
        <w:rPr>
          <w:rFonts w:ascii="Arial" w:cs="Arial" w:eastAsia="Arial" w:hAnsi="Arial"/>
          <w:sz w:val="22"/>
          <w:szCs w:val="22"/>
          <w:color w:val="auto"/>
        </w:rPr>
        <w:t>transformation is characterized by state law as not changing the identity of the owner.</w:t>
      </w:r>
    </w:p>
    <w:p>
      <w:pPr>
        <w:spacing w:after="0" w:line="233" w:lineRule="exact"/>
        <w:rPr>
          <w:sz w:val="20"/>
          <w:szCs w:val="20"/>
          <w:color w:val="auto"/>
        </w:rPr>
      </w:pPr>
    </w:p>
    <w:p>
      <w:pPr>
        <w:ind w:left="1292" w:right="40" w:hanging="644"/>
        <w:spacing w:after="0" w:line="235" w:lineRule="auto"/>
        <w:tabs>
          <w:tab w:leader="none" w:pos="1292" w:val="left"/>
        </w:tabs>
        <w:numPr>
          <w:ilvl w:val="1"/>
          <w:numId w:val="19"/>
        </w:numPr>
        <w:rPr>
          <w:rFonts w:ascii="Arial" w:cs="Arial" w:eastAsia="Arial" w:hAnsi="Arial"/>
          <w:sz w:val="22"/>
          <w:szCs w:val="22"/>
          <w:color w:val="auto"/>
        </w:rPr>
      </w:pPr>
      <w:r>
        <w:rPr>
          <w:rFonts w:ascii="Arial" w:cs="Arial" w:eastAsia="Arial" w:hAnsi="Arial"/>
          <w:sz w:val="22"/>
          <w:szCs w:val="22"/>
          <w:color w:val="auto"/>
        </w:rPr>
        <w:t>"Unsuitable Person" means any Person (i) who is denied a Gaming License by any Gaming Authority, (ii) who is disqualified from eligibility for a Gaming License, (iii) who is determined to be unsuitable to own or control Shares or to be connected or affiliated with a Person engaged in gaming activities in any jurisdiction by a Gaming Authority, (iv) who has withdrawn an application to be found suitable by any Gaming Authority, or (v) whose continued involvement in the business of Wynn as a stockholder, manager, officer, employee or otherwise has caused or may cause a Gaming Problem.</w:t>
      </w:r>
    </w:p>
    <w:p>
      <w:pPr>
        <w:spacing w:after="0" w:line="215" w:lineRule="exact"/>
        <w:rPr>
          <w:rFonts w:ascii="Arial" w:cs="Arial" w:eastAsia="Arial" w:hAnsi="Arial"/>
          <w:sz w:val="22"/>
          <w:szCs w:val="22"/>
          <w:color w:val="auto"/>
        </w:rPr>
      </w:pPr>
    </w:p>
    <w:p>
      <w:pPr>
        <w:ind w:left="1292" w:right="40" w:hanging="644"/>
        <w:spacing w:after="0" w:line="328" w:lineRule="auto"/>
        <w:tabs>
          <w:tab w:leader="none" w:pos="1292" w:val="left"/>
        </w:tabs>
        <w:numPr>
          <w:ilvl w:val="1"/>
          <w:numId w:val="19"/>
        </w:numPr>
        <w:rPr>
          <w:rFonts w:ascii="Arial" w:cs="Arial" w:eastAsia="Arial" w:hAnsi="Arial"/>
          <w:sz w:val="19"/>
          <w:szCs w:val="19"/>
          <w:color w:val="auto"/>
        </w:rPr>
      </w:pPr>
      <w:r>
        <w:rPr>
          <w:rFonts w:ascii="Arial" w:cs="Arial" w:eastAsia="Arial" w:hAnsi="Arial"/>
          <w:sz w:val="19"/>
          <w:szCs w:val="19"/>
          <w:color w:val="auto"/>
        </w:rPr>
        <w:t>"Voting Stock" means capital stock of Wynn of any class or classes, the holders of which are entitled to vote on any matter required or permitted to be voted upon (either in writing or by resolution) by the stockholders of Wynn.</w:t>
      </w:r>
    </w:p>
    <w:p>
      <w:pPr>
        <w:spacing w:after="0" w:line="132" w:lineRule="exact"/>
        <w:rPr>
          <w:rFonts w:ascii="Arial" w:cs="Arial" w:eastAsia="Arial" w:hAnsi="Arial"/>
          <w:sz w:val="19"/>
          <w:szCs w:val="19"/>
          <w:color w:val="auto"/>
        </w:rPr>
      </w:pPr>
    </w:p>
    <w:p>
      <w:pPr>
        <w:ind w:left="652" w:right="860" w:hanging="652"/>
        <w:spacing w:after="0" w:line="251" w:lineRule="auto"/>
        <w:tabs>
          <w:tab w:leader="none" w:pos="6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Covenants of Designated Stockholders</w:t>
      </w:r>
      <w:r>
        <w:rPr>
          <w:rFonts w:ascii="Arial" w:cs="Arial" w:eastAsia="Arial" w:hAnsi="Arial"/>
          <w:sz w:val="22"/>
          <w:szCs w:val="22"/>
          <w:color w:val="auto"/>
        </w:rPr>
        <w:t>. Each Designated Stockholder hereby covenants to each other Designated Stockholder as follows.</w:t>
      </w:r>
    </w:p>
    <w:p>
      <w:pPr>
        <w:spacing w:after="0" w:line="200" w:lineRule="exact"/>
        <w:rPr>
          <w:rFonts w:ascii="Arial" w:cs="Arial" w:eastAsia="Arial" w:hAnsi="Arial"/>
          <w:sz w:val="22"/>
          <w:szCs w:val="22"/>
          <w:color w:val="auto"/>
        </w:rPr>
      </w:pPr>
    </w:p>
    <w:p>
      <w:pPr>
        <w:ind w:left="1292" w:hanging="644"/>
        <w:spacing w:after="0" w:line="236" w:lineRule="auto"/>
        <w:tabs>
          <w:tab w:leader="none" w:pos="1292"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Voting Agreement</w:t>
      </w:r>
      <w:r>
        <w:rPr>
          <w:rFonts w:ascii="Arial" w:cs="Arial" w:eastAsia="Arial" w:hAnsi="Arial"/>
          <w:sz w:val="22"/>
          <w:szCs w:val="22"/>
          <w:color w:val="auto"/>
        </w:rPr>
        <w:t>. On any and all matters relating to the election of directors of Wynn (including the filling of any vacancies), the Designated Stockholders each agree to vote all Shares held by them and subject to the terms of this Agreement (or the holders thereof shall consent pursuant to an action by written consent of the holders of capital stock of Wynn) in a manner so as to elect to Wynn’s Board of Directors each of the nominees contained on each and every slate of directors endorsed by SAW.</w:t>
      </w:r>
    </w:p>
    <w:p>
      <w:pPr>
        <w:spacing w:after="0" w:line="214" w:lineRule="exact"/>
        <w:rPr>
          <w:rFonts w:ascii="Arial" w:cs="Arial" w:eastAsia="Arial" w:hAnsi="Arial"/>
          <w:sz w:val="22"/>
          <w:szCs w:val="22"/>
          <w:color w:val="auto"/>
        </w:rPr>
      </w:pPr>
    </w:p>
    <w:p>
      <w:pPr>
        <w:ind w:left="1292"/>
        <w:spacing w:after="0" w:line="248" w:lineRule="auto"/>
        <w:rPr>
          <w:rFonts w:ascii="Arial" w:cs="Arial" w:eastAsia="Arial" w:hAnsi="Arial"/>
          <w:sz w:val="22"/>
          <w:szCs w:val="22"/>
          <w:color w:val="auto"/>
        </w:rPr>
      </w:pPr>
      <w:r>
        <w:rPr>
          <w:rFonts w:ascii="Arial" w:cs="Arial" w:eastAsia="Arial" w:hAnsi="Arial"/>
          <w:sz w:val="21"/>
          <w:szCs w:val="21"/>
          <w:color w:val="auto"/>
        </w:rPr>
        <w:t>SAW agrees to include EW as one of his endorsed nominees so long as she is not “unable to serve” or “unfit to serve.” As used herein, “unable to serve” shall mean medically incapacitated so as to be unable to serve as a director, and “unfit to serve” shall mean a violation of rules and laws so as to prohibit one from serving as a director of a public company engaged in the gaming business. In the event of a disagreement between SAW and EW regarding these matters, determination of either of the preceding conditions shall be made and confirmed by an independent third party to be jointly selected by SAW and EW.</w:t>
      </w:r>
    </w:p>
    <w:p>
      <w:pPr>
        <w:spacing w:after="0" w:line="204" w:lineRule="exact"/>
        <w:rPr>
          <w:rFonts w:ascii="Arial" w:cs="Arial" w:eastAsia="Arial" w:hAnsi="Arial"/>
          <w:sz w:val="22"/>
          <w:szCs w:val="22"/>
          <w:color w:val="auto"/>
        </w:rPr>
      </w:pPr>
    </w:p>
    <w:p>
      <w:pPr>
        <w:jc w:val="both"/>
        <w:ind w:left="1292" w:right="180"/>
        <w:spacing w:after="0"/>
        <w:rPr>
          <w:rFonts w:ascii="Arial" w:cs="Arial" w:eastAsia="Arial" w:hAnsi="Arial"/>
          <w:sz w:val="22"/>
          <w:szCs w:val="22"/>
          <w:color w:val="auto"/>
        </w:rPr>
      </w:pPr>
      <w:r>
        <w:rPr>
          <w:rFonts w:ascii="Arial" w:cs="Arial" w:eastAsia="Arial" w:hAnsi="Arial"/>
          <w:sz w:val="22"/>
          <w:szCs w:val="22"/>
          <w:color w:val="auto"/>
        </w:rPr>
        <w:t>SAW also agrees to endorse a slate of directors that includes nominees approved by Aruze and to vote SAW’s and EW’s Shares in favor of such directors so long as such slate results in a majority of all directors at all times being director candidates endorsed by SAW.</w:t>
      </w:r>
    </w:p>
    <w:p>
      <w:pPr>
        <w:spacing w:after="0" w:line="213" w:lineRule="exact"/>
        <w:rPr>
          <w:rFonts w:ascii="Arial" w:cs="Arial" w:eastAsia="Arial" w:hAnsi="Arial"/>
          <w:sz w:val="22"/>
          <w:szCs w:val="22"/>
          <w:color w:val="auto"/>
        </w:rPr>
      </w:pPr>
    </w:p>
    <w:p>
      <w:pPr>
        <w:ind w:left="1292" w:hanging="644"/>
        <w:spacing w:after="0" w:line="238" w:lineRule="auto"/>
        <w:tabs>
          <w:tab w:leader="none" w:pos="1292"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Restrictions on Sale or Transfer.</w:t>
      </w:r>
      <w:r>
        <w:rPr>
          <w:rFonts w:ascii="Arial" w:cs="Arial" w:eastAsia="Arial" w:hAnsi="Arial"/>
          <w:sz w:val="22"/>
          <w:szCs w:val="22"/>
          <w:color w:val="auto"/>
        </w:rPr>
        <w:t xml:space="preserve"> Other than as expressly set forth in Section 11 and the last sentence of this Section 2(b), none of EW, SAW or Aruze (nor any of their respective Permitted Transferees) shall Transfer, or permit any of their respective Affiliates to Transfer, any Shares Beneficially Owned by such Person without the prior written consent of each of the others.</w:t>
      </w:r>
    </w:p>
    <w:p>
      <w:pPr>
        <w:spacing w:after="0" w:line="212" w:lineRule="exact"/>
        <w:rPr>
          <w:rFonts w:ascii="Arial" w:cs="Arial" w:eastAsia="Arial" w:hAnsi="Arial"/>
          <w:sz w:val="22"/>
          <w:szCs w:val="22"/>
          <w:color w:val="auto"/>
        </w:rPr>
      </w:pPr>
    </w:p>
    <w:p>
      <w:pPr>
        <w:ind w:left="5592" w:hanging="129"/>
        <w:spacing w:after="0"/>
        <w:tabs>
          <w:tab w:leader="none" w:pos="5592" w:val="left"/>
        </w:tabs>
        <w:numPr>
          <w:ilvl w:val="2"/>
          <w:numId w:val="20"/>
        </w:numPr>
        <w:rPr>
          <w:rFonts w:ascii="Arial" w:cs="Arial" w:eastAsia="Arial" w:hAnsi="Arial"/>
          <w:sz w:val="22"/>
          <w:szCs w:val="22"/>
          <w:color w:val="auto"/>
        </w:rPr>
      </w:pPr>
      <w:r>
        <w:rPr>
          <w:rFonts w:ascii="Arial" w:cs="Arial" w:eastAsia="Arial" w:hAnsi="Arial"/>
          <w:sz w:val="22"/>
          <w:szCs w:val="22"/>
          <w:color w:val="auto"/>
        </w:rPr>
        <w:t>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361" w:right="319" w:bottom="1440" w:gutter="0" w:footer="0" w:header="0"/>
        </w:sectPr>
      </w:pPr>
    </w:p>
    <w:bookmarkStart w:id="13" w:name="page14"/>
    <w:bookmarkEnd w:id="13"/>
    <w:p>
      <w:pPr>
        <w:ind w:left="1292"/>
        <w:spacing w:after="0" w:line="238" w:lineRule="auto"/>
        <w:rPr>
          <w:sz w:val="20"/>
          <w:szCs w:val="20"/>
          <w:color w:val="auto"/>
        </w:rPr>
      </w:pPr>
      <w:r>
        <w:rPr>
          <w:rFonts w:ascii="Arial" w:cs="Arial" w:eastAsia="Arial" w:hAnsi="Arial"/>
          <w:sz w:val="22"/>
          <w:szCs w:val="22"/>
          <w:color w:val="auto"/>
        </w:rPr>
        <w:t>Notwithstanding anything to the contrary set forth in this Agreement, SAW and Aruze confirm that on August 13, 2009, each agreed that the other could sell up to two million Shares (the “Released Shares”). As of the date hereof, SAW has sold two million shares under this waiver. Accordingly, Aruze shall have the right to sell up to two million Shares free and clear of the requirements of this Agreement.</w:t>
      </w:r>
    </w:p>
    <w:p>
      <w:pPr>
        <w:spacing w:after="0" w:line="212" w:lineRule="exact"/>
        <w:rPr>
          <w:sz w:val="20"/>
          <w:szCs w:val="20"/>
          <w:color w:val="auto"/>
        </w:rPr>
      </w:pPr>
    </w:p>
    <w:p>
      <w:pPr>
        <w:ind w:left="1292" w:right="40" w:hanging="644"/>
        <w:spacing w:after="0" w:line="275" w:lineRule="auto"/>
        <w:tabs>
          <w:tab w:leader="none" w:pos="1292"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Restriction on Proxies and Non-Interference</w:t>
      </w:r>
      <w:r>
        <w:rPr>
          <w:rFonts w:ascii="Arial" w:cs="Arial" w:eastAsia="Arial" w:hAnsi="Arial"/>
          <w:sz w:val="19"/>
          <w:szCs w:val="19"/>
          <w:color w:val="auto"/>
        </w:rPr>
        <w:t>. From and after the date of this Agreement and ending as of the Termination Date, the Designated Stockholders shall not, and shall cause each of their Affiliates who Beneficially Own any of the Designated Stockholder's Shares not to, directly or indirectly without the consent of the other Designated Stockholder: (A) grant any proxies or powers of attorney, deposit such Designated Stockholder's Shares into a voting trust or enter into a voting agreement with respect to any of such Designated Stockholder's Shares, (B) enter into any agreement or arrangement providing for any of the actions described in clause (A) above, or (C) take any action that could reasonably be expected to have the effect of preventing or disabling such Designated Stockholder from performing such Designated Stockholder's obligations under this Agreement.</w:t>
      </w:r>
    </w:p>
    <w:p>
      <w:pPr>
        <w:spacing w:after="0" w:line="185" w:lineRule="exact"/>
        <w:rPr>
          <w:rFonts w:ascii="Arial" w:cs="Arial" w:eastAsia="Arial" w:hAnsi="Arial"/>
          <w:sz w:val="19"/>
          <w:szCs w:val="19"/>
          <w:color w:val="auto"/>
        </w:rPr>
      </w:pPr>
    </w:p>
    <w:p>
      <w:pPr>
        <w:ind w:left="652" w:right="340" w:hanging="652"/>
        <w:spacing w:after="0" w:line="251" w:lineRule="auto"/>
        <w:tabs>
          <w:tab w:leader="none" w:pos="652"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Stockholders</w:t>
      </w:r>
      <w:r>
        <w:rPr>
          <w:rFonts w:ascii="Arial" w:cs="Arial" w:eastAsia="Arial" w:hAnsi="Arial"/>
          <w:sz w:val="22"/>
          <w:szCs w:val="22"/>
          <w:color w:val="auto"/>
        </w:rPr>
        <w:t>. Each Stockholder hereby represents and warrants and covenants to each other Stockholder as follows:</w:t>
      </w:r>
    </w:p>
    <w:p>
      <w:pPr>
        <w:spacing w:after="0" w:line="200" w:lineRule="exact"/>
        <w:rPr>
          <w:rFonts w:ascii="Arial" w:cs="Arial" w:eastAsia="Arial" w:hAnsi="Arial"/>
          <w:sz w:val="22"/>
          <w:szCs w:val="22"/>
          <w:color w:val="auto"/>
        </w:rPr>
      </w:pPr>
    </w:p>
    <w:p>
      <w:pPr>
        <w:ind w:left="1292" w:right="100" w:hanging="644"/>
        <w:spacing w:after="0" w:line="236" w:lineRule="auto"/>
        <w:tabs>
          <w:tab w:leader="none" w:pos="1292"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Ownership</w:t>
      </w:r>
      <w:r>
        <w:rPr>
          <w:rFonts w:ascii="Arial" w:cs="Arial" w:eastAsia="Arial" w:hAnsi="Arial"/>
          <w:sz w:val="22"/>
          <w:szCs w:val="22"/>
          <w:color w:val="auto"/>
        </w:rPr>
        <w:t>. The Stockholder shall be the record and Beneficial Owner of all of the Shares. The Stockholder shall have the sole power of disposition, sole power of conversion, sole power to demand appraisal rights and sole power to agree to all of the matters set forth in this Agreement, in each case with respect to all of the Shares, with no material limitations, qualifications or restrictions on such rights, subject to applicable securities laws and the terms of this Agreement.</w:t>
      </w:r>
    </w:p>
    <w:p>
      <w:pPr>
        <w:spacing w:after="0" w:line="214" w:lineRule="exact"/>
        <w:rPr>
          <w:rFonts w:ascii="Arial" w:cs="Arial" w:eastAsia="Arial" w:hAnsi="Arial"/>
          <w:sz w:val="22"/>
          <w:szCs w:val="22"/>
          <w:color w:val="auto"/>
        </w:rPr>
      </w:pPr>
    </w:p>
    <w:p>
      <w:pPr>
        <w:ind w:left="1292" w:right="80" w:hanging="644"/>
        <w:spacing w:after="0" w:line="236" w:lineRule="auto"/>
        <w:tabs>
          <w:tab w:leader="none" w:pos="1292"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No Encumbrances</w:t>
      </w:r>
      <w:r>
        <w:rPr>
          <w:rFonts w:ascii="Arial" w:cs="Arial" w:eastAsia="Arial" w:hAnsi="Arial"/>
          <w:sz w:val="22"/>
          <w:szCs w:val="22"/>
          <w:color w:val="auto"/>
        </w:rPr>
        <w:t>. All of the Stockholder’s Shares will be held by such Stockholder, or by a nominee or custodian for the benefit of such Stockholder, free and clear of all liens, claims, security interests, proxies, voting trusts or agreements, understandings or arrangements or any other encumbrances whatsoever, except for any liens, claims, understandings or arrangements that do not limit or impair the Stockholder’s ability to perform its obligations under this Agreement.</w:t>
      </w:r>
    </w:p>
    <w:p>
      <w:pPr>
        <w:spacing w:after="0" w:line="214" w:lineRule="exact"/>
        <w:rPr>
          <w:rFonts w:ascii="Arial" w:cs="Arial" w:eastAsia="Arial" w:hAnsi="Arial"/>
          <w:sz w:val="22"/>
          <w:szCs w:val="22"/>
          <w:color w:val="auto"/>
        </w:rPr>
      </w:pPr>
    </w:p>
    <w:p>
      <w:pPr>
        <w:ind w:left="1292" w:right="120" w:hanging="644"/>
        <w:spacing w:after="0" w:line="279" w:lineRule="auto"/>
        <w:tabs>
          <w:tab w:leader="none" w:pos="1292"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Execution, Delivery and Performance by the Stockholder</w:t>
      </w:r>
      <w:r>
        <w:rPr>
          <w:rFonts w:ascii="Arial" w:cs="Arial" w:eastAsia="Arial" w:hAnsi="Arial"/>
          <w:sz w:val="19"/>
          <w:szCs w:val="19"/>
          <w:color w:val="auto"/>
        </w:rPr>
        <w:t>. The execution, delivery and performance of this Agreement and the consummation of the transactions contemplated hereby have been duly authorized by the Board of Directors of Aruze, as applicable, and Aruze has taken all other actions required by law, its Articles of Incorporation and its Bylaws or other organizational documents, as applicable, to consummate the transactions contemplated by this Agreement. This Agreement constitutes the valid and binding obligations of the Stockholder and is enforceable in accordance with its terms, except as enforceability may be subject to bankruptcy, insolvency,</w:t>
      </w:r>
    </w:p>
    <w:p>
      <w:pPr>
        <w:spacing w:after="0" w:line="177" w:lineRule="exact"/>
        <w:rPr>
          <w:rFonts w:ascii="Arial" w:cs="Arial" w:eastAsia="Arial" w:hAnsi="Arial"/>
          <w:sz w:val="19"/>
          <w:szCs w:val="19"/>
          <w:color w:val="auto"/>
        </w:rPr>
      </w:pPr>
    </w:p>
    <w:p>
      <w:pPr>
        <w:ind w:left="5592" w:hanging="129"/>
        <w:spacing w:after="0"/>
        <w:tabs>
          <w:tab w:leader="none" w:pos="5592" w:val="left"/>
        </w:tabs>
        <w:numPr>
          <w:ilvl w:val="2"/>
          <w:numId w:val="22"/>
        </w:numPr>
        <w:rPr>
          <w:rFonts w:ascii="Arial" w:cs="Arial" w:eastAsia="Arial" w:hAnsi="Arial"/>
          <w:sz w:val="22"/>
          <w:szCs w:val="22"/>
          <w:color w:val="auto"/>
        </w:rPr>
      </w:pPr>
      <w:r>
        <w:rPr>
          <w:rFonts w:ascii="Arial" w:cs="Arial" w:eastAsia="Arial" w:hAnsi="Arial"/>
          <w:sz w:val="22"/>
          <w:szCs w:val="22"/>
          <w:color w:val="auto"/>
        </w:rPr>
        <w:t>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1" w:right="259" w:bottom="1440" w:gutter="0" w:footer="0" w:header="0"/>
        </w:sectPr>
      </w:pPr>
    </w:p>
    <w:bookmarkStart w:id="14" w:name="page15"/>
    <w:bookmarkEnd w:id="14"/>
    <w:p>
      <w:pPr>
        <w:ind w:left="1292"/>
        <w:spacing w:after="0"/>
        <w:rPr>
          <w:sz w:val="20"/>
          <w:szCs w:val="20"/>
          <w:color w:val="auto"/>
        </w:rPr>
      </w:pPr>
      <w:r>
        <w:rPr>
          <w:rFonts w:ascii="Arial" w:cs="Arial" w:eastAsia="Arial" w:hAnsi="Arial"/>
          <w:sz w:val="22"/>
          <w:szCs w:val="22"/>
          <w:color w:val="auto"/>
        </w:rPr>
        <w:t>reorganization, moratorium or other similar laws relating to or affecting creditors' rights generally.</w:t>
      </w:r>
    </w:p>
    <w:p>
      <w:pPr>
        <w:spacing w:after="0" w:line="233" w:lineRule="exact"/>
        <w:rPr>
          <w:sz w:val="20"/>
          <w:szCs w:val="20"/>
          <w:color w:val="auto"/>
        </w:rPr>
      </w:pPr>
    </w:p>
    <w:p>
      <w:pPr>
        <w:ind w:left="1292" w:right="80" w:hanging="644"/>
        <w:spacing w:after="0" w:line="274" w:lineRule="auto"/>
        <w:tabs>
          <w:tab w:leader="none" w:pos="1292"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No filing with, and no permit, authorization, consent or approval of, any state or federal public body or authority is necessary for the execution of this Agreement by the Stockholder and the consummation by the Stockholder of the transactions contemplated hereby, except where the failure to obtain such consent, permit, authorization, approval or filing would not interfere with the Stockholder's ability to perform its obligations hereunder, and none of the execution and delivery of this Agreement by the Stockholder, the consummation by the Stockholder of the transactions contemplated hereby or compliance by the Stockholder with any of the provisions hereof shall violate any order, writ, injunction, decree, judgment, statute, rule or regulation applicable to the Stockholder or any of its properties or assets, in each such case except to the extent that any conflict, breach, default or violation would not interfere with the ability of the Stockholder to perform the obligations hereunder.</w:t>
      </w:r>
    </w:p>
    <w:p>
      <w:pPr>
        <w:spacing w:after="0" w:line="179" w:lineRule="exact"/>
        <w:rPr>
          <w:rFonts w:ascii="Arial" w:cs="Arial" w:eastAsia="Arial" w:hAnsi="Arial"/>
          <w:sz w:val="19"/>
          <w:szCs w:val="19"/>
          <w:color w:val="auto"/>
        </w:rPr>
      </w:pPr>
    </w:p>
    <w:p>
      <w:pPr>
        <w:ind w:left="1292" w:right="160" w:hanging="644"/>
        <w:spacing w:after="0" w:line="236" w:lineRule="auto"/>
        <w:tabs>
          <w:tab w:leader="none" w:pos="1292"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Preemptive Rights</w:t>
      </w:r>
      <w:r>
        <w:rPr>
          <w:rFonts w:ascii="Arial" w:cs="Arial" w:eastAsia="Arial" w:hAnsi="Arial"/>
          <w:sz w:val="22"/>
          <w:szCs w:val="22"/>
          <w:color w:val="auto"/>
        </w:rPr>
        <w:t xml:space="preserve">. If a Stockholder purchases Shares from Wynn (the </w:t>
      </w:r>
      <w:r>
        <w:rPr>
          <w:rFonts w:ascii="Arial" w:cs="Arial" w:eastAsia="Arial" w:hAnsi="Arial"/>
          <w:sz w:val="22"/>
          <w:szCs w:val="22"/>
          <w:b w:val="1"/>
          <w:bCs w:val="1"/>
          <w:color w:val="auto"/>
        </w:rPr>
        <w:t>“Purchasing Stockholder”</w:t>
      </w:r>
      <w:r>
        <w:rPr>
          <w:rFonts w:ascii="Arial" w:cs="Arial" w:eastAsia="Arial" w:hAnsi="Arial"/>
          <w:sz w:val="22"/>
          <w:szCs w:val="22"/>
          <w:color w:val="auto"/>
        </w:rPr>
        <w:t xml:space="preserve">) in a private placement (the </w:t>
      </w:r>
      <w:r>
        <w:rPr>
          <w:rFonts w:ascii="Arial" w:cs="Arial" w:eastAsia="Arial" w:hAnsi="Arial"/>
          <w:sz w:val="22"/>
          <w:szCs w:val="22"/>
          <w:b w:val="1"/>
          <w:bCs w:val="1"/>
          <w:color w:val="auto"/>
        </w:rPr>
        <w:t>“Purchase”</w:t>
      </w:r>
      <w:r>
        <w:rPr>
          <w:rFonts w:ascii="Arial" w:cs="Arial" w:eastAsia="Arial" w:hAnsi="Arial"/>
          <w:sz w:val="22"/>
          <w:szCs w:val="22"/>
          <w:color w:val="auto"/>
        </w:rPr>
        <w:t>) and another Stockholder who is not a Permitted Transferee of the Purchasing Stockholder is not extended the same offer by Wynn on the same terms and conditions, the Purchasing Stockholder shall allow such other Stockholder to purchase the number of Shares in the Purchasing Stockholder’s allotment of Shares from Wynn that is necessary to maintain their Shares in the same proportion to each other as that which existed prior to the Purchase.</w:t>
      </w:r>
    </w:p>
    <w:p>
      <w:pPr>
        <w:spacing w:after="0" w:line="215" w:lineRule="exact"/>
        <w:rPr>
          <w:rFonts w:ascii="Arial" w:cs="Arial" w:eastAsia="Arial" w:hAnsi="Arial"/>
          <w:sz w:val="22"/>
          <w:szCs w:val="22"/>
          <w:color w:val="auto"/>
        </w:rPr>
      </w:pPr>
    </w:p>
    <w:p>
      <w:pPr>
        <w:ind w:left="652" w:hanging="652"/>
        <w:spacing w:after="0" w:line="234" w:lineRule="auto"/>
        <w:tabs>
          <w:tab w:leader="none" w:pos="652"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Transferee Bound by Agreement</w:t>
      </w:r>
      <w:r>
        <w:rPr>
          <w:rFonts w:ascii="Arial" w:cs="Arial" w:eastAsia="Arial" w:hAnsi="Arial"/>
          <w:sz w:val="22"/>
          <w:szCs w:val="22"/>
          <w:color w:val="auto"/>
        </w:rPr>
        <w:t>. Notwithstanding anything to the contrary in this Agreement, Shares may not be transferred or sold by the Designated Stockholder unless the transferee (including a Permitted Transferee) both executes and agrees to be bound by both this Agreement and the Proxy, including, without limitation, in a sale or transfer made pursuant to Rule 144 under the Securities Act (“Rule 144”); provided, however, that this Section 4 shall not apply to any sale or transfer and all other sales and transfers made by such Stockholder pursuant to Rule 144 during the term of this Agreement which do not exceed, in the aggregate, ten percent of the Shares held by such Stockholder, but the provisions of Section 2(b) shall continue to apply.</w:t>
      </w:r>
    </w:p>
    <w:p>
      <w:pPr>
        <w:spacing w:after="0" w:line="218" w:lineRule="exact"/>
        <w:rPr>
          <w:rFonts w:ascii="Arial" w:cs="Arial" w:eastAsia="Arial" w:hAnsi="Arial"/>
          <w:sz w:val="22"/>
          <w:szCs w:val="22"/>
          <w:color w:val="auto"/>
        </w:rPr>
      </w:pPr>
    </w:p>
    <w:p>
      <w:pPr>
        <w:ind w:left="652" w:right="460" w:hanging="652"/>
        <w:spacing w:after="0" w:line="297" w:lineRule="auto"/>
        <w:tabs>
          <w:tab w:leader="none" w:pos="65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Stop Transfer</w:t>
      </w:r>
      <w:r>
        <w:rPr>
          <w:rFonts w:ascii="Arial" w:cs="Arial" w:eastAsia="Arial" w:hAnsi="Arial"/>
          <w:sz w:val="19"/>
          <w:szCs w:val="19"/>
          <w:color w:val="auto"/>
        </w:rPr>
        <w:t>. From and after the date of this Agreement and ending as of the Termination Date, each Stockholder acknowledges that SAW may instruct Wynn to not register the transfer (book-entry or otherwise) of any certificate or uncertificated interest representing any of such Stockholder's Shares that are transferred in violation of this Agreement.</w:t>
      </w:r>
    </w:p>
    <w:p>
      <w:pPr>
        <w:spacing w:after="0" w:line="161" w:lineRule="exact"/>
        <w:rPr>
          <w:rFonts w:ascii="Arial" w:cs="Arial" w:eastAsia="Arial" w:hAnsi="Arial"/>
          <w:sz w:val="19"/>
          <w:szCs w:val="19"/>
          <w:color w:val="auto"/>
        </w:rPr>
      </w:pPr>
    </w:p>
    <w:p>
      <w:pPr>
        <w:ind w:left="652" w:hanging="652"/>
        <w:spacing w:after="0"/>
        <w:tabs>
          <w:tab w:leader="none" w:pos="652"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Aruze Non-Compete</w:t>
      </w:r>
      <w:r>
        <w:rPr>
          <w:rFonts w:ascii="Arial" w:cs="Arial" w:eastAsia="Arial" w:hAnsi="Arial"/>
          <w:sz w:val="22"/>
          <w:szCs w:val="22"/>
          <w:color w:val="auto"/>
        </w:rPr>
        <w:t>. Aruze covenants to EW and SAW that until the Non-Compete Termination Date and so long as Aruze is a stockholder of Wynn (or of a successor entity to Wynn), Aruze, Aruze Parent, and Kazuo Okada agree that (other than through Wynn) Aruze, Aruze Parent, and Kazuo Okada shall not without SAW’s</w:t>
      </w:r>
    </w:p>
    <w:p>
      <w:pPr>
        <w:spacing w:after="0" w:line="213" w:lineRule="exact"/>
        <w:rPr>
          <w:rFonts w:ascii="Arial" w:cs="Arial" w:eastAsia="Arial" w:hAnsi="Arial"/>
          <w:sz w:val="22"/>
          <w:szCs w:val="22"/>
          <w:color w:val="auto"/>
        </w:rPr>
      </w:pPr>
    </w:p>
    <w:p>
      <w:pPr>
        <w:ind w:left="5592" w:hanging="129"/>
        <w:spacing w:after="0"/>
        <w:tabs>
          <w:tab w:leader="none" w:pos="5592" w:val="left"/>
        </w:tabs>
        <w:numPr>
          <w:ilvl w:val="2"/>
          <w:numId w:val="24"/>
        </w:numPr>
        <w:rPr>
          <w:rFonts w:ascii="Arial" w:cs="Arial" w:eastAsia="Arial" w:hAnsi="Arial"/>
          <w:sz w:val="22"/>
          <w:szCs w:val="22"/>
          <w:color w:val="auto"/>
        </w:rPr>
      </w:pPr>
      <w:r>
        <w:rPr>
          <w:rFonts w:ascii="Arial" w:cs="Arial" w:eastAsia="Arial" w:hAnsi="Arial"/>
          <w:sz w:val="22"/>
          <w:szCs w:val="22"/>
          <w:color w:val="auto"/>
        </w:rPr>
        <w:t>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61" w:right="239" w:bottom="1440" w:gutter="0" w:footer="0" w:header="0"/>
        </w:sectPr>
      </w:pPr>
    </w:p>
    <w:bookmarkStart w:id="15" w:name="page16"/>
    <w:bookmarkEnd w:id="15"/>
    <w:p>
      <w:pPr>
        <w:ind w:left="1292" w:right="60"/>
        <w:spacing w:after="0" w:line="273" w:lineRule="auto"/>
        <w:rPr>
          <w:sz w:val="20"/>
          <w:szCs w:val="20"/>
          <w:color w:val="auto"/>
        </w:rPr>
      </w:pPr>
      <w:r>
        <w:rPr>
          <w:rFonts w:ascii="Arial" w:cs="Arial" w:eastAsia="Arial" w:hAnsi="Arial"/>
          <w:sz w:val="19"/>
          <w:szCs w:val="19"/>
          <w:color w:val="auto"/>
        </w:rPr>
        <w:t>consent, directly or indirectly, engage in the development of or own, operate, lease, manage, control or invest in, act as consultant or advisor to or otherwise assist any Person that engages in (a) casino operations in Clark County, Nevada, or Macau or (b) Internet gaming anywhere in the world; provided, however, that either Aruze Parent or Kazuo Okada may operate a business offering Internet gaming if the forms of gaming offered by such business are restricted to games derived from pachinko or pachi-slot machines or other games not authorized for manufacture or distribution in the State of Nevada or Macau and any of Aruze, Aruze Parent, Kazuo Okada or an entity which is at least 80% owned by Kazuo Okada or Aruze Parent (“Okada Entity”) may license content from any gaming device manufactured by Aruze, Aruze Parent or Okada Entity to a business offering Internet gaming. Nothing herein shall preclude Aruze, Aruze Parent, an Okada Entity and/or Kazuo Okada from engaging in the sale of gaming devices in the aforementioned jurisdictions.</w:t>
      </w:r>
    </w:p>
    <w:p>
      <w:pPr>
        <w:spacing w:after="0" w:line="189" w:lineRule="exact"/>
        <w:rPr>
          <w:sz w:val="20"/>
          <w:szCs w:val="20"/>
          <w:color w:val="auto"/>
        </w:rPr>
      </w:pPr>
    </w:p>
    <w:p>
      <w:pPr>
        <w:ind w:left="652" w:hanging="652"/>
        <w:spacing w:after="0"/>
        <w:tabs>
          <w:tab w:leader="none" w:pos="652"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Stockholders' Option to Purchase Bankrupt Stockholder's Shares</w:t>
      </w:r>
      <w:r>
        <w:rPr>
          <w:rFonts w:ascii="Arial" w:cs="Arial" w:eastAsia="Arial" w:hAnsi="Arial"/>
          <w:sz w:val="22"/>
          <w:szCs w:val="22"/>
          <w:color w:val="auto"/>
        </w:rPr>
        <w:t>.</w:t>
      </w:r>
    </w:p>
    <w:p>
      <w:pPr>
        <w:spacing w:after="0" w:line="227" w:lineRule="exact"/>
        <w:rPr>
          <w:rFonts w:ascii="Arial" w:cs="Arial" w:eastAsia="Arial" w:hAnsi="Arial"/>
          <w:sz w:val="22"/>
          <w:szCs w:val="22"/>
          <w:color w:val="auto"/>
        </w:rPr>
      </w:pPr>
    </w:p>
    <w:p>
      <w:pPr>
        <w:ind w:left="1292" w:hanging="644"/>
        <w:spacing w:after="0" w:line="270" w:lineRule="auto"/>
        <w:tabs>
          <w:tab w:leader="none" w:pos="1292"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Upon the institution of a Bankruptcy by or against a Stockholder (a </w:t>
      </w:r>
      <w:r>
        <w:rPr>
          <w:rFonts w:ascii="Arial" w:cs="Arial" w:eastAsia="Arial" w:hAnsi="Arial"/>
          <w:sz w:val="19"/>
          <w:szCs w:val="19"/>
          <w:b w:val="1"/>
          <w:bCs w:val="1"/>
          <w:color w:val="auto"/>
        </w:rPr>
        <w:t>"Bankrupt Stockholder"</w:t>
      </w:r>
      <w:r>
        <w:rPr>
          <w:rFonts w:ascii="Arial" w:cs="Arial" w:eastAsia="Arial" w:hAnsi="Arial"/>
          <w:sz w:val="19"/>
          <w:szCs w:val="19"/>
          <w:color w:val="auto"/>
        </w:rPr>
        <w:t xml:space="preserve">), the Stockholders, not including the Bankrupt Stockholder, shall have the option (the </w:t>
      </w:r>
      <w:r>
        <w:rPr>
          <w:rFonts w:ascii="Arial" w:cs="Arial" w:eastAsia="Arial" w:hAnsi="Arial"/>
          <w:sz w:val="19"/>
          <w:szCs w:val="19"/>
          <w:b w:val="1"/>
          <w:bCs w:val="1"/>
          <w:color w:val="auto"/>
        </w:rPr>
        <w:t>"Purchase Option"</w:t>
      </w:r>
      <w:r>
        <w:rPr>
          <w:rFonts w:ascii="Arial" w:cs="Arial" w:eastAsia="Arial" w:hAnsi="Arial"/>
          <w:sz w:val="19"/>
          <w:szCs w:val="19"/>
          <w:color w:val="auto"/>
        </w:rPr>
        <w:t xml:space="preserve">) to purchase the Bankrupt Stockholder's Shares in Wynn for a price agreed upon by the Stockholders, not including the Bankrupt Stockholder, on the one hand, and the Bankrupt Stockholder, on the other hand, or if no price can be agreed upon, the Fair Market Value of such Shares at the time of such Bankruptcy. If information is not available to determine the Fair Market Value of such Shares at the time of such Bankruptcy, the price shall be the fair market value as determined by an Independent Qualified Appraiser. The Stockholders wishing to purchase all or a part of the Shares of the Bankrupt Stockholder (the </w:t>
      </w:r>
      <w:r>
        <w:rPr>
          <w:rFonts w:ascii="Arial" w:cs="Arial" w:eastAsia="Arial" w:hAnsi="Arial"/>
          <w:sz w:val="19"/>
          <w:szCs w:val="19"/>
          <w:b w:val="1"/>
          <w:bCs w:val="1"/>
          <w:color w:val="auto"/>
        </w:rPr>
        <w:t>"Purchasing Stockholders"</w:t>
      </w:r>
      <w:r>
        <w:rPr>
          <w:rFonts w:ascii="Arial" w:cs="Arial" w:eastAsia="Arial" w:hAnsi="Arial"/>
          <w:sz w:val="19"/>
          <w:szCs w:val="19"/>
          <w:color w:val="auto"/>
        </w:rPr>
        <w:t>) shall pay the agreed price, the Fair Market Value or the fair market value as determined by an Independent Qualified Appraiser, as applicable, of such Shares to the Bankrupt Stockholder, in cash or its equivalent, by one hundred and twenty (120) days after the date the Bankruptcy petition is filed by or against the Bankrupt Stockholder. Each Purchasing Stockholder must notify the other Stockholders of such Purchasing Stockholder's desire to purchase all or a portion of the Bankrupt Stockholder's Shares in writing by twenty (20) days after the date the Bankruptcy petition is filed by or against the Bankrupt Stockholder. Unless they agree otherwise, if there is more than one Purchasing Stockholder, each Purchasing Stockholder may purchase the proportion of the Bankrupt Stockholder's Shares that such Purchasing Stockholder's Percentage Interest bears to the aggregate Percentage Interests of all Purchasing Stockholders. If neither any remaining Stockholder wishes to purchase the Bankrupt Stockholder's Shares, or the Purchasing Stockholders do not purchase the Bankrupt Stockholder's Shares within the earlier of the time periods set forth above, then all rights to purchase the Bankrupt Stockholder's Shares pursuant to this Section shall terminate.</w:t>
      </w:r>
    </w:p>
    <w:p>
      <w:pPr>
        <w:spacing w:after="0" w:line="197" w:lineRule="exact"/>
        <w:rPr>
          <w:rFonts w:ascii="Arial" w:cs="Arial" w:eastAsia="Arial" w:hAnsi="Arial"/>
          <w:sz w:val="19"/>
          <w:szCs w:val="19"/>
          <w:color w:val="auto"/>
        </w:rPr>
      </w:pPr>
    </w:p>
    <w:p>
      <w:pPr>
        <w:ind w:left="5592" w:hanging="129"/>
        <w:spacing w:after="0"/>
        <w:tabs>
          <w:tab w:leader="none" w:pos="5592" w:val="left"/>
        </w:tabs>
        <w:numPr>
          <w:ilvl w:val="2"/>
          <w:numId w:val="25"/>
        </w:numPr>
        <w:rPr>
          <w:rFonts w:ascii="Arial" w:cs="Arial" w:eastAsia="Arial" w:hAnsi="Arial"/>
          <w:sz w:val="22"/>
          <w:szCs w:val="22"/>
          <w:color w:val="auto"/>
        </w:rPr>
      </w:pPr>
      <w:r>
        <w:rPr>
          <w:rFonts w:ascii="Arial" w:cs="Arial" w:eastAsia="Arial" w:hAnsi="Arial"/>
          <w:sz w:val="22"/>
          <w:szCs w:val="22"/>
          <w:color w:val="auto"/>
        </w:rPr>
        <w:t>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1" w:right="259" w:bottom="1440" w:gutter="0" w:footer="0" w:header="0"/>
        </w:sectPr>
      </w:pPr>
    </w:p>
    <w:bookmarkStart w:id="16" w:name="page17"/>
    <w:bookmarkEnd w:id="16"/>
    <w:p>
      <w:pPr>
        <w:ind w:left="1292" w:right="120" w:hanging="644"/>
        <w:spacing w:after="0" w:line="251" w:lineRule="auto"/>
        <w:tabs>
          <w:tab w:leader="none" w:pos="1292" w:val="left"/>
        </w:tabs>
        <w:numPr>
          <w:ilvl w:val="1"/>
          <w:numId w:val="26"/>
        </w:numPr>
        <w:rPr>
          <w:rFonts w:ascii="Arial" w:cs="Arial" w:eastAsia="Arial" w:hAnsi="Arial"/>
          <w:sz w:val="22"/>
          <w:szCs w:val="22"/>
          <w:color w:val="auto"/>
        </w:rPr>
      </w:pPr>
      <w:r>
        <w:rPr>
          <w:rFonts w:ascii="Arial" w:cs="Arial" w:eastAsia="Arial" w:hAnsi="Arial"/>
          <w:sz w:val="22"/>
          <w:szCs w:val="22"/>
          <w:color w:val="auto"/>
        </w:rPr>
        <w:t>Any Stockholder that exercises its right under this Section 7 to purchase the Bankrupt Stockholder's Shares may, in its sole and absolute discretion, assign such rights to Wynn.</w:t>
      </w:r>
    </w:p>
    <w:p>
      <w:pPr>
        <w:spacing w:after="0" w:line="200" w:lineRule="exact"/>
        <w:rPr>
          <w:rFonts w:ascii="Arial" w:cs="Arial" w:eastAsia="Arial" w:hAnsi="Arial"/>
          <w:sz w:val="22"/>
          <w:szCs w:val="22"/>
          <w:color w:val="auto"/>
        </w:rPr>
      </w:pPr>
    </w:p>
    <w:p>
      <w:pPr>
        <w:ind w:left="652" w:hanging="652"/>
        <w:spacing w:after="0"/>
        <w:tabs>
          <w:tab w:leader="none" w:pos="65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Ownership Interests in Stockholders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92" w:right="20" w:hanging="644"/>
        <w:spacing w:after="0" w:line="297" w:lineRule="auto"/>
        <w:tabs>
          <w:tab w:leader="none" w:pos="1292" w:val="left"/>
        </w:tabs>
        <w:numPr>
          <w:ilvl w:val="1"/>
          <w:numId w:val="27"/>
        </w:numPr>
        <w:rPr>
          <w:rFonts w:ascii="Arial" w:cs="Arial" w:eastAsia="Arial" w:hAnsi="Arial"/>
          <w:sz w:val="19"/>
          <w:szCs w:val="19"/>
          <w:color w:val="auto"/>
        </w:rPr>
      </w:pPr>
      <w:r>
        <w:rPr>
          <w:rFonts w:ascii="Arial" w:cs="Arial" w:eastAsia="Arial" w:hAnsi="Arial"/>
          <w:sz w:val="19"/>
          <w:szCs w:val="19"/>
          <w:color w:val="auto"/>
        </w:rPr>
        <w:t xml:space="preserve">Except for a Transfer to a Permitted Transferee, any Transfer or issuance of an ownership interest in Aruze or in any entity that directly or indirectly owns a majority ownership interest in a Stockholder an </w:t>
      </w:r>
      <w:r>
        <w:rPr>
          <w:rFonts w:ascii="Arial" w:cs="Arial" w:eastAsia="Arial" w:hAnsi="Arial"/>
          <w:sz w:val="19"/>
          <w:szCs w:val="19"/>
          <w:b w:val="1"/>
          <w:bCs w:val="1"/>
          <w:color w:val="auto"/>
        </w:rPr>
        <w:t>"Upstream Ownership</w:t>
      </w:r>
      <w:r>
        <w:rPr>
          <w:rFonts w:ascii="Arial" w:cs="Arial" w:eastAsia="Arial" w:hAnsi="Arial"/>
          <w:sz w:val="19"/>
          <w:szCs w:val="19"/>
          <w:color w:val="auto"/>
        </w:rPr>
        <w:t xml:space="preserve"> </w:t>
      </w:r>
      <w:r>
        <w:rPr>
          <w:rFonts w:ascii="Arial" w:cs="Arial" w:eastAsia="Arial" w:hAnsi="Arial"/>
          <w:sz w:val="19"/>
          <w:szCs w:val="19"/>
          <w:b w:val="1"/>
          <w:bCs w:val="1"/>
          <w:color w:val="auto"/>
        </w:rPr>
        <w:t>Interest"</w:t>
      </w:r>
      <w:r>
        <w:rPr>
          <w:rFonts w:ascii="Arial" w:cs="Arial" w:eastAsia="Arial" w:hAnsi="Arial"/>
          <w:sz w:val="19"/>
          <w:szCs w:val="19"/>
          <w:color w:val="auto"/>
        </w:rPr>
        <w:t>) shall be prohibited unless in compliance with the procedures and requirements set forth in this Section 8.</w:t>
      </w:r>
    </w:p>
    <w:p>
      <w:pPr>
        <w:spacing w:after="0" w:line="161" w:lineRule="exact"/>
        <w:rPr>
          <w:rFonts w:ascii="Arial" w:cs="Arial" w:eastAsia="Arial" w:hAnsi="Arial"/>
          <w:sz w:val="19"/>
          <w:szCs w:val="19"/>
          <w:color w:val="auto"/>
        </w:rPr>
      </w:pPr>
    </w:p>
    <w:p>
      <w:pPr>
        <w:ind w:left="1292" w:right="100" w:hanging="644"/>
        <w:spacing w:after="0" w:line="268" w:lineRule="auto"/>
        <w:tabs>
          <w:tab w:leader="none" w:pos="1292" w:val="left"/>
        </w:tabs>
        <w:numPr>
          <w:ilvl w:val="1"/>
          <w:numId w:val="27"/>
        </w:numPr>
        <w:rPr>
          <w:rFonts w:ascii="Arial" w:cs="Arial" w:eastAsia="Arial" w:hAnsi="Arial"/>
          <w:sz w:val="19"/>
          <w:szCs w:val="19"/>
          <w:color w:val="auto"/>
        </w:rPr>
      </w:pPr>
      <w:r>
        <w:rPr>
          <w:rFonts w:ascii="Arial" w:cs="Arial" w:eastAsia="Arial" w:hAnsi="Arial"/>
          <w:sz w:val="19"/>
          <w:szCs w:val="19"/>
          <w:color w:val="auto"/>
        </w:rPr>
        <w:t xml:space="preserve">The Shares that would be indirectly transferred by the transfer of the Upstream Ownership Interest shall be referred to as the </w:t>
      </w:r>
      <w:r>
        <w:rPr>
          <w:rFonts w:ascii="Arial" w:cs="Arial" w:eastAsia="Arial" w:hAnsi="Arial"/>
          <w:sz w:val="19"/>
          <w:szCs w:val="19"/>
          <w:b w:val="1"/>
          <w:bCs w:val="1"/>
          <w:color w:val="auto"/>
        </w:rPr>
        <w:t>"Indirect Transfer Shares"</w:t>
      </w:r>
      <w:r>
        <w:rPr>
          <w:rFonts w:ascii="Arial" w:cs="Arial" w:eastAsia="Arial" w:hAnsi="Arial"/>
          <w:sz w:val="19"/>
          <w:szCs w:val="19"/>
          <w:color w:val="auto"/>
        </w:rPr>
        <w:t xml:space="preserve">. If any holder of an Upstream Ownership Interest (an </w:t>
      </w:r>
      <w:r>
        <w:rPr>
          <w:rFonts w:ascii="Arial" w:cs="Arial" w:eastAsia="Arial" w:hAnsi="Arial"/>
          <w:sz w:val="19"/>
          <w:szCs w:val="19"/>
          <w:b w:val="1"/>
          <w:bCs w:val="1"/>
          <w:color w:val="auto"/>
        </w:rPr>
        <w:t>"Upstream</w:t>
      </w:r>
      <w:r>
        <w:rPr>
          <w:rFonts w:ascii="Arial" w:cs="Arial" w:eastAsia="Arial" w:hAnsi="Arial"/>
          <w:sz w:val="19"/>
          <w:szCs w:val="19"/>
          <w:color w:val="auto"/>
        </w:rPr>
        <w:t xml:space="preserve"> </w:t>
      </w:r>
      <w:r>
        <w:rPr>
          <w:rFonts w:ascii="Arial" w:cs="Arial" w:eastAsia="Arial" w:hAnsi="Arial"/>
          <w:sz w:val="19"/>
          <w:szCs w:val="19"/>
          <w:b w:val="1"/>
          <w:bCs w:val="1"/>
          <w:color w:val="auto"/>
        </w:rPr>
        <w:t>Transferor"</w:t>
      </w:r>
      <w:r>
        <w:rPr>
          <w:rFonts w:ascii="Arial" w:cs="Arial" w:eastAsia="Arial" w:hAnsi="Arial"/>
          <w:sz w:val="19"/>
          <w:szCs w:val="19"/>
          <w:color w:val="auto"/>
        </w:rPr>
        <w:t>) intends to Transfer all or any part of its Upstream Ownership Interest pursuant to a bona fide offer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received from any Person (the </w:t>
      </w:r>
      <w:r>
        <w:rPr>
          <w:rFonts w:ascii="Arial" w:cs="Arial" w:eastAsia="Arial" w:hAnsi="Arial"/>
          <w:sz w:val="19"/>
          <w:szCs w:val="19"/>
          <w:b w:val="1"/>
          <w:bCs w:val="1"/>
          <w:color w:val="auto"/>
        </w:rPr>
        <w:t>"Upstream Offeror"</w:t>
      </w:r>
      <w:r>
        <w:rPr>
          <w:rFonts w:ascii="Arial" w:cs="Arial" w:eastAsia="Arial" w:hAnsi="Arial"/>
          <w:sz w:val="19"/>
          <w:szCs w:val="19"/>
          <w:color w:val="auto"/>
        </w:rPr>
        <w:t>), prior to accepting such offer the Upstream Transferor shall provide written notice to each Stockholder, other than the Stockholder holding the Indirect Transfer Shares, which notice shall set forth the terms and conditions of the offer so received, including the purchase price and the identity of the Upstream Offeror. If the Upstream Transferor does not provide such notice, the Stockholder holding the Indirect Transfer Shares shall provide such notice to each other Stockholder promptly upon learning that such transaction will occur or has occurred. Within 15 days following receipt of such notice by the Stockholders other than the Stockholder holding the Indirect Transfer Shares, or if later, within 30 days of such other Stockholders learning that the Transfer of the Upstream Ownership Interest has occurred, such other Stockholders (i) if information is available to determine the Fair Market Value of such Indirect Transfer Shares, may elect to purchase the percentage of the Indirect Transfer Shares available for purchase equal to such holder's Percentage Interest (determined for this purpose by excluding the Indirect Transfer Shares) at the Fair Market Value of such Shares, or</w:t>
      </w:r>
    </w:p>
    <w:p>
      <w:pPr>
        <w:spacing w:after="0" w:line="5" w:lineRule="exact"/>
        <w:rPr>
          <w:rFonts w:ascii="Arial" w:cs="Arial" w:eastAsia="Arial" w:hAnsi="Arial"/>
          <w:sz w:val="19"/>
          <w:szCs w:val="19"/>
          <w:color w:val="auto"/>
        </w:rPr>
      </w:pPr>
    </w:p>
    <w:p>
      <w:pPr>
        <w:ind w:left="1292" w:firstLine="5"/>
        <w:spacing w:after="0" w:line="271" w:lineRule="auto"/>
        <w:tabs>
          <w:tab w:leader="none" w:pos="1610" w:val="left"/>
        </w:tabs>
        <w:numPr>
          <w:ilvl w:val="2"/>
          <w:numId w:val="27"/>
        </w:numPr>
        <w:rPr>
          <w:rFonts w:ascii="Arial" w:cs="Arial" w:eastAsia="Arial" w:hAnsi="Arial"/>
          <w:sz w:val="19"/>
          <w:szCs w:val="19"/>
          <w:color w:val="auto"/>
        </w:rPr>
      </w:pPr>
      <w:r>
        <w:rPr>
          <w:rFonts w:ascii="Arial" w:cs="Arial" w:eastAsia="Arial" w:hAnsi="Arial"/>
          <w:sz w:val="19"/>
          <w:szCs w:val="19"/>
          <w:color w:val="auto"/>
        </w:rPr>
        <w:t>if information is not available to determine the Fair Market Value of such Indirect Transfer Shares, may, by notice to the Stockholder holding the Indirect Transfer Shares, elect to obtain an appraisal by an Independent Qualified Appraiser of the fair market value of the Indirect Transfer Shares. Within 15 days following receipt by the Stockholders other than the Stockholder holding the Indirect Transfer Shares of the results of the appraisal, each such other Stockholder may elect to purchase the percentage of the Indirect Transfer Shares available for purchase equal to such holder's Percentage Interest (determined for this purpose by excluding the Indirect Transfer Shares) at the appraisal price of such Shares. To the extent a Stockholder shall determine not to purchase all the Indirect Transfer Shares available to that Stockholder, the other Stockholders exercising the right to purchase the Indirect Transfer Shares may purchase additional Indirect Transfer Shares on a pro rata basis in proportion to their Percentage Interests (and the foregoing procedure shall be repeated in respect of any Indirect</w:t>
      </w:r>
    </w:p>
    <w:p>
      <w:pPr>
        <w:spacing w:after="0" w:line="188" w:lineRule="exact"/>
        <w:rPr>
          <w:rFonts w:ascii="Arial" w:cs="Arial" w:eastAsia="Arial" w:hAnsi="Arial"/>
          <w:sz w:val="19"/>
          <w:szCs w:val="19"/>
          <w:color w:val="auto"/>
        </w:rPr>
      </w:pPr>
    </w:p>
    <w:p>
      <w:pPr>
        <w:ind w:left="5592" w:hanging="129"/>
        <w:spacing w:after="0"/>
        <w:tabs>
          <w:tab w:leader="none" w:pos="5592" w:val="left"/>
        </w:tabs>
        <w:numPr>
          <w:ilvl w:val="3"/>
          <w:numId w:val="27"/>
        </w:numPr>
        <w:rPr>
          <w:rFonts w:ascii="Arial" w:cs="Arial" w:eastAsia="Arial" w:hAnsi="Arial"/>
          <w:sz w:val="22"/>
          <w:szCs w:val="22"/>
          <w:color w:val="auto"/>
        </w:rPr>
      </w:pPr>
      <w:r>
        <w:rPr>
          <w:rFonts w:ascii="Arial" w:cs="Arial" w:eastAsia="Arial" w:hAnsi="Arial"/>
          <w:sz w:val="22"/>
          <w:szCs w:val="22"/>
          <w:color w:val="auto"/>
        </w:rPr>
        <w:t>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361" w:right="279" w:bottom="1440" w:gutter="0" w:footer="0" w:header="0"/>
        </w:sectPr>
      </w:pPr>
    </w:p>
    <w:bookmarkStart w:id="17" w:name="page18"/>
    <w:bookmarkEnd w:id="17"/>
    <w:p>
      <w:pPr>
        <w:ind w:left="1292" w:right="360"/>
        <w:spacing w:after="0" w:line="251" w:lineRule="auto"/>
        <w:rPr>
          <w:sz w:val="20"/>
          <w:szCs w:val="20"/>
          <w:color w:val="auto"/>
        </w:rPr>
      </w:pPr>
      <w:r>
        <w:rPr>
          <w:rFonts w:ascii="Arial" w:cs="Arial" w:eastAsia="Arial" w:hAnsi="Arial"/>
          <w:sz w:val="22"/>
          <w:szCs w:val="22"/>
          <w:color w:val="auto"/>
        </w:rPr>
        <w:t>Transfer Shares not purchased until such other Stockholders have had an opportunity to purchase any remaining Indirect Transfer Shares).</w:t>
      </w:r>
    </w:p>
    <w:p>
      <w:pPr>
        <w:spacing w:after="0" w:line="200" w:lineRule="exact"/>
        <w:rPr>
          <w:sz w:val="20"/>
          <w:szCs w:val="20"/>
          <w:color w:val="auto"/>
        </w:rPr>
      </w:pPr>
    </w:p>
    <w:p>
      <w:pPr>
        <w:jc w:val="both"/>
        <w:ind w:left="1292" w:right="100"/>
        <w:spacing w:after="0" w:line="297" w:lineRule="auto"/>
        <w:rPr>
          <w:sz w:val="20"/>
          <w:szCs w:val="20"/>
          <w:color w:val="auto"/>
        </w:rPr>
      </w:pPr>
      <w:r>
        <w:rPr>
          <w:rFonts w:ascii="Arial" w:cs="Arial" w:eastAsia="Arial" w:hAnsi="Arial"/>
          <w:sz w:val="19"/>
          <w:szCs w:val="19"/>
          <w:color w:val="auto"/>
        </w:rPr>
        <w:t>Notwithstanding anything to the contrary in this Section 8, any Transfer or issuance of shares in Aruze Parent shall not constitute an Upstream Transfer if immediately following such Transfer or issuance Kazuo Okada has the right to directly or indirectly exercise more than fifty percent of the voting power of the shareholders of Aruze Parent.</w:t>
      </w:r>
    </w:p>
    <w:p>
      <w:pPr>
        <w:spacing w:after="0" w:line="161" w:lineRule="exact"/>
        <w:rPr>
          <w:sz w:val="20"/>
          <w:szCs w:val="20"/>
          <w:color w:val="auto"/>
        </w:rPr>
      </w:pPr>
    </w:p>
    <w:p>
      <w:pPr>
        <w:ind w:left="1292" w:right="200" w:hanging="644"/>
        <w:spacing w:after="0" w:line="238" w:lineRule="auto"/>
        <w:tabs>
          <w:tab w:leader="none" w:pos="1292"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closing of a purchase of Indirect Transfer Shares by a Stockholder under this Section 8 shall occur within 10 days following the expiration of the last period during which a Stockholder might elect to purchase any of the Indirect Transfer Shares, or at such later date when all approvals required by the Gaming Laws are obtained (such approvals to be obtained as soon as is reasonably practicable).</w:t>
      </w:r>
    </w:p>
    <w:p>
      <w:pPr>
        <w:spacing w:after="0" w:line="212" w:lineRule="exact"/>
        <w:rPr>
          <w:rFonts w:ascii="Arial" w:cs="Arial" w:eastAsia="Arial" w:hAnsi="Arial"/>
          <w:sz w:val="22"/>
          <w:szCs w:val="22"/>
          <w:color w:val="auto"/>
        </w:rPr>
      </w:pPr>
    </w:p>
    <w:p>
      <w:pPr>
        <w:ind w:left="1292" w:hanging="644"/>
        <w:spacing w:after="0" w:line="251" w:lineRule="auto"/>
        <w:tabs>
          <w:tab w:leader="none" w:pos="1292" w:val="left"/>
        </w:tabs>
        <w:numPr>
          <w:ilvl w:val="1"/>
          <w:numId w:val="28"/>
        </w:numPr>
        <w:rPr>
          <w:rFonts w:ascii="Arial" w:cs="Arial" w:eastAsia="Arial" w:hAnsi="Arial"/>
          <w:sz w:val="22"/>
          <w:szCs w:val="22"/>
          <w:color w:val="auto"/>
        </w:rPr>
      </w:pPr>
      <w:r>
        <w:rPr>
          <w:rFonts w:ascii="Arial" w:cs="Arial" w:eastAsia="Arial" w:hAnsi="Arial"/>
          <w:sz w:val="22"/>
          <w:szCs w:val="22"/>
          <w:color w:val="auto"/>
        </w:rPr>
        <w:t>Any Stockholder that exercises its right under this Section 8 to purchase the Indirect Transfer Shares may, in its sole and absolute discretion, assign such rights to Wynn.</w:t>
      </w:r>
    </w:p>
    <w:p>
      <w:pPr>
        <w:spacing w:after="0" w:line="200" w:lineRule="exact"/>
        <w:rPr>
          <w:rFonts w:ascii="Arial" w:cs="Arial" w:eastAsia="Arial" w:hAnsi="Arial"/>
          <w:sz w:val="22"/>
          <w:szCs w:val="22"/>
          <w:color w:val="auto"/>
        </w:rPr>
      </w:pPr>
    </w:p>
    <w:p>
      <w:pPr>
        <w:ind w:left="652" w:hanging="652"/>
        <w:spacing w:after="0"/>
        <w:tabs>
          <w:tab w:leader="none" w:pos="65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Right of First Refusal</w:t>
      </w:r>
      <w:r>
        <w:rPr>
          <w:rFonts w:ascii="Arial" w:cs="Arial" w:eastAsia="Arial" w:hAnsi="Arial"/>
          <w:sz w:val="22"/>
          <w:szCs w:val="22"/>
          <w:color w:val="auto"/>
        </w:rPr>
        <w:t>.</w:t>
      </w:r>
    </w:p>
    <w:p>
      <w:pPr>
        <w:spacing w:after="0" w:line="227" w:lineRule="exact"/>
        <w:rPr>
          <w:rFonts w:ascii="Arial" w:cs="Arial" w:eastAsia="Arial" w:hAnsi="Arial"/>
          <w:sz w:val="22"/>
          <w:szCs w:val="22"/>
          <w:color w:val="auto"/>
        </w:rPr>
      </w:pPr>
    </w:p>
    <w:p>
      <w:pPr>
        <w:ind w:left="1292" w:right="40" w:hanging="644"/>
        <w:spacing w:after="0" w:line="272" w:lineRule="auto"/>
        <w:tabs>
          <w:tab w:leader="none" w:pos="1292" w:val="left"/>
        </w:tabs>
        <w:numPr>
          <w:ilvl w:val="1"/>
          <w:numId w:val="29"/>
        </w:numPr>
        <w:rPr>
          <w:rFonts w:ascii="Arial" w:cs="Arial" w:eastAsia="Arial" w:hAnsi="Arial"/>
          <w:sz w:val="19"/>
          <w:szCs w:val="19"/>
          <w:color w:val="auto"/>
        </w:rPr>
      </w:pPr>
      <w:r>
        <w:rPr>
          <w:rFonts w:ascii="Arial" w:cs="Arial" w:eastAsia="Arial" w:hAnsi="Arial"/>
          <w:sz w:val="19"/>
          <w:szCs w:val="19"/>
          <w:color w:val="auto"/>
        </w:rPr>
        <w:t xml:space="preserve">Any Stockholder (a </w:t>
      </w:r>
      <w:r>
        <w:rPr>
          <w:rFonts w:ascii="Arial" w:cs="Arial" w:eastAsia="Arial" w:hAnsi="Arial"/>
          <w:sz w:val="19"/>
          <w:szCs w:val="19"/>
          <w:b w:val="1"/>
          <w:bCs w:val="1"/>
          <w:color w:val="auto"/>
        </w:rPr>
        <w:t>"Transferor"</w:t>
      </w:r>
      <w:r>
        <w:rPr>
          <w:rFonts w:ascii="Arial" w:cs="Arial" w:eastAsia="Arial" w:hAnsi="Arial"/>
          <w:sz w:val="19"/>
          <w:szCs w:val="19"/>
          <w:color w:val="auto"/>
        </w:rPr>
        <w:t xml:space="preserve">) who wishes to Transfer any or all of its Shares (the </w:t>
      </w:r>
      <w:r>
        <w:rPr>
          <w:rFonts w:ascii="Arial" w:cs="Arial" w:eastAsia="Arial" w:hAnsi="Arial"/>
          <w:sz w:val="19"/>
          <w:szCs w:val="19"/>
          <w:b w:val="1"/>
          <w:bCs w:val="1"/>
          <w:color w:val="auto"/>
        </w:rPr>
        <w:t>"Offered Shares"</w:t>
      </w:r>
      <w:r>
        <w:rPr>
          <w:rFonts w:ascii="Arial" w:cs="Arial" w:eastAsia="Arial" w:hAnsi="Arial"/>
          <w:sz w:val="19"/>
          <w:szCs w:val="19"/>
          <w:color w:val="auto"/>
        </w:rPr>
        <w:t xml:space="preserve">) to any Person other than a Permitted Transferee and who receives a bona fide offer from any Person (the </w:t>
      </w:r>
      <w:r>
        <w:rPr>
          <w:rFonts w:ascii="Arial" w:cs="Arial" w:eastAsia="Arial" w:hAnsi="Arial"/>
          <w:sz w:val="19"/>
          <w:szCs w:val="19"/>
          <w:b w:val="1"/>
          <w:bCs w:val="1"/>
          <w:color w:val="auto"/>
        </w:rPr>
        <w:t>"Offeror"</w:t>
      </w:r>
      <w:r>
        <w:rPr>
          <w:rFonts w:ascii="Arial" w:cs="Arial" w:eastAsia="Arial" w:hAnsi="Arial"/>
          <w:sz w:val="19"/>
          <w:szCs w:val="19"/>
          <w:color w:val="auto"/>
        </w:rPr>
        <w:t xml:space="preserve">) who is not a Prohibited Transferee for the purchase of all or any portion of such Stockholder's Shares shall, prior to accepting such offer, provide written notice (the </w:t>
      </w:r>
      <w:r>
        <w:rPr>
          <w:rFonts w:ascii="Arial" w:cs="Arial" w:eastAsia="Arial" w:hAnsi="Arial"/>
          <w:sz w:val="19"/>
          <w:szCs w:val="19"/>
          <w:b w:val="1"/>
          <w:bCs w:val="1"/>
          <w:color w:val="auto"/>
        </w:rPr>
        <w:t>"Notice of Offer"</w:t>
      </w:r>
      <w:r>
        <w:rPr>
          <w:rFonts w:ascii="Arial" w:cs="Arial" w:eastAsia="Arial" w:hAnsi="Arial"/>
          <w:sz w:val="19"/>
          <w:szCs w:val="19"/>
          <w:color w:val="auto"/>
        </w:rPr>
        <w:t>) thereof to each other Stockholder holding Shares, which notice shall set forth the terms and conditions of the offer so received, including the purchase price and the identity of the Offeror. Following the delivery to the other Stockholders of the Notice of Offer, each other Stockholder may elect to purchase that percentage of the Offered Shares which is equal to the Total Shares (excluding the Offered Shares) owned by each such Stockholder divided by the Total Shares (excluding the Offered Shares) owned by all such Stockholders (</w:t>
      </w:r>
      <w:r>
        <w:rPr>
          <w:rFonts w:ascii="Arial" w:cs="Arial" w:eastAsia="Arial" w:hAnsi="Arial"/>
          <w:sz w:val="19"/>
          <w:szCs w:val="19"/>
          <w:b w:val="1"/>
          <w:bCs w:val="1"/>
          <w:color w:val="auto"/>
        </w:rPr>
        <w:t>"Applicable Percentage"</w:t>
      </w:r>
      <w:r>
        <w:rPr>
          <w:rFonts w:ascii="Arial" w:cs="Arial" w:eastAsia="Arial" w:hAnsi="Arial"/>
          <w:sz w:val="19"/>
          <w:szCs w:val="19"/>
          <w:color w:val="auto"/>
        </w:rPr>
        <w:t xml:space="preserve">) during a fifteen-day refusal period (the </w:t>
      </w:r>
      <w:r>
        <w:rPr>
          <w:rFonts w:ascii="Arial" w:cs="Arial" w:eastAsia="Arial" w:hAnsi="Arial"/>
          <w:sz w:val="19"/>
          <w:szCs w:val="19"/>
          <w:b w:val="1"/>
          <w:bCs w:val="1"/>
          <w:color w:val="auto"/>
        </w:rPr>
        <w:t>"Refusal Period"</w:t>
      </w:r>
      <w:r>
        <w:rPr>
          <w:rFonts w:ascii="Arial" w:cs="Arial" w:eastAsia="Arial" w:hAnsi="Arial"/>
          <w:sz w:val="19"/>
          <w:szCs w:val="19"/>
          <w:color w:val="auto"/>
        </w:rPr>
        <w:t>) on the terms set forth in the Notice of Offer. To the extent any Stockholder shall determine not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purchase its Applicable Percentage prior to the expiration of the Refusal Period, the accepting Stockholders (the </w:t>
      </w:r>
      <w:r>
        <w:rPr>
          <w:rFonts w:ascii="Arial" w:cs="Arial" w:eastAsia="Arial" w:hAnsi="Arial"/>
          <w:sz w:val="19"/>
          <w:szCs w:val="19"/>
          <w:b w:val="1"/>
          <w:bCs w:val="1"/>
          <w:color w:val="auto"/>
        </w:rPr>
        <w:t>"Accepting Purchasers"</w:t>
      </w:r>
      <w:r>
        <w:rPr>
          <w:rFonts w:ascii="Arial" w:cs="Arial" w:eastAsia="Arial" w:hAnsi="Arial"/>
          <w:sz w:val="19"/>
          <w:szCs w:val="19"/>
          <w:color w:val="auto"/>
        </w:rPr>
        <w:t>) may purchase such Shares on a pro rata basis in proportion to the number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owned by each of them (and the foregoing procedure shall be repeated in respect of any Shares not purchased until all Accepting Purchasers have had an opportunity to purchase any remaining Shares).</w:t>
      </w:r>
    </w:p>
    <w:p>
      <w:pPr>
        <w:spacing w:after="0" w:line="185" w:lineRule="exact"/>
        <w:rPr>
          <w:rFonts w:ascii="Arial" w:cs="Arial" w:eastAsia="Arial" w:hAnsi="Arial"/>
          <w:sz w:val="19"/>
          <w:szCs w:val="19"/>
          <w:color w:val="auto"/>
        </w:rPr>
      </w:pPr>
    </w:p>
    <w:p>
      <w:pPr>
        <w:ind w:left="1292" w:right="160" w:hanging="644"/>
        <w:spacing w:after="0" w:line="328" w:lineRule="auto"/>
        <w:tabs>
          <w:tab w:leader="none" w:pos="1292" w:val="left"/>
        </w:tabs>
        <w:numPr>
          <w:ilvl w:val="1"/>
          <w:numId w:val="29"/>
        </w:numPr>
        <w:rPr>
          <w:rFonts w:ascii="Arial" w:cs="Arial" w:eastAsia="Arial" w:hAnsi="Arial"/>
          <w:sz w:val="19"/>
          <w:szCs w:val="19"/>
          <w:color w:val="auto"/>
        </w:rPr>
      </w:pPr>
      <w:r>
        <w:rPr>
          <w:rFonts w:ascii="Arial" w:cs="Arial" w:eastAsia="Arial" w:hAnsi="Arial"/>
          <w:sz w:val="19"/>
          <w:szCs w:val="19"/>
          <w:color w:val="auto"/>
        </w:rPr>
        <w:t>Subject to the requirements of Section 4, including but not limited to the requirement that a transferee execute this Agreement and a Proxy, if all or any of the Offered Shares shall remain unsold after completion of the</w:t>
      </w:r>
    </w:p>
    <w:p>
      <w:pPr>
        <w:spacing w:after="0" w:line="132" w:lineRule="exact"/>
        <w:rPr>
          <w:rFonts w:ascii="Arial" w:cs="Arial" w:eastAsia="Arial" w:hAnsi="Arial"/>
          <w:sz w:val="19"/>
          <w:szCs w:val="19"/>
          <w:color w:val="auto"/>
        </w:rPr>
      </w:pPr>
    </w:p>
    <w:p>
      <w:pPr>
        <w:ind w:left="5532" w:hanging="123"/>
        <w:spacing w:after="0"/>
        <w:tabs>
          <w:tab w:leader="none" w:pos="5532" w:val="left"/>
        </w:tabs>
        <w:numPr>
          <w:ilvl w:val="2"/>
          <w:numId w:val="29"/>
        </w:numPr>
        <w:rPr>
          <w:rFonts w:ascii="Arial" w:cs="Arial" w:eastAsia="Arial" w:hAnsi="Arial"/>
          <w:sz w:val="22"/>
          <w:szCs w:val="22"/>
          <w:color w:val="auto"/>
        </w:rPr>
      </w:pPr>
      <w:r>
        <w:rPr>
          <w:rFonts w:ascii="Arial" w:cs="Arial" w:eastAsia="Arial" w:hAnsi="Arial"/>
          <w:sz w:val="22"/>
          <w:szCs w:val="22"/>
          <w:color w:val="auto"/>
        </w:rPr>
        <w:t>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361" w:right="319" w:bottom="1440" w:gutter="0" w:footer="0" w:header="0"/>
        </w:sectPr>
      </w:pPr>
    </w:p>
    <w:bookmarkStart w:id="18" w:name="page19"/>
    <w:bookmarkEnd w:id="18"/>
    <w:p>
      <w:pPr>
        <w:ind w:left="1292" w:right="60"/>
        <w:spacing w:after="0" w:line="282" w:lineRule="auto"/>
        <w:rPr>
          <w:sz w:val="20"/>
          <w:szCs w:val="20"/>
          <w:color w:val="auto"/>
        </w:rPr>
      </w:pPr>
      <w:r>
        <w:rPr>
          <w:rFonts w:ascii="Arial" w:cs="Arial" w:eastAsia="Arial" w:hAnsi="Arial"/>
          <w:sz w:val="19"/>
          <w:szCs w:val="19"/>
          <w:color w:val="auto"/>
        </w:rPr>
        <w:t xml:space="preserve">procedures set forth in Section 9(a), the Transferor may sell such remaining Offered Shares to the Offeror within six months of the completion of such procedures on terms no more favorable than those set forth in the Notice of Offer;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Offeror is not a Prohibited Transferee. To the extent any of the Offered Shares are not sold in accordance with the foregoing, the Stockholders shall continue to have a right of first refusal under this Section 9 with respect to any Transfers to any Person which are subsequently proposed by such Transferor.</w:t>
      </w:r>
    </w:p>
    <w:p>
      <w:pPr>
        <w:spacing w:after="0" w:line="175" w:lineRule="exact"/>
        <w:rPr>
          <w:sz w:val="20"/>
          <w:szCs w:val="20"/>
          <w:color w:val="auto"/>
        </w:rPr>
      </w:pPr>
    </w:p>
    <w:p>
      <w:pPr>
        <w:ind w:left="1292" w:hanging="644"/>
        <w:spacing w:after="0" w:line="245" w:lineRule="auto"/>
        <w:tabs>
          <w:tab w:leader="none" w:pos="1292" w:val="left"/>
        </w:tabs>
        <w:numPr>
          <w:ilvl w:val="1"/>
          <w:numId w:val="30"/>
        </w:numPr>
        <w:rPr>
          <w:rFonts w:ascii="Arial" w:cs="Arial" w:eastAsia="Arial" w:hAnsi="Arial"/>
          <w:sz w:val="21"/>
          <w:szCs w:val="21"/>
          <w:color w:val="auto"/>
        </w:rPr>
      </w:pPr>
      <w:r>
        <w:rPr>
          <w:rFonts w:ascii="Arial" w:cs="Arial" w:eastAsia="Arial" w:hAnsi="Arial"/>
          <w:sz w:val="21"/>
          <w:szCs w:val="21"/>
          <w:color w:val="auto"/>
        </w:rPr>
        <w:t>The closing of a purchase by a Stockholder under this Section 9 shall occur within ten days after the end of the Refusal Period or at such later date when all approvals required by the Gaming Laws are obtained (such approvals to be obtained as soon as is reasonably practicable). At such closing the Transferor and the relevant Accepting Purchaser (and any or all other Stockholders as may be required) shall execute an assignment and assumption agreement and any other instruments and documents as may be reasonably required by such Stockholder to effectuate the transfer of such Shares free and clear of any liens, claims or encumbrances, other than as specifically permitted hereunder. Any Transfer to any Person that does not comply with the provisions of this Section 9, other than a Transfer expressly provided for in the other provisions of this Agreement, shall be null and void of no effect whatsoever.</w:t>
      </w:r>
    </w:p>
    <w:p>
      <w:pPr>
        <w:spacing w:after="0" w:line="212" w:lineRule="exact"/>
        <w:rPr>
          <w:rFonts w:ascii="Arial" w:cs="Arial" w:eastAsia="Arial" w:hAnsi="Arial"/>
          <w:sz w:val="21"/>
          <w:szCs w:val="21"/>
          <w:color w:val="auto"/>
        </w:rPr>
      </w:pPr>
    </w:p>
    <w:p>
      <w:pPr>
        <w:ind w:left="1292" w:right="40" w:hanging="644"/>
        <w:spacing w:after="0"/>
        <w:tabs>
          <w:tab w:leader="none" w:pos="1292" w:val="left"/>
        </w:tabs>
        <w:numPr>
          <w:ilvl w:val="1"/>
          <w:numId w:val="30"/>
        </w:numPr>
        <w:rPr>
          <w:rFonts w:ascii="Arial" w:cs="Arial" w:eastAsia="Arial" w:hAnsi="Arial"/>
          <w:sz w:val="22"/>
          <w:szCs w:val="22"/>
          <w:color w:val="auto"/>
        </w:rPr>
      </w:pPr>
      <w:r>
        <w:rPr>
          <w:rFonts w:ascii="Arial" w:cs="Arial" w:eastAsia="Arial" w:hAnsi="Arial"/>
          <w:sz w:val="22"/>
          <w:szCs w:val="22"/>
          <w:color w:val="auto"/>
        </w:rPr>
        <w:t>Any Stockholder may, in its sole and absolute discretion, assign its right of first refusal under this Section 9 to purchase the Offered Shares to Wynn with respect to any incident in which its right of first refusal is triggered under this Section 9.</w:t>
      </w:r>
    </w:p>
    <w:p>
      <w:pPr>
        <w:spacing w:after="0" w:line="213" w:lineRule="exact"/>
        <w:rPr>
          <w:rFonts w:ascii="Arial" w:cs="Arial" w:eastAsia="Arial" w:hAnsi="Arial"/>
          <w:sz w:val="22"/>
          <w:szCs w:val="22"/>
          <w:color w:val="auto"/>
        </w:rPr>
      </w:pPr>
    </w:p>
    <w:p>
      <w:pPr>
        <w:ind w:left="1292" w:right="280" w:hanging="644"/>
        <w:spacing w:after="0" w:line="251" w:lineRule="auto"/>
        <w:tabs>
          <w:tab w:leader="none" w:pos="1292" w:val="left"/>
        </w:tabs>
        <w:numPr>
          <w:ilvl w:val="1"/>
          <w:numId w:val="30"/>
        </w:numPr>
        <w:rPr>
          <w:rFonts w:ascii="Arial" w:cs="Arial" w:eastAsia="Arial" w:hAnsi="Arial"/>
          <w:sz w:val="22"/>
          <w:szCs w:val="22"/>
          <w:color w:val="auto"/>
        </w:rPr>
      </w:pPr>
      <w:r>
        <w:rPr>
          <w:rFonts w:ascii="Arial" w:cs="Arial" w:eastAsia="Arial" w:hAnsi="Arial"/>
          <w:sz w:val="22"/>
          <w:szCs w:val="22"/>
          <w:color w:val="auto"/>
        </w:rPr>
        <w:t>Except for Shares transferred pursuant to Sections 2(b), 4, 7, 8, 10 and 11, no Shares may be Transferred until the provisions of this Section 9 have been complied with.</w:t>
      </w:r>
    </w:p>
    <w:p>
      <w:pPr>
        <w:spacing w:after="0" w:line="200" w:lineRule="exact"/>
        <w:rPr>
          <w:rFonts w:ascii="Arial" w:cs="Arial" w:eastAsia="Arial" w:hAnsi="Arial"/>
          <w:sz w:val="22"/>
          <w:szCs w:val="22"/>
          <w:color w:val="auto"/>
        </w:rPr>
      </w:pPr>
    </w:p>
    <w:p>
      <w:pPr>
        <w:ind w:left="652" w:hanging="652"/>
        <w:spacing w:after="0"/>
        <w:tabs>
          <w:tab w:leader="none" w:pos="652"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Tag-Along Rights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52" w:right="20"/>
        <w:spacing w:after="0" w:line="273" w:lineRule="auto"/>
        <w:rPr>
          <w:rFonts w:ascii="Arial" w:cs="Arial" w:eastAsia="Arial" w:hAnsi="Arial"/>
          <w:sz w:val="22"/>
          <w:szCs w:val="22"/>
          <w:color w:val="auto"/>
        </w:rPr>
      </w:pPr>
      <w:r>
        <w:rPr>
          <w:rFonts w:ascii="Arial" w:cs="Arial" w:eastAsia="Arial" w:hAnsi="Arial"/>
          <w:sz w:val="19"/>
          <w:szCs w:val="19"/>
          <w:color w:val="auto"/>
        </w:rPr>
        <w:t>If any party is the Transferor required to provide the Notice of Offer under Section 9(a), then each of the other two non-selling parties to this Agreement shall each have a right (in addition to its rights under Section 9) to participate in such Transfer pursuant to the provisions of this Section 10. During the fifteen-day Refusal Period described in Section 9(a), each of non-selling parties may, by written notice to the Transferor, elect to participate in such Transfer and to sell that percentage of the Total Shares owned by each non-selling party as the case may be, which is equal to the Total Shares that will be sold by the Transferor in such Transfer divided by the Total Shares owned by the Transferor. The terms and conditions of such Transfer (including the purchase price per Share sold in such Transfer, the identity of the buyer(s), and the consequences resulting from the other Stockholder’s exercise of any rights of first refusal) shall be no less favorable to the non selling parties than to the Transferor; provided, however, that in the event that SAW or Aruze is the Transferor, he or Aruze may enter into service, noncompetition, or similar</w:t>
      </w:r>
    </w:p>
    <w:p>
      <w:pPr>
        <w:spacing w:after="0" w:line="188" w:lineRule="exact"/>
        <w:rPr>
          <w:rFonts w:ascii="Arial" w:cs="Arial" w:eastAsia="Arial" w:hAnsi="Arial"/>
          <w:sz w:val="22"/>
          <w:szCs w:val="22"/>
          <w:color w:val="auto"/>
        </w:rPr>
      </w:pPr>
    </w:p>
    <w:p>
      <w:pPr>
        <w:ind w:left="5532" w:hanging="119"/>
        <w:spacing w:after="0"/>
        <w:tabs>
          <w:tab w:leader="none" w:pos="5532" w:val="left"/>
        </w:tabs>
        <w:numPr>
          <w:ilvl w:val="2"/>
          <w:numId w:val="31"/>
        </w:numPr>
        <w:rPr>
          <w:rFonts w:ascii="Arial" w:cs="Arial" w:eastAsia="Arial" w:hAnsi="Arial"/>
          <w:sz w:val="22"/>
          <w:szCs w:val="22"/>
          <w:color w:val="auto"/>
        </w:rPr>
      </w:pPr>
      <w:r>
        <w:rPr>
          <w:rFonts w:ascii="Arial" w:cs="Arial" w:eastAsia="Arial" w:hAnsi="Arial"/>
          <w:sz w:val="22"/>
          <w:szCs w:val="22"/>
          <w:color w:val="auto"/>
        </w:rPr>
        <w:t>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1" w:right="259" w:bottom="1440" w:gutter="0" w:footer="0" w:header="0"/>
        </w:sectPr>
      </w:pPr>
    </w:p>
    <w:bookmarkStart w:id="19" w:name="page20"/>
    <w:bookmarkEnd w:id="19"/>
    <w:p>
      <w:pPr>
        <w:ind w:left="652"/>
        <w:spacing w:after="0"/>
        <w:rPr>
          <w:sz w:val="20"/>
          <w:szCs w:val="20"/>
          <w:color w:val="auto"/>
        </w:rPr>
      </w:pPr>
      <w:r>
        <w:rPr>
          <w:rFonts w:ascii="Arial" w:cs="Arial" w:eastAsia="Arial" w:hAnsi="Arial"/>
          <w:sz w:val="19"/>
          <w:szCs w:val="19"/>
          <w:color w:val="auto"/>
        </w:rPr>
        <w:t>agreements with the buyer and receive appropriate consideration thereunder in which other Stockholders do not share.</w:t>
      </w:r>
    </w:p>
    <w:p>
      <w:pPr>
        <w:spacing w:after="0" w:line="268" w:lineRule="exact"/>
        <w:rPr>
          <w:sz w:val="20"/>
          <w:szCs w:val="20"/>
          <w:color w:val="auto"/>
        </w:rPr>
      </w:pPr>
    </w:p>
    <w:p>
      <w:pPr>
        <w:ind w:left="652" w:hanging="652"/>
        <w:spacing w:after="0" w:line="270" w:lineRule="auto"/>
        <w:tabs>
          <w:tab w:leader="none" w:pos="652"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Release of Shares</w:t>
      </w:r>
      <w:r>
        <w:rPr>
          <w:rFonts w:ascii="Arial" w:cs="Arial" w:eastAsia="Arial" w:hAnsi="Arial"/>
          <w:sz w:val="19"/>
          <w:szCs w:val="19"/>
          <w:color w:val="auto"/>
        </w:rPr>
        <w:t>. Each of SAW and Aruze agree that commencing on January 6, 2010, and continuing on each January 6 for a total of ten events, a number of Shares owned by EW equal to $10,000,000 divided by the closing price of Wynn shares on January 5, 2010 (or if January 5 is not a trading day, the trading day immediately preceding January 5) shall be released from the restrictions set forth in this Agreement (once released, the “EW Released Shares”). If EW desires to sell any EW Released Shares, she shall provide written notice of such desire to SAW and, for a period of 48 hours from SAW’s receipt of such notice, SAW shall have the right to purchase any or all of such Shares for a price equal to the closing price of the Shares on the trading day immediately preceding the date of notice. SAW shall notify EW of his election to purchase or not within 48 hours from the date of receipt of the original notice. If SAW elects to purchase hereunder, the purchase price shall be payable in cash no later than 3 business days after the date of election. Notices to SAW under this Section 11 shall be transmitted by fax and email to SAW at his last known business address and residence address (currently c/o cindy.mitchum@wynnresorts.com and 702.770.1111), with copies to the General Counsel of Wynn (currently Kim Sinatra (kim.sinatra@wynnresorts.com and 702.770.1349)) and to James J. Jimmerson, Esq., Jimmerson Hansen, P.C., 415 S. Sixth Street, Suite 100, Las Vegas, NV 89101 (jjj@jimmersonhansen.com and 702.387.1167) and notices to EW under this Section 11 shall be transmitted by fax and email to EW at her last known business address and residence address (currently c/o Elaine.Wynn@wynnresorts.com, and 702.770.1103), with copies to Donald Schiller, Esq., Schiller, DuCanto &amp; Fleck, LLP, 200 North LaSalle Street, 30th Floor, Chicago, IL 60601 (dschiller@sdflaw.com, and 312.641.6361) and Gary R. Silverman, Esq., Silverman, DeCaria &amp; Kattelman, Chtd., 140 Plumas Street, Suite 200, Reno, NV 89519 (silverman@silverman-decaria.com and 775.322.3649). If SAW does not elect to purchase hereunder, the EW Released Shares will thereafter be held by EW free and clear of any further restrictions on sale under this Agreement.</w:t>
      </w:r>
    </w:p>
    <w:p>
      <w:pPr>
        <w:spacing w:after="0" w:line="191" w:lineRule="exact"/>
        <w:rPr>
          <w:rFonts w:ascii="Arial" w:cs="Arial" w:eastAsia="Arial" w:hAnsi="Arial"/>
          <w:sz w:val="19"/>
          <w:szCs w:val="19"/>
          <w:color w:val="auto"/>
        </w:rPr>
      </w:pPr>
    </w:p>
    <w:p>
      <w:pPr>
        <w:ind w:left="652" w:right="40" w:hanging="652"/>
        <w:spacing w:after="0" w:line="287" w:lineRule="auto"/>
        <w:tabs>
          <w:tab w:leader="none" w:pos="652"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Recapitalization</w:t>
      </w:r>
      <w:r>
        <w:rPr>
          <w:rFonts w:ascii="Arial" w:cs="Arial" w:eastAsia="Arial" w:hAnsi="Arial"/>
          <w:sz w:val="19"/>
          <w:szCs w:val="19"/>
          <w:color w:val="auto"/>
        </w:rPr>
        <w:t>. In the event of a stock dividend or distribution, or any change in the Shares (or any class thereof) by reason of any split-up, recapitalization, merger, combination, exchange of shares or the like, the term "Shares" shall include, without limitation, all such stock dividends and distributions and any shares into which or for which any or all of the Shares (or any class thereof) may be changed or exchanged as may be appropriate to reflect such event.</w:t>
      </w:r>
    </w:p>
    <w:p>
      <w:pPr>
        <w:spacing w:after="0" w:line="170" w:lineRule="exact"/>
        <w:rPr>
          <w:rFonts w:ascii="Arial" w:cs="Arial" w:eastAsia="Arial" w:hAnsi="Arial"/>
          <w:sz w:val="19"/>
          <w:szCs w:val="19"/>
          <w:color w:val="auto"/>
        </w:rPr>
      </w:pPr>
    </w:p>
    <w:p>
      <w:pPr>
        <w:ind w:left="652" w:right="360" w:hanging="652"/>
        <w:spacing w:after="0"/>
        <w:tabs>
          <w:tab w:leader="none" w:pos="652"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Stockholder Capacity</w:t>
      </w:r>
      <w:r>
        <w:rPr>
          <w:rFonts w:ascii="Arial" w:cs="Arial" w:eastAsia="Arial" w:hAnsi="Arial"/>
          <w:sz w:val="22"/>
          <w:szCs w:val="22"/>
          <w:color w:val="auto"/>
        </w:rPr>
        <w:t>. Notwithstanding any provisions to the contrary contained herein, no Stockholder or any of its Affiliates shall be deemed to make any agreement or understanding herein in a capacity other than that as stockholder of Wynn.</w:t>
      </w:r>
    </w:p>
    <w:p>
      <w:pPr>
        <w:spacing w:after="0" w:line="213" w:lineRule="exact"/>
        <w:rPr>
          <w:rFonts w:ascii="Arial" w:cs="Arial" w:eastAsia="Arial" w:hAnsi="Arial"/>
          <w:sz w:val="22"/>
          <w:szCs w:val="22"/>
          <w:color w:val="auto"/>
        </w:rPr>
      </w:pPr>
    </w:p>
    <w:p>
      <w:pPr>
        <w:ind w:left="652" w:hanging="652"/>
        <w:spacing w:after="0"/>
        <w:tabs>
          <w:tab w:leader="none" w:pos="652"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5532" w:hanging="123"/>
        <w:spacing w:after="0"/>
        <w:tabs>
          <w:tab w:leader="none" w:pos="5532" w:val="left"/>
        </w:tabs>
        <w:numPr>
          <w:ilvl w:val="1"/>
          <w:numId w:val="32"/>
        </w:numPr>
        <w:rPr>
          <w:rFonts w:ascii="Arial" w:cs="Arial" w:eastAsia="Arial" w:hAnsi="Arial"/>
          <w:sz w:val="22"/>
          <w:szCs w:val="22"/>
          <w:color w:val="auto"/>
        </w:rPr>
      </w:pPr>
      <w:r>
        <w:rPr>
          <w:rFonts w:ascii="Arial" w:cs="Arial" w:eastAsia="Arial" w:hAnsi="Arial"/>
          <w:sz w:val="22"/>
          <w:szCs w:val="22"/>
          <w:color w:val="auto"/>
        </w:rPr>
        <w:t>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61" w:right="239" w:bottom="1440" w:gutter="0" w:footer="0" w:header="0"/>
        </w:sectPr>
      </w:pPr>
    </w:p>
    <w:bookmarkStart w:id="20" w:name="page21"/>
    <w:bookmarkEnd w:id="20"/>
    <w:p>
      <w:pPr>
        <w:ind w:left="644" w:right="180" w:hanging="644"/>
        <w:spacing w:after="0" w:line="297" w:lineRule="auto"/>
        <w:tabs>
          <w:tab w:leader="none" w:pos="64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between the parties with respect to the subject matter hereof and supersedes all other prior agreements and understandings, both written and oral, between the parties with respect to the subject matter hereof, including without limitation, the Existing Agreement.</w:t>
      </w:r>
    </w:p>
    <w:p>
      <w:pPr>
        <w:spacing w:after="0" w:line="155" w:lineRule="exact"/>
        <w:rPr>
          <w:rFonts w:ascii="Arial" w:cs="Arial" w:eastAsia="Arial" w:hAnsi="Arial"/>
          <w:sz w:val="19"/>
          <w:szCs w:val="19"/>
          <w:color w:val="auto"/>
        </w:rPr>
      </w:pPr>
    </w:p>
    <w:p>
      <w:pPr>
        <w:jc w:val="both"/>
        <w:ind w:left="644" w:right="240" w:hanging="644"/>
        <w:spacing w:after="0" w:line="335" w:lineRule="auto"/>
        <w:tabs>
          <w:tab w:leader="none" w:pos="64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Legend</w:t>
      </w:r>
      <w:r>
        <w:rPr>
          <w:rFonts w:ascii="Arial" w:cs="Arial" w:eastAsia="Arial" w:hAnsi="Arial"/>
          <w:sz w:val="19"/>
          <w:szCs w:val="19"/>
          <w:color w:val="auto"/>
        </w:rPr>
        <w:t xml:space="preserve">. </w:t>
      </w:r>
      <w:r>
        <w:rPr>
          <w:rFonts w:ascii="Arial" w:cs="Arial" w:eastAsia="Arial" w:hAnsi="Arial"/>
          <w:sz w:val="19"/>
          <w:szCs w:val="19"/>
          <w:b w:val="1"/>
          <w:bCs w:val="1"/>
          <w:color w:val="auto"/>
        </w:rPr>
        <w:t>Certificates and all electronic records evidencing</w:t>
      </w:r>
      <w:r>
        <w:rPr>
          <w:rFonts w:ascii="Arial" w:cs="Arial" w:eastAsia="Arial" w:hAnsi="Arial"/>
          <w:sz w:val="19"/>
          <w:szCs w:val="19"/>
          <w:color w:val="auto"/>
        </w:rPr>
        <w:t xml:space="preserve"> Shares subject to this Agreement shall each bear the following restrictive legend (the </w:t>
      </w:r>
      <w:r>
        <w:rPr>
          <w:rFonts w:ascii="Arial" w:cs="Arial" w:eastAsia="Arial" w:hAnsi="Arial"/>
          <w:sz w:val="19"/>
          <w:szCs w:val="19"/>
          <w:b w:val="1"/>
          <w:bCs w:val="1"/>
          <w:color w:val="auto"/>
        </w:rPr>
        <w:t>"Legend"</w:t>
      </w:r>
      <w:r>
        <w:rPr>
          <w:rFonts w:ascii="Arial" w:cs="Arial" w:eastAsia="Arial" w:hAnsi="Arial"/>
          <w:sz w:val="19"/>
          <w:szCs w:val="19"/>
          <w:color w:val="auto"/>
        </w:rPr>
        <w:t>) (in addition to any other legend required by applicable gaming laws):</w:t>
      </w:r>
    </w:p>
    <w:p>
      <w:pPr>
        <w:spacing w:after="0" w:line="125" w:lineRule="exact"/>
        <w:rPr>
          <w:sz w:val="20"/>
          <w:szCs w:val="20"/>
          <w:color w:val="auto"/>
        </w:rPr>
      </w:pPr>
    </w:p>
    <w:p>
      <w:pPr>
        <w:jc w:val="both"/>
        <w:ind w:left="504" w:right="1040"/>
        <w:spacing w:after="0" w:line="233" w:lineRule="auto"/>
        <w:rPr>
          <w:sz w:val="20"/>
          <w:szCs w:val="20"/>
          <w:color w:val="auto"/>
        </w:rPr>
      </w:pPr>
      <w:r>
        <w:rPr>
          <w:rFonts w:ascii="Arial" w:cs="Arial" w:eastAsia="Arial" w:hAnsi="Arial"/>
          <w:sz w:val="22"/>
          <w:szCs w:val="22"/>
          <w:color w:val="auto"/>
        </w:rPr>
        <w:t>"THE SHARES REPRESENTED BY THIS CERTIFICATE ARE SUBJECT TO THE TERMS AND CONDITIONS OF AN AMENDED AND RESTATED STOCKHOLDERS AGREEMENT DATED AS OF JANUARY 6, 2010, WHICH PLACES CERTAIN RESTRICTIONS ON THE VOTING AND TRANSFER OF THE SHARES REPRESENTED HEREBY. ANY PERSON ACCEPTING ANY INTEREST IN SUCH SHARES SHALL BE DEEMED TO HAVE AGREED TO AND SHALL BECOME BOUND BY ALL THE PROVISIONS OF SUCH STOCKHOLDERS AGREEMENT. A COPY OF SUCH STOCKHOLDERS AGREEMENT WILL BE FURNISHED TO THE RECORD HOLDER OF THIS CERTIFICATE WITHOUT CHARGE UPON WRITTEN REQUEST TO THE COMPANY AT ITS PRINCIPAL PLACE OF BUSINESS."</w:t>
      </w:r>
    </w:p>
    <w:p>
      <w:pPr>
        <w:spacing w:after="0" w:line="221" w:lineRule="exact"/>
        <w:rPr>
          <w:sz w:val="20"/>
          <w:szCs w:val="20"/>
          <w:color w:val="auto"/>
        </w:rPr>
      </w:pPr>
    </w:p>
    <w:p>
      <w:pPr>
        <w:ind w:left="1304" w:hanging="655"/>
        <w:spacing w:after="0" w:line="282" w:lineRule="auto"/>
        <w:tabs>
          <w:tab w:leader="none" w:pos="1304" w:val="left"/>
        </w:tabs>
        <w:numPr>
          <w:ilvl w:val="1"/>
          <w:numId w:val="34"/>
        </w:numPr>
        <w:rPr>
          <w:rFonts w:ascii="Arial" w:cs="Arial" w:eastAsia="Arial" w:hAnsi="Arial"/>
          <w:sz w:val="19"/>
          <w:szCs w:val="19"/>
          <w:color w:val="auto"/>
        </w:rPr>
      </w:pPr>
      <w:r>
        <w:rPr>
          <w:rFonts w:ascii="Arial" w:cs="Arial" w:eastAsia="Arial" w:hAnsi="Arial"/>
          <w:sz w:val="19"/>
          <w:szCs w:val="19"/>
          <w:color w:val="auto"/>
        </w:rPr>
        <w:t>Each Stockholder agrees that, from and after the date of this Agreement and ending as of the Termination Date, it shall not, and shall cause each of its Affiliates who Beneficially Own any of the Designated Stockholder's Shares not to, allow Wynn to remove, and shall not permit to be removed (upon registration of transfer, reissuance or otherwise), the Legend from any such certificate and shall place or cause to be placed the Legend on any new certificate issued to represent Shares it or any of its Affiliates shall Beneficially Own.</w:t>
      </w:r>
    </w:p>
    <w:p>
      <w:pPr>
        <w:spacing w:after="0" w:line="174" w:lineRule="exact"/>
        <w:rPr>
          <w:rFonts w:ascii="Arial" w:cs="Arial" w:eastAsia="Arial" w:hAnsi="Arial"/>
          <w:sz w:val="19"/>
          <w:szCs w:val="19"/>
          <w:color w:val="auto"/>
        </w:rPr>
      </w:pPr>
    </w:p>
    <w:p>
      <w:pPr>
        <w:ind w:left="644" w:right="100" w:hanging="644"/>
        <w:spacing w:after="0" w:line="251" w:lineRule="auto"/>
        <w:tabs>
          <w:tab w:leader="none" w:pos="644"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Transfers in Violation Void</w:t>
      </w:r>
      <w:r>
        <w:rPr>
          <w:rFonts w:ascii="Arial" w:cs="Arial" w:eastAsia="Arial" w:hAnsi="Arial"/>
          <w:sz w:val="22"/>
          <w:szCs w:val="22"/>
          <w:color w:val="auto"/>
        </w:rPr>
        <w:t xml:space="preserve">. Any transfer or sale of any Shares in violation of this Agreement shall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644" w:right="360" w:hanging="644"/>
        <w:spacing w:after="0"/>
        <w:tabs>
          <w:tab w:leader="none" w:pos="644"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Amendments, Waivers, Etc</w:t>
      </w:r>
      <w:r>
        <w:rPr>
          <w:rFonts w:ascii="Arial" w:cs="Arial" w:eastAsia="Arial" w:hAnsi="Arial"/>
          <w:sz w:val="22"/>
          <w:szCs w:val="22"/>
          <w:color w:val="auto"/>
        </w:rPr>
        <w:t>. This Agreement may not be amended, changed, supplemented, waived or otherwise modified or terminated, except upon the execution and delivery of a written agreement executed by the parties hereto.</w:t>
      </w:r>
    </w:p>
    <w:p>
      <w:pPr>
        <w:spacing w:after="0" w:line="213" w:lineRule="exact"/>
        <w:rPr>
          <w:rFonts w:ascii="Arial" w:cs="Arial" w:eastAsia="Arial" w:hAnsi="Arial"/>
          <w:sz w:val="22"/>
          <w:szCs w:val="22"/>
          <w:color w:val="auto"/>
        </w:rPr>
      </w:pPr>
    </w:p>
    <w:p>
      <w:pPr>
        <w:ind w:left="644" w:right="80" w:hanging="644"/>
        <w:spacing w:after="0" w:line="238" w:lineRule="auto"/>
        <w:tabs>
          <w:tab w:leader="none" w:pos="644"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Other than as provided in Section 11 above, all notices, requests, claims, demands and other communications hereunder shall be in writing and shall be given (and shall be deemed to have been duly received if so given) by hand delivery, telegram, telex or telecopy, or by mail (registered or certified mail, postage prepaid, return receipt requested) or by any courier</w:t>
      </w:r>
    </w:p>
    <w:p>
      <w:pPr>
        <w:spacing w:after="0" w:line="212" w:lineRule="exact"/>
        <w:rPr>
          <w:rFonts w:ascii="Arial" w:cs="Arial" w:eastAsia="Arial" w:hAnsi="Arial"/>
          <w:sz w:val="22"/>
          <w:szCs w:val="22"/>
          <w:color w:val="auto"/>
        </w:rPr>
      </w:pPr>
    </w:p>
    <w:p>
      <w:pPr>
        <w:ind w:left="4884" w:hanging="123"/>
        <w:spacing w:after="0"/>
        <w:tabs>
          <w:tab w:leader="none" w:pos="4884" w:val="left"/>
        </w:tabs>
        <w:numPr>
          <w:ilvl w:val="2"/>
          <w:numId w:val="35"/>
        </w:numPr>
        <w:rPr>
          <w:rFonts w:ascii="Arial" w:cs="Arial" w:eastAsia="Arial" w:hAnsi="Arial"/>
          <w:sz w:val="22"/>
          <w:szCs w:val="22"/>
          <w:color w:val="auto"/>
        </w:rPr>
      </w:pPr>
      <w:r>
        <w:rPr>
          <w:rFonts w:ascii="Arial" w:cs="Arial" w:eastAsia="Arial" w:hAnsi="Arial"/>
          <w:sz w:val="22"/>
          <w:szCs w:val="22"/>
          <w:color w:val="auto"/>
        </w:rPr>
        <w:t>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1" w:right="239" w:bottom="1440" w:gutter="0" w:footer="0" w:header="0"/>
        </w:sectPr>
      </w:pPr>
    </w:p>
    <w:bookmarkStart w:id="21" w:name="page22"/>
    <w:bookmarkEnd w:id="21"/>
    <w:p>
      <w:pPr>
        <w:ind w:left="1300" w:right="180"/>
        <w:spacing w:after="0" w:line="328" w:lineRule="auto"/>
        <w:rPr>
          <w:sz w:val="20"/>
          <w:szCs w:val="20"/>
          <w:color w:val="auto"/>
        </w:rPr>
      </w:pPr>
      <w:r>
        <w:rPr>
          <w:rFonts w:ascii="Arial" w:cs="Arial" w:eastAsia="Arial" w:hAnsi="Arial"/>
          <w:sz w:val="19"/>
          <w:szCs w:val="19"/>
          <w:color w:val="auto"/>
        </w:rPr>
        <w:t>service, such as Federal Express, providing proof of delivery. All communications hereunder shall be delivered to the respective parties at the following addresses or the addresses set forth on the signature pages hereto:</w:t>
      </w:r>
    </w:p>
    <w:p>
      <w:pPr>
        <w:sectPr>
          <w:pgSz w:w="11900" w:h="16838" w:orient="portrait"/>
          <w:cols w:equalWidth="0" w:num="1">
            <w:col w:w="11360"/>
          </w:cols>
          <w:pgMar w:left="240" w:top="361" w:right="29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color w:val="auto"/>
        </w:rPr>
        <w:t>If to Aruze: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Aruze USA, Inc.</w:t>
      </w:r>
    </w:p>
    <w:p>
      <w:pPr>
        <w:spacing w:after="0" w:line="238" w:lineRule="auto"/>
        <w:rPr>
          <w:sz w:val="20"/>
          <w:szCs w:val="20"/>
          <w:color w:val="auto"/>
        </w:rPr>
      </w:pPr>
      <w:r>
        <w:rPr>
          <w:rFonts w:ascii="Arial" w:cs="Arial" w:eastAsia="Arial" w:hAnsi="Arial"/>
          <w:sz w:val="22"/>
          <w:szCs w:val="22"/>
          <w:color w:val="auto"/>
        </w:rPr>
        <w:t>745 Grier Drive</w:t>
      </w:r>
    </w:p>
    <w:p>
      <w:pPr>
        <w:spacing w:after="0"/>
        <w:rPr>
          <w:sz w:val="20"/>
          <w:szCs w:val="20"/>
          <w:color w:val="auto"/>
        </w:rPr>
      </w:pPr>
      <w:r>
        <w:rPr>
          <w:rFonts w:ascii="Arial" w:cs="Arial" w:eastAsia="Arial" w:hAnsi="Arial"/>
          <w:sz w:val="19"/>
          <w:szCs w:val="19"/>
          <w:color w:val="auto"/>
        </w:rPr>
        <w:t>Las Vegas, Nevada 89119</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Facsimile: 702-361-3403</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Attention: Sam Basile</w:t>
      </w:r>
    </w:p>
    <w:p>
      <w:pPr>
        <w:spacing w:after="0" w:line="200" w:lineRule="exact"/>
        <w:rPr>
          <w:sz w:val="20"/>
          <w:szCs w:val="20"/>
          <w:color w:val="auto"/>
        </w:rPr>
      </w:pPr>
    </w:p>
    <w:p>
      <w:pPr>
        <w:sectPr>
          <w:pgSz w:w="11900" w:h="16838" w:orient="portrait"/>
          <w:cols w:equalWidth="0" w:num="2">
            <w:col w:w="1120" w:space="720"/>
            <w:col w:w="9520"/>
          </w:cols>
          <w:pgMar w:left="240" w:top="361" w:right="29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Universal Entertainment Corporation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Ariake Frontier Bldg. A, 3-7-26 Ariake, Koto, Ku</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Tokyo, Japan</w:t>
      </w:r>
    </w:p>
    <w:p>
      <w:pPr>
        <w:spacing w:after="0" w:line="230" w:lineRule="auto"/>
        <w:rPr>
          <w:sz w:val="20"/>
          <w:szCs w:val="20"/>
          <w:color w:val="auto"/>
        </w:rPr>
      </w:pPr>
      <w:r>
        <w:rPr>
          <w:rFonts w:ascii="Arial" w:cs="Arial" w:eastAsia="Arial" w:hAnsi="Arial"/>
          <w:sz w:val="22"/>
          <w:szCs w:val="22"/>
          <w:color w:val="auto"/>
        </w:rPr>
        <w:t>Facsimile: 81-3-5530-3097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Kazuo Okada</w:t>
      </w:r>
    </w:p>
    <w:p>
      <w:pPr>
        <w:spacing w:after="0" w:line="200" w:lineRule="exact"/>
        <w:rPr>
          <w:sz w:val="20"/>
          <w:szCs w:val="20"/>
          <w:color w:val="auto"/>
        </w:rPr>
      </w:pPr>
    </w:p>
    <w:p>
      <w:pPr>
        <w:sectPr>
          <w:pgSz w:w="11900" w:h="16838" w:orient="portrait"/>
          <w:cols w:equalWidth="0" w:num="2">
            <w:col w:w="1340" w:space="500"/>
            <w:col w:w="9520"/>
          </w:cols>
          <w:pgMar w:left="240" w:top="361" w:right="29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If to SAW: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Stephen A. Wynn</w:t>
      </w:r>
    </w:p>
    <w:p>
      <w:pPr>
        <w:spacing w:after="0" w:line="238" w:lineRule="auto"/>
        <w:rPr>
          <w:sz w:val="20"/>
          <w:szCs w:val="20"/>
          <w:color w:val="auto"/>
        </w:rPr>
      </w:pPr>
      <w:r>
        <w:rPr>
          <w:rFonts w:ascii="Arial" w:cs="Arial" w:eastAsia="Arial" w:hAnsi="Arial"/>
          <w:sz w:val="22"/>
          <w:szCs w:val="22"/>
          <w:color w:val="auto"/>
        </w:rPr>
        <w:t>c/o Wynn Resorts, LLC</w:t>
      </w:r>
    </w:p>
    <w:p>
      <w:pPr>
        <w:spacing w:after="0"/>
        <w:rPr>
          <w:sz w:val="20"/>
          <w:szCs w:val="20"/>
          <w:color w:val="auto"/>
        </w:rPr>
      </w:pPr>
      <w:r>
        <w:rPr>
          <w:rFonts w:ascii="Arial" w:cs="Arial" w:eastAsia="Arial" w:hAnsi="Arial"/>
          <w:sz w:val="19"/>
          <w:szCs w:val="19"/>
          <w:color w:val="auto"/>
        </w:rPr>
        <w:t>3131 Las Vegas Boulevard South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rPr>
          <w:sz w:val="20"/>
          <w:szCs w:val="20"/>
          <w:color w:val="auto"/>
        </w:rPr>
      </w:pPr>
      <w:r>
        <w:rPr>
          <w:rFonts w:ascii="Arial" w:cs="Arial" w:eastAsia="Arial" w:hAnsi="Arial"/>
          <w:sz w:val="22"/>
          <w:szCs w:val="22"/>
          <w:color w:val="auto"/>
        </w:rPr>
        <w:t>Facsimile: 702-770-1100</w:t>
      </w:r>
    </w:p>
    <w:p>
      <w:pPr>
        <w:spacing w:after="0" w:line="200" w:lineRule="exact"/>
        <w:rPr>
          <w:sz w:val="20"/>
          <w:szCs w:val="20"/>
          <w:color w:val="auto"/>
        </w:rPr>
      </w:pPr>
    </w:p>
    <w:p>
      <w:pPr>
        <w:sectPr>
          <w:pgSz w:w="11900" w:h="16838" w:orient="portrait"/>
          <w:cols w:equalWidth="0" w:num="2">
            <w:col w:w="1120" w:space="720"/>
            <w:col w:w="9520"/>
          </w:cols>
          <w:pgMar w:left="240" w:top="361" w:right="29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Wynn Resorts, Limited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3131 Las Vegas Boulevard South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Las Vegas, NV 89109</w:t>
      </w:r>
    </w:p>
    <w:p>
      <w:pPr>
        <w:spacing w:after="0" w:line="230" w:lineRule="auto"/>
        <w:rPr>
          <w:sz w:val="20"/>
          <w:szCs w:val="20"/>
          <w:color w:val="auto"/>
        </w:rPr>
      </w:pPr>
      <w:r>
        <w:rPr>
          <w:rFonts w:ascii="Arial" w:cs="Arial" w:eastAsia="Arial" w:hAnsi="Arial"/>
          <w:sz w:val="22"/>
          <w:szCs w:val="22"/>
          <w:color w:val="auto"/>
        </w:rPr>
        <w:t>Facsimile: 702-770-1349</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ectPr>
          <w:pgSz w:w="11900" w:h="16838" w:orient="portrait"/>
          <w:cols w:equalWidth="0" w:num="2">
            <w:col w:w="1340" w:space="500"/>
            <w:col w:w="9520"/>
          </w:cols>
          <w:pgMar w:left="240" w:top="361" w:right="29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If to EW: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Elaine P. Wynn</w:t>
      </w:r>
    </w:p>
    <w:p>
      <w:pPr>
        <w:spacing w:after="0" w:line="238" w:lineRule="auto"/>
        <w:rPr>
          <w:sz w:val="20"/>
          <w:szCs w:val="20"/>
          <w:color w:val="auto"/>
        </w:rPr>
      </w:pPr>
      <w:r>
        <w:rPr>
          <w:rFonts w:ascii="Arial" w:cs="Arial" w:eastAsia="Arial" w:hAnsi="Arial"/>
          <w:sz w:val="22"/>
          <w:szCs w:val="22"/>
          <w:color w:val="auto"/>
        </w:rPr>
        <w:t>Box 17007</w:t>
      </w:r>
    </w:p>
    <w:p>
      <w:pPr>
        <w:spacing w:after="0" w:line="230" w:lineRule="auto"/>
        <w:rPr>
          <w:sz w:val="20"/>
          <w:szCs w:val="20"/>
          <w:color w:val="auto"/>
        </w:rPr>
      </w:pPr>
      <w:r>
        <w:rPr>
          <w:rFonts w:ascii="Arial" w:cs="Arial" w:eastAsia="Arial" w:hAnsi="Arial"/>
          <w:sz w:val="22"/>
          <w:szCs w:val="22"/>
          <w:color w:val="auto"/>
        </w:rPr>
        <w:t>Las Vegas, NV</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Facsimile: 702-770-1103</w:t>
      </w:r>
    </w:p>
    <w:p>
      <w:pPr>
        <w:spacing w:after="0" w:line="200" w:lineRule="exact"/>
        <w:rPr>
          <w:sz w:val="20"/>
          <w:szCs w:val="20"/>
          <w:color w:val="auto"/>
        </w:rPr>
      </w:pPr>
    </w:p>
    <w:p>
      <w:pPr>
        <w:sectPr>
          <w:pgSz w:w="11900" w:h="16838" w:orient="portrait"/>
          <w:cols w:equalWidth="0" w:num="2">
            <w:col w:w="1120" w:space="720"/>
            <w:col w:w="9520"/>
          </w:cols>
          <w:pgMar w:left="240" w:top="361" w:right="29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With copies to:</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Brentwood Management Group</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11812 San Vicente Boulevard, Suite 200</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Los Angeles, CA 90049</w:t>
      </w:r>
    </w:p>
    <w:p>
      <w:pPr>
        <w:spacing w:after="0" w:line="230" w:lineRule="auto"/>
        <w:rPr>
          <w:sz w:val="20"/>
          <w:szCs w:val="20"/>
          <w:color w:val="auto"/>
        </w:rPr>
      </w:pPr>
      <w:r>
        <w:rPr>
          <w:rFonts w:ascii="Arial" w:cs="Arial" w:eastAsia="Arial" w:hAnsi="Arial"/>
          <w:sz w:val="22"/>
          <w:szCs w:val="22"/>
          <w:color w:val="auto"/>
        </w:rPr>
        <w:t>Facsimile: 310-820-5354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Matt Fishburn</w:t>
      </w:r>
    </w:p>
    <w:p>
      <w:pPr>
        <w:spacing w:after="0" w:line="200" w:lineRule="exact"/>
        <w:rPr>
          <w:sz w:val="20"/>
          <w:szCs w:val="20"/>
          <w:color w:val="auto"/>
        </w:rPr>
      </w:pPr>
    </w:p>
    <w:p>
      <w:pPr>
        <w:sectPr>
          <w:pgSz w:w="11900" w:h="16838" w:orient="portrait"/>
          <w:cols w:equalWidth="0" w:num="2">
            <w:col w:w="1320" w:space="520"/>
            <w:col w:w="9520"/>
          </w:cols>
          <w:pgMar w:left="240" w:top="361" w:right="299" w:bottom="1440" w:gutter="0" w:footer="0" w:header="0"/>
          <w:type w:val="continuous"/>
        </w:sectPr>
      </w:pPr>
    </w:p>
    <w:p>
      <w:pPr>
        <w:spacing w:after="0" w:line="15"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Stan Maron</w:t>
      </w:r>
    </w:p>
    <w:p>
      <w:pPr>
        <w:ind w:left="1840"/>
        <w:spacing w:after="0" w:line="238" w:lineRule="auto"/>
        <w:rPr>
          <w:sz w:val="20"/>
          <w:szCs w:val="20"/>
          <w:color w:val="auto"/>
        </w:rPr>
      </w:pPr>
      <w:r>
        <w:rPr>
          <w:rFonts w:ascii="Arial" w:cs="Arial" w:eastAsia="Arial" w:hAnsi="Arial"/>
          <w:sz w:val="22"/>
          <w:szCs w:val="22"/>
          <w:color w:val="auto"/>
        </w:rPr>
        <w:t>1250 Fourth Street, 5</w:t>
      </w:r>
      <w:r>
        <w:rPr>
          <w:rFonts w:ascii="Arial" w:cs="Arial" w:eastAsia="Arial" w:hAnsi="Arial"/>
          <w:sz w:val="15"/>
          <w:szCs w:val="15"/>
          <w:color w:val="auto"/>
        </w:rPr>
        <w:t>th</w:t>
      </w:r>
      <w:r>
        <w:rPr>
          <w:rFonts w:ascii="Arial" w:cs="Arial" w:eastAsia="Arial" w:hAnsi="Arial"/>
          <w:sz w:val="22"/>
          <w:szCs w:val="22"/>
          <w:color w:val="auto"/>
        </w:rPr>
        <w:t xml:space="preserve"> Floor</w:t>
      </w:r>
    </w:p>
    <w:p>
      <w:pPr>
        <w:ind w:left="1840"/>
        <w:spacing w:after="0" w:line="230" w:lineRule="auto"/>
        <w:rPr>
          <w:sz w:val="20"/>
          <w:szCs w:val="20"/>
          <w:color w:val="auto"/>
        </w:rPr>
      </w:pPr>
      <w:r>
        <w:rPr>
          <w:rFonts w:ascii="Arial" w:cs="Arial" w:eastAsia="Arial" w:hAnsi="Arial"/>
          <w:sz w:val="22"/>
          <w:szCs w:val="22"/>
          <w:color w:val="auto"/>
        </w:rPr>
        <w:t>Santa Monica, CA</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Fascimile: ______________________</w:t>
      </w:r>
    </w:p>
    <w:p>
      <w:pPr>
        <w:sectPr>
          <w:pgSz w:w="11900" w:h="16838" w:orient="portrait"/>
          <w:cols w:equalWidth="0" w:num="1">
            <w:col w:w="11360"/>
          </w:cols>
          <w:pgMar w:left="240" w:top="361" w:right="299" w:bottom="1440" w:gutter="0" w:footer="0" w:header="0"/>
          <w:type w:val="continuous"/>
        </w:sectPr>
      </w:pPr>
    </w:p>
    <w:p>
      <w:pPr>
        <w:spacing w:after="0" w:line="25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or to such other address as the person to whom notice is given may have previously furnished to the others in writing in the manner set forth above.</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type w:val="continuous"/>
        </w:sectPr>
      </w:pPr>
    </w:p>
    <w:bookmarkStart w:id="22" w:name="page23"/>
    <w:bookmarkEnd w:id="22"/>
    <w:p>
      <w:pPr>
        <w:ind w:left="644" w:right="120" w:hanging="644"/>
        <w:spacing w:after="0" w:line="279" w:lineRule="auto"/>
        <w:tabs>
          <w:tab w:leader="none" w:pos="64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77" w:lineRule="exact"/>
        <w:rPr>
          <w:rFonts w:ascii="Arial" w:cs="Arial" w:eastAsia="Arial" w:hAnsi="Arial"/>
          <w:sz w:val="19"/>
          <w:szCs w:val="19"/>
          <w:color w:val="auto"/>
        </w:rPr>
      </w:pPr>
    </w:p>
    <w:p>
      <w:pPr>
        <w:ind w:left="644" w:hanging="644"/>
        <w:spacing w:after="0" w:line="248" w:lineRule="auto"/>
        <w:tabs>
          <w:tab w:leader="none" w:pos="644"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Specific Performance</w:t>
      </w:r>
      <w:r>
        <w:rPr>
          <w:rFonts w:ascii="Arial" w:cs="Arial" w:eastAsia="Arial" w:hAnsi="Arial"/>
          <w:sz w:val="21"/>
          <w:szCs w:val="21"/>
          <w:color w:val="auto"/>
        </w:rPr>
        <w:t>. Each of the parties hereto recognizes and acknowledges that a breach by any party hereto of any covenants or agreements contained in this Agreement will cause the other parties hereto to sustain damages for which they would not have an adequate remedy at law for money damages, and therefore each of the parties hereto agrees that in the event of any such breach the parties shall be entitled to the remedy of specific performance of such covenants and agreements and injunctive and other equitable relief in addition to any other remedy to which he may be entitled, at law or in equity.</w:t>
      </w:r>
    </w:p>
    <w:p>
      <w:pPr>
        <w:spacing w:after="0" w:line="204" w:lineRule="exact"/>
        <w:rPr>
          <w:rFonts w:ascii="Arial" w:cs="Arial" w:eastAsia="Arial" w:hAnsi="Arial"/>
          <w:sz w:val="21"/>
          <w:szCs w:val="21"/>
          <w:color w:val="auto"/>
        </w:rPr>
      </w:pPr>
    </w:p>
    <w:p>
      <w:pPr>
        <w:ind w:left="644" w:right="220" w:hanging="644"/>
        <w:spacing w:after="0"/>
        <w:tabs>
          <w:tab w:leader="none" w:pos="64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From time to time, the Stockholders shall execute and deliver such additional documents as may be necessary or desirable to consummate and make effective, in the most expeditious manner practicable, the transactions contemplated by this Agreement.</w:t>
      </w:r>
    </w:p>
    <w:p>
      <w:pPr>
        <w:spacing w:after="0" w:line="213" w:lineRule="exact"/>
        <w:rPr>
          <w:rFonts w:ascii="Arial" w:cs="Arial" w:eastAsia="Arial" w:hAnsi="Arial"/>
          <w:sz w:val="22"/>
          <w:szCs w:val="22"/>
          <w:color w:val="auto"/>
        </w:rPr>
      </w:pPr>
    </w:p>
    <w:p>
      <w:pPr>
        <w:ind w:left="644" w:right="240" w:hanging="644"/>
        <w:spacing w:after="0" w:line="297" w:lineRule="auto"/>
        <w:tabs>
          <w:tab w:leader="none" w:pos="64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Remedies Cumulative</w:t>
      </w:r>
      <w:r>
        <w:rPr>
          <w:rFonts w:ascii="Arial" w:cs="Arial" w:eastAsia="Arial" w:hAnsi="Arial"/>
          <w:sz w:val="19"/>
          <w:szCs w:val="19"/>
          <w:color w:val="auto"/>
        </w:rPr>
        <w:t>. 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61" w:lineRule="exact"/>
        <w:rPr>
          <w:rFonts w:ascii="Arial" w:cs="Arial" w:eastAsia="Arial" w:hAnsi="Arial"/>
          <w:sz w:val="19"/>
          <w:szCs w:val="19"/>
          <w:color w:val="auto"/>
        </w:rPr>
      </w:pPr>
    </w:p>
    <w:p>
      <w:pPr>
        <w:ind w:left="644" w:right="40" w:hanging="644"/>
        <w:spacing w:after="0" w:line="236" w:lineRule="auto"/>
        <w:tabs>
          <w:tab w:leader="none" w:pos="64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failure of any party hereto to exercise any right, power or remedy provided under this Agreement or otherwise available in respect hereof at law or in equity, or to insist upon compliance by any other party hereto with its obligations hereunder, and any custom or practice of the parties at variance with the terms hereof, shall not constitute a waiver by such party of its right to exercise any such or other right, power or remedy or to demand such compliance.</w:t>
      </w:r>
    </w:p>
    <w:p>
      <w:pPr>
        <w:spacing w:after="0" w:line="214" w:lineRule="exact"/>
        <w:rPr>
          <w:rFonts w:ascii="Arial" w:cs="Arial" w:eastAsia="Arial" w:hAnsi="Arial"/>
          <w:sz w:val="22"/>
          <w:szCs w:val="22"/>
          <w:color w:val="auto"/>
        </w:rPr>
      </w:pPr>
    </w:p>
    <w:p>
      <w:pPr>
        <w:ind w:left="644" w:right="160" w:hanging="644"/>
        <w:spacing w:after="0"/>
        <w:tabs>
          <w:tab w:leader="none" w:pos="64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This Agreement is not intended to be for the benefit of, and shall not be enforceable by, any person or entity who or which is not a party hereto; provided that, the obligations of the Designated Stockholders hereunder shall inure to their transferees, successors and heirs.</w:t>
      </w:r>
    </w:p>
    <w:p>
      <w:pPr>
        <w:spacing w:after="0" w:line="213" w:lineRule="exact"/>
        <w:rPr>
          <w:rFonts w:ascii="Arial" w:cs="Arial" w:eastAsia="Arial" w:hAnsi="Arial"/>
          <w:sz w:val="22"/>
          <w:szCs w:val="22"/>
          <w:color w:val="auto"/>
        </w:rPr>
      </w:pPr>
    </w:p>
    <w:p>
      <w:pPr>
        <w:ind w:left="644" w:right="320" w:hanging="644"/>
        <w:spacing w:after="0" w:line="328" w:lineRule="auto"/>
        <w:tabs>
          <w:tab w:leader="none" w:pos="64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No Assignment</w:t>
      </w:r>
      <w:r>
        <w:rPr>
          <w:rFonts w:ascii="Arial" w:cs="Arial" w:eastAsia="Arial" w:hAnsi="Arial"/>
          <w:sz w:val="19"/>
          <w:szCs w:val="19"/>
          <w:color w:val="auto"/>
        </w:rPr>
        <w:t>. Except as otherwise explicitly provided herein, neither this Agreement nor any right, interest or obligation hereunder may be assigned (by operation of law or otherwise) by any Stockholder without the prior</w:t>
      </w:r>
    </w:p>
    <w:p>
      <w:pPr>
        <w:spacing w:after="0" w:line="132" w:lineRule="exact"/>
        <w:rPr>
          <w:rFonts w:ascii="Arial" w:cs="Arial" w:eastAsia="Arial" w:hAnsi="Arial"/>
          <w:sz w:val="19"/>
          <w:szCs w:val="19"/>
          <w:color w:val="auto"/>
        </w:rPr>
      </w:pPr>
    </w:p>
    <w:p>
      <w:pPr>
        <w:ind w:left="4884" w:hanging="123"/>
        <w:spacing w:after="0"/>
        <w:tabs>
          <w:tab w:leader="none" w:pos="4884" w:val="left"/>
        </w:tabs>
        <w:numPr>
          <w:ilvl w:val="1"/>
          <w:numId w:val="36"/>
        </w:numPr>
        <w:rPr>
          <w:rFonts w:ascii="Arial" w:cs="Arial" w:eastAsia="Arial" w:hAnsi="Arial"/>
          <w:sz w:val="22"/>
          <w:szCs w:val="22"/>
          <w:color w:val="auto"/>
        </w:rPr>
      </w:pPr>
      <w:r>
        <w:rPr>
          <w:rFonts w:ascii="Arial" w:cs="Arial" w:eastAsia="Arial" w:hAnsi="Arial"/>
          <w:sz w:val="22"/>
          <w:szCs w:val="22"/>
          <w:color w:val="auto"/>
        </w:rPr>
        <w:t>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4"/>
          </w:cols>
          <w:pgMar w:left="896" w:top="361" w:right="279" w:bottom="1440" w:gutter="0" w:footer="0" w:header="0"/>
        </w:sectPr>
      </w:pPr>
    </w:p>
    <w:bookmarkStart w:id="23" w:name="page24"/>
    <w:bookmarkEnd w:id="23"/>
    <w:p>
      <w:pPr>
        <w:ind w:left="644" w:right="20"/>
        <w:spacing w:after="0"/>
        <w:rPr>
          <w:sz w:val="20"/>
          <w:szCs w:val="20"/>
          <w:color w:val="auto"/>
        </w:rPr>
      </w:pPr>
      <w:r>
        <w:rPr>
          <w:rFonts w:ascii="Arial" w:cs="Arial" w:eastAsia="Arial" w:hAnsi="Arial"/>
          <w:sz w:val="22"/>
          <w:szCs w:val="22"/>
          <w:color w:val="auto"/>
        </w:rPr>
        <w:t>written consent of the parties hereto and any attempt to do so will be void; provided, however, that the rights under this Agreement may be assigned to the transferee in connection with a Transfer that does not violate the terms of the Agreement.</w:t>
      </w:r>
    </w:p>
    <w:p>
      <w:pPr>
        <w:spacing w:after="0" w:line="213" w:lineRule="exact"/>
        <w:rPr>
          <w:sz w:val="20"/>
          <w:szCs w:val="20"/>
          <w:color w:val="auto"/>
        </w:rPr>
      </w:pPr>
    </w:p>
    <w:p>
      <w:pPr>
        <w:ind w:left="644" w:right="600" w:hanging="644"/>
        <w:spacing w:after="0" w:line="251" w:lineRule="auto"/>
        <w:tabs>
          <w:tab w:leader="none" w:pos="64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and construed in accordance with the laws of the State of Nevada, without giving effect to the principles of conflicts of law thereof.</w:t>
      </w:r>
    </w:p>
    <w:p>
      <w:pPr>
        <w:spacing w:after="0" w:line="200" w:lineRule="exact"/>
        <w:rPr>
          <w:rFonts w:ascii="Arial" w:cs="Arial" w:eastAsia="Arial" w:hAnsi="Arial"/>
          <w:sz w:val="22"/>
          <w:szCs w:val="22"/>
          <w:color w:val="auto"/>
        </w:rPr>
      </w:pPr>
    </w:p>
    <w:p>
      <w:pPr>
        <w:ind w:left="644" w:right="40" w:hanging="644"/>
        <w:spacing w:after="0" w:line="247" w:lineRule="auto"/>
        <w:tabs>
          <w:tab w:leader="none" w:pos="644"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Jurisdiction</w:t>
      </w:r>
      <w:r>
        <w:rPr>
          <w:rFonts w:ascii="Arial" w:cs="Arial" w:eastAsia="Arial" w:hAnsi="Arial"/>
          <w:sz w:val="21"/>
          <w:szCs w:val="21"/>
          <w:color w:val="auto"/>
        </w:rPr>
        <w:t>. Each party hereby irrevocably submits to the exclusive jurisdiction of the state courts in the State of Nevada in any action, suit or proceeding arising in connection with this Agreement, and agrees that any such action, suit or proceeding shall be brought only in such court (and waives any objection based on forum non conveniens or any other objection to venue therein); provided, however, that such consent to jurisdiction is solely for the purpose referred to in this paragraph and shall not be deemed to be a general submission to the jurisdiction of the courts of the State of Nevada other than for such purposes. Each party hereto hereby waives any right to a trial by jury in connection with any such action, suit or proceeding.</w:t>
      </w:r>
    </w:p>
    <w:p>
      <w:pPr>
        <w:spacing w:after="0" w:line="205" w:lineRule="exact"/>
        <w:rPr>
          <w:rFonts w:ascii="Arial" w:cs="Arial" w:eastAsia="Arial" w:hAnsi="Arial"/>
          <w:sz w:val="21"/>
          <w:szCs w:val="21"/>
          <w:color w:val="auto"/>
        </w:rPr>
      </w:pPr>
    </w:p>
    <w:p>
      <w:pPr>
        <w:ind w:left="644" w:right="140" w:hanging="644"/>
        <w:spacing w:after="0" w:line="251" w:lineRule="auto"/>
        <w:tabs>
          <w:tab w:leader="none" w:pos="64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descriptive headings used herein are inserted for convenience of reference only and are not intended to be part of or to affect the meaning or interpretation of this Agreement.</w:t>
      </w:r>
    </w:p>
    <w:p>
      <w:pPr>
        <w:spacing w:after="0" w:line="200" w:lineRule="exact"/>
        <w:rPr>
          <w:rFonts w:ascii="Arial" w:cs="Arial" w:eastAsia="Arial" w:hAnsi="Arial"/>
          <w:sz w:val="22"/>
          <w:szCs w:val="22"/>
          <w:color w:val="auto"/>
        </w:rPr>
      </w:pPr>
    </w:p>
    <w:p>
      <w:pPr>
        <w:ind w:left="644" w:hanging="644"/>
        <w:spacing w:after="0" w:line="238" w:lineRule="auto"/>
        <w:tabs>
          <w:tab w:leader="none" w:pos="64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to be an original, but all of which, taken together, shall constitute one and the same Agreement. This Agreement shall not be effective as to any party hereto until such time as this Agreement or a counterpart thereof has been executed and delivered by each party hereto.</w:t>
      </w:r>
    </w:p>
    <w:p>
      <w:pPr>
        <w:spacing w:after="0" w:line="212" w:lineRule="exact"/>
        <w:rPr>
          <w:rFonts w:ascii="Arial" w:cs="Arial" w:eastAsia="Arial" w:hAnsi="Arial"/>
          <w:sz w:val="22"/>
          <w:szCs w:val="22"/>
          <w:color w:val="auto"/>
        </w:rPr>
      </w:pPr>
    </w:p>
    <w:p>
      <w:pPr>
        <w:ind w:left="4884" w:hanging="123"/>
        <w:spacing w:after="0"/>
        <w:tabs>
          <w:tab w:leader="none" w:pos="4884" w:val="left"/>
        </w:tabs>
        <w:numPr>
          <w:ilvl w:val="1"/>
          <w:numId w:val="37"/>
        </w:numPr>
        <w:rPr>
          <w:rFonts w:ascii="Arial" w:cs="Arial" w:eastAsia="Arial" w:hAnsi="Arial"/>
          <w:sz w:val="22"/>
          <w:szCs w:val="22"/>
          <w:color w:val="auto"/>
        </w:rPr>
      </w:pPr>
      <w:r>
        <w:rPr>
          <w:rFonts w:ascii="Arial" w:cs="Arial" w:eastAsia="Arial" w:hAnsi="Arial"/>
          <w:sz w:val="22"/>
          <w:szCs w:val="22"/>
          <w:color w:val="auto"/>
        </w:rPr>
        <w:t>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4"/>
          </w:cols>
          <w:pgMar w:left="896" w:top="361" w:right="279" w:bottom="1440" w:gutter="0" w:footer="0" w:header="0"/>
        </w:sectPr>
      </w:pPr>
    </w:p>
    <w:bookmarkStart w:id="24" w:name="page25"/>
    <w:bookmarkEnd w:id="24"/>
    <w:p>
      <w:pPr>
        <w:ind w:firstLine="648"/>
        <w:spacing w:after="0" w:line="251" w:lineRule="auto"/>
        <w:rPr>
          <w:sz w:val="20"/>
          <w:szCs w:val="20"/>
          <w:color w:val="auto"/>
        </w:rPr>
      </w:pPr>
      <w:r>
        <w:rPr>
          <w:rFonts w:ascii="Arial" w:cs="Arial" w:eastAsia="Arial" w:hAnsi="Arial"/>
          <w:sz w:val="22"/>
          <w:szCs w:val="22"/>
          <w:color w:val="auto"/>
        </w:rPr>
        <w:t>IN WITNESS WHEREOF, this Agreement has been duly executed and delivered by Wynn and a duly authorized officer of Aruze and Baron on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7620</wp:posOffset>
            </wp:positionV>
            <wp:extent cx="36277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Stephen A. Wynn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7620</wp:posOffset>
            </wp:positionV>
            <wp:extent cx="36277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Elaine P. Wynn</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ARUZE USA, INC.</w:t>
      </w:r>
    </w:p>
    <w:p>
      <w:pPr>
        <w:spacing w:after="0" w:line="200" w:lineRule="exact"/>
        <w:rPr>
          <w:sz w:val="20"/>
          <w:szCs w:val="20"/>
          <w:color w:val="auto"/>
        </w:rPr>
      </w:pPr>
    </w:p>
    <w:p>
      <w:pPr>
        <w:spacing w:after="0" w:line="276" w:lineRule="exact"/>
        <w:rPr>
          <w:sz w:val="20"/>
          <w:szCs w:val="20"/>
          <w:color w:val="auto"/>
        </w:rPr>
      </w:pPr>
    </w:p>
    <w:p>
      <w:pPr>
        <w:ind w:left="5720"/>
        <w:spacing w:after="0"/>
        <w:tabs>
          <w:tab w:leader="none" w:pos="650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11430</wp:posOffset>
            </wp:positionV>
            <wp:extent cx="3112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33" w:lineRule="exact"/>
        <w:rPr>
          <w:sz w:val="20"/>
          <w:szCs w:val="20"/>
          <w:color w:val="auto"/>
        </w:rPr>
      </w:pPr>
    </w:p>
    <w:p>
      <w:pPr>
        <w:ind w:left="5720"/>
        <w:spacing w:after="0"/>
        <w:tabs>
          <w:tab w:leader="none" w:pos="6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Kazuo Okada</w:t>
      </w:r>
    </w:p>
    <w:p>
      <w:pPr>
        <w:spacing w:after="0" w:line="8" w:lineRule="exact"/>
        <w:rPr>
          <w:sz w:val="20"/>
          <w:szCs w:val="20"/>
          <w:color w:val="auto"/>
        </w:rPr>
      </w:pPr>
    </w:p>
    <w:p>
      <w:pPr>
        <w:ind w:left="5720"/>
        <w:spacing w:after="0"/>
        <w:tabs>
          <w:tab w:leader="none" w:pos="65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1" w:right="35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22"/>
          <w:szCs w:val="22"/>
          <w:color w:val="auto"/>
        </w:rPr>
        <w:t>Exhibit A</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IRREVOCABLE PROXY</w:t>
      </w:r>
    </w:p>
    <w:p>
      <w:pPr>
        <w:spacing w:after="0" w:line="239"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By its execution hereof, and in order to secure obligations under the Amended and Restated Stockholders Agreement of even date herewith among Stephen A. Wynn, an individual ("SAW"), Elaine P. Wynn, an individual (“EW”), and Aruze USA, Inc., a Nevada corporation (the "Agreement"), EW, Aruze USA, Inc. and each Designated Stockholder (as defined in the Agreement) other than SAW (collectively “Proxy Grantors”), hereby irrevocably constitutes and appoints SAW, with full power of substitution and resubstitution, from the date hereof to the termination of the Agreement, as such Proxy Grantors’ true and lawful attorney and proxy (its "Proxy"), for and in such Proxy Grantors' name, place and stead to vote each of the Shares of each such Proxy Grantor as such Proxy Grantor's Proxy at every annual, special or adjourned meeting of stockholders of Wynn (as defined in the Agreement), and to sign on behalf of such Proxy Grantor (as a stockholder of Wynn) any ballot, proxy, consent, certificate or other document relating to Wynn that law permits or requires, for the election of directors as more specifically provided and in a manner consistent with the Agreement. This Proxy is coupled with interest and each Proxy Grantor intends this Proxy to be irrevocable to the fullest extent permitted by law. Each Proxy Grantor hereby revokes any proxy previously granted by such Proxy Grantor with respect to such Proxy Grantor's Shares. Capitalized terms used but not defined herein shall have the meaning set forth in the</w:t>
      </w:r>
    </w:p>
    <w:p>
      <w:pPr>
        <w:spacing w:after="0" w:line="7" w:lineRule="exact"/>
        <w:rPr>
          <w:sz w:val="20"/>
          <w:szCs w:val="20"/>
          <w:color w:val="auto"/>
        </w:rPr>
      </w:pPr>
    </w:p>
    <w:p>
      <w:pPr>
        <w:jc w:val="both"/>
        <w:ind w:right="560"/>
        <w:spacing w:after="0" w:line="287" w:lineRule="auto"/>
        <w:rPr>
          <w:sz w:val="20"/>
          <w:szCs w:val="20"/>
          <w:color w:val="auto"/>
        </w:rPr>
      </w:pPr>
      <w:r>
        <w:rPr>
          <w:rFonts w:ascii="Arial" w:cs="Arial" w:eastAsia="Arial" w:hAnsi="Arial"/>
          <w:sz w:val="19"/>
          <w:szCs w:val="19"/>
          <w:color w:val="auto"/>
        </w:rPr>
        <w:t>Agreement. Each Proxy Grantor shall perform such further acts and execute such further documents and instruments as may reasonably be required to vest in SAW or any of his designees, the power to carry out and give effect to the provisions of this Proxy. This Irrevocable Proxy shall be in full force and effect until the Termination 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Irrevocable Proxy this ____ day of January 2010.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ARUZE USA, INC.</w:t>
      </w:r>
    </w:p>
    <w:p>
      <w:pPr>
        <w:spacing w:after="0" w:line="200" w:lineRule="exact"/>
        <w:rPr>
          <w:sz w:val="20"/>
          <w:szCs w:val="20"/>
          <w:color w:val="auto"/>
        </w:rPr>
      </w:pPr>
    </w:p>
    <w:p>
      <w:pPr>
        <w:spacing w:after="0" w:line="296" w:lineRule="exact"/>
        <w:rPr>
          <w:sz w:val="20"/>
          <w:szCs w:val="20"/>
          <w:color w:val="auto"/>
        </w:rPr>
      </w:pPr>
    </w:p>
    <w:p>
      <w:pPr>
        <w:jc w:val="center"/>
        <w:ind w:left="3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-154940</wp:posOffset>
            </wp:positionV>
            <wp:extent cx="36277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-154940</wp:posOffset>
            </wp:positionV>
            <wp:extent cx="36277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left="4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-154940</wp:posOffset>
            </wp:positionV>
            <wp:extent cx="36277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-151130</wp:posOffset>
            </wp:positionV>
            <wp:extent cx="36277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1"/>
    </w:lvl>
    <w:lvl w:ilvl="1">
      <w:lvlJc w:val="left"/>
      <w:lvlText w:val="(%2)"/>
      <w:numFmt w:val="upperLetter"/>
      <w:start w:val="1"/>
    </w:lvl>
  </w:abstractNum>
  <w:abstractNum w:abstractNumId="2">
    <w:nsid w:val="62BBD95A"/>
    <w:multiLevelType w:val="hybridMultilevel"/>
    <w:lvl w:ilvl="0">
      <w:lvlJc w:val="left"/>
      <w:lvlText w:val="%1."/>
      <w:numFmt w:val="decimal"/>
      <w:start w:val="11"/>
    </w:lvl>
  </w:abstractNum>
  <w:abstractNum w:abstractNumId="3">
    <w:nsid w:val="436C6125"/>
    <w:multiLevelType w:val="hybridMultilevel"/>
    <w:lvl w:ilvl="0">
      <w:lvlJc w:val="left"/>
      <w:lvlText w:val="%1"/>
      <w:numFmt w:val="decimal"/>
      <w:start w:val="1"/>
    </w:lvl>
    <w:lvl w:ilvl="1">
      <w:lvlJc w:val="left"/>
      <w:lvlText w:val="%2."/>
      <w:numFmt w:val="decimal"/>
      <w:start w:val="13"/>
    </w:lvl>
  </w:abstractNum>
  <w:abstractNum w:abstractNumId="4">
    <w:nsid w:val="628C895D"/>
    <w:multiLevelType w:val="hybridMultilevel"/>
    <w:lvl w:ilvl="0">
      <w:lvlJc w:val="left"/>
      <w:lvlText w:val="%1."/>
      <w:numFmt w:val="decimal"/>
      <w:start w:val="1"/>
    </w:lvl>
    <w:lvl w:ilvl="1">
      <w:lvlJc w:val="left"/>
      <w:lvlText w:val="%2"/>
      <w:numFmt w:val="decimal"/>
      <w:start w:val="1"/>
    </w:lvl>
  </w:abstractNum>
  <w:abstractNum w:abstractNumId="5">
    <w:nsid w:val="333AB105"/>
    <w:multiLevelType w:val="hybridMultilevel"/>
    <w:lvl w:ilvl="0">
      <w:lvlJc w:val="left"/>
      <w:lvlText w:val="%1."/>
      <w:numFmt w:val="decimal"/>
      <w:start w:val="1"/>
    </w:lvl>
    <w:lvl w:ilvl="1">
      <w:lvlJc w:val="left"/>
      <w:lvlText w:val="(%2)"/>
      <w:numFmt w:val="upperLetter"/>
      <w:start w:val="1"/>
    </w:lvl>
  </w:abstractNum>
  <w:abstractNum w:abstractNumId="6">
    <w:nsid w:val="721DA317"/>
    <w:multiLevelType w:val="hybridMultilevel"/>
    <w:lvl w:ilvl="0">
      <w:lvlJc w:val="left"/>
      <w:lvlText w:val="%1."/>
      <w:numFmt w:val="decimal"/>
      <w:start w:val="11"/>
    </w:lvl>
  </w:abstractNum>
  <w:abstractNum w:abstractNumId="7">
    <w:nsid w:val="2443A858"/>
    <w:multiLevelType w:val="hybridMultilevel"/>
    <w:lvl w:ilvl="0">
      <w:lvlJc w:val="left"/>
      <w:lvlText w:val="%1"/>
      <w:numFmt w:val="decimal"/>
      <w:start w:val="1"/>
    </w:lvl>
    <w:lvl w:ilvl="1">
      <w:lvlJc w:val="left"/>
      <w:lvlText w:val="%2."/>
      <w:numFmt w:val="decimal"/>
      <w:start w:val="13"/>
    </w:lvl>
  </w:abstractNum>
  <w:abstractNum w:abstractNumId="8">
    <w:nsid w:val="2D1D5AE9"/>
    <w:multiLevelType w:val="hybridMultilevel"/>
    <w:lvl w:ilvl="0">
      <w:lvlJc w:val="left"/>
      <w:lvlText w:val="%1."/>
      <w:numFmt w:val="decimal"/>
      <w:start w:val="1"/>
    </w:lvl>
    <w:lvl w:ilvl="1">
      <w:lvlJc w:val="left"/>
      <w:lvlText w:val="%2"/>
      <w:numFmt w:val="decimal"/>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lowerLetter"/>
      <w:start w:val="2"/>
    </w:lvl>
  </w:abstractNum>
  <w:abstractNum w:abstractNumId="11">
    <w:nsid w:val="8EDBDAB"/>
    <w:multiLevelType w:val="hybridMultilevel"/>
    <w:lvl w:ilvl="0">
      <w:lvlJc w:val="left"/>
      <w:lvlText w:val="(%1)"/>
      <w:numFmt w:val="lowerLetter"/>
      <w:start w:val="3"/>
    </w:lvl>
  </w:abstractNum>
  <w:abstractNum w:abstractNumId="12">
    <w:nsid w:val="79838CB2"/>
    <w:multiLevelType w:val="hybridMultilevel"/>
    <w:lvl w:ilvl="0">
      <w:lvlJc w:val="left"/>
      <w:lvlText w:val="7"/>
      <w:numFmt w:val="bullet"/>
      <w:start w:val="1"/>
    </w:lvl>
  </w:abstractNum>
  <w:abstractNum w:abstractNumId="13">
    <w:nsid w:val="4353D0CD"/>
    <w:multiLevelType w:val="hybridMultilevel"/>
    <w:lvl w:ilvl="0">
      <w:lvlJc w:val="left"/>
      <w:lvlText w:val="8"/>
      <w:numFmt w:val="bullet"/>
      <w:start w:val="1"/>
    </w:lvl>
  </w:abstractNum>
  <w:abstractNum w:abstractNumId="14">
    <w:nsid w:val="B03E0C6"/>
    <w:multiLevelType w:val="hybridMultilevel"/>
    <w:lvl w:ilvl="0">
      <w:lvlJc w:val="left"/>
      <w:lvlText w:val="%1."/>
      <w:numFmt w:val="decimal"/>
      <w:start w:val="1"/>
    </w:lvl>
    <w:lvl w:ilvl="1">
      <w:lvlJc w:val="left"/>
      <w:lvlText w:val="(%2)"/>
      <w:numFmt w:val="lowerLetter"/>
      <w:start w:val="1"/>
    </w:lvl>
  </w:abstractNum>
  <w:abstractNum w:abstractNumId="15">
    <w:nsid w:val="189A769B"/>
    <w:multiLevelType w:val="hybridMultilevel"/>
    <w:lvl w:ilvl="0">
      <w:lvlJc w:val="left"/>
      <w:lvlText w:val="(%1)"/>
      <w:numFmt w:val="lowerLetter"/>
      <w:start w:val="4"/>
    </w:lvl>
    <w:lvl w:ilvl="1">
      <w:lvlJc w:val="left"/>
      <w:lvlText w:val="-"/>
      <w:numFmt w:val="bullet"/>
      <w:start w:val="1"/>
    </w:lvl>
  </w:abstractNum>
  <w:abstractNum w:abstractNumId="16">
    <w:nsid w:val="54E49EB4"/>
    <w:multiLevelType w:val="hybridMultilevel"/>
    <w:lvl w:ilvl="0">
      <w:lvlJc w:val="left"/>
      <w:lvlText w:val="(%1)"/>
      <w:numFmt w:val="lowerLetter"/>
      <w:start w:val="8"/>
    </w:lvl>
    <w:lvl w:ilvl="1">
      <w:lvlJc w:val="left"/>
      <w:lvlText w:val="-"/>
      <w:numFmt w:val="bullet"/>
      <w:start w:val="1"/>
    </w:lvl>
  </w:abstractNum>
  <w:abstractNum w:abstractNumId="17">
    <w:nsid w:val="71F32454"/>
    <w:multiLevelType w:val="hybridMultilevel"/>
    <w:lvl w:ilvl="0">
      <w:lvlJc w:val="left"/>
      <w:lvlText w:val="(%1)"/>
      <w:numFmt w:val="lowerLetter"/>
      <w:start w:val="16"/>
    </w:lvl>
    <w:lvl w:ilvl="1">
      <w:lvlJc w:val="left"/>
      <w:lvlText w:val="(%2)"/>
      <w:numFmt w:val="lowerLetter"/>
      <w:start w:val="3"/>
    </w:lvl>
    <w:lvl w:ilvl="2">
      <w:lvlJc w:val="left"/>
      <w:lvlText w:val="-"/>
      <w:numFmt w:val="bullet"/>
      <w:start w:val="1"/>
    </w:lvl>
  </w:abstractNum>
  <w:abstractNum w:abstractNumId="18">
    <w:nsid w:val="2CA88611"/>
    <w:multiLevelType w:val="hybridMultilevel"/>
    <w:lvl w:ilvl="0">
      <w:lvlJc w:val="left"/>
      <w:lvlText w:val="%1"/>
      <w:numFmt w:val="decimal"/>
      <w:start w:val="1"/>
    </w:lvl>
    <w:lvl w:ilvl="1">
      <w:lvlJc w:val="left"/>
      <w:lvlText w:val="(%2)"/>
      <w:numFmt w:val="lowerLetter"/>
      <w:start w:val="25"/>
    </w:lvl>
    <w:lvl w:ilvl="2">
      <w:lvlJc w:val="left"/>
      <w:lvlText w:val="-"/>
      <w:numFmt w:val="bullet"/>
      <w:start w:val="1"/>
    </w:lvl>
  </w:abstractNum>
  <w:abstractNum w:abstractNumId="19">
    <w:nsid w:val="836C40E"/>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0">
    <w:nsid w:val="2901D82"/>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1">
    <w:nsid w:val="3A95F874"/>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2">
    <w:nsid w:val="8138641"/>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23">
    <w:nsid w:val="1E7FF521"/>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4">
    <w:nsid w:val="7C3DBD3D"/>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25">
    <w:nsid w:val="737B8DD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26">
    <w:nsid w:val="6CEAF08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7">
    <w:nsid w:val="22221A70"/>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8">
    <w:nsid w:val="4516DDE9"/>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29">
    <w:nsid w:val="3006C83E"/>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0">
    <w:nsid w:val="614FD4A1"/>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31">
    <w:nsid w:val="419AC241"/>
    <w:multiLevelType w:val="hybridMultilevel"/>
    <w:lvl w:ilvl="0">
      <w:lvlJc w:val="left"/>
      <w:lvlText w:val="%1."/>
      <w:numFmt w:val="decimal"/>
      <w:start w:val="11"/>
    </w:lvl>
    <w:lvl w:ilvl="1">
      <w:lvlJc w:val="left"/>
      <w:lvlText w:val="-"/>
      <w:numFmt w:val="bullet"/>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1"/>
    </w:lvl>
    <w:lvl w:ilvl="1">
      <w:lvlJc w:val="left"/>
      <w:lvlText w:val="(%2)"/>
      <w:numFmt w:val="lowerLetter"/>
      <w:start w:val="9"/>
    </w:lvl>
    <w:lvl w:ilvl="2">
      <w:lvlJc w:val="left"/>
      <w:lvlText w:val="-"/>
      <w:numFmt w:val="bullet"/>
      <w:start w:val="1"/>
    </w:lvl>
  </w:abstractNum>
  <w:abstractNum w:abstractNumId="34">
    <w:nsid w:val="5072367"/>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35">
    <w:nsid w:val="3804823E"/>
    <w:multiLevelType w:val="hybridMultilevel"/>
    <w:lvl w:ilvl="0">
      <w:lvlJc w:val="left"/>
      <w:lvlText w:val="(%1)"/>
      <w:numFmt w:val="lowerLetter"/>
      <w:start w:val="6"/>
    </w:lvl>
    <w:lvl w:ilvl="1">
      <w:lvlJc w:val="left"/>
      <w:lvlText w:val="-"/>
      <w:numFmt w:val="bullet"/>
      <w:start w:val="1"/>
    </w:lvl>
  </w:abstractNum>
  <w:abstractNum w:abstractNumId="36">
    <w:nsid w:val="77465F01"/>
    <w:multiLevelType w:val="hybridMultilevel"/>
    <w:lvl w:ilvl="0">
      <w:lvlJc w:val="left"/>
      <w:lvlText w:val="(%1)"/>
      <w:numFmt w:val="lowerLetter"/>
      <w:start w:val="1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2019-12-10T22:00:13Z</dcterms:created>
  <dcterms:modified xsi:type="dcterms:W3CDTF">2019-12-10T22:00:13Z</dcterms:modified>
</cp:coreProperties>
</file>