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60325</wp:posOffset>
            </wp:positionV>
            <wp:extent cx="8832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3186430</wp:posOffset>
            </wp:positionH>
            <wp:positionV relativeFrom="paragraph">
              <wp:posOffset>74295</wp:posOffset>
            </wp:positionV>
            <wp:extent cx="8832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EXCHANGE ACT OF 1934</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July 30, 2009</w:t>
      </w: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WYNN RESORTS, LIMITED</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(Exact name of registrant as specified in its charter)</w:t>
      </w:r>
    </w:p>
    <w:p>
      <w:pPr>
        <w:spacing w:after="0" w:line="221" w:lineRule="exact"/>
        <w:rPr>
          <w:sz w:val="24"/>
          <w:szCs w:val="24"/>
          <w:color w:val="auto"/>
        </w:rPr>
      </w:pPr>
    </w:p>
    <w:tbl>
      <w:tblPr>
        <w:tblLayout w:type="fixed"/>
        <w:tblInd w:w="160" w:type="dxa"/>
        <w:tblCellMar>
          <w:top w:w="0" w:type="dxa"/>
          <w:left w:w="0" w:type="dxa"/>
          <w:bottom w:w="0" w:type="dxa"/>
          <w:right w:w="0" w:type="dxa"/>
        </w:tblCellMar>
      </w:tblPr>
      <w:tr>
        <w:trPr>
          <w:trHeight w:val="236"/>
        </w:trPr>
        <w:tc>
          <w:tcPr>
            <w:tcW w:w="4280" w:type="dxa"/>
            <w:vAlign w:val="bottom"/>
          </w:tcPr>
          <w:p>
            <w:pPr>
              <w:jc w:val="center"/>
              <w:ind w:right="701"/>
              <w:spacing w:after="0"/>
              <w:rPr>
                <w:sz w:val="20"/>
                <w:szCs w:val="20"/>
                <w:color w:val="auto"/>
              </w:rPr>
            </w:pPr>
            <w:r>
              <w:rPr>
                <w:rFonts w:ascii="Arial" w:cs="Arial" w:eastAsia="Arial" w:hAnsi="Arial"/>
                <w:sz w:val="20"/>
                <w:szCs w:val="20"/>
                <w:b w:val="1"/>
                <w:bCs w:val="1"/>
                <w:color w:val="auto"/>
                <w:w w:val="89"/>
              </w:rPr>
              <w:t>Nevada</w:t>
            </w:r>
          </w:p>
        </w:tc>
        <w:tc>
          <w:tcPr>
            <w:tcW w:w="3520" w:type="dxa"/>
            <w:vAlign w:val="bottom"/>
          </w:tcPr>
          <w:p>
            <w:pPr>
              <w:jc w:val="right"/>
              <w:ind w:right="1721"/>
              <w:spacing w:after="0"/>
              <w:rPr>
                <w:sz w:val="20"/>
                <w:szCs w:val="20"/>
                <w:color w:val="auto"/>
              </w:rPr>
            </w:pPr>
            <w:r>
              <w:rPr>
                <w:rFonts w:ascii="Arial" w:cs="Arial" w:eastAsia="Arial" w:hAnsi="Arial"/>
                <w:sz w:val="20"/>
                <w:szCs w:val="20"/>
                <w:b w:val="1"/>
                <w:bCs w:val="1"/>
                <w:color w:val="auto"/>
              </w:rPr>
              <w:t>000-50028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46-0484987</w:t>
            </w:r>
          </w:p>
        </w:tc>
      </w:tr>
      <w:tr>
        <w:trPr>
          <w:trHeight w:val="250"/>
        </w:trPr>
        <w:tc>
          <w:tcPr>
            <w:tcW w:w="4280" w:type="dxa"/>
            <w:vAlign w:val="bottom"/>
          </w:tcPr>
          <w:p>
            <w:pPr>
              <w:jc w:val="center"/>
              <w:ind w:right="701"/>
              <w:spacing w:after="0"/>
              <w:rPr>
                <w:sz w:val="20"/>
                <w:szCs w:val="20"/>
                <w:color w:val="auto"/>
              </w:rPr>
            </w:pPr>
            <w:r>
              <w:rPr>
                <w:rFonts w:ascii="Arial" w:cs="Arial" w:eastAsia="Arial" w:hAnsi="Arial"/>
                <w:sz w:val="20"/>
                <w:szCs w:val="20"/>
                <w:color w:val="auto"/>
                <w:w w:val="92"/>
              </w:rPr>
              <w:t>(State or other jurisdiction of incorporation)</w:t>
            </w:r>
          </w:p>
        </w:tc>
        <w:tc>
          <w:tcPr>
            <w:tcW w:w="3520" w:type="dxa"/>
            <w:vAlign w:val="bottom"/>
          </w:tcPr>
          <w:p>
            <w:pPr>
              <w:jc w:val="center"/>
              <w:ind w:right="861"/>
              <w:spacing w:after="0"/>
              <w:rPr>
                <w:sz w:val="20"/>
                <w:szCs w:val="20"/>
                <w:color w:val="auto"/>
              </w:rPr>
            </w:pPr>
            <w:r>
              <w:rPr>
                <w:rFonts w:ascii="Arial" w:cs="Arial" w:eastAsia="Arial" w:hAnsi="Arial"/>
                <w:sz w:val="20"/>
                <w:szCs w:val="20"/>
                <w:color w:val="auto"/>
                <w:w w:val="92"/>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452"/>
        </w:trPr>
        <w:tc>
          <w:tcPr>
            <w:tcW w:w="4280" w:type="dxa"/>
            <w:vAlign w:val="bottom"/>
          </w:tcPr>
          <w:p>
            <w:pPr>
              <w:spacing w:after="0"/>
              <w:rPr>
                <w:sz w:val="24"/>
                <w:szCs w:val="24"/>
                <w:color w:val="auto"/>
              </w:rPr>
            </w:pPr>
          </w:p>
        </w:tc>
        <w:tc>
          <w:tcPr>
            <w:tcW w:w="3520" w:type="dxa"/>
            <w:vAlign w:val="bottom"/>
          </w:tcPr>
          <w:p>
            <w:pPr>
              <w:jc w:val="center"/>
              <w:ind w:right="881"/>
              <w:spacing w:after="0"/>
              <w:rPr>
                <w:sz w:val="20"/>
                <w:szCs w:val="20"/>
                <w:color w:val="auto"/>
              </w:rPr>
            </w:pPr>
            <w:r>
              <w:rPr>
                <w:rFonts w:ascii="Arial" w:cs="Arial" w:eastAsia="Arial" w:hAnsi="Arial"/>
                <w:sz w:val="20"/>
                <w:szCs w:val="20"/>
                <w:b w:val="1"/>
                <w:bCs w:val="1"/>
                <w:color w:val="auto"/>
                <w:w w:val="99"/>
              </w:rPr>
              <w:t>WYNN LAS VEGAS, LLC</w:t>
            </w:r>
          </w:p>
        </w:tc>
        <w:tc>
          <w:tcPr>
            <w:tcW w:w="3020" w:type="dxa"/>
            <w:vAlign w:val="bottom"/>
          </w:tcPr>
          <w:p>
            <w:pPr>
              <w:spacing w:after="0"/>
              <w:rPr>
                <w:sz w:val="24"/>
                <w:szCs w:val="24"/>
                <w:color w:val="auto"/>
              </w:rPr>
            </w:pPr>
          </w:p>
        </w:tc>
      </w:tr>
      <w:tr>
        <w:trPr>
          <w:trHeight w:val="250"/>
        </w:trPr>
        <w:tc>
          <w:tcPr>
            <w:tcW w:w="7800" w:type="dxa"/>
            <w:vAlign w:val="bottom"/>
            <w:gridSpan w:val="2"/>
          </w:tcPr>
          <w:p>
            <w:pPr>
              <w:jc w:val="center"/>
              <w:ind w:left="3201"/>
              <w:spacing w:after="0"/>
              <w:rPr>
                <w:sz w:val="20"/>
                <w:szCs w:val="20"/>
                <w:color w:val="auto"/>
              </w:rPr>
            </w:pPr>
            <w:r>
              <w:rPr>
                <w:rFonts w:ascii="Arial" w:cs="Arial" w:eastAsia="Arial" w:hAnsi="Arial"/>
                <w:sz w:val="20"/>
                <w:szCs w:val="20"/>
                <w:color w:val="auto"/>
                <w:w w:val="89"/>
              </w:rPr>
              <w:t>(Exact name of registrant as specified in its charter)</w:t>
            </w:r>
          </w:p>
        </w:tc>
        <w:tc>
          <w:tcPr>
            <w:tcW w:w="3020" w:type="dxa"/>
            <w:vAlign w:val="bottom"/>
          </w:tcPr>
          <w:p>
            <w:pPr>
              <w:spacing w:after="0"/>
              <w:rPr>
                <w:sz w:val="21"/>
                <w:szCs w:val="21"/>
                <w:color w:val="auto"/>
              </w:rPr>
            </w:pPr>
          </w:p>
        </w:tc>
      </w:tr>
      <w:tr>
        <w:trPr>
          <w:trHeight w:val="452"/>
        </w:trPr>
        <w:tc>
          <w:tcPr>
            <w:tcW w:w="4280" w:type="dxa"/>
            <w:vAlign w:val="bottom"/>
          </w:tcPr>
          <w:p>
            <w:pPr>
              <w:jc w:val="center"/>
              <w:ind w:right="701"/>
              <w:spacing w:after="0"/>
              <w:rPr>
                <w:sz w:val="20"/>
                <w:szCs w:val="20"/>
                <w:color w:val="auto"/>
              </w:rPr>
            </w:pPr>
            <w:r>
              <w:rPr>
                <w:rFonts w:ascii="Arial" w:cs="Arial" w:eastAsia="Arial" w:hAnsi="Arial"/>
                <w:sz w:val="20"/>
                <w:szCs w:val="20"/>
                <w:b w:val="1"/>
                <w:bCs w:val="1"/>
                <w:color w:val="auto"/>
                <w:w w:val="89"/>
              </w:rPr>
              <w:t>Nevada</w:t>
            </w:r>
          </w:p>
        </w:tc>
        <w:tc>
          <w:tcPr>
            <w:tcW w:w="3520" w:type="dxa"/>
            <w:vAlign w:val="bottom"/>
          </w:tcPr>
          <w:p>
            <w:pPr>
              <w:jc w:val="right"/>
              <w:ind w:right="1661"/>
              <w:spacing w:after="0"/>
              <w:rPr>
                <w:sz w:val="20"/>
                <w:szCs w:val="20"/>
                <w:color w:val="auto"/>
              </w:rPr>
            </w:pPr>
            <w:r>
              <w:rPr>
                <w:rFonts w:ascii="Arial" w:cs="Arial" w:eastAsia="Arial" w:hAnsi="Arial"/>
                <w:sz w:val="20"/>
                <w:szCs w:val="20"/>
                <w:b w:val="1"/>
                <w:bCs w:val="1"/>
                <w:color w:val="auto"/>
              </w:rPr>
              <w:t>333-100768</w:t>
            </w:r>
          </w:p>
        </w:tc>
        <w:tc>
          <w:tcPr>
            <w:tcW w:w="3020" w:type="dxa"/>
            <w:vAlign w:val="bottom"/>
          </w:tcPr>
          <w:p>
            <w:pPr>
              <w:jc w:val="center"/>
              <w:ind w:left="41"/>
              <w:spacing w:after="0"/>
              <w:rPr>
                <w:sz w:val="20"/>
                <w:szCs w:val="20"/>
                <w:color w:val="auto"/>
              </w:rPr>
            </w:pPr>
            <w:r>
              <w:rPr>
                <w:rFonts w:ascii="Arial" w:cs="Arial" w:eastAsia="Arial" w:hAnsi="Arial"/>
                <w:sz w:val="20"/>
                <w:szCs w:val="20"/>
                <w:b w:val="1"/>
                <w:bCs w:val="1"/>
                <w:color w:val="auto"/>
                <w:w w:val="89"/>
              </w:rPr>
              <w:t>88-0494875</w:t>
            </w:r>
          </w:p>
        </w:tc>
      </w:tr>
      <w:tr>
        <w:trPr>
          <w:trHeight w:val="250"/>
        </w:trPr>
        <w:tc>
          <w:tcPr>
            <w:tcW w:w="4280" w:type="dxa"/>
            <w:vAlign w:val="bottom"/>
          </w:tcPr>
          <w:p>
            <w:pPr>
              <w:jc w:val="center"/>
              <w:ind w:right="701"/>
              <w:spacing w:after="0"/>
              <w:rPr>
                <w:sz w:val="20"/>
                <w:szCs w:val="20"/>
                <w:color w:val="auto"/>
              </w:rPr>
            </w:pPr>
            <w:r>
              <w:rPr>
                <w:rFonts w:ascii="Arial" w:cs="Arial" w:eastAsia="Arial" w:hAnsi="Arial"/>
                <w:sz w:val="20"/>
                <w:szCs w:val="20"/>
                <w:color w:val="auto"/>
                <w:w w:val="92"/>
              </w:rPr>
              <w:t>(State or other jurisdiction of incorporation)</w:t>
            </w:r>
          </w:p>
        </w:tc>
        <w:tc>
          <w:tcPr>
            <w:tcW w:w="3520" w:type="dxa"/>
            <w:vAlign w:val="bottom"/>
          </w:tcPr>
          <w:p>
            <w:pPr>
              <w:jc w:val="center"/>
              <w:ind w:right="861"/>
              <w:spacing w:after="0"/>
              <w:rPr>
                <w:sz w:val="20"/>
                <w:szCs w:val="20"/>
                <w:color w:val="auto"/>
              </w:rPr>
            </w:pPr>
            <w:r>
              <w:rPr>
                <w:rFonts w:ascii="Arial" w:cs="Arial" w:eastAsia="Arial" w:hAnsi="Arial"/>
                <w:sz w:val="20"/>
                <w:szCs w:val="20"/>
                <w:color w:val="auto"/>
                <w:w w:val="92"/>
              </w:rPr>
              <w:t>(Commission File Number)</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(I.R.S. Employer Identification No.)</w:t>
            </w:r>
          </w:p>
        </w:tc>
      </w:tr>
      <w:tr>
        <w:trPr>
          <w:trHeight w:val="702"/>
        </w:trPr>
        <w:tc>
          <w:tcPr>
            <w:tcW w:w="4280" w:type="dxa"/>
            <w:vAlign w:val="bottom"/>
          </w:tcPr>
          <w:p>
            <w:pPr>
              <w:jc w:val="center"/>
              <w:ind w:left="1161"/>
              <w:spacing w:after="0"/>
              <w:rPr>
                <w:sz w:val="20"/>
                <w:szCs w:val="20"/>
                <w:color w:val="auto"/>
              </w:rPr>
            </w:pPr>
            <w:r>
              <w:rPr>
                <w:rFonts w:ascii="Arial" w:cs="Arial" w:eastAsia="Arial" w:hAnsi="Arial"/>
                <w:sz w:val="20"/>
                <w:szCs w:val="20"/>
                <w:b w:val="1"/>
                <w:bCs w:val="1"/>
                <w:color w:val="auto"/>
                <w:w w:val="88"/>
              </w:rPr>
              <w:t>3131 Las Vegas Boulevard South</w:t>
            </w:r>
          </w:p>
        </w:tc>
        <w:tc>
          <w:tcPr>
            <w:tcW w:w="352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6"/>
        </w:trPr>
        <w:tc>
          <w:tcPr>
            <w:tcW w:w="4280" w:type="dxa"/>
            <w:vAlign w:val="bottom"/>
          </w:tcPr>
          <w:p>
            <w:pPr>
              <w:jc w:val="center"/>
              <w:ind w:left="1161"/>
              <w:spacing w:after="0"/>
              <w:rPr>
                <w:sz w:val="20"/>
                <w:szCs w:val="20"/>
                <w:color w:val="auto"/>
              </w:rPr>
            </w:pPr>
            <w:r>
              <w:rPr>
                <w:rFonts w:ascii="Arial" w:cs="Arial" w:eastAsia="Arial" w:hAnsi="Arial"/>
                <w:sz w:val="20"/>
                <w:szCs w:val="20"/>
                <w:b w:val="1"/>
                <w:bCs w:val="1"/>
                <w:color w:val="auto"/>
                <w:w w:val="87"/>
              </w:rPr>
              <w:t>Las Vegas, Nevada</w:t>
            </w:r>
          </w:p>
        </w:tc>
        <w:tc>
          <w:tcPr>
            <w:tcW w:w="3520" w:type="dxa"/>
            <w:vAlign w:val="bottom"/>
          </w:tcPr>
          <w:p>
            <w:pPr>
              <w:spacing w:after="0"/>
              <w:rPr>
                <w:sz w:val="20"/>
                <w:szCs w:val="20"/>
                <w:color w:val="auto"/>
              </w:rPr>
            </w:pPr>
          </w:p>
        </w:tc>
        <w:tc>
          <w:tcPr>
            <w:tcW w:w="3020" w:type="dxa"/>
            <w:vAlign w:val="bottom"/>
          </w:tcPr>
          <w:p>
            <w:pPr>
              <w:jc w:val="center"/>
              <w:ind w:left="61"/>
              <w:spacing w:after="0"/>
              <w:rPr>
                <w:sz w:val="20"/>
                <w:szCs w:val="20"/>
                <w:color w:val="auto"/>
              </w:rPr>
            </w:pPr>
            <w:r>
              <w:rPr>
                <w:rFonts w:ascii="Arial" w:cs="Arial" w:eastAsia="Arial" w:hAnsi="Arial"/>
                <w:sz w:val="20"/>
                <w:szCs w:val="20"/>
                <w:b w:val="1"/>
                <w:bCs w:val="1"/>
                <w:color w:val="auto"/>
                <w:w w:val="89"/>
              </w:rPr>
              <w:t>89109</w:t>
            </w:r>
          </w:p>
        </w:tc>
      </w:tr>
      <w:tr>
        <w:trPr>
          <w:trHeight w:val="250"/>
        </w:trPr>
        <w:tc>
          <w:tcPr>
            <w:tcW w:w="7800" w:type="dxa"/>
            <w:vAlign w:val="bottom"/>
            <w:gridSpan w:val="2"/>
          </w:tcPr>
          <w:p>
            <w:pPr>
              <w:jc w:val="center"/>
              <w:ind w:right="2141"/>
              <w:spacing w:after="0"/>
              <w:rPr>
                <w:sz w:val="20"/>
                <w:szCs w:val="20"/>
                <w:color w:val="auto"/>
              </w:rPr>
            </w:pPr>
            <w:r>
              <w:rPr>
                <w:rFonts w:ascii="Arial" w:cs="Arial" w:eastAsia="Arial" w:hAnsi="Arial"/>
                <w:sz w:val="20"/>
                <w:szCs w:val="20"/>
                <w:color w:val="auto"/>
                <w:w w:val="90"/>
              </w:rPr>
              <w:t>(Address of principal executive offices of each registrant)</w:t>
            </w:r>
          </w:p>
        </w:tc>
        <w:tc>
          <w:tcPr>
            <w:tcW w:w="3020" w:type="dxa"/>
            <w:vAlign w:val="bottom"/>
          </w:tcPr>
          <w:p>
            <w:pPr>
              <w:jc w:val="center"/>
              <w:ind w:left="41"/>
              <w:spacing w:after="0"/>
              <w:rPr>
                <w:sz w:val="20"/>
                <w:szCs w:val="20"/>
                <w:color w:val="auto"/>
              </w:rPr>
            </w:pPr>
            <w:r>
              <w:rPr>
                <w:rFonts w:ascii="Arial" w:cs="Arial" w:eastAsia="Arial" w:hAnsi="Arial"/>
                <w:sz w:val="20"/>
                <w:szCs w:val="20"/>
                <w:color w:val="auto"/>
                <w:w w:val="93"/>
              </w:rPr>
              <w:t>(Zip Code)</w:t>
            </w:r>
          </w:p>
        </w:tc>
      </w:tr>
      <w:tr>
        <w:trPr>
          <w:trHeight w:val="452"/>
        </w:trPr>
        <w:tc>
          <w:tcPr>
            <w:tcW w:w="4280" w:type="dxa"/>
            <w:vAlign w:val="bottom"/>
          </w:tcPr>
          <w:p>
            <w:pPr>
              <w:spacing w:after="0"/>
              <w:rPr>
                <w:sz w:val="24"/>
                <w:szCs w:val="24"/>
                <w:color w:val="auto"/>
              </w:rPr>
            </w:pPr>
          </w:p>
        </w:tc>
        <w:tc>
          <w:tcPr>
            <w:tcW w:w="3520" w:type="dxa"/>
            <w:vAlign w:val="bottom"/>
          </w:tcPr>
          <w:p>
            <w:pPr>
              <w:jc w:val="right"/>
              <w:ind w:right="1521"/>
              <w:spacing w:after="0"/>
              <w:rPr>
                <w:sz w:val="20"/>
                <w:szCs w:val="20"/>
                <w:color w:val="auto"/>
              </w:rPr>
            </w:pPr>
            <w:r>
              <w:rPr>
                <w:rFonts w:ascii="Arial" w:cs="Arial" w:eastAsia="Arial" w:hAnsi="Arial"/>
                <w:sz w:val="20"/>
                <w:szCs w:val="20"/>
                <w:b w:val="1"/>
                <w:bCs w:val="1"/>
                <w:color w:val="auto"/>
              </w:rPr>
              <w:t>(702) 770-7555</w:t>
            </w:r>
          </w:p>
        </w:tc>
        <w:tc>
          <w:tcPr>
            <w:tcW w:w="3020" w:type="dxa"/>
            <w:vAlign w:val="bottom"/>
          </w:tcPr>
          <w:p>
            <w:pPr>
              <w:spacing w:after="0"/>
              <w:rPr>
                <w:sz w:val="24"/>
                <w:szCs w:val="24"/>
                <w:color w:val="auto"/>
              </w:rPr>
            </w:pPr>
          </w:p>
        </w:tc>
      </w:tr>
      <w:tr>
        <w:trPr>
          <w:trHeight w:val="250"/>
        </w:trPr>
        <w:tc>
          <w:tcPr>
            <w:tcW w:w="7800" w:type="dxa"/>
            <w:vAlign w:val="bottom"/>
            <w:gridSpan w:val="2"/>
          </w:tcPr>
          <w:p>
            <w:pPr>
              <w:jc w:val="center"/>
              <w:ind w:left="3201"/>
              <w:spacing w:after="0"/>
              <w:rPr>
                <w:sz w:val="20"/>
                <w:szCs w:val="20"/>
                <w:color w:val="auto"/>
              </w:rPr>
            </w:pPr>
            <w:r>
              <w:rPr>
                <w:rFonts w:ascii="Arial" w:cs="Arial" w:eastAsia="Arial" w:hAnsi="Arial"/>
                <w:sz w:val="20"/>
                <w:szCs w:val="20"/>
                <w:color w:val="auto"/>
                <w:w w:val="88"/>
              </w:rPr>
              <w:t>(Registrant’s telephone number, including area code)</w:t>
            </w:r>
          </w:p>
        </w:tc>
        <w:tc>
          <w:tcPr>
            <w:tcW w:w="3020" w:type="dxa"/>
            <w:vAlign w:val="bottom"/>
          </w:tcPr>
          <w:p>
            <w:pPr>
              <w:spacing w:after="0"/>
              <w:rPr>
                <w:sz w:val="21"/>
                <w:szCs w:val="21"/>
                <w:color w:val="auto"/>
              </w:rPr>
            </w:pPr>
          </w:p>
        </w:tc>
      </w:tr>
    </w:tbl>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Not Applicable</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27"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is intended to simultaneously satisfy the filing obligation of the registrant under any of the following provisions:</w:t>
      </w:r>
    </w:p>
    <w:p>
      <w:pPr>
        <w:spacing w:after="0" w:line="204" w:lineRule="exact"/>
        <w:rPr>
          <w:sz w:val="24"/>
          <w:szCs w:val="24"/>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Written communication pursuant to Rule 425 under the Securities Act (17 CFR 230.425)</w:t>
      </w:r>
    </w:p>
    <w:p>
      <w:pPr>
        <w:spacing w:after="0" w:line="242"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242"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242" w:lineRule="exact"/>
        <w:rPr>
          <w:rFonts w:ascii="Arial" w:cs="Arial" w:eastAsia="Arial" w:hAnsi="Arial"/>
          <w:sz w:val="20"/>
          <w:szCs w:val="20"/>
          <w:color w:val="auto"/>
        </w:rPr>
      </w:pPr>
    </w:p>
    <w:p>
      <w:pPr>
        <w:ind w:left="1020" w:hanging="1012"/>
        <w:spacing w:after="0"/>
        <w:tabs>
          <w:tab w:leader="none" w:pos="1020" w:val="left"/>
        </w:tabs>
        <w:numPr>
          <w:ilvl w:val="0"/>
          <w:numId w:val="1"/>
        </w:numPr>
        <w:rPr>
          <w:rFonts w:ascii="Arial" w:cs="Arial" w:eastAsia="Arial" w:hAnsi="Arial"/>
          <w:sz w:val="20"/>
          <w:szCs w:val="20"/>
          <w:color w:val="auto"/>
        </w:rPr>
      </w:pPr>
      <w:r>
        <w:rPr>
          <w:rFonts w:ascii="Arial" w:cs="Arial" w:eastAsia="Arial" w:hAnsi="Arial"/>
          <w:sz w:val="20"/>
          <w:szCs w:val="20"/>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694690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spacing w:after="0"/>
        <w:tabs>
          <w:tab w:leader="none" w:pos="20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On July 30, 2009, Wynn Resorts, Limited issued a press release announcing its results of operations for the second quarter of 2009. The press release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09" w:lineRule="exact"/>
        <w:rPr>
          <w:sz w:val="20"/>
          <w:szCs w:val="20"/>
          <w:color w:val="auto"/>
        </w:rPr>
      </w:pPr>
    </w:p>
    <w:p>
      <w:pPr>
        <w:spacing w:after="0"/>
        <w:tabs>
          <w:tab w:leader="none" w:pos="20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39" w:lineRule="exact"/>
        <w:rPr>
          <w:sz w:val="20"/>
          <w:szCs w:val="20"/>
          <w:color w:val="auto"/>
        </w:rPr>
      </w:pPr>
    </w:p>
    <w:p>
      <w:pPr>
        <w:ind w:left="720"/>
        <w:spacing w:after="0"/>
        <w:rPr>
          <w:sz w:val="20"/>
          <w:szCs w:val="20"/>
          <w:color w:val="auto"/>
        </w:rPr>
      </w:pPr>
      <w:r>
        <w:rPr>
          <w:rFonts w:ascii="Arial" w:cs="Arial" w:eastAsia="Arial" w:hAnsi="Arial"/>
          <w:sz w:val="22"/>
          <w:szCs w:val="22"/>
          <w:color w:val="auto"/>
        </w:rPr>
        <w:t>The information set forth under Item 2.02 of this report is incorporated herein by reference.</w:t>
      </w:r>
    </w:p>
    <w:p>
      <w:pPr>
        <w:spacing w:after="0" w:line="227" w:lineRule="exact"/>
        <w:rPr>
          <w:sz w:val="20"/>
          <w:szCs w:val="20"/>
          <w:color w:val="auto"/>
        </w:rPr>
      </w:pPr>
    </w:p>
    <w:p>
      <w:pPr>
        <w:spacing w:after="0"/>
        <w:tabs>
          <w:tab w:leader="none" w:pos="14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880" w:hanging="559"/>
        <w:spacing w:after="0"/>
        <w:tabs>
          <w:tab w:leader="none" w:pos="88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33" w:lineRule="exact"/>
        <w:rPr>
          <w:sz w:val="20"/>
          <w:szCs w:val="20"/>
          <w:color w:val="auto"/>
        </w:rPr>
      </w:pPr>
    </w:p>
    <w:p>
      <w:pPr>
        <w:ind w:left="960"/>
        <w:spacing w:after="0"/>
        <w:rPr>
          <w:sz w:val="20"/>
          <w:szCs w:val="20"/>
          <w:color w:val="auto"/>
        </w:rPr>
      </w:pPr>
      <w:r>
        <w:rPr>
          <w:rFonts w:ascii="Arial" w:cs="Arial" w:eastAsia="Arial" w:hAnsi="Arial"/>
          <w:sz w:val="22"/>
          <w:szCs w:val="22"/>
          <w:u w:val="single" w:color="auto"/>
          <w:color w:val="auto"/>
        </w:rPr>
        <w:t>Exhibit</w:t>
      </w:r>
    </w:p>
    <w:p>
      <w:pPr>
        <w:spacing w:after="0" w:line="8" w:lineRule="exact"/>
        <w:rPr>
          <w:sz w:val="20"/>
          <w:szCs w:val="20"/>
          <w:color w:val="auto"/>
        </w:rPr>
      </w:pPr>
    </w:p>
    <w:p>
      <w:pPr>
        <w:ind w:left="920"/>
        <w:spacing w:after="0"/>
        <w:tabs>
          <w:tab w:leader="none" w:pos="2140" w:val="left"/>
        </w:tabs>
        <w:rPr>
          <w:sz w:val="20"/>
          <w:szCs w:val="20"/>
          <w:color w:val="auto"/>
        </w:rPr>
      </w:pPr>
      <w:r>
        <w:rPr>
          <w:rFonts w:ascii="Arial" w:cs="Arial" w:eastAsia="Arial" w:hAnsi="Arial"/>
          <w:sz w:val="22"/>
          <w:szCs w:val="22"/>
          <w:u w:val="single" w:color="auto"/>
          <w:color w:val="auto"/>
        </w:rPr>
        <w:t>Number</w:t>
      </w:r>
      <w:r>
        <w:rPr>
          <w:sz w:val="20"/>
          <w:szCs w:val="20"/>
          <w:color w:val="auto"/>
        </w:rPr>
        <w:tab/>
      </w:r>
      <w:r>
        <w:rPr>
          <w:rFonts w:ascii="Arial" w:cs="Arial" w:eastAsia="Arial" w:hAnsi="Arial"/>
          <w:sz w:val="22"/>
          <w:szCs w:val="22"/>
          <w:u w:val="single" w:color="auto"/>
          <w:color w:val="auto"/>
        </w:rPr>
        <w:t>Description</w:t>
      </w:r>
    </w:p>
    <w:p>
      <w:pPr>
        <w:spacing w:after="0" w:line="215" w:lineRule="exact"/>
        <w:rPr>
          <w:sz w:val="20"/>
          <w:szCs w:val="20"/>
          <w:color w:val="auto"/>
        </w:rPr>
      </w:pPr>
    </w:p>
    <w:p>
      <w:pPr>
        <w:ind w:left="1080"/>
        <w:spacing w:after="0"/>
        <w:tabs>
          <w:tab w:leader="none" w:pos="218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Press release, dated July 30, 2009, of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July 30, 2009</w:t>
      </w:r>
    </w:p>
    <w:p>
      <w:pPr>
        <w:spacing w:after="0" w:line="24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WYNN RESORTS, LIMITED</w:t>
      </w:r>
    </w:p>
    <w:p>
      <w:pPr>
        <w:spacing w:after="0" w:line="200" w:lineRule="exact"/>
        <w:rPr>
          <w:sz w:val="20"/>
          <w:szCs w:val="20"/>
          <w:color w:val="auto"/>
        </w:rPr>
      </w:pPr>
    </w:p>
    <w:p>
      <w:pPr>
        <w:spacing w:after="0" w:line="295"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22"/>
          <w:szCs w:val="22"/>
          <w:color w:val="auto"/>
        </w:rPr>
        <w:t>By:</w:t>
        <w:tab/>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7620</wp:posOffset>
            </wp:positionV>
            <wp:extent cx="28987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Matt Maddox</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Financial Officer and</w:t>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SIGNATURES</w:t>
      </w:r>
    </w:p>
    <w:p>
      <w:pPr>
        <w:spacing w:after="0" w:line="244" w:lineRule="exact"/>
        <w:rPr>
          <w:sz w:val="20"/>
          <w:szCs w:val="20"/>
          <w:color w:val="auto"/>
        </w:rPr>
      </w:pPr>
    </w:p>
    <w:p>
      <w:pPr>
        <w:ind w:firstLine="7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July 30, 2009</w:t>
      </w:r>
    </w:p>
    <w:p>
      <w:pPr>
        <w:spacing w:after="0" w:line="243"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WYNN LAS VEGAS, LLC</w:t>
      </w:r>
    </w:p>
    <w:p>
      <w:pPr>
        <w:spacing w:after="0" w:line="25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By: Wynn Resorts Holdings, LLC, its sole member</w:t>
      </w:r>
    </w:p>
    <w:p>
      <w:pPr>
        <w:spacing w:after="0" w:line="25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By: Wynn Resorts, Limited, its sole member</w:t>
      </w:r>
    </w:p>
    <w:p>
      <w:pPr>
        <w:spacing w:after="0" w:line="252"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2"/>
          <w:szCs w:val="22"/>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7620</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Matt Maddox</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Chief Financial Officer and</w:t>
      </w:r>
    </w:p>
    <w:p>
      <w:pPr>
        <w:spacing w:after="0" w:line="13"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29"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Wynn Resorts, Limited Reports Second Quarter Results</w:t>
      </w:r>
    </w:p>
    <w:p>
      <w:pPr>
        <w:spacing w:after="0" w:line="26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LAS VEGAS, July 30, 2009 (BUSINESS WIRE) -- Wynn Resorts, Limited (Nasdaq: WYNN) today reported financial results for the quarter ended June 30, 2009.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revenues for the second quarter of 2009 were $723.3 million, compared to $825.2 million in the second quarter of 2008.</w:t>
      </w:r>
    </w:p>
    <w:p>
      <w:pPr>
        <w:spacing w:after="0" w:line="239"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Consolidated adjusted property EBITDA (1) decreased 18.7% to $192.7 million for the second quarter of 2009, compared to $237.0 million in the second quarter of 2008.</w:t>
      </w:r>
    </w:p>
    <w:p>
      <w:pPr>
        <w:spacing w:after="0" w:line="224"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On a US GAAP (Generally Accepted Accounting Principles) basis, net income for the quarter was $ 25.5 million, or $0.21 per diluted share, compared to net income of $272.0 million, or $2.42 per diluted share in 2008. Adjusted net income in the second quarter of 2009 was $11.5 million, or $0.09 per diluted share (adjusted EPS)(2) compared to an adjusted net income of $124.3 million, or $1.11 per diluted share in the second quarter of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Second Quarter Results</w:t>
      </w:r>
    </w:p>
    <w:p>
      <w:pPr>
        <w:spacing w:after="0" w:line="26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results of operations for the periods presented are not comparable as the three months ended June 30, 2009 includes Encore at Wynn Las Vegas, which opened on December 22, 2008. The prior year quarter includes only Wynn Las Vegas.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the quarter ended June 30, 2009, our Las Vegas operations generated adjusted property EBITDA of $75.5 million, with a 24.1% EBITDA margin on net revenue, compared to $ 81.8 million in the second quarter of 2008. The EBITDA decline was primarily driven by higher operating expenses associated with the opening of Encore.</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Net casino revenues in the second quarter of 2009 were $124.3 million, compared to $120.7 million for the second quarter of 2008. Table games drop was $494.8 million, with win per table per day (before discounts) of $5,007, compared to drop of $493.6 million and win per table per day of $7,742 in the second quarter of 2008. Table games win percentage of 20.7% was slightly below the property’s expected range of 21% to 24%. Slot machine handle of $836.8 million was 1.8% below the comparable period of 2008 and win per unit per day was $155, compared to a win per unit per day of $232 in the second quarter of 2008. The reduction in win per table and win per unit is due primarily to the addition of 82 tables and 812 slot machines with the opening of Encore.</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Gross non-casino revenues for the quarter were $231.9 million, a 9.4% increase from the second quarter of 2008, driven primarily by higher hotel and food and beverage revenues resulting from the opening of Encore. Hotel revenues were up 12.9% to $81.5 million during the quarter, versus $ 72.1 million in the second quarter of 2008 due to the addition of 2,034 suites at Encore. Our Las Vegas operations achieved an Average Daily Rate (ADR) of $218 for the quarter, compared to $ 302 in the 2008 quarter. Our occupancy was 86.6%, compared to 96.5% during the prior year period, generating revenue per available room (REVPAR) of $188 in the 2009 period (35.4% below the second quarter of 2008 of $292).</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Food and beverage revenues increased 18.6% to $99.9 million in the quarter as a result of the additional 12 food and beverage outlets located in the Encore expansion. Retail revenues were $22.1 million in the quarter, flat with last year’s levels. Entertainment revenues decreased $6.6 million (34.9%) from the second quarter of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Second Quarter Results</w:t>
      </w:r>
    </w:p>
    <w:p>
      <w:pPr>
        <w:spacing w:after="0" w:line="261"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 the second quarter of 2009, net revenues were $410.4 million compared to $529.9 million in the second quarter of 2008. Wynn Macau generated adjusted property EBITDA of $117.2 million, compared to $155.2 million in the second quarter of 2008.</w:t>
      </w:r>
    </w:p>
    <w:p>
      <w:pPr>
        <w:spacing w:after="0" w:line="224"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Table games turnover in the VIP segment was $12.6 billion for the period, compared to $16.3 billion for the second quarter of 2008. VIP table games win as a percentage of turnover (calculated before discounts and commissions) for the second quarter of 2009 was 2.7%, at the lower end of the expected range of 2.7% to 3.0% and below the 3.0% experienced in the 2008 quarter.</w:t>
      </w:r>
    </w:p>
    <w:p>
      <w:pPr>
        <w:spacing w:after="0" w:line="230"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Table games drop in the mass market category was approximately $481 million during the period, a 23.3% decrease from $626.9 million in the second quarter of 2008. Mass market table games win percentage (calculated before discounts) of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21.5% was above our expected range of 18% to 20% and higher than the 18.9% experienced in the second quarter of 2008.</w:t>
      </w:r>
    </w:p>
    <w:p>
      <w:pPr>
        <w:spacing w:after="0" w:line="23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Slot machine win increased 3.2% compared to the second quarter of 2008 and win per unit per day was $383, 6.6% higher than in the second quarter of 2008.</w:t>
      </w:r>
    </w:p>
    <w:p>
      <w:pPr>
        <w:spacing w:after="0" w:line="224"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Wynn Macau achieved an Average Daily Rate (ADR) of $263 for the second quarter of 2009, compared to $277 in the 2008 quarter. The property’s occupancy was 86.7%, compared to 87.9% during the prior year period, generating revenue per available room (REVPAR) of $228 in the 2009 period, 6.6% below 2008 levels of $244.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Construction continues on a further expansion of Wynn Macau. Encore at Wynn Macau is expected to open in the first half of 2010, adding a fully-integrated resort hotel to Wynn Macau with approximately 400 luxury suites and four villas, along with additional gaming spaces, food and beverage and retail amenities. The current project budget is approximately $650 million.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2009, we have incurred $309.5 million associated with the construction of Encore at Wynn Macau.</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Factors Affecting Earnings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Interest expense, net of $2.3 million in capitalized interest, was $53.7 million for the second quarter of 2009. Depreciation and amortization expenses were $102.7 million. Corporate expense and other was $13.1 million in the second quarter, including $6.4 million in stock based compensation. Property charges and other were a credit of $5.9 million primarily related to the refund of an aircraft purchase deposit.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Capital Expenditures</w:t>
      </w:r>
    </w:p>
    <w:p>
      <w:pPr>
        <w:spacing w:after="0" w:line="26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total cash balances on June 30, 2009 were $1.1 billion. Total debt outstanding at the end of the quarter was $4.1 billion, including approximately $2.6 billion of Wynn Las Vegas debt and $1.5 billion of Wynn Macau debt.</w:t>
      </w:r>
    </w:p>
    <w:p>
      <w:pPr>
        <w:spacing w:after="0" w:line="22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Capital expenditures during the second quarter of 2009 of approximately $125 million included the payment of certain construction payables and retention associated with Encore at Wynn Las Vegas and ongoing construction of Encore at Wynn Macau.</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quarter, we repaid the remaining $375 million under the Wynn Resorts Term Loan Facility at a discounted price of 97.25% and recognized an $ 8.8 million gain on early retirement of debt. We also purchased $26.5 million face amount of the Wynn Las Vegas 6 5/8% First Mortgage Notes due 2014 at a discount. This transaction resulted in a gain on early extinguishment of debt of $3.1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6"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The Company will hold a conference call to discuss its results on Thursday, July 30</w:t>
      </w:r>
      <w:r>
        <w:rPr>
          <w:rFonts w:ascii="Arial" w:cs="Arial" w:eastAsia="Arial" w:hAnsi="Arial"/>
          <w:sz w:val="25"/>
          <w:szCs w:val="25"/>
          <w:color w:val="auto"/>
          <w:vertAlign w:val="superscript"/>
        </w:rPr>
        <w:t>th</w:t>
      </w:r>
      <w:r>
        <w:rPr>
          <w:rFonts w:ascii="Arial" w:cs="Arial" w:eastAsia="Arial" w:hAnsi="Arial"/>
          <w:sz w:val="18"/>
          <w:szCs w:val="18"/>
          <w:color w:val="auto"/>
        </w:rPr>
        <w:t>, 2009 at 9:00 a.m. PT (12:00 p.m. ET). Interested parties are invited to join the call by accessing a live audio webcast at http://www.wynnresorts.com (Investor Relations).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release contains forward-looking statements regarding operating trends and future results of operations. Such forward-looking information involves important risks and uncertainties that could significantly affect anticipated results in the future and, accordingly, such results may differ from those expressed in any forward-looking statements made by us. The risks and uncertainties include, but are not limited to, competition in the casino/hotel and resorts industries, the Company’s dependence on existing management, levels of travel, leisure and casino spending, general economic conditions, and changes in gaming laws or regulations. Additional information concerning potential factors that could affect the Company's financial results is included in the Company's Annual Report on Form 10-K for the year ended December 31, 2008 and the Company's other periodic reports filed with the Securities and Exchange Commission. The Company is under no obligation to (and expressly disclaims any such obligation to) update its forward-looking statements as a result of new information, future events or otherwise.</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Non-GAAP financial measures</w:t>
      </w:r>
    </w:p>
    <w:p>
      <w:pPr>
        <w:spacing w:after="0" w:line="261" w:lineRule="exact"/>
        <w:rPr>
          <w:sz w:val="20"/>
          <w:szCs w:val="20"/>
          <w:color w:val="auto"/>
        </w:rPr>
      </w:pPr>
    </w:p>
    <w:p>
      <w:pPr>
        <w:jc w:val="both"/>
        <w:ind w:firstLine="8"/>
        <w:spacing w:after="0" w:line="235" w:lineRule="auto"/>
        <w:tabs>
          <w:tab w:leader="none" w:pos="286"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property EBITDA” is earnings before interest, taxes, depreciation, amortization, pre-opening costs, property charges and other, corporate expenses, stock-based compensation, and other non-operating income and expenses, and includes equity in income (loss) from unconsolidated affiliates.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The Company also presents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Wynn Resorts, Limited, have historically excluded from their EBITDA calculations pre-opening expenses, property charges and corporate expenses, that do not relate to the management of specific casino properties. However, adjusted property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The Company compensates for these limitations by using adjusted property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property EBITDA. Also, Wynn Resorts’ calculation of adjusted property EBITDA may be different from the calculation methods used by other companies and, therefore, comparability may be limited.</w:t>
      </w:r>
    </w:p>
    <w:p>
      <w:pPr>
        <w:spacing w:after="0" w:line="20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has included schedules in the tables that accompany this release that reconcile (i) net income to adjusted net income, and (ii) operating income to adjusted property EBITDA and adjusted property EBITDA to net income.</w:t>
      </w:r>
    </w:p>
    <w:p>
      <w:pPr>
        <w:spacing w:after="0" w:line="224" w:lineRule="exact"/>
        <w:rPr>
          <w:sz w:val="20"/>
          <w:szCs w:val="20"/>
          <w:color w:val="auto"/>
        </w:rPr>
      </w:pPr>
    </w:p>
    <w:p>
      <w:pPr>
        <w:jc w:val="both"/>
        <w:ind w:firstLine="8"/>
        <w:spacing w:after="0" w:line="237" w:lineRule="auto"/>
        <w:tabs>
          <w:tab w:leader="none" w:pos="27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(loss) is net income (loss) before pre-opening costs, property charges and other non-cash non-operating income and expenses. Adjusted net income (loss) and adjusted net income (loss) per share (“EPS”) are presented as supplemental disclosures because management believes that these financial measures are widely used to measure the performance, and as a principal basis for valuation, of gaming companies. These measures are used by management and/or evaluated by some investors, in addition to income and EPS computed in accordance with GAAP, as an additional basis for assessing period-to-period results of our business. Adjusted net income (loss) and adjusted net income (loss) per share may be different from the calculation methods used by other companies and, therefore, comparability may be limited.</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OPERATIONS</w:t>
      </w:r>
    </w:p>
    <w:p>
      <w:pPr>
        <w:jc w:val="center"/>
        <w:spacing w:after="0" w:line="234" w:lineRule="auto"/>
        <w:rPr>
          <w:sz w:val="20"/>
          <w:szCs w:val="20"/>
          <w:color w:val="auto"/>
        </w:rPr>
      </w:pPr>
      <w:r>
        <w:rPr>
          <w:rFonts w:ascii="Arial" w:cs="Arial" w:eastAsia="Arial" w:hAnsi="Arial"/>
          <w:sz w:val="18"/>
          <w:szCs w:val="18"/>
          <w:color w:val="auto"/>
        </w:rPr>
        <w:t>(amounts in thousands, except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Casino</w:t>
            </w: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508,345</w:t>
            </w:r>
          </w:p>
        </w:tc>
        <w:tc>
          <w:tcPr>
            <w:tcW w:w="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623,637</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1,049,999</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1,215,408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Rooms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95,185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86,811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193,591</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172,073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111,550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96,955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221,141</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188,020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69,472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72,958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132,604</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141,112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tcPr>
          <w:p>
            <w:pPr>
              <w:ind w:left="580"/>
              <w:spacing w:after="0" w:line="196" w:lineRule="exact"/>
              <w:rPr>
                <w:sz w:val="20"/>
                <w:szCs w:val="20"/>
                <w:color w:val="auto"/>
              </w:rPr>
            </w:pPr>
            <w:r>
              <w:rPr>
                <w:rFonts w:ascii="Arial" w:cs="Arial" w:eastAsia="Arial" w:hAnsi="Arial"/>
                <w:sz w:val="18"/>
                <w:szCs w:val="18"/>
                <w:color w:val="auto"/>
              </w:rPr>
              <w:t>Gross revenues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784,552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880,361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1,597,335</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1,716,613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Less: promotional allowances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(61,296)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(55,204)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(134,124)</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(112,750)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580"/>
              <w:spacing w:after="0" w:line="202" w:lineRule="exact"/>
              <w:rPr>
                <w:sz w:val="20"/>
                <w:szCs w:val="20"/>
                <w:color w:val="auto"/>
              </w:rPr>
            </w:pPr>
            <w:r>
              <w:rPr>
                <w:rFonts w:ascii="Arial" w:cs="Arial" w:eastAsia="Arial" w:hAnsi="Arial"/>
                <w:sz w:val="18"/>
                <w:szCs w:val="18"/>
                <w:color w:val="auto"/>
              </w:rPr>
              <w:t>Net revenues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723,256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825,157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1,463,211</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1,603,863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Casino</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327,298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399,947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703,803</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788,325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Rooms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25,099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20,412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50,055</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40,743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Food and beverage</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64,171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55,125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124,159</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106,796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Entertainment, retail and other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40,017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43,257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76,034</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87,874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83,105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84,973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176,598</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164,235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Provision for doubtful accounts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3,935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1,194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7,829</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12,716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Pre-opening costs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6,821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102,731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63,961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204,199</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126,693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Property charges and other</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5,298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10,547</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29,565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460"/>
              <w:spacing w:after="0" w:line="202" w:lineRule="exact"/>
              <w:rPr>
                <w:sz w:val="20"/>
                <w:szCs w:val="20"/>
                <w:color w:val="auto"/>
              </w:rPr>
            </w:pPr>
            <w:r>
              <w:rPr>
                <w:rFonts w:ascii="Arial" w:cs="Arial" w:eastAsia="Arial" w:hAnsi="Arial"/>
                <w:sz w:val="18"/>
                <w:szCs w:val="18"/>
                <w:color w:val="auto"/>
              </w:rPr>
              <w:t>Total operating costs and expenses</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640,458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680,988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1,353,264</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1,369,091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82,798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144,169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109,947</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234,772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5,495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838</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Interest expense, net of capitalized interest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(53,689)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(40,982)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(110,721)</w:t>
            </w:r>
          </w:p>
        </w:tc>
        <w:tc>
          <w:tcPr>
            <w:tcW w:w="38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(86,250)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swap fair value</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3,261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23,919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4,356</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Gain on extinguishment of debt</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11,878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22,513</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Equity in income (loss) from unconsolidated affiliates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163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20"/>
              <w:spacing w:after="0" w:line="202" w:lineRule="exact"/>
              <w:rPr>
                <w:sz w:val="20"/>
                <w:szCs w:val="20"/>
                <w:color w:val="auto"/>
              </w:rPr>
            </w:pPr>
            <w:r>
              <w:rPr>
                <w:rFonts w:ascii="Arial" w:cs="Arial" w:eastAsia="Arial" w:hAnsi="Arial"/>
                <w:sz w:val="18"/>
                <w:szCs w:val="18"/>
                <w:color w:val="auto"/>
              </w:rPr>
              <w:t>Other</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287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926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211</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shd w:val="clear" w:color="auto" w:fill="CCEEFF"/>
          </w:tcPr>
          <w:p>
            <w:pPr>
              <w:ind w:left="460"/>
              <w:spacing w:after="0" w:line="202" w:lineRule="exact"/>
              <w:rPr>
                <w:sz w:val="20"/>
                <w:szCs w:val="20"/>
                <w:color w:val="auto"/>
              </w:rPr>
            </w:pPr>
            <w:r>
              <w:rPr>
                <w:rFonts w:ascii="Arial" w:cs="Arial" w:eastAsia="Arial" w:hAnsi="Arial"/>
                <w:sz w:val="18"/>
                <w:szCs w:val="18"/>
                <w:color w:val="auto"/>
              </w:rPr>
              <w:t>Other income (expense), net</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(37,772)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(10,479)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(82,841)</w:t>
            </w:r>
          </w:p>
        </w:tc>
        <w:tc>
          <w:tcPr>
            <w:tcW w:w="3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(59,077)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80" w:type="dxa"/>
            <w:vAlign w:val="bottom"/>
            <w:tcBorders>
              <w:top w:val="single" w:sz="8" w:color="CCEEFF"/>
            </w:tcBorders>
          </w:tcPr>
          <w:p>
            <w:pPr>
              <w:spacing w:after="0"/>
              <w:rPr>
                <w:sz w:val="21"/>
                <w:szCs w:val="21"/>
                <w:color w:val="auto"/>
              </w:rPr>
            </w:pPr>
          </w:p>
        </w:tc>
        <w:tc>
          <w:tcPr>
            <w:tcW w:w="4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before income taxes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45,026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133,690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27,106</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175,695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Benefit (provision) for income taxes</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(19,547)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138,280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(35,441)</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143,152</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78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25,479</w:t>
            </w: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271,970</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(8,335)</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318,847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income (loss) per common share:</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Basic</w:t>
            </w:r>
          </w:p>
        </w:tc>
        <w:tc>
          <w:tcPr>
            <w:tcW w:w="6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0.21</w:t>
            </w:r>
          </w:p>
        </w:tc>
        <w:tc>
          <w:tcPr>
            <w:tcW w:w="4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2.45</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(0.07)</w:t>
            </w:r>
          </w:p>
        </w:tc>
        <w:tc>
          <w:tcPr>
            <w:tcW w:w="3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420"/>
              <w:spacing w:after="0" w:line="202" w:lineRule="exact"/>
              <w:rPr>
                <w:sz w:val="20"/>
                <w:szCs w:val="20"/>
                <w:color w:val="auto"/>
              </w:rPr>
            </w:pPr>
            <w:r>
              <w:rPr>
                <w:rFonts w:ascii="Arial" w:cs="Arial" w:eastAsia="Arial" w:hAnsi="Arial"/>
                <w:sz w:val="18"/>
                <w:szCs w:val="18"/>
                <w:color w:val="auto"/>
              </w:rPr>
              <w:t>Diluted</w:t>
            </w:r>
          </w:p>
        </w:tc>
        <w:tc>
          <w:tcPr>
            <w:tcW w:w="6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0.21</w:t>
            </w:r>
          </w:p>
        </w:tc>
        <w:tc>
          <w:tcPr>
            <w:tcW w:w="4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2.42</w:t>
            </w:r>
          </w:p>
        </w:tc>
        <w:tc>
          <w:tcPr>
            <w:tcW w:w="3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(0.07)</w:t>
            </w: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420"/>
              <w:spacing w:after="0" w:line="202" w:lineRule="exact"/>
              <w:rPr>
                <w:sz w:val="20"/>
                <w:szCs w:val="20"/>
                <w:color w:val="auto"/>
              </w:rPr>
            </w:pPr>
            <w:r>
              <w:rPr>
                <w:rFonts w:ascii="Arial" w:cs="Arial" w:eastAsia="Arial" w:hAnsi="Arial"/>
                <w:sz w:val="18"/>
                <w:szCs w:val="18"/>
                <w:color w:val="auto"/>
              </w:rPr>
              <w:t>Basic</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122,161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111,128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117,391</w:t>
            </w:r>
          </w:p>
        </w:tc>
        <w:tc>
          <w:tcPr>
            <w:tcW w:w="380" w:type="dxa"/>
            <w:vAlign w:val="bottom"/>
          </w:tcPr>
          <w:p>
            <w:pPr>
              <w:spacing w:after="0"/>
              <w:rPr>
                <w:sz w:val="17"/>
                <w:szCs w:val="17"/>
                <w:color w:val="auto"/>
              </w:rPr>
            </w:pPr>
          </w:p>
        </w:tc>
        <w:tc>
          <w:tcPr>
            <w:tcW w:w="11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111,770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122,386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112,365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117,391</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112,986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NET INCOME (LOSS)</w:t>
      </w:r>
    </w:p>
    <w:p>
      <w:pPr>
        <w:jc w:val="center"/>
        <w:spacing w:after="0" w:line="234" w:lineRule="auto"/>
        <w:rPr>
          <w:sz w:val="20"/>
          <w:szCs w:val="20"/>
          <w:color w:val="auto"/>
        </w:rPr>
      </w:pPr>
      <w:r>
        <w:rPr>
          <w:rFonts w:ascii="Arial" w:cs="Arial" w:eastAsia="Arial" w:hAnsi="Arial"/>
          <w:sz w:val="18"/>
          <w:szCs w:val="18"/>
          <w:color w:val="auto"/>
        </w:rPr>
        <w:t>TO ADJUSTED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0"/>
                <w:szCs w:val="20"/>
                <w:color w:val="auto"/>
              </w:rPr>
            </w:pPr>
          </w:p>
        </w:tc>
        <w:tc>
          <w:tcPr>
            <w:tcW w:w="236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5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25,479</w:t>
            </w:r>
          </w:p>
        </w:tc>
        <w:tc>
          <w:tcPr>
            <w:tcW w:w="40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271,970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(8,335)</w:t>
            </w:r>
          </w:p>
        </w:tc>
        <w:tc>
          <w:tcPr>
            <w:tcW w:w="38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318,847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Pre-opening costs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6,821</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Gain on extinguishment of debt</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(11,878)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(22,513)</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Increase in swap fair value</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(23,919)</w:t>
            </w:r>
          </w:p>
        </w:tc>
        <w:tc>
          <w:tcPr>
            <w:tcW w:w="240" w:type="dxa"/>
            <w:vAlign w:val="bottom"/>
          </w:tcPr>
          <w:p>
            <w:pPr>
              <w:spacing w:after="0"/>
              <w:rPr>
                <w:sz w:val="17"/>
                <w:szCs w:val="17"/>
                <w:color w:val="auto"/>
              </w:rPr>
            </w:pPr>
          </w:p>
        </w:tc>
        <w:tc>
          <w:tcPr>
            <w:tcW w:w="10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(4,356)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(8,707)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Property charges and other</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5,298</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10,547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160"/>
              <w:spacing w:after="0" w:line="202" w:lineRule="exact"/>
              <w:rPr>
                <w:sz w:val="20"/>
                <w:szCs w:val="20"/>
                <w:color w:val="auto"/>
              </w:rPr>
            </w:pPr>
            <w:r>
              <w:rPr>
                <w:rFonts w:ascii="Arial" w:cs="Arial" w:eastAsia="Arial" w:hAnsi="Arial"/>
                <w:sz w:val="18"/>
                <w:szCs w:val="18"/>
                <w:color w:val="auto"/>
              </w:rPr>
              <w:t>Adjustment for income taxes</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7,047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4,763</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6,050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Recognition of foreign tax credit</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(140,655)</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(140,655)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780" w:type="dxa"/>
            <w:vAlign w:val="bottom"/>
          </w:tcPr>
          <w:p>
            <w:pPr>
              <w:spacing w:after="0" w:line="196" w:lineRule="exact"/>
              <w:rPr>
                <w:sz w:val="20"/>
                <w:szCs w:val="20"/>
                <w:color w:val="auto"/>
              </w:rPr>
            </w:pPr>
            <w:r>
              <w:rPr>
                <w:rFonts w:ascii="Arial" w:cs="Arial" w:eastAsia="Arial" w:hAnsi="Arial"/>
                <w:sz w:val="18"/>
                <w:szCs w:val="18"/>
                <w:color w:val="auto"/>
              </w:rPr>
              <w:t>Adjusted net income (loss) (2)</w:t>
            </w:r>
          </w:p>
        </w:tc>
        <w:tc>
          <w:tcPr>
            <w:tcW w:w="15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11,489</w:t>
            </w:r>
          </w:p>
        </w:tc>
        <w:tc>
          <w:tcPr>
            <w:tcW w:w="40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124,278</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(18,567)</w:t>
            </w:r>
          </w:p>
        </w:tc>
        <w:tc>
          <w:tcPr>
            <w:tcW w:w="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202,632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7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7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Adjusted net income (loss) per diluted share</w:t>
            </w:r>
          </w:p>
        </w:tc>
        <w:tc>
          <w:tcPr>
            <w:tcW w:w="15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0.09</w:t>
            </w:r>
          </w:p>
        </w:tc>
        <w:tc>
          <w:tcPr>
            <w:tcW w:w="4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(0.16)</w:t>
            </w:r>
          </w:p>
        </w:tc>
        <w:tc>
          <w:tcPr>
            <w:tcW w:w="3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WYNN RESORTS, LIMITED AND SUBSIDIARIES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1"/>
          </w:tcPr>
          <w:p>
            <w:pPr>
              <w:jc w:val="right"/>
              <w:ind w:right="110"/>
              <w:spacing w:after="0"/>
              <w:rPr>
                <w:sz w:val="20"/>
                <w:szCs w:val="20"/>
                <w:color w:val="auto"/>
              </w:rPr>
            </w:pPr>
            <w:r>
              <w:rPr>
                <w:rFonts w:ascii="Arial" w:cs="Arial" w:eastAsia="Arial" w:hAnsi="Arial"/>
                <w:sz w:val="18"/>
                <w:szCs w:val="18"/>
                <w:b w:val="1"/>
                <w:bCs w:val="1"/>
                <w:color w:val="auto"/>
              </w:rPr>
              <w:t>Three Months Ended June 30, 2009</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76"/>
        </w:trPr>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5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Wynn Macau</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5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(8,346)</w:t>
            </w:r>
          </w:p>
        </w:tc>
        <w:tc>
          <w:tcPr>
            <w:tcW w:w="3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73,660</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17,484</w:t>
            </w:r>
          </w:p>
        </w:tc>
        <w:tc>
          <w:tcPr>
            <w:tcW w:w="30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82,798</w:t>
            </w:r>
          </w:p>
        </w:tc>
      </w:tr>
      <w:tr>
        <w:trPr>
          <w:trHeight w:val="243"/>
        </w:trPr>
        <w:tc>
          <w:tcPr>
            <w:tcW w:w="5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57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Pre-opening costs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r>
      <w:tr>
        <w:trPr>
          <w:trHeight w:val="203"/>
        </w:trPr>
        <w:tc>
          <w:tcPr>
            <w:tcW w:w="5700" w:type="dxa"/>
            <w:vAlign w:val="bottom"/>
          </w:tcPr>
          <w:p>
            <w:pPr>
              <w:ind w:left="70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78,425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23,462</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102,731</w:t>
            </w:r>
          </w:p>
        </w:tc>
      </w:tr>
      <w:tr>
        <w:trPr>
          <w:trHeight w:val="203"/>
        </w:trPr>
        <w:tc>
          <w:tcPr>
            <w:tcW w:w="57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Property charges and other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(6,646)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(5,938)</w:t>
            </w:r>
          </w:p>
        </w:tc>
      </w:tr>
      <w:tr>
        <w:trPr>
          <w:trHeight w:val="203"/>
        </w:trPr>
        <w:tc>
          <w:tcPr>
            <w:tcW w:w="5700" w:type="dxa"/>
            <w:vAlign w:val="bottom"/>
          </w:tcPr>
          <w:p>
            <w:pPr>
              <w:ind w:left="700"/>
              <w:spacing w:after="0" w:line="202" w:lineRule="exact"/>
              <w:rPr>
                <w:sz w:val="20"/>
                <w:szCs w:val="20"/>
                <w:color w:val="auto"/>
              </w:rPr>
            </w:pPr>
            <w:r>
              <w:rPr>
                <w:rFonts w:ascii="Arial" w:cs="Arial" w:eastAsia="Arial" w:hAnsi="Arial"/>
                <w:sz w:val="18"/>
                <w:szCs w:val="18"/>
                <w:color w:val="auto"/>
              </w:rPr>
              <w:t>Corporate expense, management fees, royalties and other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9,865</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18,077</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(21,226)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6,716</w:t>
            </w:r>
          </w:p>
        </w:tc>
      </w:tr>
      <w:tr>
        <w:trPr>
          <w:trHeight w:val="203"/>
        </w:trPr>
        <w:tc>
          <w:tcPr>
            <w:tcW w:w="5700" w:type="dxa"/>
            <w:vAlign w:val="bottom"/>
            <w:shd w:val="clear" w:color="auto" w:fill="CCEEFF"/>
          </w:tcPr>
          <w:p>
            <w:pPr>
              <w:ind w:left="70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2,748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6,365</w:t>
            </w:r>
          </w:p>
        </w:tc>
      </w:tr>
      <w:tr>
        <w:trPr>
          <w:trHeight w:val="203"/>
        </w:trPr>
        <w:tc>
          <w:tcPr>
            <w:tcW w:w="5700" w:type="dxa"/>
            <w:vAlign w:val="bottom"/>
          </w:tcPr>
          <w:p>
            <w:pPr>
              <w:ind w:left="700"/>
              <w:spacing w:after="0" w:line="202" w:lineRule="exact"/>
              <w:rPr>
                <w:sz w:val="20"/>
                <w:szCs w:val="20"/>
                <w:color w:val="auto"/>
              </w:rPr>
            </w:pPr>
            <w:r>
              <w:rPr>
                <w:rFonts w:ascii="Arial" w:cs="Arial" w:eastAsia="Arial" w:hAnsi="Arial"/>
                <w:sz w:val="18"/>
                <w:szCs w:val="18"/>
                <w:color w:val="auto"/>
              </w:rPr>
              <w:t>Equity in income/(loss) from unconsolidated affiliates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(33)</w:t>
            </w:r>
          </w:p>
        </w:tc>
      </w:tr>
      <w:tr>
        <w:trPr>
          <w:trHeight w:val="243"/>
        </w:trPr>
        <w:tc>
          <w:tcPr>
            <w:tcW w:w="5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196"/>
        </w:trPr>
        <w:tc>
          <w:tcPr>
            <w:tcW w:w="570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3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75,506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117,173</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192,679</w:t>
            </w:r>
          </w:p>
        </w:tc>
        <w:tc>
          <w:tcPr>
            <w:tcW w:w="10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gridSpan w:val="11"/>
          </w:tcPr>
          <w:p>
            <w:pPr>
              <w:jc w:val="right"/>
              <w:ind w:right="200"/>
              <w:spacing w:after="0"/>
              <w:rPr>
                <w:sz w:val="20"/>
                <w:szCs w:val="20"/>
                <w:color w:val="auto"/>
              </w:rPr>
            </w:pPr>
            <w:r>
              <w:rPr>
                <w:rFonts w:ascii="Arial" w:cs="Arial" w:eastAsia="Arial" w:hAnsi="Arial"/>
                <w:sz w:val="18"/>
                <w:szCs w:val="18"/>
                <w:b w:val="1"/>
                <w:bCs w:val="1"/>
                <w:color w:val="auto"/>
              </w:rPr>
              <w:t>Three Months Ended June 30, 2008</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Wynn Las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Corporate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Wynn Macau</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20,343</w:t>
            </w:r>
          </w:p>
        </w:tc>
        <w:tc>
          <w:tcPr>
            <w:tcW w:w="380" w:type="dxa"/>
            <w:vAlign w:val="bottom"/>
            <w:gridSpan w:val="2"/>
            <w:shd w:val="clear" w:color="auto" w:fill="CCEEFF"/>
          </w:tcPr>
          <w:p>
            <w:pPr>
              <w:ind w:lef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102,943</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20,883</w:t>
            </w:r>
          </w:p>
        </w:tc>
        <w:tc>
          <w:tcPr>
            <w:tcW w:w="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144,169</w:t>
            </w:r>
          </w:p>
        </w:tc>
      </w:tr>
      <w:tr>
        <w:trPr>
          <w:trHeight w:val="243"/>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Pre-opening costs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6,832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6,821</w:t>
            </w: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40,794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22,339</w:t>
            </w: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828</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63,961</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Property charges and other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4,732</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5,298</w:t>
            </w: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Corporate expense, management fees, royalties and other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10,892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24,266</w:t>
            </w:r>
          </w:p>
        </w:tc>
        <w:tc>
          <w:tcPr>
            <w:tcW w:w="12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(23,724)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11,434</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907</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5,136</w:t>
            </w: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Equity in income/(loss) from unconsolidated affiliates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163</w:t>
            </w: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81,795</w:t>
            </w:r>
          </w:p>
        </w:tc>
        <w:tc>
          <w:tcPr>
            <w:tcW w:w="38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155,187</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236,982</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Three Months Ended</w:t>
            </w:r>
          </w:p>
        </w:tc>
      </w:tr>
      <w:tr>
        <w:trPr>
          <w:trHeight w:val="225"/>
        </w:trPr>
        <w:tc>
          <w:tcPr>
            <w:tcW w:w="8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37"/>
        </w:trPr>
        <w:tc>
          <w:tcPr>
            <w:tcW w:w="8820" w:type="dxa"/>
            <w:vAlign w:val="bottom"/>
            <w:shd w:val="clear" w:color="auto" w:fill="CCEEFF"/>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192,679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236,982</w:t>
            </w:r>
          </w:p>
        </w:tc>
      </w:tr>
      <w:tr>
        <w:trPr>
          <w:trHeight w:val="243"/>
        </w:trPr>
        <w:tc>
          <w:tcPr>
            <w:tcW w:w="8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Pre-opening costs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(6,821)</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(102,731)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(63,961)</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charges and other</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5,938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(5,298)</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Corporate expenses and other</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(6,716)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(11,434)</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(5,136)</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5,495</w:t>
            </w:r>
          </w:p>
        </w:tc>
      </w:tr>
      <w:tr>
        <w:trPr>
          <w:trHeight w:val="243"/>
        </w:trPr>
        <w:tc>
          <w:tcPr>
            <w:tcW w:w="88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Interest expense, net of capitalized interest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(53,689)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(40,982)</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Increase in swap fair value</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3,261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23,919</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extinguishment of debt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11,878</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926</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138,280</w:t>
            </w:r>
          </w:p>
        </w:tc>
      </w:tr>
      <w:tr>
        <w:trPr>
          <w:trHeight w:val="243"/>
        </w:trPr>
        <w:tc>
          <w:tcPr>
            <w:tcW w:w="8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25,479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271,970</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3"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OPERATING INCOME (LOSS) TO ADJUSTED PROPERTY EBITDA</w:t>
      </w:r>
    </w:p>
    <w:p>
      <w:pPr>
        <w:jc w:val="center"/>
        <w:spacing w:after="0" w:line="234" w:lineRule="auto"/>
        <w:rPr>
          <w:sz w:val="20"/>
          <w:szCs w:val="20"/>
          <w:color w:val="auto"/>
        </w:rPr>
      </w:pPr>
      <w:r>
        <w:rPr>
          <w:rFonts w:ascii="Arial" w:cs="Arial" w:eastAsia="Arial" w:hAnsi="Arial"/>
          <w:sz w:val="18"/>
          <w:szCs w:val="18"/>
          <w:color w:val="auto"/>
        </w:rPr>
        <w:t>AND ADJUSTED PROPERTY EBITDA TO NET INCOME (LOSS)</w:t>
      </w:r>
    </w:p>
    <w:p>
      <w:pPr>
        <w:jc w:val="center"/>
        <w:spacing w:after="0" w:line="235" w:lineRule="auto"/>
        <w:rPr>
          <w:sz w:val="20"/>
          <w:szCs w:val="20"/>
          <w:color w:val="auto"/>
        </w:rPr>
      </w:pPr>
      <w:r>
        <w:rPr>
          <w:rFonts w:ascii="Arial" w:cs="Arial" w:eastAsia="Arial" w:hAnsi="Arial"/>
          <w:sz w:val="18"/>
          <w:szCs w:val="18"/>
          <w:color w:val="auto"/>
        </w:rPr>
        <w:t>(amounts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w w:val="99"/>
              </w:rPr>
              <w:t>Six Months Ended June 30, 2009</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7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Wynn Las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5"/>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Wynn Macau</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 (loss)</w:t>
            </w: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(66,730)</w:t>
            </w:r>
          </w:p>
        </w:tc>
        <w:tc>
          <w:tcPr>
            <w:tcW w:w="4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142,394</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34,283</w:t>
            </w:r>
          </w:p>
        </w:tc>
        <w:tc>
          <w:tcPr>
            <w:tcW w:w="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109,947</w:t>
            </w:r>
          </w:p>
        </w:tc>
      </w:tr>
      <w:tr>
        <w:trPr>
          <w:trHeight w:val="243"/>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Pre-opening costs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w:t>
            </w: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155,869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46,833</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1,497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204,199</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Property charges and other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7,294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1,748</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1,505</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10,547</w:t>
            </w: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Corporate expense, management fees, royalties and other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18,789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38,342</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(42,447)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14,684</w:t>
            </w: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4,564</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4,771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11,794</w:t>
            </w: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Equity in income/(loss) from unconsolidated affiliates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(38)</w:t>
            </w:r>
          </w:p>
        </w:tc>
      </w:tr>
      <w:tr>
        <w:trPr>
          <w:trHeight w:val="243"/>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line="197" w:lineRule="exact"/>
              <w:rPr>
                <w:sz w:val="20"/>
                <w:szCs w:val="20"/>
                <w:color w:val="auto"/>
              </w:rPr>
            </w:pPr>
            <w:r>
              <w:rPr>
                <w:rFonts w:ascii="Arial" w:cs="Arial" w:eastAsia="Arial" w:hAnsi="Arial"/>
                <w:sz w:val="16"/>
                <w:szCs w:val="16"/>
                <w:b w:val="1"/>
                <w:bCs w:val="1"/>
                <w:color w:val="auto"/>
              </w:rPr>
              <w:t xml:space="preserve">Adjusted Property EBITDA </w:t>
            </w:r>
            <w:r>
              <w:rPr>
                <w:rFonts w:ascii="Arial" w:cs="Arial" w:eastAsia="Arial" w:hAnsi="Arial"/>
                <w:sz w:val="22"/>
                <w:szCs w:val="22"/>
                <w:b w:val="1"/>
                <w:bCs w:val="1"/>
                <w:color w:val="auto"/>
                <w:vertAlign w:val="superscript"/>
              </w:rPr>
              <w:t>(1)</w:t>
            </w:r>
          </w:p>
        </w:tc>
        <w:tc>
          <w:tcPr>
            <w:tcW w:w="5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119,357</w:t>
            </w:r>
          </w:p>
        </w:tc>
        <w:tc>
          <w:tcPr>
            <w:tcW w:w="4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231,816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351,173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Six Months Ended June 30, 2008</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Wynn Las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Vegas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9"/>
              </w:rPr>
              <w:t>Wynn Macau</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and Other</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income</w:t>
            </w:r>
          </w:p>
        </w:tc>
        <w:tc>
          <w:tcPr>
            <w:tcW w:w="5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11,470</w:t>
            </w:r>
          </w:p>
        </w:tc>
        <w:tc>
          <w:tcPr>
            <w:tcW w:w="50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183,271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40,031</w:t>
            </w:r>
          </w:p>
        </w:tc>
        <w:tc>
          <w:tcPr>
            <w:tcW w:w="2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234,772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Pre-opening costs</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12,143</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80,274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44,951</w:t>
            </w: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1,468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126,693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Property charges and other</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21,079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8,380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106</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29,565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Corporate expense, management fees, royalties and other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20,651</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46,523</w:t>
            </w:r>
          </w:p>
        </w:tc>
        <w:tc>
          <w:tcPr>
            <w:tcW w:w="1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(45,058)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22,116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shd w:val="clear" w:color="auto" w:fill="CCEEFF"/>
          </w:tcPr>
          <w:p>
            <w:pPr>
              <w:ind w:left="680"/>
              <w:spacing w:after="0" w:line="202" w:lineRule="exact"/>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4,379</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1,456</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2,719</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8,554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80" w:type="dxa"/>
            <w:vAlign w:val="bottom"/>
          </w:tcPr>
          <w:p>
            <w:pPr>
              <w:ind w:left="680"/>
              <w:spacing w:after="0" w:line="202" w:lineRule="exact"/>
              <w:rPr>
                <w:sz w:val="20"/>
                <w:szCs w:val="20"/>
                <w:color w:val="auto"/>
              </w:rPr>
            </w:pPr>
            <w:r>
              <w:rPr>
                <w:rFonts w:ascii="Arial" w:cs="Arial" w:eastAsia="Arial" w:hAnsi="Arial"/>
                <w:sz w:val="18"/>
                <w:szCs w:val="18"/>
                <w:color w:val="auto"/>
              </w:rPr>
              <w:t>Equity in income/(loss) from unconsolidated affiliates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734</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80" w:type="dxa"/>
            <w:vAlign w:val="bottom"/>
          </w:tcPr>
          <w:p>
            <w:pPr>
              <w:spacing w:after="0" w:line="202" w:lineRule="exact"/>
              <w:rPr>
                <w:sz w:val="20"/>
                <w:szCs w:val="20"/>
                <w:color w:val="auto"/>
              </w:rPr>
            </w:pPr>
            <w:r>
              <w:rPr>
                <w:rFonts w:ascii="Arial" w:cs="Arial" w:eastAsia="Arial" w:hAnsi="Arial"/>
                <w:sz w:val="17"/>
                <w:szCs w:val="17"/>
                <w:b w:val="1"/>
                <w:bCs w:val="1"/>
                <w:color w:val="auto"/>
              </w:rPr>
              <w:t xml:space="preserve">Adjusted Property EBITDA </w:t>
            </w:r>
            <w:r>
              <w:rPr>
                <w:rFonts w:ascii="Arial" w:cs="Arial" w:eastAsia="Arial" w:hAnsi="Arial"/>
                <w:sz w:val="23"/>
                <w:szCs w:val="23"/>
                <w:b w:val="1"/>
                <w:bCs w:val="1"/>
                <w:color w:val="auto"/>
                <w:vertAlign w:val="superscript"/>
              </w:rPr>
              <w:t>(1)</w:t>
            </w:r>
          </w:p>
        </w:tc>
        <w:tc>
          <w:tcPr>
            <w:tcW w:w="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150,233</w:t>
            </w:r>
          </w:p>
        </w:tc>
        <w:tc>
          <w:tcPr>
            <w:tcW w:w="5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284,582</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434,815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6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rPr>
              <w:t>Six Months Ended</w:t>
            </w:r>
          </w:p>
        </w:tc>
      </w:tr>
      <w:tr>
        <w:trPr>
          <w:trHeight w:val="225"/>
        </w:trPr>
        <w:tc>
          <w:tcPr>
            <w:tcW w:w="88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8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37"/>
        </w:trPr>
        <w:tc>
          <w:tcPr>
            <w:tcW w:w="8820" w:type="dxa"/>
            <w:vAlign w:val="bottom"/>
            <w:shd w:val="clear" w:color="auto" w:fill="CCEEFF"/>
          </w:tcPr>
          <w:p>
            <w:pPr>
              <w:spacing w:after="0" w:line="23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351,173</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434,815</w:t>
            </w:r>
          </w:p>
        </w:tc>
      </w:tr>
      <w:tr>
        <w:trPr>
          <w:trHeight w:val="243"/>
        </w:trPr>
        <w:tc>
          <w:tcPr>
            <w:tcW w:w="8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Pre-opening costs</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(12,144)</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(204,199)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(126,693)</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Property charges and other</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(10,547)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(29,565)</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Corporate expenses and other</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(14,684)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(22,116)</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(11,794)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(8,554)</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17,384</w:t>
            </w:r>
          </w:p>
        </w:tc>
      </w:tr>
      <w:tr>
        <w:trPr>
          <w:trHeight w:val="243"/>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expense, net of capitalized interest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(110,721)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(86,250)</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Increase in swap fair value</w:t>
            </w: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4,356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8,707</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22,513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820" w:type="dxa"/>
            <w:vAlign w:val="bottom"/>
          </w:tcPr>
          <w:p>
            <w:pPr>
              <w:ind w:left="7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r>
      <w:tr>
        <w:trPr>
          <w:trHeight w:val="243"/>
        </w:trPr>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(35,441)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143,152</w:t>
            </w:r>
          </w:p>
        </w:tc>
      </w:tr>
      <w:tr>
        <w:trPr>
          <w:trHeight w:val="243"/>
        </w:trPr>
        <w:tc>
          <w:tcPr>
            <w:tcW w:w="8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318,847</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14" w:right="239" w:bottom="802"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WYNN RESORTS, LIMITED AND SUBSIDIARIES</w:t>
      </w:r>
    </w:p>
    <w:p>
      <w:pPr>
        <w:jc w:val="center"/>
        <w:spacing w:after="0"/>
        <w:rPr>
          <w:sz w:val="20"/>
          <w:szCs w:val="20"/>
          <w:color w:val="auto"/>
        </w:rPr>
      </w:pPr>
      <w:r>
        <w:rPr>
          <w:rFonts w:ascii="Arial" w:cs="Arial" w:eastAsia="Arial" w:hAnsi="Arial"/>
          <w:sz w:val="18"/>
          <w:szCs w:val="18"/>
          <w:color w:val="auto"/>
        </w:rPr>
        <w:t>SUPPLEMENTAL DATA SCHEDULE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rPr>
              <w:t>Six Months Ended</w:t>
            </w:r>
          </w:p>
        </w:tc>
        <w:tc>
          <w:tcPr>
            <w:tcW w:w="220" w:type="dxa"/>
            <w:vAlign w:val="bottom"/>
          </w:tcPr>
          <w:p>
            <w:pPr>
              <w:spacing w:after="0"/>
              <w:rPr>
                <w:sz w:val="22"/>
                <w:szCs w:val="22"/>
                <w:color w:val="auto"/>
              </w:rPr>
            </w:pPr>
          </w:p>
        </w:tc>
      </w:tr>
      <w:tr>
        <w:trPr>
          <w:trHeight w:val="20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w w:val="99"/>
              </w:rPr>
              <w:t>June 30,</w:t>
            </w:r>
          </w:p>
        </w:tc>
        <w:tc>
          <w:tcPr>
            <w:tcW w:w="174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June 30,</w:t>
            </w:r>
          </w:p>
        </w:tc>
        <w:tc>
          <w:tcPr>
            <w:tcW w:w="162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June 30,</w:t>
            </w:r>
          </w:p>
        </w:tc>
      </w:tr>
      <w:tr>
        <w:trPr>
          <w:trHeight w:val="259"/>
        </w:trPr>
        <w:tc>
          <w:tcPr>
            <w:tcW w:w="50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7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6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2"/>
                <w:szCs w:val="22"/>
                <w:color w:val="auto"/>
              </w:rPr>
            </w:pPr>
          </w:p>
        </w:tc>
      </w:tr>
      <w:tr>
        <w:trPr>
          <w:trHeight w:val="29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Room Statistics for Las Vegas operations</w:t>
            </w:r>
            <w:r>
              <w:rPr>
                <w:rFonts w:ascii="Arial" w:cs="Arial" w:eastAsia="Arial" w:hAnsi="Arial"/>
                <w:sz w:val="25"/>
                <w:szCs w:val="25"/>
                <w:color w:val="auto"/>
                <w:vertAlign w:val="superscript"/>
              </w:rPr>
              <w:t>5</w:t>
            </w: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50"/>
        </w:trPr>
        <w:tc>
          <w:tcPr>
            <w:tcW w:w="5040" w:type="dxa"/>
            <w:vAlign w:val="bottom"/>
          </w:tcPr>
          <w:p>
            <w:pPr>
              <w:ind w:left="660"/>
              <w:spacing w:after="0"/>
              <w:rPr>
                <w:sz w:val="20"/>
                <w:szCs w:val="20"/>
                <w:color w:val="auto"/>
              </w:rPr>
            </w:pPr>
            <w:r>
              <w:rPr>
                <w:rFonts w:ascii="Arial" w:cs="Arial" w:eastAsia="Arial" w:hAnsi="Arial"/>
                <w:sz w:val="18"/>
                <w:szCs w:val="18"/>
                <w:color w:val="auto"/>
              </w:rPr>
              <w:t>Occupancy %</w:t>
            </w:r>
          </w:p>
        </w:tc>
        <w:tc>
          <w:tcPr>
            <w:tcW w:w="120" w:type="dxa"/>
            <w:vAlign w:val="bottom"/>
          </w:tcPr>
          <w:p>
            <w:pPr>
              <w:spacing w:after="0"/>
              <w:rPr>
                <w:sz w:val="21"/>
                <w:szCs w:val="21"/>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86.6 %</w:t>
            </w:r>
          </w:p>
        </w:tc>
        <w:tc>
          <w:tcPr>
            <w:tcW w:w="200" w:type="dxa"/>
            <w:vAlign w:val="bottom"/>
          </w:tcPr>
          <w:p>
            <w:pPr>
              <w:spacing w:after="0"/>
              <w:rPr>
                <w:sz w:val="21"/>
                <w:szCs w:val="21"/>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96.5 %</w:t>
            </w: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88.0 %</w:t>
            </w: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96.2 %</w:t>
            </w:r>
          </w:p>
        </w:tc>
      </w:tr>
      <w:tr>
        <w:trPr>
          <w:trHeight w:val="263"/>
        </w:trPr>
        <w:tc>
          <w:tcPr>
            <w:tcW w:w="5040" w:type="dxa"/>
            <w:vAlign w:val="bottom"/>
            <w:shd w:val="clear" w:color="auto" w:fill="CCEEFF"/>
          </w:tcPr>
          <w:p>
            <w:pPr>
              <w:ind w:left="660"/>
              <w:spacing w:after="0" w:line="263"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CCEEFF"/>
          </w:tcPr>
          <w:p>
            <w:pPr>
              <w:spacing w:after="0"/>
              <w:rPr>
                <w:sz w:val="22"/>
                <w:szCs w:val="22"/>
                <w:color w:val="auto"/>
              </w:rPr>
            </w:pPr>
          </w:p>
        </w:tc>
      </w:tr>
      <w:tr>
        <w:trPr>
          <w:trHeight w:val="257"/>
        </w:trPr>
        <w:tc>
          <w:tcPr>
            <w:tcW w:w="5040" w:type="dxa"/>
            <w:vAlign w:val="bottom"/>
          </w:tcPr>
          <w:p>
            <w:pPr>
              <w:ind w:left="660"/>
              <w:spacing w:after="0" w:line="257"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188</w:t>
            </w:r>
          </w:p>
        </w:tc>
        <w:tc>
          <w:tcPr>
            <w:tcW w:w="7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292</w:t>
            </w:r>
          </w:p>
        </w:tc>
        <w:tc>
          <w:tcPr>
            <w:tcW w:w="7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194</w:t>
            </w:r>
          </w:p>
        </w:tc>
        <w:tc>
          <w:tcPr>
            <w:tcW w:w="6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Pr>
          <w:p>
            <w:pPr>
              <w:spacing w:after="0"/>
              <w:rPr>
                <w:sz w:val="22"/>
                <w:szCs w:val="2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97"/>
        </w:trPr>
        <w:tc>
          <w:tcPr>
            <w:tcW w:w="5040" w:type="dxa"/>
            <w:vAlign w:val="bottom"/>
          </w:tcPr>
          <w:p>
            <w:pPr>
              <w:ind w:left="40"/>
              <w:spacing w:after="0"/>
              <w:rPr>
                <w:sz w:val="20"/>
                <w:szCs w:val="20"/>
                <w:color w:val="auto"/>
              </w:rPr>
            </w:pPr>
            <w:r>
              <w:rPr>
                <w:rFonts w:ascii="Arial" w:cs="Arial" w:eastAsia="Arial" w:hAnsi="Arial"/>
                <w:sz w:val="18"/>
                <w:szCs w:val="18"/>
                <w:color w:val="auto"/>
              </w:rPr>
              <w:t>Other information for Las Vegas operations</w:t>
            </w:r>
            <w:r>
              <w:rPr>
                <w:rFonts w:ascii="Arial" w:cs="Arial" w:eastAsia="Arial" w:hAnsi="Arial"/>
                <w:sz w:val="25"/>
                <w:szCs w:val="25"/>
                <w:color w:val="auto"/>
                <w:vertAlign w:val="superscript"/>
              </w:rPr>
              <w:t>5</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57"/>
        </w:trPr>
        <w:tc>
          <w:tcPr>
            <w:tcW w:w="5040" w:type="dxa"/>
            <w:vAlign w:val="bottom"/>
            <w:shd w:val="clear" w:color="auto" w:fill="CCEEFF"/>
          </w:tcPr>
          <w:p>
            <w:pPr>
              <w:ind w:left="580"/>
              <w:spacing w:after="0" w:line="257"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7,742</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w:t>
            </w:r>
          </w:p>
        </w:tc>
        <w:tc>
          <w:tcPr>
            <w:tcW w:w="220" w:type="dxa"/>
            <w:vAlign w:val="bottom"/>
            <w:shd w:val="clear" w:color="auto" w:fill="CCEEFF"/>
          </w:tcPr>
          <w:p>
            <w:pPr>
              <w:spacing w:after="0"/>
              <w:rPr>
                <w:sz w:val="22"/>
                <w:szCs w:val="22"/>
                <w:color w:val="auto"/>
              </w:rPr>
            </w:pPr>
          </w:p>
        </w:tc>
      </w:tr>
      <w:tr>
        <w:trPr>
          <w:trHeight w:val="250"/>
        </w:trPr>
        <w:tc>
          <w:tcPr>
            <w:tcW w:w="5040" w:type="dxa"/>
            <w:vAlign w:val="bottom"/>
          </w:tcPr>
          <w:p>
            <w:pPr>
              <w:ind w:left="580"/>
              <w:spacing w:after="0"/>
              <w:rPr>
                <w:sz w:val="20"/>
                <w:szCs w:val="20"/>
                <w:color w:val="auto"/>
              </w:rPr>
            </w:pPr>
            <w:r>
              <w:rPr>
                <w:rFonts w:ascii="Arial" w:cs="Arial" w:eastAsia="Arial" w:hAnsi="Arial"/>
                <w:sz w:val="18"/>
                <w:szCs w:val="18"/>
                <w:color w:val="auto"/>
              </w:rPr>
              <w:t>Table Win %</w:t>
            </w:r>
          </w:p>
        </w:tc>
        <w:tc>
          <w:tcPr>
            <w:tcW w:w="120" w:type="dxa"/>
            <w:vAlign w:val="bottom"/>
          </w:tcPr>
          <w:p>
            <w:pPr>
              <w:spacing w:after="0"/>
              <w:rPr>
                <w:sz w:val="21"/>
                <w:szCs w:val="21"/>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20.7 %</w:t>
            </w:r>
          </w:p>
        </w:tc>
        <w:tc>
          <w:tcPr>
            <w:tcW w:w="200" w:type="dxa"/>
            <w:vAlign w:val="bottom"/>
          </w:tcPr>
          <w:p>
            <w:pPr>
              <w:spacing w:after="0"/>
              <w:rPr>
                <w:sz w:val="21"/>
                <w:szCs w:val="21"/>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20.4 %</w:t>
            </w: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19.2 %</w:t>
            </w: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20.2 %</w:t>
            </w:r>
          </w:p>
        </w:tc>
      </w:tr>
      <w:tr>
        <w:trPr>
          <w:trHeight w:val="263"/>
        </w:trPr>
        <w:tc>
          <w:tcPr>
            <w:tcW w:w="5040" w:type="dxa"/>
            <w:vAlign w:val="bottom"/>
            <w:shd w:val="clear" w:color="auto" w:fill="CCEEFF"/>
          </w:tcPr>
          <w:p>
            <w:pPr>
              <w:ind w:left="580"/>
              <w:spacing w:after="0" w:line="263"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20" w:type="dxa"/>
            <w:vAlign w:val="bottom"/>
            <w:shd w:val="clear" w:color="auto" w:fill="CCEEFF"/>
          </w:tcPr>
          <w:p>
            <w:pPr>
              <w:spacing w:after="0"/>
              <w:rPr>
                <w:sz w:val="22"/>
                <w:szCs w:val="22"/>
                <w:color w:val="auto"/>
              </w:rPr>
            </w:pPr>
          </w:p>
        </w:tc>
      </w:tr>
      <w:tr>
        <w:trPr>
          <w:trHeight w:val="250"/>
        </w:trPr>
        <w:tc>
          <w:tcPr>
            <w:tcW w:w="5040" w:type="dxa"/>
            <w:vAlign w:val="bottom"/>
          </w:tcPr>
          <w:p>
            <w:pPr>
              <w:ind w:left="580"/>
              <w:spacing w:after="0"/>
              <w:rPr>
                <w:sz w:val="20"/>
                <w:szCs w:val="20"/>
                <w:color w:val="auto"/>
              </w:rPr>
            </w:pPr>
            <w:r>
              <w:rPr>
                <w:rFonts w:ascii="Arial" w:cs="Arial" w:eastAsia="Arial" w:hAnsi="Arial"/>
                <w:sz w:val="18"/>
                <w:szCs w:val="18"/>
                <w:color w:val="auto"/>
              </w:rPr>
              <w:t>Average number of table games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229</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c>
          <w:tcPr>
            <w:tcW w:w="220" w:type="dxa"/>
            <w:vAlign w:val="bottom"/>
          </w:tcPr>
          <w:p>
            <w:pPr>
              <w:spacing w:after="0"/>
              <w:rPr>
                <w:sz w:val="21"/>
                <w:szCs w:val="21"/>
                <w:color w:val="auto"/>
              </w:rPr>
            </w:pPr>
          </w:p>
        </w:tc>
      </w:tr>
      <w:tr>
        <w:trPr>
          <w:trHeight w:val="263"/>
        </w:trPr>
        <w:tc>
          <w:tcPr>
            <w:tcW w:w="5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Average number of slot machines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220" w:type="dxa"/>
            <w:vAlign w:val="bottom"/>
            <w:shd w:val="clear" w:color="auto" w:fill="CCEEFF"/>
          </w:tcPr>
          <w:p>
            <w:pPr>
              <w:spacing w:after="0"/>
              <w:rPr>
                <w:sz w:val="22"/>
                <w:szCs w:val="22"/>
                <w:color w:val="auto"/>
              </w:rPr>
            </w:pPr>
          </w:p>
        </w:tc>
      </w:tr>
      <w:tr>
        <w:trPr>
          <w:trHeight w:val="297"/>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97"/>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Room Statistics for Macau:</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50"/>
        </w:trPr>
        <w:tc>
          <w:tcPr>
            <w:tcW w:w="5040" w:type="dxa"/>
            <w:vAlign w:val="bottom"/>
          </w:tcPr>
          <w:p>
            <w:pPr>
              <w:ind w:left="660"/>
              <w:spacing w:after="0"/>
              <w:rPr>
                <w:sz w:val="20"/>
                <w:szCs w:val="20"/>
                <w:color w:val="auto"/>
              </w:rPr>
            </w:pPr>
            <w:r>
              <w:rPr>
                <w:rFonts w:ascii="Arial" w:cs="Arial" w:eastAsia="Arial" w:hAnsi="Arial"/>
                <w:sz w:val="18"/>
                <w:szCs w:val="18"/>
                <w:color w:val="auto"/>
              </w:rPr>
              <w:t>Occupancy %</w:t>
            </w:r>
          </w:p>
        </w:tc>
        <w:tc>
          <w:tcPr>
            <w:tcW w:w="120" w:type="dxa"/>
            <w:vAlign w:val="bottom"/>
          </w:tcPr>
          <w:p>
            <w:pPr>
              <w:spacing w:after="0"/>
              <w:rPr>
                <w:sz w:val="21"/>
                <w:szCs w:val="21"/>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color w:val="auto"/>
              </w:rPr>
              <w:t>86.7 %</w:t>
            </w:r>
          </w:p>
        </w:tc>
        <w:tc>
          <w:tcPr>
            <w:tcW w:w="200" w:type="dxa"/>
            <w:vAlign w:val="bottom"/>
          </w:tcPr>
          <w:p>
            <w:pPr>
              <w:spacing w:after="0"/>
              <w:rPr>
                <w:sz w:val="21"/>
                <w:szCs w:val="21"/>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87.9 %</w:t>
            </w:r>
          </w:p>
        </w:tc>
        <w:tc>
          <w:tcPr>
            <w:tcW w:w="200" w:type="dxa"/>
            <w:vAlign w:val="bottom"/>
          </w:tcPr>
          <w:p>
            <w:pPr>
              <w:spacing w:after="0"/>
              <w:rPr>
                <w:sz w:val="21"/>
                <w:szCs w:val="21"/>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85.0 %</w:t>
            </w:r>
          </w:p>
        </w:tc>
        <w:tc>
          <w:tcPr>
            <w:tcW w:w="20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88.2 %</w:t>
            </w:r>
          </w:p>
        </w:tc>
      </w:tr>
      <w:tr>
        <w:trPr>
          <w:trHeight w:val="263"/>
        </w:trPr>
        <w:tc>
          <w:tcPr>
            <w:tcW w:w="5040" w:type="dxa"/>
            <w:vAlign w:val="bottom"/>
            <w:shd w:val="clear" w:color="auto" w:fill="CCEEFF"/>
          </w:tcPr>
          <w:p>
            <w:pPr>
              <w:ind w:left="660"/>
              <w:spacing w:after="0" w:line="263" w:lineRule="exact"/>
              <w:rPr>
                <w:sz w:val="20"/>
                <w:szCs w:val="20"/>
                <w:color w:val="auto"/>
              </w:rPr>
            </w:pPr>
            <w:r>
              <w:rPr>
                <w:rFonts w:ascii="Arial" w:cs="Arial" w:eastAsia="Arial" w:hAnsi="Arial"/>
                <w:sz w:val="18"/>
                <w:szCs w:val="18"/>
                <w:color w:val="auto"/>
              </w:rPr>
              <w:t>Average Daily Rate (ADR)</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22"/>
                <w:szCs w:val="22"/>
                <w:color w:val="auto"/>
              </w:rPr>
            </w:pPr>
          </w:p>
        </w:tc>
      </w:tr>
      <w:tr>
        <w:trPr>
          <w:trHeight w:val="257"/>
        </w:trPr>
        <w:tc>
          <w:tcPr>
            <w:tcW w:w="5040" w:type="dxa"/>
            <w:vAlign w:val="bottom"/>
          </w:tcPr>
          <w:p>
            <w:pPr>
              <w:ind w:left="660"/>
              <w:spacing w:after="0" w:line="257" w:lineRule="exact"/>
              <w:rPr>
                <w:sz w:val="20"/>
                <w:szCs w:val="20"/>
                <w:color w:val="auto"/>
              </w:rPr>
            </w:pPr>
            <w:r>
              <w:rPr>
                <w:rFonts w:ascii="Arial" w:cs="Arial" w:eastAsia="Arial" w:hAnsi="Arial"/>
                <w:sz w:val="18"/>
                <w:szCs w:val="18"/>
                <w:color w:val="auto"/>
              </w:rPr>
              <w:t>Revenue per available room (REVPAR)</w:t>
            </w:r>
            <w:r>
              <w:rPr>
                <w:rFonts w:ascii="Arial" w:cs="Arial" w:eastAsia="Arial" w:hAnsi="Arial"/>
                <w:sz w:val="25"/>
                <w:szCs w:val="25"/>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228</w:t>
            </w:r>
          </w:p>
        </w:tc>
        <w:tc>
          <w:tcPr>
            <w:tcW w:w="7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7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6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244</w:t>
            </w:r>
          </w:p>
        </w:tc>
        <w:tc>
          <w:tcPr>
            <w:tcW w:w="220" w:type="dxa"/>
            <w:vAlign w:val="bottom"/>
          </w:tcPr>
          <w:p>
            <w:pPr>
              <w:spacing w:after="0"/>
              <w:rPr>
                <w:sz w:val="22"/>
                <w:szCs w:val="22"/>
                <w:color w:val="auto"/>
              </w:rPr>
            </w:pPr>
          </w:p>
        </w:tc>
      </w:tr>
      <w:tr>
        <w:trPr>
          <w:trHeight w:val="297"/>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90"/>
        </w:trPr>
        <w:tc>
          <w:tcPr>
            <w:tcW w:w="5040" w:type="dxa"/>
            <w:vAlign w:val="bottom"/>
          </w:tcPr>
          <w:p>
            <w:pPr>
              <w:ind w:left="40"/>
              <w:spacing w:after="0"/>
              <w:rPr>
                <w:sz w:val="20"/>
                <w:szCs w:val="20"/>
                <w:color w:val="auto"/>
              </w:rPr>
            </w:pPr>
            <w:r>
              <w:rPr>
                <w:rFonts w:ascii="Arial" w:cs="Arial" w:eastAsia="Arial" w:hAnsi="Arial"/>
                <w:sz w:val="18"/>
                <w:szCs w:val="18"/>
                <w:color w:val="auto"/>
              </w:rPr>
              <w:t>Other information for Macau:</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63"/>
        </w:trPr>
        <w:tc>
          <w:tcPr>
            <w:tcW w:w="5040" w:type="dxa"/>
            <w:vAlign w:val="bottom"/>
            <w:shd w:val="clear" w:color="auto" w:fill="CCEEFF"/>
          </w:tcPr>
          <w:p>
            <w:pPr>
              <w:ind w:left="580"/>
              <w:spacing w:after="0" w:line="263" w:lineRule="exact"/>
              <w:rPr>
                <w:sz w:val="20"/>
                <w:szCs w:val="20"/>
                <w:color w:val="auto"/>
              </w:rPr>
            </w:pPr>
            <w:r>
              <w:rPr>
                <w:rFonts w:ascii="Arial" w:cs="Arial" w:eastAsia="Arial" w:hAnsi="Arial"/>
                <w:sz w:val="18"/>
                <w:szCs w:val="18"/>
                <w:color w:val="auto"/>
              </w:rPr>
              <w:t>Table games win per unit per day</w:t>
            </w:r>
            <w:r>
              <w:rPr>
                <w:rFonts w:ascii="Arial" w:cs="Arial" w:eastAsia="Arial" w:hAnsi="Arial"/>
                <w:sz w:val="25"/>
                <w:szCs w:val="25"/>
                <w:color w:val="auto"/>
                <w:vertAlign w:val="superscript"/>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13,178</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13,957</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16,740</w:t>
            </w:r>
          </w:p>
        </w:tc>
        <w:tc>
          <w:tcPr>
            <w:tcW w:w="220" w:type="dxa"/>
            <w:vAlign w:val="bottom"/>
            <w:shd w:val="clear" w:color="auto" w:fill="CCEEFF"/>
          </w:tcPr>
          <w:p>
            <w:pPr>
              <w:spacing w:after="0"/>
              <w:rPr>
                <w:sz w:val="22"/>
                <w:szCs w:val="22"/>
                <w:color w:val="auto"/>
              </w:rPr>
            </w:pPr>
          </w:p>
        </w:tc>
      </w:tr>
      <w:tr>
        <w:trPr>
          <w:trHeight w:val="257"/>
        </w:trPr>
        <w:tc>
          <w:tcPr>
            <w:tcW w:w="5040" w:type="dxa"/>
            <w:vAlign w:val="bottom"/>
          </w:tcPr>
          <w:p>
            <w:pPr>
              <w:ind w:left="580"/>
              <w:spacing w:after="0" w:line="257" w:lineRule="exact"/>
              <w:rPr>
                <w:sz w:val="20"/>
                <w:szCs w:val="20"/>
                <w:color w:val="auto"/>
              </w:rPr>
            </w:pPr>
            <w:r>
              <w:rPr>
                <w:rFonts w:ascii="Arial" w:cs="Arial" w:eastAsia="Arial" w:hAnsi="Arial"/>
                <w:sz w:val="18"/>
                <w:szCs w:val="18"/>
                <w:color w:val="auto"/>
              </w:rPr>
              <w:t>Slot machine win per unit per day</w:t>
            </w:r>
            <w:r>
              <w:rPr>
                <w:rFonts w:ascii="Arial" w:cs="Arial" w:eastAsia="Arial" w:hAnsi="Arial"/>
                <w:sz w:val="25"/>
                <w:szCs w:val="25"/>
                <w:color w:val="auto"/>
                <w:vertAlign w:val="superscript"/>
              </w:rPr>
              <w:t>4</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383</w:t>
            </w:r>
          </w:p>
        </w:tc>
        <w:tc>
          <w:tcPr>
            <w:tcW w:w="7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359</w:t>
            </w:r>
          </w:p>
        </w:tc>
        <w:tc>
          <w:tcPr>
            <w:tcW w:w="78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412</w:t>
            </w:r>
          </w:p>
        </w:tc>
        <w:tc>
          <w:tcPr>
            <w:tcW w:w="66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22"/>
                <w:szCs w:val="22"/>
                <w:color w:val="auto"/>
              </w:rPr>
            </w:pPr>
          </w:p>
        </w:tc>
      </w:tr>
      <w:tr>
        <w:trPr>
          <w:trHeight w:val="257"/>
        </w:trPr>
        <w:tc>
          <w:tcPr>
            <w:tcW w:w="504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Average number of table games</w:t>
            </w:r>
          </w:p>
        </w:tc>
        <w:tc>
          <w:tcPr>
            <w:tcW w:w="1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7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22"/>
                <w:szCs w:val="22"/>
                <w:color w:val="auto"/>
              </w:rPr>
            </w:pPr>
          </w:p>
        </w:tc>
      </w:tr>
      <w:tr>
        <w:trPr>
          <w:trHeight w:val="243"/>
        </w:trPr>
        <w:tc>
          <w:tcPr>
            <w:tcW w:w="5040" w:type="dxa"/>
            <w:vAlign w:val="bottom"/>
          </w:tcPr>
          <w:p>
            <w:pPr>
              <w:ind w:left="580"/>
              <w:spacing w:after="0"/>
              <w:rPr>
                <w:sz w:val="20"/>
                <w:szCs w:val="20"/>
                <w:color w:val="auto"/>
              </w:rPr>
            </w:pPr>
            <w:r>
              <w:rPr>
                <w:rFonts w:ascii="Arial" w:cs="Arial" w:eastAsia="Arial" w:hAnsi="Arial"/>
                <w:sz w:val="18"/>
                <w:szCs w:val="18"/>
                <w:color w:val="auto"/>
              </w:rPr>
              <w:t>Average number of slot machines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1,217</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1,258</w:t>
            </w: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1,233</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21"/>
                <w:szCs w:val="21"/>
                <w:color w:val="auto"/>
              </w:rPr>
            </w:pPr>
          </w:p>
        </w:tc>
      </w:tr>
    </w:tbl>
    <w:p>
      <w:pPr>
        <w:spacing w:after="0" w:line="200" w:lineRule="exact"/>
        <w:rPr>
          <w:sz w:val="20"/>
          <w:szCs w:val="20"/>
          <w:color w:val="auto"/>
        </w:rPr>
      </w:pPr>
    </w:p>
    <w:p>
      <w:pPr>
        <w:spacing w:after="0" w:line="299" w:lineRule="exact"/>
        <w:rPr>
          <w:sz w:val="20"/>
          <w:szCs w:val="20"/>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ADR is Average Daily Rate and is calculated by dividing total room revenue (less service charges, if any) by total rooms occupied.</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REVPAR is Revenue per Available Room and is calculated by dividing total room revenue by total rooms available.</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Table games win per unit per day is shown before discounts and commissions.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Slot machine win per unit per day is net of participation fees and progressive accruals.</w:t>
      </w:r>
    </w:p>
    <w:p>
      <w:pPr>
        <w:spacing w:after="0" w:line="238" w:lineRule="exact"/>
        <w:rPr>
          <w:rFonts w:ascii="Arial" w:cs="Arial" w:eastAsia="Arial" w:hAnsi="Arial"/>
          <w:sz w:val="18"/>
          <w:szCs w:val="18"/>
          <w:color w:val="auto"/>
        </w:rPr>
      </w:pPr>
    </w:p>
    <w:p>
      <w:pPr>
        <w:ind w:left="280" w:hanging="272"/>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Wynn Las Vegas, including Encore for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SOURCE:</w:t>
      </w:r>
    </w:p>
    <w:p>
      <w:pPr>
        <w:spacing w:after="0" w:line="234" w:lineRule="auto"/>
        <w:rPr>
          <w:sz w:val="20"/>
          <w:szCs w:val="20"/>
          <w:color w:val="auto"/>
        </w:rPr>
      </w:pPr>
      <w:r>
        <w:rPr>
          <w:rFonts w:ascii="Arial" w:cs="Arial" w:eastAsia="Arial" w:hAnsi="Arial"/>
          <w:sz w:val="18"/>
          <w:szCs w:val="18"/>
          <w:color w:val="auto"/>
        </w:rPr>
        <w:t>Wynn Resorts, Limited</w:t>
      </w:r>
    </w:p>
    <w:p>
      <w:pPr>
        <w:spacing w:after="0" w:line="235" w:lineRule="auto"/>
        <w:rPr>
          <w:sz w:val="20"/>
          <w:szCs w:val="20"/>
          <w:color w:val="auto"/>
        </w:rPr>
      </w:pPr>
      <w:r>
        <w:rPr>
          <w:rFonts w:ascii="Arial" w:cs="Arial" w:eastAsia="Arial" w:hAnsi="Arial"/>
          <w:sz w:val="18"/>
          <w:szCs w:val="18"/>
          <w:color w:val="auto"/>
        </w:rPr>
        <w:t>CONTACT:</w:t>
      </w:r>
    </w:p>
    <w:p>
      <w:pPr>
        <w:spacing w:after="0" w:line="235" w:lineRule="auto"/>
        <w:rPr>
          <w:sz w:val="20"/>
          <w:szCs w:val="20"/>
          <w:color w:val="auto"/>
        </w:rPr>
      </w:pPr>
      <w:r>
        <w:rPr>
          <w:rFonts w:ascii="Arial" w:cs="Arial" w:eastAsia="Arial" w:hAnsi="Arial"/>
          <w:sz w:val="18"/>
          <w:szCs w:val="18"/>
          <w:color w:val="auto"/>
        </w:rPr>
        <w:t>Samanta Stewart, 702-770-7555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investorrelations@wynnresorts.com</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8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2019-12-10T22:31:11Z</dcterms:created>
  <dcterms:modified xsi:type="dcterms:W3CDTF">2019-12-10T22:31:11Z</dcterms:modified>
</cp:coreProperties>
</file>