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32385</wp:posOffset>
            </wp:positionV>
            <wp:extent cx="69640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Billings Craig Scott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WYNN RESORTS, LIMITED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3131 LAS VEGAS BOULEVARD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4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WYNN RESORTS LTD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WYNN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8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01/11/2021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92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President and CFO</w:t>
      </w:r>
    </w:p>
    <w:p>
      <w:pPr>
        <w:spacing w:after="0" w:line="40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80" w:type="dxa"/>
            <w:vAlign w:val="bottom"/>
            <w:gridSpan w:val="9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2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LAS VEGAS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NV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89109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Common Stock, par value $0.01 per share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01/11/2021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4,887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115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00"/>
                <w:w w:val="82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34"/>
                <w:szCs w:val="34"/>
                <w:color w:val="0000FF"/>
                <w:w w:val="82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2"/>
              </w:rPr>
              <w:t>(1)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88,426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8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Common Stock, par value $0.01 per share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01/11/2021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1,923</w:t>
            </w:r>
          </w:p>
        </w:tc>
        <w:tc>
          <w:tcPr>
            <w:tcW w:w="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108.03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86,503</w:t>
            </w:r>
          </w:p>
        </w:tc>
        <w:tc>
          <w:tcPr>
            <w:tcW w:w="9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Common Stock, par value $0.01 per share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01/11/2021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20,366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115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00"/>
                <w:w w:val="82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34"/>
                <w:szCs w:val="34"/>
                <w:color w:val="0000FF"/>
                <w:w w:val="82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2"/>
              </w:rPr>
              <w:t>(2)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106,869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40" w:type="dxa"/>
            <w:vAlign w:val="bottom"/>
            <w:gridSpan w:val="11"/>
          </w:tcPr>
          <w:p>
            <w:pPr>
              <w:jc w:val="center"/>
              <w:ind w:right="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-3314065</wp:posOffset>
            </wp:positionV>
            <wp:extent cx="7031355" cy="335915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33591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240" w:firstLine="7"/>
        <w:spacing w:after="0" w:line="266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Shares of common stock, par value $0.01 per share, of Wynn Resorts, Limited (the "Company") granted pursuant to the Company's Amended and Restated 2014 Omnibus Incentive Plan, which shares vested immediately upon grant.</w:t>
      </w:r>
    </w:p>
    <w:p>
      <w:pPr>
        <w:spacing w:after="0" w:line="1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18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Restricted shares of common stock, par value $0.01 per share, of Wynn Resorts, Limited granted pursuant to the Company's Amended and Restated 2014 Omnibus Incentive Plan. Vesting of 50% of the shares is based on achievement of pre-established financial performance goals in each of the years ended December 31, 2021, 2022 and 2023, and if met, 1/3 of the shares will vest on each of the dates of February 28, 2022, 2023 and 2024; and vesting of the remaining 50% of the shares is conditioned on continued service through January 11, 2024, with 1/3 of the shares vesting on each of the three consecutive anniversary dates from the date of grant; provided that if the reporting person's employment with the Company is terminated, certain accelerated vesting provisions may apply.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Nicholas Pannucci,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-8255</wp:posOffset>
            </wp:positionV>
            <wp:extent cx="98044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04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attorney-in-fact for Craig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01/13/2021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Scott Billings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60198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19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699174" TargetMode="External"/><Relationship Id="rId14" Type="http://schemas.openxmlformats.org/officeDocument/2006/relationships/hyperlink" Target="http://www.sec.gov/cgi-bin/browse-edgar?action=getcompany&amp;CIK=000117492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2021-01-13T20:03:28Z</dcterms:created>
  <dcterms:modified xsi:type="dcterms:W3CDTF">2021-01-13T20:03:28Z</dcterms:modified>
</cp:coreProperties>
</file>