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15</w:t>
      </w:r>
    </w:p>
    <w:p>
      <w:pPr>
        <w:spacing w:after="0" w:line="281" w:lineRule="exact"/>
        <w:rPr>
          <w:sz w:val="24"/>
          <w:szCs w:val="24"/>
          <w:color w:val="auto"/>
        </w:rPr>
      </w:pPr>
    </w:p>
    <w:p>
      <w:pPr>
        <w:jc w:val="center"/>
        <w:ind w:left="420" w:right="380"/>
        <w:spacing w:after="0" w:line="274" w:lineRule="auto"/>
        <w:rPr>
          <w:sz w:val="20"/>
          <w:szCs w:val="20"/>
          <w:color w:val="auto"/>
        </w:rPr>
      </w:pPr>
      <w:r>
        <w:rPr>
          <w:rFonts w:ascii="Arial" w:cs="Arial" w:eastAsia="Arial" w:hAnsi="Arial"/>
          <w:sz w:val="21"/>
          <w:szCs w:val="21"/>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No. 333-100768</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WYNN LAS VEGAS, LLC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(702) 770-7555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each class of securities covered by this Form)</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(Titles of all other classes of securities for which a duty to file reports under section 13(a) or 15(d) remains)</w:t>
      </w:r>
    </w:p>
    <w:p>
      <w:pPr>
        <w:spacing w:after="0" w:line="208"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400"/>
          </w:cols>
          <w:pgMar w:left="240" w:top="733"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40"/>
        <w:spacing w:after="0"/>
        <w:rPr>
          <w:sz w:val="20"/>
          <w:szCs w:val="20"/>
          <w:color w:val="auto"/>
        </w:rPr>
      </w:pPr>
      <w:r>
        <w:rPr>
          <w:rFonts w:ascii="Arial" w:cs="Arial" w:eastAsia="Arial" w:hAnsi="Arial"/>
          <w:sz w:val="18"/>
          <w:szCs w:val="18"/>
          <w:color w:val="auto"/>
        </w:rPr>
        <w:t>Rule 12g-4(a)(1)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44" w:lineRule="exact"/>
        <w:rPr>
          <w:sz w:val="24"/>
          <w:szCs w:val="24"/>
          <w:color w:val="auto"/>
        </w:rPr>
      </w:pPr>
    </w:p>
    <w:p>
      <w:pPr>
        <w:sectPr>
          <w:pgSz w:w="11900" w:h="16838" w:orient="portrait"/>
          <w:cols w:equalWidth="0" w:num="2">
            <w:col w:w="1540" w:space="720"/>
            <w:col w:w="9140"/>
          </w:cols>
          <w:pgMar w:left="240" w:top="733" w:right="25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8"/>
          <w:szCs w:val="18"/>
          <w:color w:val="auto"/>
        </w:rPr>
        <w:t>Rule 12g-4(a)(2)</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2">
            <w:col w:w="1540" w:space="720"/>
            <w:col w:w="9140"/>
          </w:cols>
          <w:pgMar w:left="240" w:top="733"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Rule 12h-3(b)(1)(i)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44" w:lineRule="exact"/>
        <w:rPr>
          <w:sz w:val="24"/>
          <w:szCs w:val="24"/>
          <w:color w:val="auto"/>
        </w:rPr>
      </w:pPr>
    </w:p>
    <w:p>
      <w:pPr>
        <w:sectPr>
          <w:pgSz w:w="11900" w:h="16838" w:orient="portrait"/>
          <w:cols w:equalWidth="0" w:num="2">
            <w:col w:w="1560" w:space="700"/>
            <w:col w:w="9140"/>
          </w:cols>
          <w:pgMar w:left="240" w:top="733" w:right="25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8"/>
          <w:szCs w:val="18"/>
          <w:color w:val="auto"/>
        </w:rPr>
        <w:t>Rule 12h-3(b)(1)(ii)</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1620" w:space="640"/>
            <w:col w:w="9140"/>
          </w:cols>
          <w:pgMar w:left="240" w:top="733" w:right="25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color w:val="auto"/>
        </w:rPr>
        <w:t>Rule 15d-6</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1540" w:space="720"/>
            <w:col w:w="9140"/>
          </w:cols>
          <w:pgMar w:left="240" w:top="733" w:right="25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2">
            <w:col w:w="1540" w:space="720"/>
            <w:col w:w="9140"/>
          </w:cols>
          <w:pgMar w:left="240" w:top="733" w:right="259" w:bottom="1440" w:gutter="0" w:footer="0" w:header="0"/>
          <w:type w:val="continuous"/>
        </w:sectPr>
      </w:pPr>
    </w:p>
    <w:p>
      <w:pPr>
        <w:spacing w:after="0" w:line="82" w:lineRule="exact"/>
        <w:rPr>
          <w:sz w:val="24"/>
          <w:szCs w:val="24"/>
          <w:color w:val="auto"/>
        </w:rPr>
      </w:pPr>
    </w:p>
    <w:p>
      <w:pPr>
        <w:ind w:firstLine="648"/>
        <w:spacing w:after="0" w:line="293" w:lineRule="auto"/>
        <w:rPr>
          <w:sz w:val="20"/>
          <w:szCs w:val="20"/>
          <w:color w:val="auto"/>
        </w:rPr>
      </w:pPr>
      <w:r>
        <w:rPr>
          <w:rFonts w:ascii="Arial" w:cs="Arial" w:eastAsia="Arial" w:hAnsi="Arial"/>
          <w:sz w:val="18"/>
          <w:szCs w:val="18"/>
          <w:color w:val="auto"/>
        </w:rPr>
        <w:t>Approximate number of holders of record as of the certification or notice date: Wynn Las Vegas Holdings, LLC owns all of the membership interests of the Registrant as of June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133985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6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00"/>
          </w:cols>
          <w:pgMar w:left="240" w:top="733" w:right="259" w:bottom="1440" w:gutter="0" w:footer="0" w:header="0"/>
          <w:type w:val="continuous"/>
        </w:sectPr>
      </w:pPr>
    </w:p>
    <w:bookmarkStart w:id="1" w:name="page2"/>
    <w:bookmarkEnd w:id="1"/>
    <w:p>
      <w:pPr>
        <w:ind w:left="676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spacing w:after="0"/>
        <w:tabs>
          <w:tab w:leader="none" w:pos="6040" w:val="left"/>
          <w:tab w:leader="none" w:pos="6600" w:val="left"/>
        </w:tabs>
        <w:rPr>
          <w:sz w:val="20"/>
          <w:szCs w:val="20"/>
          <w:color w:val="auto"/>
        </w:rPr>
      </w:pPr>
      <w:r>
        <w:rPr>
          <w:rFonts w:ascii="Arial" w:cs="Arial" w:eastAsia="Arial" w:hAnsi="Arial"/>
          <w:sz w:val="18"/>
          <w:szCs w:val="18"/>
          <w:color w:val="auto"/>
        </w:rPr>
        <w:t>Dated: June 23,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0179"/>
      </w:cols>
      <w:pgMar w:left="280" w:top="7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2019-12-06T18:45:59Z</dcterms:created>
  <dcterms:modified xsi:type="dcterms:W3CDTF">2019-12-06T18:45:59Z</dcterms:modified>
</cp:coreProperties>
</file>