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MADDOX MATT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000" w:type="dxa"/>
            <w:vAlign w:val="bottom"/>
          </w:tcPr>
          <w:p>
            <w:pPr>
              <w:ind w:left="160"/>
              <w:spacing w:after="0"/>
              <w:rPr>
                <w:sz w:val="20"/>
                <w:szCs w:val="20"/>
                <w:color w:val="auto"/>
              </w:rPr>
            </w:pPr>
            <w:r>
              <w:rPr>
                <w:rFonts w:ascii="Arial" w:cs="Arial" w:eastAsia="Arial" w:hAnsi="Arial"/>
                <w:sz w:val="18"/>
                <w:szCs w:val="18"/>
                <w:color w:val="0000FF"/>
              </w:rPr>
              <w:t>NV</w:t>
            </w:r>
          </w:p>
        </w:tc>
        <w:tc>
          <w:tcPr>
            <w:tcW w:w="1680" w:type="dxa"/>
            <w:vAlign w:val="bottom"/>
          </w:tcPr>
          <w:p>
            <w:pPr>
              <w:ind w:left="420"/>
              <w:spacing w:after="0"/>
              <w:rPr>
                <w:sz w:val="20"/>
                <w:szCs w:val="20"/>
                <w:color w:val="auto"/>
              </w:rPr>
            </w:pPr>
            <w:r>
              <w:rPr>
                <w:rFonts w:ascii="Arial" w:cs="Arial" w:eastAsia="Arial" w:hAnsi="Arial"/>
                <w:sz w:val="18"/>
                <w:szCs w:val="18"/>
                <w:color w:val="0000FF"/>
              </w:rPr>
              <w:t>89109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02/26/2020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180,000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99"/>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589,033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The grant agreement calls for the grant of a target of 100,000 shares (45,000 threshold, 180,000 maximum), based entirely on the attainment of numerous performance conditions, including the extension of the Company's Macau gaming concession, attaining certain Discretionary Free Cash Flow targets, attaining certain performance metrics at Encore Boston Harbor, attaining Great Places to Work certification at Wynn Las Vegas and advancement of the Company's business development efforts in Japan. Certain accelerated vesting provisions may apply if the reporting person's employment with the Company is terminated prior to December 16, 2022.</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Nick Pannucci, attorney-in-  </w:t>
      </w:r>
      <w:r>
        <w:rPr>
          <w:rFonts w:ascii="Arial" w:cs="Arial" w:eastAsia="Arial" w:hAnsi="Arial"/>
          <w:sz w:val="35"/>
          <w:szCs w:val="35"/>
          <w:color w:val="0000FF"/>
          <w:vertAlign w:val="subscript"/>
        </w:rPr>
        <w:t>02/28/2020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Matt Maddox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62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266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2020-02-28T19:32:52Z</dcterms:created>
  <dcterms:modified xsi:type="dcterms:W3CDTF">2020-02-28T19:32:52Z</dcterms:modified>
</cp:coreProperties>
</file>