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CURRENT REPORT</w:t>
      </w:r>
    </w:p>
    <w:p>
      <w:pPr>
        <w:spacing w:after="0" w:line="200" w:lineRule="exact"/>
        <w:rPr>
          <w:sz w:val="24"/>
          <w:szCs w:val="24"/>
          <w:color w:val="auto"/>
        </w:rPr>
      </w:pPr>
    </w:p>
    <w:p>
      <w:pPr>
        <w:spacing w:after="0" w:line="28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40" w:lineRule="exact"/>
        <w:rPr>
          <w:sz w:val="24"/>
          <w:szCs w:val="24"/>
          <w:color w:val="auto"/>
        </w:rPr>
      </w:pPr>
    </w:p>
    <w:p>
      <w:pPr>
        <w:jc w:val="center"/>
        <w:ind w:right="2099"/>
        <w:spacing w:after="0"/>
        <w:tabs>
          <w:tab w:leader="none" w:pos="2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b w:val="1"/>
          <w:bCs w:val="1"/>
          <w:color w:val="auto"/>
        </w:rPr>
        <w:t>April 25, 2005</w:t>
      </w:r>
    </w:p>
    <w:p>
      <w:pPr>
        <w:spacing w:after="0" w:line="239"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Wynn Resorts, Limited</w:t>
      </w:r>
    </w:p>
    <w:p>
      <w:pPr>
        <w:spacing w:after="0" w:line="23" w:lineRule="exact"/>
        <w:rPr>
          <w:sz w:val="24"/>
          <w:szCs w:val="24"/>
          <w:color w:val="auto"/>
        </w:rPr>
      </w:pPr>
    </w:p>
    <w:p>
      <w:pPr>
        <w:ind w:left="2160"/>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0219"/>
          </w:cols>
          <w:pgMar w:left="240" w:top="719" w:right="1440" w:bottom="0" w:gutter="0" w:footer="0" w:header="0"/>
        </w:sectPr>
      </w:pPr>
    </w:p>
    <w:p>
      <w:pPr>
        <w:spacing w:after="0" w:line="255" w:lineRule="exact"/>
        <w:rPr>
          <w:sz w:val="24"/>
          <w:szCs w:val="24"/>
          <w:color w:val="auto"/>
        </w:rPr>
      </w:pPr>
    </w:p>
    <w:p>
      <w:pPr>
        <w:ind w:left="106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ind w:left="380"/>
        <w:spacing w:after="0"/>
        <w:rPr>
          <w:sz w:val="20"/>
          <w:szCs w:val="20"/>
          <w:color w:val="auto"/>
        </w:rPr>
      </w:pPr>
      <w:r>
        <w:rPr>
          <w:rFonts w:ascii="Arial" w:cs="Arial" w:eastAsia="Arial" w:hAnsi="Arial"/>
          <w:sz w:val="15"/>
          <w:szCs w:val="15"/>
          <w:color w:val="auto"/>
        </w:rPr>
        <w:t>(State or Other Jurisdiction</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000-50028</w:t>
      </w:r>
    </w:p>
    <w:p>
      <w:pPr>
        <w:spacing w:after="0" w:line="21"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2799"/>
        <w:spacing w:after="0"/>
        <w:rPr>
          <w:sz w:val="20"/>
          <w:szCs w:val="20"/>
          <w:color w:val="auto"/>
        </w:rPr>
      </w:pPr>
      <w:r>
        <w:rPr>
          <w:rFonts w:ascii="Arial" w:cs="Arial" w:eastAsia="Arial" w:hAnsi="Arial"/>
          <w:sz w:val="18"/>
          <w:szCs w:val="18"/>
          <w:b w:val="1"/>
          <w:bCs w:val="1"/>
          <w:color w:val="auto"/>
        </w:rPr>
        <w:t>46-0484987</w:t>
      </w:r>
    </w:p>
    <w:p>
      <w:pPr>
        <w:spacing w:after="0" w:line="21" w:lineRule="exact"/>
        <w:rPr>
          <w:sz w:val="24"/>
          <w:szCs w:val="24"/>
          <w:color w:val="auto"/>
        </w:rPr>
      </w:pPr>
    </w:p>
    <w:p>
      <w:pPr>
        <w:jc w:val="center"/>
        <w:ind w:right="2799"/>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799"/>
        <w:spacing w:after="0"/>
        <w:rPr>
          <w:sz w:val="20"/>
          <w:szCs w:val="20"/>
          <w:color w:val="auto"/>
        </w:rPr>
      </w:pPr>
      <w:r>
        <w:rPr>
          <w:rFonts w:ascii="Arial" w:cs="Arial" w:eastAsia="Arial" w:hAnsi="Arial"/>
          <w:sz w:val="16"/>
          <w:szCs w:val="16"/>
          <w:color w:val="auto"/>
        </w:rPr>
        <w:t>Identification No.)</w:t>
      </w:r>
    </w:p>
    <w:p>
      <w:pPr>
        <w:spacing w:after="0" w:line="222" w:lineRule="exact"/>
        <w:rPr>
          <w:sz w:val="24"/>
          <w:szCs w:val="24"/>
          <w:color w:val="auto"/>
        </w:rPr>
      </w:pPr>
    </w:p>
    <w:p>
      <w:pPr>
        <w:sectPr>
          <w:pgSz w:w="11900" w:h="16838" w:orient="portrait"/>
          <w:cols w:equalWidth="0" w:num="3">
            <w:col w:w="2860" w:space="720"/>
            <w:col w:w="1820" w:space="720"/>
            <w:col w:w="4099"/>
          </w:cols>
          <w:pgMar w:left="240" w:top="719" w:right="1440" w:bottom="0" w:gutter="0" w:footer="0" w:header="0"/>
          <w:type w:val="continuous"/>
        </w:sectPr>
      </w:pP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Las Vegas, Nevada</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ind w:left="160"/>
        <w:spacing w:after="0"/>
        <w:rPr>
          <w:sz w:val="20"/>
          <w:szCs w:val="20"/>
          <w:color w:val="auto"/>
        </w:rPr>
      </w:pPr>
      <w:r>
        <w:rPr>
          <w:rFonts w:ascii="Arial" w:cs="Arial" w:eastAsia="Arial" w:hAnsi="Arial"/>
          <w:sz w:val="18"/>
          <w:szCs w:val="18"/>
          <w:b w:val="1"/>
          <w:bCs w:val="1"/>
          <w:color w:val="auto"/>
        </w:rPr>
        <w:t>89109</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580" w:space="720"/>
            <w:col w:w="3919"/>
          </w:cols>
          <w:pgMar w:left="240" w:top="719" w:right="1440" w:bottom="0" w:gutter="0" w:footer="0" w:header="0"/>
          <w:type w:val="continuous"/>
        </w:sectPr>
      </w:pPr>
    </w:p>
    <w:p>
      <w:pPr>
        <w:spacing w:after="0" w:line="63" w:lineRule="exact"/>
        <w:rPr>
          <w:sz w:val="24"/>
          <w:szCs w:val="24"/>
          <w:color w:val="auto"/>
        </w:rPr>
      </w:pPr>
    </w:p>
    <w:p>
      <w:pPr>
        <w:ind w:left="3520"/>
        <w:spacing w:after="0"/>
        <w:rPr>
          <w:sz w:val="20"/>
          <w:szCs w:val="20"/>
          <w:color w:val="auto"/>
        </w:rPr>
      </w:pPr>
      <w:r>
        <w:rPr>
          <w:rFonts w:ascii="Arial" w:cs="Arial" w:eastAsia="Arial" w:hAnsi="Arial"/>
          <w:sz w:val="15"/>
          <w:szCs w:val="15"/>
          <w:b w:val="1"/>
          <w:bCs w:val="1"/>
          <w:color w:val="auto"/>
        </w:rPr>
        <w:t>(702) 770-7555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1282700</wp:posOffset>
            </wp:positionH>
            <wp:positionV relativeFrom="paragraph">
              <wp:posOffset>92710</wp:posOffset>
            </wp:positionV>
            <wp:extent cx="260286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02865" cy="34290"/>
                    </a:xfrm>
                    <a:prstGeom prst="rect">
                      <a:avLst/>
                    </a:prstGeom>
                    <a:noFill/>
                  </pic:spPr>
                </pic:pic>
              </a:graphicData>
            </a:graphic>
          </wp:anchor>
        </w:drawing>
      </w:r>
    </w:p>
    <w:p>
      <w:pPr>
        <w:sectPr>
          <w:pgSz w:w="11900" w:h="16838" w:orient="portrait"/>
          <w:cols w:equalWidth="0" w:num="1">
            <w:col w:w="10219"/>
          </w:cols>
          <w:pgMar w:left="240" w:top="719" w:right="1440" w:bottom="0" w:gutter="0" w:footer="0" w:header="0"/>
          <w:type w:val="continuous"/>
        </w:sectPr>
      </w:pPr>
    </w:p>
    <w:p>
      <w:pPr>
        <w:spacing w:after="0" w:line="27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2259"/>
        <w:spacing w:after="0" w:line="25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43"/>
          <w:szCs w:val="43"/>
          <w:color w:val="auto"/>
          <w:vertAlign w:val="subscript"/>
        </w:rPr>
      </w:pPr>
    </w:p>
    <w:p>
      <w:pPr>
        <w:ind w:left="340" w:hanging="332"/>
        <w:spacing w:after="0" w:line="236" w:lineRule="auto"/>
        <w:tabs>
          <w:tab w:leader="none" w:pos="34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color w:val="auto"/>
        </w:rPr>
        <w:t>Soliciting material pursuant to Rule 14a-12 under the Exchange Act (17 CFR 240.14a-12)</w:t>
      </w:r>
    </w:p>
    <w:p>
      <w:pPr>
        <w:spacing w:after="0" w:line="277" w:lineRule="exact"/>
        <w:rPr>
          <w:rFonts w:ascii="MS PGothic" w:cs="MS PGothic" w:eastAsia="MS PGothic" w:hAnsi="MS PGothic"/>
          <w:sz w:val="43"/>
          <w:szCs w:val="43"/>
          <w:color w:val="auto"/>
          <w:vertAlign w:val="subscript"/>
        </w:rPr>
      </w:pPr>
    </w:p>
    <w:p>
      <w:pPr>
        <w:ind w:left="340" w:right="3659" w:hanging="332"/>
        <w:spacing w:after="0" w:line="186" w:lineRule="auto"/>
        <w:tabs>
          <w:tab w:leader="none" w:pos="340" w:val="left"/>
        </w:tabs>
        <w:numPr>
          <w:ilvl w:val="0"/>
          <w:numId w:val="1"/>
        </w:numPr>
        <w:rPr>
          <w:rFonts w:ascii="MS PGothic" w:cs="MS PGothic" w:eastAsia="MS PGothic" w:hAnsi="MS PGothic"/>
          <w:sz w:val="38"/>
          <w:szCs w:val="38"/>
          <w:color w:val="auto"/>
          <w:vertAlign w:val="subscript"/>
        </w:rPr>
      </w:pPr>
      <w:r>
        <w:rPr>
          <w:rFonts w:ascii="Arial" w:cs="Arial" w:eastAsia="Arial" w:hAnsi="Arial"/>
          <w:sz w:val="16"/>
          <w:szCs w:val="16"/>
          <w:color w:val="auto"/>
        </w:rPr>
        <w:t>Pre-commencement communications pursuant to Rule 14d-2(b) under the Exchange Act (17 CFR 240.14d-2(b))</w:t>
      </w:r>
    </w:p>
    <w:p>
      <w:pPr>
        <w:spacing w:after="0" w:line="238" w:lineRule="exact"/>
        <w:rPr>
          <w:rFonts w:ascii="MS PGothic" w:cs="MS PGothic" w:eastAsia="MS PGothic" w:hAnsi="MS PGothic"/>
          <w:sz w:val="38"/>
          <w:szCs w:val="38"/>
          <w:color w:val="auto"/>
          <w:vertAlign w:val="subscript"/>
        </w:rPr>
      </w:pPr>
    </w:p>
    <w:p>
      <w:pPr>
        <w:ind w:left="340" w:right="3679" w:hanging="332"/>
        <w:spacing w:after="0" w:line="186" w:lineRule="auto"/>
        <w:tabs>
          <w:tab w:leader="none" w:pos="340" w:val="left"/>
        </w:tabs>
        <w:numPr>
          <w:ilvl w:val="0"/>
          <w:numId w:val="1"/>
        </w:numPr>
        <w:rPr>
          <w:rFonts w:ascii="MS PGothic" w:cs="MS PGothic" w:eastAsia="MS PGothic" w:hAnsi="MS PGothic"/>
          <w:sz w:val="38"/>
          <w:szCs w:val="38"/>
          <w:color w:val="auto"/>
          <w:vertAlign w:val="subscript"/>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222885</wp:posOffset>
            </wp:positionV>
            <wp:extent cx="5149850"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00" w:lineRule="exact"/>
        <w:rPr>
          <w:sz w:val="24"/>
          <w:szCs w:val="24"/>
          <w:color w:val="auto"/>
        </w:rPr>
      </w:pPr>
    </w:p>
    <w:p>
      <w:pPr>
        <w:spacing w:after="0" w:line="342" w:lineRule="exact"/>
        <w:rPr>
          <w:sz w:val="24"/>
          <w:szCs w:val="24"/>
          <w:color w:val="auto"/>
        </w:rPr>
      </w:pPr>
    </w:p>
    <w:p>
      <w:pPr>
        <w:ind w:right="2299"/>
        <w:spacing w:after="0" w:line="256" w:lineRule="auto"/>
        <w:rPr>
          <w:sz w:val="20"/>
          <w:szCs w:val="20"/>
          <w:color w:val="auto"/>
        </w:rPr>
      </w:pPr>
      <w:r>
        <w:rPr>
          <w:rFonts w:ascii="Arial" w:cs="Arial" w:eastAsia="Arial" w:hAnsi="Arial"/>
          <w:sz w:val="18"/>
          <w:szCs w:val="18"/>
          <w:color w:val="auto"/>
        </w:rPr>
        <w:t>On April 25, 2005, the Registrant announced that it had been notified by the Singapore Tourism Board that it has qualified to participate in the Request for Proposal for an Integrated Resort that will be issued by the Singapore Government in the second quarter of 2005. There can be no assurances regarding the Registrant’s business prospects with respect to this opportunity.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5149850"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4"/>
          <w:szCs w:val="24"/>
          <w:color w:val="auto"/>
        </w:rPr>
      </w:pPr>
    </w:p>
    <w:p>
      <w:pPr>
        <w:spacing w:after="0" w:line="342" w:lineRule="exact"/>
        <w:rPr>
          <w:sz w:val="24"/>
          <w:szCs w:val="24"/>
          <w:color w:val="auto"/>
        </w:rPr>
      </w:pPr>
    </w:p>
    <w:p>
      <w:pPr>
        <w:ind w:right="2179" w:firstLine="702"/>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Date: April 25, 2005</w:t>
      </w:r>
    </w:p>
    <w:p>
      <w:pPr>
        <w:spacing w:after="0" w:line="252"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Wynn Resorts, Limited</w:t>
      </w:r>
    </w:p>
    <w:p>
      <w:pPr>
        <w:spacing w:after="0" w:line="252" w:lineRule="exact"/>
        <w:rPr>
          <w:sz w:val="24"/>
          <w:szCs w:val="24"/>
          <w:color w:val="auto"/>
        </w:rPr>
      </w:pPr>
    </w:p>
    <w:p>
      <w:pPr>
        <w:ind w:left="4220"/>
        <w:spacing w:after="0"/>
        <w:tabs>
          <w:tab w:leader="none" w:pos="4660" w:val="left"/>
        </w:tabs>
        <w:rPr>
          <w:sz w:val="20"/>
          <w:szCs w:val="20"/>
          <w:color w:val="auto"/>
        </w:rPr>
      </w:pPr>
      <w:r>
        <w:rPr>
          <w:rFonts w:ascii="Arial" w:cs="Arial" w:eastAsia="Arial" w:hAnsi="Arial"/>
          <w:sz w:val="18"/>
          <w:szCs w:val="18"/>
          <w:color w:val="auto"/>
        </w:rPr>
        <w:t>By:</w:t>
        <w:tab/>
        <w:t>/s/ John Strzemp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2966085</wp:posOffset>
            </wp:positionH>
            <wp:positionV relativeFrom="paragraph">
              <wp:posOffset>-13970</wp:posOffset>
            </wp:positionV>
            <wp:extent cx="938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38530"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John Strzemp</w:t>
      </w:r>
    </w:p>
    <w:p>
      <w:pPr>
        <w:spacing w:after="0" w:line="9"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19"/>
          </w:cols>
          <w:pgMar w:left="240" w:top="719" w:right="1440"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2019-12-15T07:57:47Z</dcterms:created>
  <dcterms:modified xsi:type="dcterms:W3CDTF">2019-12-15T07:57:47Z</dcterms:modified>
</cp:coreProperties>
</file>