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November 6, 2025</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WYNN RESORTS, LIMITED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(702) 770-7555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November 6, 2025, Wynn Resorts, Limited (the "Company") issued a press release announcing its results of operations for the quarter ended September 30, 2025. The press release is furnished herewith as Exhibit 99.1. The information furnished under Items 2.02 and 7.01 of this report,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2.02 of this report is incorporated herein by reference.</w:t>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On November 6, 2025, the Company announced that its Board of Directors declared a cash dividend of $0.25 per share, payable on November 26, 2025 to stockholders of record as of November 17, 2025.</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9991" w:type="dxa"/>
        <w:jc w:val="left"/>
        <w:tblInd w:w="0" w:type="dxa"/>
        <w:tblLayout w:type="fixed"/>
        <w:tblCellMar>
          <w:top w:w="28" w:type="dxa"/>
          <w:left w:w="28" w:type="dxa"/>
          <w:bottom w:w="28" w:type="dxa"/>
          <w:right w:w="28" w:type="dxa"/>
        </w:tblCellMar>
      </w:tblPr>
      <w:tblGrid>
        <w:gridCol w:w="342"/>
        <w:gridCol w:w="301"/>
        <w:gridCol w:w="303"/>
        <w:gridCol w:w="2638"/>
        <w:gridCol w:w="2638"/>
        <w:gridCol w:w="3769"/>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lq32025pressrelease.htm">
              <w:r>
                <w:rPr>
                  <w:rStyle w:val="InternetLink"/>
                  <w:rFonts w:ascii="Times New Roman;serif" w:hAnsi="Times New Roman;serif"/>
                  <w:b w:val="false"/>
                  <w:color w:val="0000FF"/>
                  <w:sz w:val="20"/>
                  <w:u w:val="single"/>
                </w:rPr>
                <w:t>Press release, dated November 6, 2025,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16" w:type="dxa"/>
        <w:jc w:val="left"/>
        <w:tblInd w:w="0" w:type="dxa"/>
        <w:tblLayout w:type="fixed"/>
        <w:tblCellMar>
          <w:top w:w="28" w:type="dxa"/>
          <w:left w:w="28" w:type="dxa"/>
          <w:bottom w:w="28" w:type="dxa"/>
          <w:right w:w="28" w:type="dxa"/>
        </w:tblCellMar>
      </w:tblPr>
      <w:tblGrid>
        <w:gridCol w:w="797"/>
        <w:gridCol w:w="700"/>
        <w:gridCol w:w="707"/>
        <w:gridCol w:w="109"/>
        <w:gridCol w:w="109"/>
        <w:gridCol w:w="109"/>
        <w:gridCol w:w="134"/>
        <w:gridCol w:w="134"/>
        <w:gridCol w:w="136"/>
        <w:gridCol w:w="109"/>
        <w:gridCol w:w="109"/>
        <w:gridCol w:w="109"/>
        <w:gridCol w:w="777"/>
        <w:gridCol w:w="777"/>
        <w:gridCol w:w="1100"/>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RESORTS, LIMITED</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Julie Cameron-Doe </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Cameron-Doe</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Wynn Resorts, Limited Reports Third Quarter 2025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LAS VEGAS, November 6, 2025 — Wynn Resorts, Limited (NASDAQ: WYNN) ("Wynn Resorts" or the "Company") today reported financial results for the third quarter ended September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Operating revenues were $1.83 billion for the third quarter of 2025, an increase of $140.4 million from $1.69 billion for the third quarter of 2024. Net income attributable to Wynn Resorts, Limited was $88.3 million for the third quarter of 2025, compared to net loss attributable to Wynn Resorts, Limited of $32.1 million for the third quarter of 2024. Diluted net income per share was $0.85 for the third quarter of 2025, compared to diluted net loss per share of $0.29 for the third quarter of 2024. Adjusted Property EBITDAR</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$570.1 million for the third quarter of 2025, compared to Adjusted Property EBITDAR of $527.7 million for the third quarter of 2024.</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Our third quarter results were marked by impressive EBITDA growth in Macau, and continued outperformance in Las Vegas,” said Craig Billings, CEO of Wynn Resorts, Limited. “In Macau, we achieved healthy market share and saw a significant increase in mass table drop year over year. In Las Vegas, the team delivered another quarter of year over year EBITDA growth and continued to take gaming market share. We also made significant progress on the completion of Wynn Al Marjan Island, where we are now pouring concrete for the remaining few floors of the 70-story tower.”</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were $1.83 billion for the third quarter of 2025, an increase of $140.4 million from $1.69 billion for the third quarter of 2024. For the third quarter of 2025, operating revenues increased $115.7 million, $13.8 million, and $13.6 million at Wynn Palace, our Las Vegas Operations, and Wynn Macau, respectively, and decreased $2.4 million at Encore Boston Harbor, from the third quarter of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Net income attributable to Wynn Resorts, Limited was $88.3 million for the third quarter of 2025, compared to net loss attributable to Wynn Resorts, Limited of $32.1 million for the third quarter of 2024. Diluted net income per share was $0.85 for the third quarter of 2025, compared to diluted net loss per share of $0.29 for the third quarter of 2024. Adjusted net income attributable to Wynn Resorts, Limited</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$88.7 million, or $0.86 per diluted share, for the third quarter of 2025, compared to adjusted net income attributable to Wynn Resorts, Limited of $98.9 million, or $0.90 per diluted share, for the third quarter of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Property EBITDAR was $570.1 million for the third quarter of 2025, an increase of $42.4 million compared to Adjusted Property EBITDAR of $527.7 million for the third quarter of 2024. For the third quarter of 2025, Adjusted Property EBITDAR increased $38.0 million, $7.4 million, and $0.7 million at Wynn Palace, Wynn Macau, and our Las Vegas Operations, respectively, and decreased $4.6 million at Encore Boston Harbor, from the third quarter of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Wynn Resorts, Limited also announced today that its Board of Directors has declared a cash dividend of $0.25 per share, payable on November 26, 2025 to stockholders of record as of November 17, 2025.</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Property Results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Macau Operations</w:t>
      </w:r>
    </w:p>
    <w:p>
      <w:pPr>
        <w:pStyle w:val="TextBody"/>
        <w:bidi w:val="0"/>
        <w:spacing w:lineRule="auto" w:line="276" w:before="0" w:after="120"/>
        <w:jc w:val="both"/>
        <w:rPr>
          <w:rFonts w:ascii="Times New Roman;serif" w:hAnsi="Times New Roman;serif"/>
          <w:b w:val="false"/>
          <w:i/>
          <w:color w:val="000000"/>
          <w:sz w:val="20"/>
        </w:rPr>
      </w:pPr>
      <w:r>
        <w:rPr>
          <w:rFonts w:ascii="Times New Roman;serif" w:hAnsi="Times New Roman;serif"/>
          <w:b w:val="false"/>
          <w:i/>
          <w:color w:val="000000"/>
          <w:sz w:val="20"/>
        </w:rPr>
        <w:t>Wynn Palace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Wynn Palace were $635.5 million for the third quarter of 2025, an increase of $115.7 million from $519.8 million for the third quarter of 2024. Adjusted Property EBITDAR from Wynn Palace was $200.3 million for the third quarter of 2025, compared to $162.3 million for the third quarter of 2024. Table games win percentage in mass market operations was 22.6%, below the 23.9% experienced in the third quarter of 2024. VIP table games win as a percentage of turnover was 4.68%, above the property's expected range of 3.1% to 3.4% and above the 3.04% experienced in the third quarter of 2024.</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Wynn Macau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Wynn Macau were $365.5 million for the third quarter of 2025, an increase of $13.6 million from $352.0 million for the third quarter of 2024. Adjusted Property EBITDAR from Wynn Macau was $108.0 million for the third quarter of 2025, compared to $100.6 million for the third quarter of 2024. Table games win percentage in mass market operations was 18.7%, slightly above the 18.5% experienced in the third quarter of 2024. VIP table games win as a percentage of turnover was 2.93%, below the property's expected range of 3.1% to 3.4% and below the 3.61% experienced in the third quarter of 2024.</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Las Vegas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our Las Vegas Operations were $621.0 million for the third quarter of 2025, an increase of $13.8 million from $607.2 million for the third quarter of 2024. Adjusted Property EBITDAR from our Las Vegas Operations for the third quarter of 2025 was $203.4 million, compared to $202.7 million for the third quarter of 2024. Table games win percentage for the third quarter of 2025 was 23.0%, within the property's expected range of 22% to 26% and slightly below the 23.3% experienced in the third quarter of 2024.</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Encore Boston Harbor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revenues from Encore Boston Harbor were $211.8 million for the third quarter of 2025, a decrease of $2.4 million from $214.1 million for the third quarter of 2024. Adjusted Property EBITDAR from Encore Boston Harbor for the third quarter of 2025 was $58.4 million, compared to $63.0 million for the third quarter of 2024. Table games win percentage for the third quarter of 2025 was 20.5%, within the property's expected range of 18% to 22% and below the 21.3% experienced in the third quarter of 2024.</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Wynn Al Marjan Island Development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2025, the Company contributed $93.9 million of cash to the 40%-owned joint venture that is constructing the Wynn Al Marjan Island development in the UAE, bringing our life-to-date cash contributions to the project to $835.0 million. Wynn Al Marjan Island is currently expected to open in 2027.</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Balance Sheet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as of September 30, 2025 totaled $1.49 billion, excluding $475.0 million of short-term investments held by Wynn Macau, Limited ("WML"). Cash and cash equivalents is comprised of $973.3 million held by WML and subsidiaries, $228.7 million held by Wynn Resorts Finance, LLC ("WRF") and subsidiaries excluding WML, and $284.3 million held at Corporate and other. As of September 30, 2025, the available borrowing capacity under the WRF Revolver and the WM Cayman II Revolver was $1.23 billion and $1.36 billion,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 current and long-term debt outstanding at September 30, 2025 was $10.57 billion, comprised of $5.81 billion of Macau related debt, $876.0 million of Wynn Las Vegas debt, $3.28 billion of WRF debt, and $598.1 million of debt held by the retail joint venture which we consolidate.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Debt Financing Activities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2025, WML issued $1.0 billion aggregate principal amount of 6 3/4% Senior Notes due 2034, and in September 2025, used the net proceeds from the offering, along with cash on hand, to redeem in full the outstanding $1.0 billion aggregate principal amount of its 5 1/2% Senior Notes due 2026 at a price equal to 100% of the principal amount.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July 2025, we increased the borrowing capacity under the WM Cayman II Revolver by an additional aggregate amount of $1.0 billion equivalent through the exercise of an accordion feature under the existing facility agreement, bringing the total committed amount to $2.5 billion equivalent.</w:t>
      </w:r>
    </w:p>
    <w:p>
      <w:pPr>
        <w:pStyle w:val="TextBody"/>
        <w:bidi w:val="0"/>
        <w:spacing w:before="0" w:after="0"/>
        <w:ind w:left="0" w:right="0" w:firstLine="72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Conference Call and Other Information</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Company will hold a conference call to discuss its results, including the results of Wynn Resorts Finance, LLC and Wynn Las Vegas, LLC, on November 6, 2025 at 1:30 p.m. PT (4:30 p.m. ET). Interested parties are invited to join the call by accessing a live audio webcast at http://www.wynnresorts.com. On or before November 14, 2025, the Company will make Wynn Resorts Finance, LLC and Wynn Las Vegas, LLC financial information for the quarter ended September 30, 2025 available to noteholders, prospective investors, broker-dealers and securities analysts. Please contact our investor relations office at 702-770-7555 or at investorrelations@wynnresorts.com, to obtain access to such financial information.</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the Company's financial results is included in the Company's Annual Report on Form 10-K for the year ended December 31, 2024,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"Adjusted Property EBITDAR" is net income (loss)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"Adjusted net income attributable to Wynn Resorts, Limited" is net income (loss) attributable to Wynn Resorts, Limited before pre-opening expenses, property charges and other expenses, change in derivatives fair value, loss on debt financing transactions, foreign currency remeasurement and other,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included schedules in the tables that accompany this release that reconcile (i) net income (loss) attributable to Wynn Resorts, Limited to adjusted net income attributable to Wynn Resorts, Limited, (ii) operating income (loss) to Adjusted Property EBITDAR, and (iii) net income (loss) attributable to Wynn Resorts, Limited to Adjusted Property EBITDAR.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96"/>
        <w:gridCol w:w="1246"/>
        <w:gridCol w:w="125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9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916,700 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1,833,747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1,693,323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5,271,941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5,289,164</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Pre-opening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1,523,258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1,560,086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4,428,263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4,523,328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310,489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133,237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843,678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765,836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(524,922)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(474,139)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(403,404)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189,563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369,539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362,432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128,427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286,793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317,356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88,341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227,306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224,106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NET INCOME (LOSS) ATTRIBUTABLE TO WYNN RESORTS,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ADJUSTED NET INCOME ATTRIBUTABLE TO WYNN RESORTS,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41"/>
        <w:gridCol w:w="1429"/>
        <w:gridCol w:w="1435"/>
        <w:gridCol w:w="211"/>
        <w:gridCol w:w="736"/>
        <w:gridCol w:w="109"/>
        <w:gridCol w:w="109"/>
        <w:gridCol w:w="109"/>
        <w:gridCol w:w="109"/>
        <w:gridCol w:w="211"/>
        <w:gridCol w:w="774"/>
        <w:gridCol w:w="109"/>
        <w:gridCol w:w="109"/>
        <w:gridCol w:w="109"/>
        <w:gridCol w:w="109"/>
        <w:gridCol w:w="211"/>
        <w:gridCol w:w="841"/>
        <w:gridCol w:w="109"/>
        <w:gridCol w:w="109"/>
        <w:gridCol w:w="109"/>
        <w:gridCol w:w="109"/>
        <w:gridCol w:w="211"/>
        <w:gridCol w:w="841"/>
        <w:gridCol w:w="156"/>
      </w:tblGrid>
      <w:tr>
        <w:trPr/>
        <w:tc>
          <w:tcPr>
            <w:tcW w:w="184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remeasurement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impact on adjustments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impact on adjustments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315,179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400,208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attributable to Wynn Resorts, Limited per diluted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0.86</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0.90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w:t>
            </w: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48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177,960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310,489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7,289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78,568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152,828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6,154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31,524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35,721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22,664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34,942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200,282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107,998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308,280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203,413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58,394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570,087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488"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133,237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156,273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150,475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36,184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Triple-net operating lease rent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162,283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100,594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262,877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202,720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63,018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527,677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ind w:left="0" w:right="0" w:hanging="27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hanging="27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803"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46"/>
        <w:gridCol w:w="109"/>
        <w:gridCol w:w="109"/>
        <w:gridCol w:w="109"/>
        <w:gridCol w:w="109"/>
        <w:gridCol w:w="196"/>
        <w:gridCol w:w="88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433,392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843,678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23,862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232,649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461,156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31,631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87,650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33,651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118,748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70,901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105,397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519,373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294,707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814,080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661,586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179,707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1,655,373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center"/>
        <w:rPr/>
      </w:pPr>
      <w:r>
        <w:rPr/>
      </w:r>
    </w:p>
    <w:p>
      <w:pPr>
        <w:pStyle w:val="TextBody"/>
        <w:bidi w:val="0"/>
        <w:spacing w:before="0" w:after="0"/>
        <w:ind w:left="0" w:right="0" w:hanging="270"/>
        <w:jc w:val="center"/>
        <w:rPr/>
      </w:pPr>
      <w:r>
        <w:rPr/>
      </w:r>
    </w:p>
    <w:tbl>
      <w:tblPr>
        <w:tblW w:w="11803"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646"/>
        <w:gridCol w:w="109"/>
        <w:gridCol w:w="109"/>
        <w:gridCol w:w="109"/>
        <w:gridCol w:w="109"/>
        <w:gridCol w:w="196"/>
        <w:gridCol w:w="88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511,465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765,836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6,050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227,323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507,611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13,406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206,238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32,852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109,799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44,206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Triple-net operating lease rent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106,127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549,112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333,691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882,803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679,315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188,284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(4,535)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1,745,867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spacing w:before="0" w:after="0"/>
        <w:ind w:left="0" w:right="0" w:hanging="270"/>
        <w:jc w:val="center"/>
        <w:rPr/>
      </w:pPr>
      <w:r>
        <w:rPr/>
      </w:r>
    </w:p>
    <w:p>
      <w:pPr>
        <w:pStyle w:val="TextBody"/>
        <w:bidi w:val="0"/>
        <w:ind w:left="0" w:right="0" w:hanging="27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ind w:left="0" w:right="0" w:hanging="270"/>
        <w:jc w:val="center"/>
        <w:rPr/>
      </w:pPr>
      <w:r>
        <w:rPr/>
      </w:r>
    </w:p>
    <w:p>
      <w:pPr>
        <w:pStyle w:val="TextBody"/>
        <w:bidi w:val="0"/>
        <w:spacing w:lineRule="auto" w:line="276" w:before="0" w:after="0"/>
        <w:ind w:left="0" w:right="0" w:hanging="27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NET INCOME (LOSS) ATTRIBUTABLE TO WYNN RESORTS, LIMITED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PROPERTY EBITDAR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78"/>
        <w:gridCol w:w="1325"/>
        <w:gridCol w:w="1331"/>
        <w:gridCol w:w="211"/>
        <w:gridCol w:w="84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55"/>
      </w:tblGrid>
      <w:tr>
        <w:trPr/>
        <w:tc>
          <w:tcPr>
            <w:tcW w:w="157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Pre-opening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Triple-net operating lease rent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amounts capitalized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derivatives fair value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financing transactions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Property EBITDAR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570,087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527,677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1,655,373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1,745,867</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35"/>
        <w:gridCol w:w="734"/>
        <w:gridCol w:w="738"/>
        <w:gridCol w:w="211"/>
        <w:gridCol w:w="260"/>
        <w:gridCol w:w="580"/>
        <w:gridCol w:w="114"/>
        <w:gridCol w:w="114"/>
        <w:gridCol w:w="114"/>
        <w:gridCol w:w="211"/>
        <w:gridCol w:w="260"/>
        <w:gridCol w:w="580"/>
        <w:gridCol w:w="109"/>
        <w:gridCol w:w="109"/>
        <w:gridCol w:w="109"/>
        <w:gridCol w:w="333"/>
        <w:gridCol w:w="311"/>
        <w:gridCol w:w="312"/>
        <w:gridCol w:w="109"/>
        <w:gridCol w:w="109"/>
        <w:gridCol w:w="109"/>
        <w:gridCol w:w="200"/>
        <w:gridCol w:w="272"/>
        <w:gridCol w:w="644"/>
        <w:gridCol w:w="111"/>
        <w:gridCol w:w="111"/>
        <w:gridCol w:w="111"/>
        <w:gridCol w:w="206"/>
        <w:gridCol w:w="260"/>
        <w:gridCol w:w="580"/>
        <w:gridCol w:w="109"/>
        <w:gridCol w:w="109"/>
        <w:gridCol w:w="109"/>
        <w:gridCol w:w="323"/>
        <w:gridCol w:w="286"/>
        <w:gridCol w:w="413"/>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Palace Supplemental Information</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542,439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1,435,245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37,396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112,492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33,293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95,477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67,828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635,472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519,790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w:t>
            </w:r>
            <w:r>
              <w:rPr>
                <w:color w:val="000000"/>
              </w:rPr>
              <w:t>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1,711,042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1,654,740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w:t>
            </w:r>
            <w:r>
              <w:rPr>
                <w:color w:val="000000"/>
              </w:rPr>
              <w:t>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Property EBITDAR</w:t>
            </w:r>
            <w:r>
              <w:rPr>
                <w:color w:val="000000"/>
              </w:rPr>
              <w:t xml:space="preserve"> </w:t>
            </w:r>
            <w:r>
              <w:rPr>
                <w:rFonts w:ascii="Times New Roman;serif" w:hAnsi="Times New Roman;serif"/>
                <w:b/>
                <w:color w:val="000000"/>
                <w:sz w:val="13"/>
              </w:rPr>
              <w:t>(6)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200,282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162,283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23.4</w:t>
            </w: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519,373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549,112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(5.4)</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3,261,314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11,337,407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9,930,241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VIP table games win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152,478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373,481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table games win as a % of turnover</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25,888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 market:</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drop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2,057,789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5,606,241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5,215,019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465,683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1,299,679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710,156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2,202,840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1,815,623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30,482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92,320</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win per unit per day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 statistics: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ADR</w:t>
            </w:r>
            <w:r>
              <w:rPr>
                <w:color w:val="000000"/>
              </w:rPr>
              <w:t xml:space="preserve"> </w:t>
            </w:r>
            <w:r>
              <w:rPr>
                <w:rFonts w:ascii="Times New Roman;serif" w:hAnsi="Times New Roman;serif"/>
                <w:b w:val="false"/>
                <w:color w:val="000000"/>
                <w:sz w:val="13"/>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REVPAR </w:t>
            </w:r>
            <w:r>
              <w:rPr>
                <w:rFonts w:ascii="Times New Roman;serif" w:hAnsi="Times New Roman;serif"/>
                <w:b w:val="false"/>
                <w:color w:val="000000"/>
                <w:sz w:val="13"/>
              </w:rPr>
              <w:t>(5)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Note: Our casino operations in Macau were closed for a 1-day period in September 2025 due to Typhoon Ragasa.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53"/>
        <w:gridCol w:w="749"/>
        <w:gridCol w:w="753"/>
        <w:gridCol w:w="211"/>
        <w:gridCol w:w="260"/>
        <w:gridCol w:w="580"/>
        <w:gridCol w:w="114"/>
        <w:gridCol w:w="114"/>
        <w:gridCol w:w="114"/>
        <w:gridCol w:w="211"/>
        <w:gridCol w:w="260"/>
        <w:gridCol w:w="580"/>
        <w:gridCol w:w="109"/>
        <w:gridCol w:w="109"/>
        <w:gridCol w:w="109"/>
        <w:gridCol w:w="336"/>
        <w:gridCol w:w="314"/>
        <w:gridCol w:w="316"/>
        <w:gridCol w:w="109"/>
        <w:gridCol w:w="109"/>
        <w:gridCol w:w="109"/>
        <w:gridCol w:w="206"/>
        <w:gridCol w:w="260"/>
        <w:gridCol w:w="580"/>
        <w:gridCol w:w="111"/>
        <w:gridCol w:w="111"/>
        <w:gridCol w:w="111"/>
        <w:gridCol w:w="206"/>
        <w:gridCol w:w="260"/>
        <w:gridCol w:w="580"/>
        <w:gridCol w:w="109"/>
        <w:gridCol w:w="109"/>
        <w:gridCol w:w="109"/>
        <w:gridCol w:w="325"/>
        <w:gridCol w:w="289"/>
        <w:gridCol w:w="420"/>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Wynn Macau Supplemental Information</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314,489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883,419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66,188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365,513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351,957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1,039,286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1,100,970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Property EBITDAR</w:t>
            </w:r>
            <w:r>
              <w:rPr>
                <w:color w:val="000000"/>
              </w:rPr>
              <w:t xml:space="preserve"> </w:t>
            </w:r>
            <w:r>
              <w:rPr>
                <w:rFonts w:ascii="Times New Roman;serif" w:hAnsi="Times New Roman;serif"/>
                <w:b/>
                <w:color w:val="000000"/>
                <w:sz w:val="13"/>
              </w:rPr>
              <w:t>(6)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107,998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w:t>
            </w: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294,707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333,691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(11.7)</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VIP: </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turnover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1,019,346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3,438,127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VIP table games win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79,025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VIP table games win as a % of turnover</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Table games win per unit per day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Mass market: </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drop </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1,633,273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4,793,914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305,761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875,146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Table games win per unit per day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855,707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2,718,205</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75,148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Slot machine win per unit per day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Poker rake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Room statistics: </w:t>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ADR</w:t>
            </w:r>
            <w:r>
              <w:rPr>
                <w:color w:val="000000"/>
              </w:rPr>
              <w:t xml:space="preserve"> </w:t>
            </w:r>
            <w:r>
              <w:rPr>
                <w:rFonts w:ascii="Times New Roman;serif" w:hAnsi="Times New Roman;serif"/>
                <w:b w:val="false"/>
                <w:color w:val="000000"/>
                <w:sz w:val="13"/>
              </w:rPr>
              <w:t>(4)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REVPAR </w:t>
            </w:r>
            <w:r>
              <w:rPr>
                <w:rFonts w:ascii="Times New Roman;serif" w:hAnsi="Times New Roman;serif"/>
                <w:b w:val="false"/>
                <w:color w:val="000000"/>
                <w:sz w:val="13"/>
              </w:rPr>
              <w:t>(5)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Note: Our casino operations in Macau were closed for a 1-day period in September 2025 due to Typhoon Ragasa. </w:t>
      </w:r>
    </w:p>
    <w:p>
      <w:pPr>
        <w:pStyle w:val="TextBody"/>
        <w:bidi w:val="0"/>
        <w:spacing w:before="0" w:after="0"/>
        <w:jc w:val="both"/>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91"/>
        <w:gridCol w:w="783"/>
        <w:gridCol w:w="787"/>
        <w:gridCol w:w="227"/>
        <w:gridCol w:w="272"/>
        <w:gridCol w:w="554"/>
        <w:gridCol w:w="113"/>
        <w:gridCol w:w="113"/>
        <w:gridCol w:w="113"/>
        <w:gridCol w:w="227"/>
        <w:gridCol w:w="272"/>
        <w:gridCol w:w="554"/>
        <w:gridCol w:w="109"/>
        <w:gridCol w:w="109"/>
        <w:gridCol w:w="109"/>
        <w:gridCol w:w="314"/>
        <w:gridCol w:w="299"/>
        <w:gridCol w:w="300"/>
        <w:gridCol w:w="109"/>
        <w:gridCol w:w="109"/>
        <w:gridCol w:w="109"/>
        <w:gridCol w:w="206"/>
        <w:gridCol w:w="260"/>
        <w:gridCol w:w="580"/>
        <w:gridCol w:w="110"/>
        <w:gridCol w:w="110"/>
        <w:gridCol w:w="110"/>
        <w:gridCol w:w="206"/>
        <w:gridCol w:w="260"/>
        <w:gridCol w:w="580"/>
        <w:gridCol w:w="109"/>
        <w:gridCol w:w="109"/>
        <w:gridCol w:w="109"/>
        <w:gridCol w:w="308"/>
        <w:gridCol w:w="275"/>
        <w:gridCol w:w="400"/>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 Operations Supplemental Information</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161,576</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471,071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186,712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590,561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192,544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566,847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80,180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256,451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621,012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607,172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1,884,930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1,872,374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Property EBITDAR </w:t>
            </w:r>
            <w:r>
              <w:rPr>
                <w:rFonts w:ascii="Times New Roman;serif" w:hAnsi="Times New Roman;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203,413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661,586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679,315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drop </w:t>
            </w:r>
            <w:r>
              <w:rPr>
                <w:rFonts w:ascii="Times New Roman;serif" w:hAnsi="Times New Roman;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652,293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1,854,052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150,073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427,109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1,818,133</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5,356,473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123,500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370,350</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ADR </w:t>
            </w:r>
            <w:r>
              <w:rPr>
                <w:rFonts w:ascii="Times New Roman;serif" w:hAnsi="Times New Roman;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REVPAR</w:t>
            </w:r>
            <w:r>
              <w:rPr>
                <w:color w:val="000000"/>
              </w:rPr>
              <w:t xml:space="preserve"> </w:t>
            </w:r>
            <w:r>
              <w:rPr>
                <w:rFonts w:ascii="Times New Roman;serif" w:hAnsi="Times New Roman;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WYNN RESORTS, LIMITED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DATA SCHEDULE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for win per unit per day, ADR, and REVPAR)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81"/>
        <w:gridCol w:w="772"/>
        <w:gridCol w:w="777"/>
        <w:gridCol w:w="227"/>
        <w:gridCol w:w="272"/>
        <w:gridCol w:w="554"/>
        <w:gridCol w:w="113"/>
        <w:gridCol w:w="113"/>
        <w:gridCol w:w="113"/>
        <w:gridCol w:w="227"/>
        <w:gridCol w:w="272"/>
        <w:gridCol w:w="554"/>
        <w:gridCol w:w="109"/>
        <w:gridCol w:w="109"/>
        <w:gridCol w:w="109"/>
        <w:gridCol w:w="330"/>
        <w:gridCol w:w="307"/>
        <w:gridCol w:w="309"/>
        <w:gridCol w:w="109"/>
        <w:gridCol w:w="109"/>
        <w:gridCol w:w="109"/>
        <w:gridCol w:w="206"/>
        <w:gridCol w:w="260"/>
        <w:gridCol w:w="580"/>
        <w:gridCol w:w="111"/>
        <w:gridCol w:w="111"/>
        <w:gridCol w:w="111"/>
        <w:gridCol w:w="206"/>
        <w:gridCol w:w="260"/>
        <w:gridCol w:w="580"/>
        <w:gridCol w:w="109"/>
        <w:gridCol w:w="109"/>
        <w:gridCol w:w="109"/>
        <w:gridCol w:w="283"/>
        <w:gridCol w:w="283"/>
        <w:gridCol w:w="412"/>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Change</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Encore Boston Harbor Supplemental Information </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156,213</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477,246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66,817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57,447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retail and other</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211,750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214,121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636,683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644,513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Adjusted Property EBITDAR </w:t>
            </w:r>
            <w:r>
              <w:rPr>
                <w:rFonts w:ascii="Times New Roman;serif" w:hAnsi="Times New Roman;serif"/>
                <w:b/>
                <w:color w:val="000000"/>
                <w:sz w:val="13"/>
              </w:rPr>
              <w:t>(6)</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58,394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179,707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188,284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Casino statistics: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table games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Table drop</w:t>
            </w:r>
            <w:r>
              <w:rPr>
                <w:color w:val="000000"/>
              </w:rPr>
              <w:t xml:space="preserve"> </w:t>
            </w:r>
            <w:r>
              <w:rPr>
                <w:rFonts w:ascii="Times New Roman;serif" w:hAnsi="Times New Roman;serif"/>
                <w:b w:val="false"/>
                <w:color w:val="000000"/>
                <w:sz w:val="13"/>
              </w:rPr>
              <w:t>(2)</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323,981</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1,002,226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Table games win </w:t>
            </w:r>
            <w:r>
              <w:rPr>
                <w:rFonts w:ascii="Times New Roman;serif" w:hAnsi="Times New Roman;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66,257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208,155</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 games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slot machines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handle</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1,397,554</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4,120,102</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Slot machine win </w:t>
            </w:r>
            <w:r>
              <w:rPr>
                <w:rFonts w:ascii="Times New Roman;serif" w:hAnsi="Times New Roman;serif"/>
                <w:b w:val="false"/>
                <w:color w:val="000000"/>
                <w:sz w:val="13"/>
              </w:rPr>
              <w:t>(3)</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110,797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327,752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Slot machine win per unit per day</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Poker rake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16,482</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Room statistics: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ADR </w:t>
            </w:r>
            <w:r>
              <w:rPr>
                <w:rFonts w:ascii="Times New Roman;serif" w:hAnsi="Times New Roman;serif"/>
                <w:b w:val="false"/>
                <w:color w:val="000000"/>
                <w:sz w:val="13"/>
              </w:rPr>
              <w:t>(4)</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REVPAR </w:t>
            </w:r>
            <w:r>
              <w:rPr>
                <w:rFonts w:ascii="Times New Roman;serif" w:hAnsi="Times New Roman;serif"/>
                <w:b w:val="false"/>
                <w:color w:val="000000"/>
                <w:sz w:val="13"/>
              </w:rPr>
              <w:t>(5)</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4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(1)Table games win is shown before discounts, commissions and the allocation of casino revenues to rooms, food and beverage and other revenues for services provided to casino customers on a complimentary basis.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(3)Slot machine win is calculated as gross slot machine win minus progressive accruals and free play.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(4)ADR is average daily rate and is calculated by dividing total room revenues including complimentaries (less service charges, if any) by total rooms occupied.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(5)REVPAR is revenue per available room and is calculated by dividing total room revenues including complimentaries (less service charges, if any) by total rooms available.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(6)Refer to accompanying reconciliations of Operating Income (Loss) to Adjusted Property EBITDAR and Net Income (Loss) Attributable to Wynn Resorts, Limited to Adjusted Property EBITDAR.</w:t>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SOURCE: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Wynn Resorts, Limited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Lauren Seiler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702-770-7555</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investorrelations@wynnresorts.com</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5456</Words>
  <Characters>28997</Characters>
  <CharactersWithSpaces>33412</CharactersWithSpaces>
  <Paragraphs>1838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