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14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April 24, 2018, Wynn Resorts, Limited issued a press release announcing its results of operations for the first quarter ended March 31, 2018.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April 24, 2018, the Company announced a cash dividend of $0.75 per share, payable on May 29, 2018 to stockholders of record as of May 17, 2018.</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5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Press release, dated April 24, 2018, of Wynn Resorts, Limited.</w:t>
              </w:r>
            </w:hyperlink>
          </w:p>
        </w:tc>
      </w:tr>
    </w:tbl>
    <w:p>
      <w:pPr>
        <w:sectPr>
          <w:pgSz w:w="11900" w:h="16838" w:orient="portrait"/>
          <w:cols w:equalWidth="0" w:num="1">
            <w:col w:w="11400"/>
          </w:cols>
          <w:pgMar w:left="240" w:top="742"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April 24,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2018 Results</w:t>
      </w:r>
    </w:p>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LAS VEGAS, April 24, 2018 — Wynn Resorts, Limited (Nasdaq: WYNN) today reported financial results for the first quarter ended March 31, 2018. The results reflect the Company’s adoption of the new revenue recognition standard ("ASC 606"), effective January 1, 2018. Certain prior period amounts have been reclassified to reflect the full retrospective adoption of ASC 606, with no impact on operating income, net income or Adjusted Property EBITDA (1).</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Operating revenues were $1.72 billion for the first quarter of 2018, an increase of 20.5%, or $291.8 million, from $1.42 billion for the same period of 2017. The increase was the result of increases of $213.5 million, $65.5 million and $12.8 million from Wynn Palace, Wynn Macau and our Las Vegas Operations, respectively.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 U.S. generally accepted accounting principles ("GAAP") basis, net loss attributable to Wynn Resorts, Limited was $204.3 million, or $1.99 per diluted share, for the first quarter of 2018, compared to net income attributable to Wynn Resorts, Limited of $100.8 million, or $0.99 per diluted share, for the same period of 2017. The change was primarily due to the $463.6 million litigation settlement expense and a $69.3 million increase in the Redemption Note fair value to its principal amount, as further described below, partially offset by increases in our benefit for income taxes and operating income from Wynn Palace. Adjusted net income attributable to Wynn Resorts, Limited (2) was $237.0 million, or $2.30 per diluted share, for the first quarter of 2018, compared to $130.9 million, or $1.28 per diluted share, for the same period of 2017.</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Adjusted Property EBITDA was $564.3 million for the first quarter of 2018, an increase of 32.0%, or $136.8 million, from $427.5 million for the same period of 2017, as a result of increases of $100.1 million, $28.7 million and $8.0 million from Wynn Palace, Wynn Macau and our Las Vegas Operations, respectively.</w:t>
      </w:r>
    </w:p>
    <w:p>
      <w:pPr>
        <w:spacing w:after="0" w:line="18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Wynn Resorts, Limited also announced today that the Company has approved a cash dividend of $0.75 per share, payable on May 29, 2018 to stockholders of record as of May 17, 2018, a 50% increase in our quarterly cash dividend from last quarter reflecting the ongoing strength and stability across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Operating revenues from Wynn Macau were $618.2 million for the first quarter of 2018, an 11.9% increase from $552.7 million for the same period of 2017. Adjusted Property EBITDA from Wynn Macau was $209.8 million for the first quarter of 2018, a 15.9% increase from $181.1 million for the same period of 2017.</w:t>
      </w:r>
    </w:p>
    <w:p>
      <w:pPr>
        <w:spacing w:after="0" w:line="18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Casino revenues from Wynn Macau were $539.0 million for the first quarter of 2018, a 10.5% increase from $488.0 million for the same period of 2017. Table games turnover in VIP operations was $17.09 billion, a 28.6% increase from $13.28 billion for the first quarter of 2017. VIP table games win as a percentage of turnover was 2.61%, below the expected range of 2.7% to 3.0% and the 3.30% experienced in the first quarter of 2017. Table drop in mass market operations was $1.32 billion, a 16.4% increase from $1.14 billion for the first quarter of 2017. Table games win in mass market operations was $256.5 million, a 20.5% increase from $212.9 million for the first quarter of 2017. Table games win percentage in mass market operations was 19.4%, above the</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18.7% experienced in the first quarter of 2017. Slot machine handle was $1.00 billion, a 17.1% increase from $856.7 million for the first quarter of 2017, while slot machine win increased 8.3% to $41.8 million.</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Non-casino revenues from Wynn Macau were $79.2 million for the first quarter of 2018, a 22.3% increase from $64.7 million for the same period of 2017. Room revenues were $28.4 million for the first quarter of 2018, a 19.0% increase from $23.9 million for the same period of 2017. Average daily rate ("ADR") was $291, a 17.8% increase from $247 for the first quarter of 2017. Occupancy increased to 99.0% for the first quarter of 2018, from 95.7% for the same period of 2017. Revenue per available room ("REVPAR") was $288, a 21.5% increase from $237 for the first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Operating revenues from Wynn Palace were $665.8 million for the first quarter of 2018, a 47.2% increase from $452.3 million for the same period of 2017. Adjusted Property EBITDA from Wynn Palace was $211.9 million for the first quarter of 2018, an 89.4% increase from $111.9 million for the same period of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Casino revenues from Wynn Palace were $568.5 million for the first quarter of 2018, a 50.7% increase from $377.1 million for the same period of 2017.</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Table games turnover in VIP operations was $15.39 billion, a 39.3% increase from $11.04 billion for the first quarter of 2017. VIP table games win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turnover was 2.60%, below the expected range of 2.7% to 3.0% and the 3.03% experienced in the first quarter of 2017. Table drop in mass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operations was $1.22 billion, a 58.1% increase from $770.0 million for the first quarter of 2017. Table games win in mass market operations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$310.2 million, an 85.0% increase from $167.6 million for the first quarter of 2017. Table games win percentage in mass market operations was 25.5%, above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21.8% experienced in the first quarter of 2017. Slot machine handle was $1.06 billion, a 60.9% increase from $657.6 million for the first quarter of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while slot machine win increased 64.4% to $55.8 million for the first quarter of 2018.</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Non-casino revenues from Wynn Palace were $97.4 million for the first quarter of 2018, a 29.5% increase from $75.2 million for the same period of 2017. Room revenues were $40.4 million for the first quarter of 2018, a 37.9% increase from $29.3 million for the same period of 2017. ADR was $252, a 30.6% increase from $193 for the first quarter of 2017. Occupancy increased to 96.8% for the first quarter of 2018, from 95.6% for the same period of 2017. REVPAR was $244, a 31.9% increase from $185 for the first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Operating revenues from our Las Vegas Operations were $431.5 million for the first quarter of 2018, a 3.0% increase from $418.7 million for the same period of 2017. Adjusted Property EBITDA from our Las Vegas Operations was $142.6 million, a 6.0% increase from $134.6 million for the first quarter of 2017.</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Casino revenues from our Las Vegas Operations were $134.6 million for the first quarter of 2018, an 8.0% increase from $124.7 million for the same period of 2017. Table games drop was $536.6 million, a 17.0% increase from $458.6 million for the first quarter of 2017. Table games win was $154.4 million, an 18.0% increase from $130.8 million for the first quarter of 2017. Table games win percentage was 28.8%, above the property’s expected range of 22% to 26% and the 28.5% experienced in the first quarter of 2017. Slot machine handle was $744.1 million, a 2.8% decrease from $765.9 million for the first quarter of 2017, while slot machine win decreased 0.9% to $49.3 million.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Non-casino revenues from our Las Vegas Operations were $296.8 million for the first quarter of 2018, a 0.9% increase from $294.1 million for the same period of 2017. Room revenues were $121.5 million for the first quarter of 2018, a 5.0% increase from $115.6 million for the same period of 2017. ADR was $340, a 7.6% increase from $316 for the first quarter of 2017. Occupancy decreased to 83.9% for the first quarter of 2018, from 85.5% for the same period of 2017. REVPAR was $285, a 5.2% increase from $271 for the first quarter of 2017. Food and beverage revenues increased 0.2%, to $125.8 million for the first quarter of 2018, compared to the same period of 2017. Entertainment, retail and other revenues decreased 6.3%, to $49.6 million for the first quarter of 2018, compared to the same period of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$2.5 billion. As of March 31, 2018, we have incurred $1.38 billion in total project costs. We expect to open Wynn Boston Harbor in mid-2019.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restricted cash and investment securities as of March 31, 2018 were $2.16 billion.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debt outstanding at the end of the quarter was $9.36 billion, including $4.23 billion of Macau related debt, $3.10 billion of Wynn Las Vegas debt and $2.03 billion at the parent company and other.</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March 28, 2018, the Company entered into a credit agreement to provide for a 364-day term loan facility and borrowed the full amount available of $800 million (the "Bridge Facility"). On March 30, 2018, the Company used the net proceeds from the Bridge Facility, along with cash on hand and borrowings of $250.0 million under its Wynn America credit facilities to repay the $1.94 billion promissory note issued in connection with the redemption of all shares of the Company's stock held by Aruze USA, Inc. as of February 18, 2012 (the "Redemption Note") and to pay an additional amount of $463.6 million with respect to the claims related to the allegedly below-market interest rate of the Redemption Note.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5" w:name="page6"/>
    <w:bookmarkEnd w:id="5"/>
    <w:p>
      <w:pPr>
        <w:ind w:right="80"/>
        <w:spacing w:after="0" w:line="257" w:lineRule="auto"/>
        <w:rPr>
          <w:sz w:val="20"/>
          <w:szCs w:val="20"/>
          <w:color w:val="auto"/>
        </w:rPr>
      </w:pPr>
      <w:r>
        <w:rPr>
          <w:rFonts w:ascii="Arial" w:cs="Arial" w:eastAsia="Arial" w:hAnsi="Arial"/>
          <w:sz w:val="18"/>
          <w:szCs w:val="18"/>
          <w:color w:val="auto"/>
        </w:rPr>
        <w:t>On April 3, 2018, the Company completed a registered public offering (the "Equity Offering") of 5,300,000 newly issued shares of its common stock to Galaxy Entertainment Group Limited (or one of its affiliates) at a price of $175 per share for net proceeds of approximately $915.8 million, after deducting underwriting discounts and excluding the Company’s estimated offering expenses. The Company used the net proceeds from the Equity Offering to repay all amounts borrowed under the Bridge Facility, together with all interest accrued thereon, and intends to use the remaining net proceeds to repay certain other indebtedness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 discuss its results, including the results of Wynn Las Vegas, LLC, on April 24, 2018 at 1:30 p.m. PT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are invited to join the call by accessing a live audio webcast at http://www.wynnresorts.com.</w:t>
      </w:r>
    </w:p>
    <w:p>
      <w:pPr>
        <w:spacing w:after="0" w:line="21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On May 9, 2018, the Company will make Wynn Las Vegas, LLC financial information for the quarter ended March 31, 2018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controversy, regulatory action, litigation and investigations related to Stephen A. Wynn and his separation from the Company,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2017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income taxes, depreciation and amortization, litigation settlement expense, pre-opening expenses, property charges and other, management and license fees, corporate expenses and other (including intercompany golf course and water rights leases), stock-based compensation, gain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rFonts w:ascii="Arial" w:cs="Arial" w:eastAsia="Arial" w:hAnsi="Arial"/>
          <w:sz w:val="16"/>
          <w:szCs w:val="16"/>
          <w:color w:val="auto"/>
        </w:rPr>
      </w:pPr>
    </w:p>
    <w:p>
      <w:pPr>
        <w:ind w:right="500"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income attributable to Wynn Resorts, Limited” is net income (loss) attributable to Wynn Resorts, Limited before litigation settlement expense, pre-opening expenses, property charges and other, change in interest rate swap fair value, change in Redemption Note fair value, gain on extinguishment of debt, foreign currency remeasurement loss, net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t>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(loss)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(loss) to Adjusted Property EBITDA, and (iii) net income (loss) attributable to Wynn Resorts, Limited to Adjusted Property EBITDA.</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8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1,242,139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989,740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168,824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172,222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164,533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100,660</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1,715,578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1,423,757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764,401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629,796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60,767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131,768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169,585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159,962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136,357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139,820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1,796,872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1,173,827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249,930</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(98,262)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(15,847)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(114,515)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(248,523)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135,415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132,525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(204,307)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100,816</w:t>
            </w: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0.99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102,570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101,753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102,069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100,816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Litigation settlement expense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463,557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Foreign currency remeasurement loss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236,973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130,884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 per diluted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103,155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102,069</w:t>
            </w:r>
          </w:p>
        </w:tc>
        <w:tc>
          <w:tcPr>
            <w:tcW w:w="0" w:type="dxa"/>
            <w:vAlign w:val="bottom"/>
          </w:tcPr>
          <w:p>
            <w:pPr>
              <w:spacing w:after="0"/>
              <w:rPr>
                <w:sz w:val="1"/>
                <w:szCs w:val="1"/>
                <w:color w:val="auto"/>
              </w:rPr>
            </w:pPr>
          </w:p>
        </w:tc>
      </w:tr>
      <w:tr>
        <w:trPr>
          <w:trHeight w:val="702"/>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8"/>
              </w:rPr>
              <w:t>Three Months Ended March 31, 2018</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159,461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22,170</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23,366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1,864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209,822</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119,471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211,911</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274,962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87,700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47,591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421,733</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71,874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45,783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20,039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142,596</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 (1)</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(428,130)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10,339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(67,630)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479,612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(81,294)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10,345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136,357</w:t>
            </w:r>
          </w:p>
        </w:tc>
        <w:tc>
          <w:tcPr>
            <w:tcW w:w="12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3,051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488,566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7,304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564,329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8"/>
              </w:rPr>
              <w:t>Three Months Ended March 31, 2017</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Pre-opening</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128,141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24,709</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22,810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2,858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1,873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181,106</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111,856</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150,044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90,435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41,481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292,962</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67,466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46,857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12,470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134,577</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32,420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(53,951)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249,930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5,779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139,820</w:t>
            </w:r>
          </w:p>
        </w:tc>
        <w:tc>
          <w:tcPr>
            <w:tcW w:w="30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3,036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20,767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8,207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427,539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 and other includes the litigation settlement expense of $463.6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37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39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100,816</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66,829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31,709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463,557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139,820</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 and other</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20,767</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98,227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98,262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Other</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37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Property EBITDA</w:t>
            </w:r>
          </w:p>
        </w:tc>
        <w:tc>
          <w:tcPr>
            <w:tcW w:w="37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564,329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427,539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vMerge w:val="restart"/>
          </w:tcPr>
          <w:p>
            <w:pPr>
              <w:jc w:val="right"/>
              <w:ind w:right="273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1" w:name="page12"/>
    <w:bookmarkEnd w:id="11"/>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60"/>
              <w:spacing w:after="0"/>
              <w:rPr>
                <w:sz w:val="20"/>
                <w:szCs w:val="20"/>
                <w:color w:val="auto"/>
              </w:rPr>
            </w:pPr>
            <w:r>
              <w:rPr>
                <w:rFonts w:ascii="Arial" w:cs="Arial" w:eastAsia="Arial" w:hAnsi="Arial"/>
                <w:sz w:val="18"/>
                <w:szCs w:val="18"/>
                <w:b w:val="1"/>
                <w:bCs w:val="1"/>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17,087,455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13,284,764</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445,189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438,912</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43,531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56,041</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1,322,815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1,136,896</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256,481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212,905</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14,042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11,604</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886</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1,002,819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856,683</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38,554</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484</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247</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8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420" w:type="dxa"/>
            <w:vAlign w:val="bottom"/>
          </w:tcPr>
          <w:p>
            <w:pPr>
              <w:ind w:left="120"/>
              <w:spacing w:after="0"/>
              <w:rPr>
                <w:sz w:val="20"/>
                <w:szCs w:val="20"/>
                <w:color w:val="auto"/>
              </w:rPr>
            </w:pPr>
            <w:r>
              <w:rPr>
                <w:rFonts w:ascii="Arial" w:cs="Arial" w:eastAsia="Arial" w:hAnsi="Arial"/>
                <w:sz w:val="18"/>
                <w:szCs w:val="18"/>
                <w:b w:val="1"/>
                <w:bCs w:val="1"/>
                <w:color w:val="auto"/>
              </w:rPr>
              <w:t>Wynn Palace:</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91</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15,385,833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11,041,682</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399,891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334,742</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38,533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40,797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211</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1,217,201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770,018</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310,159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167,627</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16,341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8,840</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997</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1,058,096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657,579</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55,785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33,933</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378</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7"/>
        </w:trPr>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w:t>
            </w:r>
          </w:p>
        </w:tc>
      </w:tr>
      <w:tr>
        <w:trPr>
          <w:trHeight w:val="243"/>
        </w:trPr>
        <w:tc>
          <w:tcPr>
            <w:tcW w:w="84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185</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(continued)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236</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536,581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458,596</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154,433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130,846</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6,149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1,906</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744,133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765,914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49,718</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290</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316</w:t>
            </w:r>
          </w:p>
        </w:tc>
      </w:tr>
      <w:tr>
        <w:trPr>
          <w:trHeight w:val="243"/>
        </w:trPr>
        <w:tc>
          <w:tcPr>
            <w:tcW w:w="820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271</w:t>
            </w:r>
          </w:p>
        </w:tc>
      </w:tr>
    </w:tbl>
    <w:p>
      <w:pPr>
        <w:spacing w:after="0" w:line="265" w:lineRule="exact"/>
        <w:rPr>
          <w:sz w:val="20"/>
          <w:szCs w:val="20"/>
          <w:color w:val="auto"/>
        </w:rPr>
      </w:pPr>
    </w:p>
    <w:p>
      <w:pPr>
        <w:ind w:left="60" w:right="160" w:firstLine="2"/>
        <w:spacing w:after="0" w:line="250"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60" w:right="28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60" w:right="100" w:firstLine="2"/>
        <w:spacing w:after="0" w:line="241"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 The prior period amount has been adjusted to reflect the full retrospective adoption of ASC 606.</w:t>
      </w:r>
    </w:p>
    <w:p>
      <w:pPr>
        <w:ind w:left="60" w:right="320" w:firstLine="2"/>
        <w:spacing w:after="0" w:line="255" w:lineRule="auto"/>
        <w:tabs>
          <w:tab w:leader="none" w:pos="264"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 The prior period amount has been adjusted to reflect the full retrospective adoption of ASC 606.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2019-12-28T22:49:29Z</dcterms:created>
  <dcterms:modified xsi:type="dcterms:W3CDTF">2019-12-28T22:49:29Z</dcterms:modified>
</cp:coreProperties>
</file>