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2680" w:space="720"/>
            <w:col w:w="796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37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6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0"/>
              </w:rPr>
              <w:t>Nevada</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88-0494875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7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760"/>
              <w:spacing w:after="0"/>
              <w:rPr>
                <w:sz w:val="20"/>
                <w:szCs w:val="20"/>
                <w:color w:val="auto"/>
              </w:rPr>
            </w:pPr>
            <w:r>
              <w:rPr>
                <w:rFonts w:ascii="Arial" w:cs="Arial" w:eastAsia="Arial" w:hAnsi="Arial"/>
                <w:sz w:val="14"/>
                <w:szCs w:val="14"/>
                <w:b w:val="1"/>
                <w:bCs w:val="1"/>
                <w:color w:val="auto"/>
                <w:w w:val="89"/>
              </w:rPr>
              <w:t>incorporation or organization)</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7660" w:type="dxa"/>
            <w:vAlign w:val="bottom"/>
            <w:gridSpan w:val="3"/>
          </w:tcPr>
          <w:p>
            <w:pPr>
              <w:jc w:val="center"/>
              <w:ind w:left="2983"/>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7660" w:type="dxa"/>
            <w:vAlign w:val="bottom"/>
            <w:gridSpan w:val="3"/>
          </w:tcPr>
          <w:p>
            <w:pPr>
              <w:jc w:val="center"/>
              <w:ind w:left="2963"/>
              <w:spacing w:after="0" w:line="147" w:lineRule="exact"/>
              <w:rPr>
                <w:sz w:val="20"/>
                <w:szCs w:val="20"/>
                <w:color w:val="auto"/>
              </w:rPr>
            </w:pPr>
            <w:r>
              <w:rPr>
                <w:rFonts w:ascii="Arial" w:cs="Arial" w:eastAsia="Arial" w:hAnsi="Arial"/>
                <w:sz w:val="14"/>
                <w:szCs w:val="14"/>
                <w:b w:val="1"/>
                <w:bCs w:val="1"/>
                <w:color w:val="auto"/>
                <w:w w:val="86"/>
              </w:rPr>
              <w:t>(Address of principal executive offices) (Zip Code)</w:t>
            </w: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6560" w:type="dxa"/>
            <w:vAlign w:val="bottom"/>
            <w:gridSpan w:val="2"/>
          </w:tcPr>
          <w:p>
            <w:pPr>
              <w:jc w:val="center"/>
              <w:ind w:left="4063"/>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140" w:type="dxa"/>
            <w:vAlign w:val="bottom"/>
          </w:tcPr>
          <w:p>
            <w:pPr>
              <w:spacing w:after="0"/>
              <w:rPr>
                <w:sz w:val="23"/>
                <w:szCs w:val="23"/>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(Title of Class)</w:t>
            </w: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820" w:type="dxa"/>
            <w:vAlign w:val="bottom"/>
            <w:gridSpan w:val="2"/>
          </w:tcPr>
          <w:p>
            <w:pPr>
              <w:spacing w:after="0"/>
              <w:rPr>
                <w:sz w:val="14"/>
                <w:szCs w:val="14"/>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3"/>
        </w:trPr>
        <w:tc>
          <w:tcPr>
            <w:tcW w:w="838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38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3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360"/>
        <w:spacing w:after="0" w:line="207" w:lineRule="exact"/>
        <w:tabs>
          <w:tab w:leader="none" w:pos="2500" w:val="left"/>
          <w:tab w:leader="none" w:pos="4280" w:val="left"/>
          <w:tab w:leader="none" w:pos="6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7" w:lineRule="exact"/>
        <w:rPr>
          <w:sz w:val="24"/>
          <w:szCs w:val="24"/>
          <w:color w:val="auto"/>
        </w:rPr>
      </w:pPr>
    </w:p>
    <w:p>
      <w:pPr>
        <w:ind w:left="360"/>
        <w:spacing w:after="0" w:line="207" w:lineRule="exact"/>
        <w:tabs>
          <w:tab w:leader="none" w:pos="8460" w:val="left"/>
          <w:tab w:leader="none" w:pos="9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80" w:firstLine="342"/>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2008 was $0. Wynn Resorts Holdings, LLC owns all of the membership interests of the registrant.</w:t>
      </w:r>
    </w:p>
    <w:p>
      <w:pPr>
        <w:spacing w:after="0" w:line="31" w:lineRule="exact"/>
        <w:rPr>
          <w:sz w:val="24"/>
          <w:szCs w:val="24"/>
          <w:color w:val="auto"/>
        </w:rPr>
      </w:pPr>
    </w:p>
    <w:p>
      <w:pPr>
        <w:ind w:right="80" w:firstLine="342"/>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80" w:type="dxa"/>
            <w:vAlign w:val="bottom"/>
            <w:gridSpan w:val="14"/>
          </w:tcPr>
          <w:p>
            <w:pPr>
              <w:ind w:left="8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19"/>
                <w:szCs w:val="19"/>
                <w:color w:val="auto"/>
              </w:rPr>
            </w:pPr>
          </w:p>
        </w:tc>
      </w:tr>
      <w:tr>
        <w:trPr>
          <w:trHeight w:val="326"/>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9"/>
          </w:tcPr>
          <w:p>
            <w:pPr>
              <w:jc w:val="center"/>
              <w:ind w:right="38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40" w:type="dxa"/>
            <w:vAlign w:val="bottom"/>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24"/>
                <w:szCs w:val="24"/>
                <w:color w:val="auto"/>
              </w:rPr>
            </w:pPr>
          </w:p>
        </w:tc>
        <w:tc>
          <w:tcPr>
            <w:tcW w:w="3820" w:type="dxa"/>
            <w:vAlign w:val="bottom"/>
            <w:gridSpan w:val="8"/>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Unresolved Staff Comments</w:t>
              </w:r>
            </w:hyperlink>
          </w:p>
        </w:tc>
        <w:tc>
          <w:tcPr>
            <w:tcW w:w="7060" w:type="dxa"/>
            <w:vAlign w:val="bottom"/>
            <w:gridSpan w:val="1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8340" w:type="dxa"/>
            <w:vAlign w:val="bottom"/>
            <w:gridSpan w:val="2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6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0"/>
          </w:tcPr>
          <w:p>
            <w:pPr>
              <w:jc w:val="center"/>
              <w:ind w:right="378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w:t>
              </w:r>
            </w:hyperlink>
          </w:p>
        </w:tc>
        <w:tc>
          <w:tcPr>
            <w:tcW w:w="134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Market for Registrant’s Common Equity, Related Stockholder Matters and Issuer Purchases of Equity Securities</w:t>
              </w:r>
            </w:hyperlink>
          </w:p>
        </w:tc>
        <w:tc>
          <w:tcPr>
            <w:tcW w:w="1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6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06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8"/>
          </w:tcPr>
          <w:p>
            <w:pPr>
              <w:spacing w:after="0"/>
              <w:rPr>
                <w:sz w:val="17"/>
                <w:szCs w:val="17"/>
                <w:color w:val="auto"/>
              </w:rPr>
            </w:pPr>
          </w:p>
        </w:tc>
        <w:tc>
          <w:tcPr>
            <w:tcW w:w="2760" w:type="dxa"/>
            <w:vAlign w:val="bottom"/>
            <w:gridSpan w:val="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060" w:type="dxa"/>
            <w:vAlign w:val="bottom"/>
            <w:gridSpan w:val="2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Financial Statements and Supplementary Data</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Changes in and Disagreements With Accountants on Accounting and Financial Disclosure</w:t>
              </w:r>
            </w:hyperlink>
          </w:p>
        </w:tc>
        <w:tc>
          <w:tcPr>
            <w:tcW w:w="270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06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340" w:type="dxa"/>
            <w:vAlign w:val="bottom"/>
            <w:gridSpan w:val="20"/>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12"/>
          </w:tcPr>
          <w:p>
            <w:pPr>
              <w:jc w:val="center"/>
              <w:ind w:right="3380"/>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1340" w:type="dxa"/>
            <w:vAlign w:val="bottom"/>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Directors, Executive Officers and Corporate Governance</w:t>
              </w:r>
            </w:hyperlink>
          </w:p>
        </w:tc>
        <w:tc>
          <w:tcPr>
            <w:tcW w:w="620" w:type="dxa"/>
            <w:vAlign w:val="bottom"/>
            <w:gridSpan w:val="2"/>
          </w:tcPr>
          <w:p>
            <w:pPr>
              <w:spacing w:after="0"/>
              <w:rPr>
                <w:sz w:val="24"/>
                <w:szCs w:val="24"/>
                <w:color w:val="auto"/>
              </w:rPr>
            </w:pPr>
          </w:p>
        </w:tc>
        <w:tc>
          <w:tcPr>
            <w:tcW w:w="720" w:type="dxa"/>
            <w:vAlign w:val="bottom"/>
            <w:tcBorders>
              <w:top w:val="single" w:sz="8" w:color="0000EE"/>
            </w:tcBorders>
            <w:gridSpan w:val="6"/>
          </w:tcPr>
          <w:p>
            <w:pPr>
              <w:spacing w:after="0"/>
              <w:rPr>
                <w:sz w:val="24"/>
                <w:szCs w:val="24"/>
                <w:color w:val="auto"/>
              </w:rPr>
            </w:pPr>
          </w:p>
        </w:tc>
        <w:tc>
          <w:tcPr>
            <w:tcW w:w="3720" w:type="dxa"/>
            <w:vAlign w:val="bottom"/>
            <w:gridSpan w:val="5"/>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060" w:type="dxa"/>
            <w:vAlign w:val="bottom"/>
            <w:gridSpan w:val="2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Security Ownership of Certain Beneficial Owners and Management and Related Stockholder Matters</w:t>
              </w:r>
            </w:hyperlink>
          </w:p>
        </w:tc>
        <w:tc>
          <w:tcPr>
            <w:tcW w:w="1940" w:type="dxa"/>
            <w:vAlign w:val="bottom"/>
            <w:gridSpan w:val="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4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Certain Relationships and Related Transactions, and Director Independence</w:t>
              </w:r>
            </w:hyperlink>
          </w:p>
        </w:tc>
        <w:tc>
          <w:tcPr>
            <w:tcW w:w="3720" w:type="dxa"/>
            <w:vAlign w:val="bottom"/>
            <w:gridSpan w:val="5"/>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060" w:type="dxa"/>
            <w:vAlign w:val="bottom"/>
            <w:gridSpan w:val="2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Accountant Fees and Services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40" w:type="dxa"/>
            <w:vAlign w:val="bottom"/>
            <w:gridSpan w:val="11"/>
          </w:tcPr>
          <w:p>
            <w:pPr>
              <w:jc w:val="center"/>
              <w:ind w:right="3740"/>
              <w:spacing w:after="0"/>
              <w:rPr>
                <w:rFonts w:ascii="Arial" w:cs="Arial" w:eastAsia="Arial" w:hAnsi="Arial"/>
                <w:sz w:val="18"/>
                <w:szCs w:val="18"/>
                <w:b w:val="1"/>
                <w:bCs w:val="1"/>
                <w:color w:val="0000EE"/>
                <w:w w:val="98"/>
              </w:rPr>
            </w:pPr>
            <w:hyperlink w:anchor="page74">
              <w:r>
                <w:rPr>
                  <w:rFonts w:ascii="Arial" w:cs="Arial" w:eastAsia="Arial" w:hAnsi="Arial"/>
                  <w:sz w:val="18"/>
                  <w:szCs w:val="18"/>
                  <w:b w:val="1"/>
                  <w:bCs w:val="1"/>
                  <w:color w:val="0000EE"/>
                  <w:w w:val="98"/>
                </w:rPr>
                <w:t>PART IV</w:t>
              </w:r>
            </w:hyperlink>
          </w:p>
        </w:tc>
        <w:tc>
          <w:tcPr>
            <w:tcW w:w="1340" w:type="dxa"/>
            <w:vAlign w:val="bottom"/>
          </w:tcPr>
          <w:p>
            <w:pPr>
              <w:spacing w:after="0"/>
              <w:rPr>
                <w:sz w:val="24"/>
                <w:szCs w:val="24"/>
                <w:color w:val="auto"/>
              </w:rPr>
            </w:pPr>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640" w:type="dxa"/>
            <w:vAlign w:val="bottom"/>
            <w:gridSpan w:val="1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4"/>
          </w:tcPr>
          <w:p>
            <w:pPr>
              <w:spacing w:after="0"/>
              <w:rPr>
                <w:sz w:val="24"/>
                <w:szCs w:val="24"/>
                <w:color w:val="auto"/>
              </w:rPr>
            </w:pPr>
          </w:p>
        </w:tc>
        <w:tc>
          <w:tcPr>
            <w:tcW w:w="3740" w:type="dxa"/>
            <w:vAlign w:val="bottom"/>
            <w:gridSpan w:val="6"/>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196"/>
        </w:trPr>
        <w:tc>
          <w:tcPr>
            <w:tcW w:w="1020" w:type="dxa"/>
            <w:vAlign w:val="bottom"/>
            <w:gridSpan w:val="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383"/>
        </w:trPr>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gridSpan w:val="18"/>
          </w:tcPr>
          <w:p>
            <w:pPr>
              <w:ind w:left="46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at Wynn Las Vegas”, or “Encore” which is located adjacent to and is connected with Wynn Las Vegas. Wynn Las Vegas, LLC was formed on April 17, 2001 as a Nevada limited liability company. Unless the context otherwise requires, all references herein to the “Company,” “we,” “us” or “our,” or similar terms, refer to Wynn Las Vegas, LLC and its consolidated subsidiaries. The sole member of the Company is Wynn Resorts Holdings, LLC (“Holdings”). The sole member of Holdings is Wynn Resorts, Limited (“Wynn Resorts”).</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2008, the Company owned the one share that was issued and outstanding. Wynn Capital has neither any significant net assets nor any operating activity. Its sole function is to serve as the co-issuer of the mortgage notes described below.</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2008 was a difficult year for the casino resort business, particularly for U.S. operations. Auto traffic into Las Vegas, airline capacity and air travel to McCarran International Airport have declined, resulting in lower casino volumes and a reduced demand for hotel rooms. The deterioration in global economic conditions will likely continue to cause us to experience lower than historical hotel occupancy rates, room rates, casino volumes and profitability. As a result of these factors, cash flow from operations for the year ended December 31, 2008 was significantly less than that generated in 2007.</w:t>
      </w:r>
    </w:p>
    <w:p>
      <w:pPr>
        <w:spacing w:after="0" w:line="10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factors described above accelerated through 2008 with fourth quarter results in Las Vegas significantly weaker than 2007. Additionally, in early 2009, we have experienced cancellation and attrition of group business at greater than historical levels.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i w:val="1"/>
          <w:iCs w:val="1"/>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Information found on our website is not a part of this Annual Report on Form 10-K.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Wynn Las Vegas opened on April 28, 2005. We believe that the resort offers exceptional accommodations, amenities and service with 2,716 rooms and suites, including 36 fairway villas and 6 private-entry villas for our premium guests. The Tower Suites at Wynn Las Vegas is the only casino resort in the world that has been awarded both the Mobil five-star and AAA five-diamond distinctions. In January 2009, The Spa at Wynn Las Vegas earned five-star recognition from Mobil and became the only spa in Las Vegas to earn such award. In addition, Wynn Las Vegas was recognized for the second year in a row by Michelin, the esteemed European restaurant rating system. In October 2008, three of our restaurants were awarded Michelin stars.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Our resort also received five red pavilions, the highest honor for Michelin rated accommodations.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approximately 111,000 square foot casino features approximately 135 table games, a baccarat salon, private VIP gaming rooms, a poker room, approximately 1,935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Encore opened on December 22, 2008. This resort is located immediately adjacent to and is connected with Wynn Las Vegas and features a 2,034 all-suite hotel as well as an approximately 72,000 square foot casino with approximately 95 table games, a baccarat salon, private VIP gaming rooms, approximately 835 slot machines and a sports book. The resort’s 12 food and beverage outlets include five restaurants, many of which feature award winning chefs. Encore also offers a night club, a spa and salon, approximately 60,000 square feet of meeting space and approximately 27,000 square feet of upscale retail outlets featuring boutiques from Hermes, Chanel and Rock &amp; Republic. The Encore Theater, featuring Danny Gans, opened February 10,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and in order to increase revenues, we have made and continue to make certain enhancements and refinements to our properties. We have incurred and will continue to incur capital expenditures related to these types of enhancements and refinements at Wynn Las Vegas and Encore.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comprising Wynn Las Vegas and Encore is currently improved with a golf course. While we may develop this property in the future; due to the current economic environment and certain restrictions in our credit facilities, we have no immediate plans to develop this property.</w:t>
      </w:r>
    </w:p>
    <w:p>
      <w:pPr>
        <w:spacing w:after="0" w:line="72" w:lineRule="exact"/>
        <w:rPr>
          <w:sz w:val="20"/>
          <w:szCs w:val="20"/>
          <w:color w:val="auto"/>
        </w:rPr>
      </w:pPr>
    </w:p>
    <w:p>
      <w:pPr>
        <w:ind w:right="240" w:firstLine="456"/>
        <w:spacing w:after="0" w:line="375" w:lineRule="auto"/>
        <w:rPr>
          <w:sz w:val="20"/>
          <w:szCs w:val="20"/>
          <w:color w:val="auto"/>
        </w:rPr>
      </w:pPr>
      <w:r>
        <w:rPr>
          <w:rFonts w:ascii="Arial" w:cs="Arial" w:eastAsia="Arial" w:hAnsi="Arial"/>
          <w:sz w:val="18"/>
          <w:szCs w:val="18"/>
          <w:color w:val="auto"/>
        </w:rPr>
        <w:t xml:space="preserve">We continually seek out new opportunities for additional gaming or related businesses, in Las Vegas, other markets in the United States and worldwide. </w:t>
      </w:r>
      <w:r>
        <w:rPr>
          <w:rFonts w:ascii="Arial" w:cs="Arial" w:eastAsia="Arial" w:hAnsi="Arial"/>
          <w:sz w:val="18"/>
          <w:szCs w:val="18"/>
          <w:b w:val="1"/>
          <w:bCs w:val="1"/>
          <w:color w:val="auto"/>
        </w:rPr>
        <w:t>Our Strategy</w:t>
      </w:r>
    </w:p>
    <w:p>
      <w:pPr>
        <w:spacing w:after="0" w:line="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We seek to position Wynn Las Vegas and Encore at Wynn Las Vegas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subsidiary, the senior management of which has significant experience in all major construction disciplines.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and Encore at Wynn Las Vegas are located on the Las Vegas Strip and compete with these and other high-quality resorts and hotel casinos,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and others, have themes and attractions which draw a significant number of visitors and directly compete with our operations. We seek to differentiate Wynn Las Vegas and Encore at Wynn Las Vegas from other major Las Vegas resorts by concentrating on our fundamental elements of design, atmosphere, personal service and luxury.</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and Encore at Wynn Las Vegas may face additional competition from new multi-billion dollar resorts that are expected to open on the Las Vegas Strip before the end of 2010 including, without limitation, City Center, Fontainebleau Las Vegas and Cosmopolitan. There are several other large projects under development in Las Vegas which have been delayed or may be delayed.</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addition of Encore’s 2,034 suites also creates competition for Wynn Las Vegas. While we are attempting to differentiate the product, at this time, we are uncertain how our customers will value the properties on a relative basis.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The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including our properties in Macau, or elsewhere in Asia could draw Asian gaming customers, including “highrollers”, away from Las Vegas.</w:t>
      </w:r>
    </w:p>
    <w:p>
      <w:pPr>
        <w:spacing w:after="0" w:line="10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Reflecting the current economic environment, the Las Vegas gaming and hotel markets experienced the first decline in trends in five years during 2008 with, among other things, a 4.4% decrease in visitation to 37.5 million visitors, a 10.6% decrease in Las Vegas Strip gaming revenue and a 9.8% decrease in average daily room rates, all as compared to the year ended December 2007. We, along with our competitors, have responded to the deterioration in consumer spending by aggressively marketing and pricing our Las Vegas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780" w:right="240" w:hanging="326"/>
        <w:spacing w:after="0" w:line="32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registered by the Nevada Gaming Commission as a publicly traded corporation, referred to as a registered company, for the purposes of the Nevada Gaming Control Act.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a registered company’s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22, 2007,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 We have applied for a new Shelf Approval which is scheduled to be heard in March 2009.</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3"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 :</w:t>
      </w:r>
    </w:p>
    <w:p>
      <w:pPr>
        <w:spacing w:after="0" w:line="4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780" w:right="360" w:hanging="326"/>
        <w:spacing w:after="0" w:line="347"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we had a total of approximately 13,200 employees.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6,300 of our employees. In May 2007, the dealers at Wynn Las Vegas elected the Transportation Workers Union to represent them. We are currently negotiating a contract with the Transportation Workers Union. Certain other unions may seek to organize the workers at Wynn Las Vegas and Encore. Unionization, pressure to unionize, or other forms of collective bargaining could increase our labor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Holdings has filed applications with the U.S. Patent and Trademark Office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Holdings has been successful in demonstrating to the PTO such secondary meaning for the Wynn name in certain of the applications based upon Mr. Wynn’s prominence as a resort developer.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and “ENCORE”. Some of the applications are based upon ongoing use and others are based upon a bona fide intent to use the marks in the future.</w:t>
      </w:r>
    </w:p>
    <w:p>
      <w:pPr>
        <w:spacing w:after="0" w:line="129"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granted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25"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 in occupancy rates and average daily room rates;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two properties for all of our cash flow;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a substantial amount of consolidated debt in relation to our equity. As of December 31, 2008, we had total outstanding debt of approximately $2.8 billion. In addition, our credit agreement and indenture permit us to incur additional indebtedness in connection with potential expansion plans under certain circumstances in the future. Our substantial indebtedness could have important consequences. For example:</w:t>
      </w:r>
    </w:p>
    <w:p>
      <w:pPr>
        <w:spacing w:after="0" w:line="12" w:lineRule="exact"/>
        <w:rPr>
          <w:sz w:val="20"/>
          <w:szCs w:val="20"/>
          <w:color w:val="auto"/>
        </w:rPr>
      </w:pPr>
    </w:p>
    <w:p>
      <w:pPr>
        <w:ind w:left="780" w:right="120" w:hanging="326"/>
        <w:spacing w:after="0" w:line="347"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020" w:hanging="215"/>
        <w:spacing w:after="0"/>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20" w:hanging="215"/>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103" w:lineRule="exact"/>
        <w:rPr>
          <w:rFonts w:ascii="Arial" w:cs="Arial" w:eastAsia="Arial" w:hAnsi="Arial"/>
          <w:sz w:val="18"/>
          <w:szCs w:val="18"/>
          <w:color w:val="auto"/>
        </w:rPr>
      </w:pPr>
    </w:p>
    <w:p>
      <w:pPr>
        <w:ind w:left="1020" w:hanging="215"/>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103" w:lineRule="exact"/>
        <w:rPr>
          <w:rFonts w:ascii="Arial" w:cs="Arial" w:eastAsia="Arial" w:hAnsi="Arial"/>
          <w:sz w:val="18"/>
          <w:szCs w:val="18"/>
          <w:color w:val="auto"/>
        </w:rPr>
      </w:pPr>
    </w:p>
    <w:p>
      <w:pPr>
        <w:ind w:left="780" w:right="10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operations of Wynn Las Vegas and Encore to service and amortize our indebtedness and to pay final construction and retention payables for Encore (approximately $202 million at December 31, 2008) which will reduce the amount of available cash, if any, to fund working capital, other capital expenditures and other general corporate purposes, and may give us greater exposure to the current adverse economic and industry condition;</w:t>
      </w:r>
    </w:p>
    <w:p>
      <w:pPr>
        <w:spacing w:after="0" w:line="48" w:lineRule="exact"/>
        <w:rPr>
          <w:rFonts w:ascii="Arial" w:cs="Arial" w:eastAsia="Arial" w:hAnsi="Arial"/>
          <w:sz w:val="18"/>
          <w:szCs w:val="18"/>
          <w:color w:val="auto"/>
        </w:rPr>
      </w:pPr>
    </w:p>
    <w:p>
      <w:pPr>
        <w:ind w:left="780" w:right="20" w:hanging="326"/>
        <w:spacing w:after="0" w:line="255"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48"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satisfy working capital requirements, or pay for other capital expenditures, debt service or other obligations;</w:t>
      </w:r>
    </w:p>
    <w:p>
      <w:pPr>
        <w:spacing w:after="0" w:line="37"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our credit facilities, rates we pay will fluctuate with market rates and, accordingly, our interest expense will increase if market interest rates increase; and</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and first mortgage notes.</w:t>
      </w:r>
    </w:p>
    <w:p>
      <w:pPr>
        <w:spacing w:after="0" w:line="12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72" w:lineRule="exact"/>
        <w:rPr>
          <w:sz w:val="20"/>
          <w:szCs w:val="20"/>
          <w:color w:val="auto"/>
        </w:rPr>
      </w:pPr>
    </w:p>
    <w:p>
      <w:pPr>
        <w:ind w:left="240" w:right="660"/>
        <w:spacing w:after="0" w:line="325"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facilities impose operating and financial restrictions on us and our restricted subsidiaries, including, among other things, limitations on the ability to:</w:t>
      </w:r>
    </w:p>
    <w:p>
      <w:pPr>
        <w:spacing w:after="0" w:line="10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7"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adversely affect our operations.</w:t>
      </w:r>
    </w:p>
    <w:p>
      <w:pPr>
        <w:spacing w:after="0" w:line="130"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affects prospects of debt refinancing, availability of credit to us and to our customers and the profitability of our business.</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There was unprecedented deterioration in financial and credit markets worldwide in 2008.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have been and will continue to be large additions to the room supply in Las Vegas.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118"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We are entirely dependent on two properties for all of our cash flow, which subjects us to greater risks than a gaming company with more operating properties.</w:t>
      </w:r>
    </w:p>
    <w:p>
      <w:pPr>
        <w:spacing w:after="0" w:line="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4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w:t>
      </w:r>
    </w:p>
    <w:p>
      <w:pPr>
        <w:spacing w:after="0" w:line="1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Las Vegas and Encore also compete with other hotel/casino facilities in other cities, riverboat gaming facilities in other states, casino facilities on Native American lands and elsewhere in the world, state lotteries and other forms of gaming. The proliferation of gaming activities in other areas could significantly harm our business as well. The impact on our business from the legalization of gaming activities in other metropolitan areas is unclear at this time. In addition, new or renovated casinos in Macau or elsewhere in Asia could draw Asian gaming customers, including high-rollers, away from Wynn Las Vegas and Encore.</w:t>
      </w:r>
    </w:p>
    <w:p>
      <w:pPr>
        <w:spacing w:after="0" w:line="129"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3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Recent dramatic changes in the economic conditions may make it more difficult to assess creditworthiness and more difficult to collect the full amounts of any gaming debt owed to us. Our inability to collect gaming debts could have a significant negative impact on our operating results.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we offer is particularly sensitive to downturns in the economy and the corresponding impact on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0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current recession and economic crisis have resulted in a significant decline in the amount of tourism and spending in Las Vegas. In the fourth quarter, the occupancy rates across Las Vegas have declined by approximately 9.9%, room rates have declined by approximately 12.3% and Las Vegas Strip gaming revenue has declined approximately 21.7%, compared to the fourth quarter of 2007. We have also recently experienced increased levels of attrition and cancellation in the group business segment. If these trends continue, our financial condition, results of operations and cash flows will be adversely affected.</w:t>
      </w:r>
    </w:p>
    <w:p>
      <w:pPr>
        <w:spacing w:after="0" w:line="84"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Wynn Las Vegas and Encore offer. Changes in consumer preferences or discretionary consumer spending could harm our business. The terrorist attacks of September 11, 2001, other terrorist activities in the United States and elsewhere, military conflicts in Iraq and in the Middle East, past outbreaks of infectious disease and tsunamis, among other things,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$800 million of losses that could result from these acts. However, these types of acts could expose us to losses that exceed our coverage and could have a significant negative impact on our operations.</w:t>
      </w:r>
    </w:p>
    <w:p>
      <w:pPr>
        <w:spacing w:after="0" w:line="7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27"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service marks, our business or results of operations could be harmed.</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Holdings.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and “ENCORE.” Some of the applications are based upon ongoing use and others are based upon a bona fide intent to use the marks in the future.</w:t>
      </w:r>
    </w:p>
    <w:p>
      <w:pPr>
        <w:spacing w:after="0" w:line="12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Wynn Resorts. In 2008, Wynn Resorts extended the term of Mr. Wynn’s employment agreement until October 2020. However, we cannot assure you that</w:t>
      </w:r>
    </w:p>
    <w:p>
      <w:pPr>
        <w:spacing w:after="0" w:line="38"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first mortgage notes and would constitute an event of default under our credit facilities.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0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ultimate parent company is Wynn Resorts. Mr. Wynn and Aruze USA, Inc., a company controlled by one of our directors, each own approximately 21% of Wynn Resorts’ currently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93"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On November 13, 2006, the Board of Wynn Resorts approved an amendment of its bylaws that exempts future acquisitions of shares of Wynn Resorts’ common stock by either Mr. Wynn or Aruze USA, Inc. (each owning approximately 21% of our common stock as of December 31, 2008)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w:t>
      </w:r>
    </w:p>
    <w:p>
      <w:pPr>
        <w:ind w:right="120"/>
        <w:spacing w:after="0" w:line="257" w:lineRule="auto"/>
        <w:rPr>
          <w:sz w:val="20"/>
          <w:szCs w:val="20"/>
          <w:color w:val="auto"/>
        </w:rPr>
      </w:pPr>
      <w:r>
        <w:rPr>
          <w:rFonts w:ascii="Arial" w:cs="Arial" w:eastAsia="Arial" w:hAnsi="Arial"/>
          <w:sz w:val="15"/>
          <w:szCs w:val="15"/>
          <w:color w:val="auto"/>
        </w:rPr>
        <w:t>on the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w:t>
      </w:r>
    </w:p>
    <w:p>
      <w:pPr>
        <w:ind w:right="280" w:firstLine="8"/>
        <w:spacing w:after="0" w:line="274" w:lineRule="auto"/>
        <w:tabs>
          <w:tab w:leader="none" w:pos="2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4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Wynn Resorts’ board of directors. In addition, in November 2006, this agreement was amended to require the written consent of both Mr. Wynn and Aruze USA, Inc. prior to either party selling or transferring any shares of Wynn Resorts that it owns.</w:t>
      </w:r>
    </w:p>
    <w:p>
      <w:pPr>
        <w:spacing w:after="0" w:line="131" w:lineRule="exact"/>
        <w:rPr>
          <w:sz w:val="20"/>
          <w:szCs w:val="20"/>
          <w:color w:val="auto"/>
        </w:rPr>
      </w:pPr>
    </w:p>
    <w:p>
      <w:pPr>
        <w:ind w:left="240" w:right="80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0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bank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We also own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 during the fourth quarter of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right="2320" w:firstLine="56"/>
        <w:spacing w:after="0" w:line="3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distributions on our membership interests. We currently intend to retain all available funds and any future consolidated earnings to fund our operations and the development and growth of our business and therefore do not anticipate paying any cash distributions.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from making dividends or distributions. Specifically, we are restricted under the indenture governing the first mortgage notes from making certain “restricted payments” as defined in the indenture. These restricted payments include the payment of distributions to any direct or indirect holders of our membership interests. These restricted payments cannot be made unless certain financial and non-financial criteria have been satisfied. In addition, the terms of our other loan agreements contain similar restrictions.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 Management’s Discussion and Analysis of Financial Condition and Results of Operations” and the other information contained in this Annual Report on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124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Net revenues [1]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1,099,891</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$1,295,851</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$1,139,348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722,292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(58,350)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200,621</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116,456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(46,431)</w:t>
            </w: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(129,794)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9,808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(160,502)</w:t>
            </w:r>
          </w:p>
        </w:tc>
      </w:tr>
      <w:tr>
        <w:trPr>
          <w:trHeight w:val="378"/>
        </w:trPr>
        <w:tc>
          <w:tcPr>
            <w:tcW w:w="1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11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2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124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r>
      <w:tr>
        <w:trPr>
          <w:trHeight w:val="95"/>
        </w:trPr>
        <w:tc>
          <w:tcPr>
            <w:tcW w:w="11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123,315</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146,521</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   93,820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87,777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 [2]</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197,517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4,579</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865,130</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214,574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1,448,529</w:t>
            </w:r>
          </w:p>
        </w:tc>
        <w:tc>
          <w:tcPr>
            <w:tcW w:w="6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4,584,271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3,647,256</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3,119,888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3,195,828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2,788,302</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Total long-term obligations [3]</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2,898,378</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2,035,653</w:t>
            </w:r>
          </w:p>
        </w:tc>
        <w:tc>
          <w:tcPr>
            <w:tcW w:w="1660" w:type="dxa"/>
            <w:vAlign w:val="bottom"/>
            <w:gridSpan w:val="3"/>
          </w:tcPr>
          <w:p>
            <w:pPr>
              <w:jc w:val="right"/>
              <w:ind w:right="420"/>
              <w:spacing w:after="0"/>
              <w:rPr>
                <w:sz w:val="20"/>
                <w:szCs w:val="20"/>
                <w:color w:val="auto"/>
              </w:rPr>
            </w:pPr>
            <w:r>
              <w:rPr>
                <w:rFonts w:ascii="Arial" w:cs="Arial" w:eastAsia="Arial" w:hAnsi="Arial"/>
                <w:sz w:val="18"/>
                <w:szCs w:val="18"/>
                <w:color w:val="auto"/>
              </w:rPr>
              <w:t>1,683,906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1,763,995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1,356,593</w:t>
            </w:r>
          </w:p>
        </w:tc>
        <w:tc>
          <w:tcPr>
            <w:tcW w:w="6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1,257,563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1,375,020</w:t>
            </w:r>
          </w:p>
        </w:tc>
        <w:tc>
          <w:tcPr>
            <w:tcW w:w="16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1,242,770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1,224,829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1,276,868</w:t>
            </w:r>
          </w:p>
        </w:tc>
        <w:tc>
          <w:tcPr>
            <w:tcW w:w="60" w:type="dxa"/>
            <w:vAlign w:val="bottom"/>
            <w:shd w:val="clear" w:color="auto" w:fill="CCEEFF"/>
          </w:tcPr>
          <w:p>
            <w:pPr>
              <w:spacing w:after="0"/>
              <w:rPr>
                <w:sz w:val="18"/>
                <w:szCs w:val="18"/>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long-term amounts due to affiliates.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at Wynn Las Vegas (“Encore”), a destination casino resort located adjacent to Wynn Las Vegas, which opened on December 22, 2008. Until the opening of Wynn Las Vegas in 2005, we were solely a development stage company.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6"/>
              </w:rPr>
              <w:t>Approximate Casino</w:t>
            </w:r>
          </w:p>
        </w:tc>
        <w:tc>
          <w:tcPr>
            <w:tcW w:w="820" w:type="dxa"/>
            <w:vAlign w:val="bottom"/>
          </w:tcPr>
          <w:p>
            <w:pPr>
              <w:spacing w:after="0"/>
              <w:rPr>
                <w:sz w:val="15"/>
                <w:szCs w:val="15"/>
                <w:color w:val="auto"/>
              </w:rPr>
            </w:pPr>
          </w:p>
        </w:tc>
        <w:tc>
          <w:tcPr>
            <w:tcW w:w="182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88"/>
              </w:rPr>
              <w:t>Approximate</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Hotel Rooms &amp;</w:t>
            </w: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Number of Table</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920" w:type="dxa"/>
            <w:vAlign w:val="bottom"/>
          </w:tcPr>
          <w:p>
            <w:pPr>
              <w:jc w:val="right"/>
              <w:ind w:right="200"/>
              <w:spacing w:after="0"/>
              <w:rPr>
                <w:sz w:val="20"/>
                <w:szCs w:val="20"/>
                <w:color w:val="auto"/>
              </w:rPr>
            </w:pPr>
            <w:r>
              <w:rPr>
                <w:rFonts w:ascii="Arial" w:cs="Arial" w:eastAsia="Arial" w:hAnsi="Arial"/>
                <w:sz w:val="14"/>
                <w:szCs w:val="14"/>
                <w:b w:val="1"/>
                <w:bCs w:val="1"/>
                <w:color w:val="auto"/>
              </w:rPr>
              <w:t>Suites</w:t>
            </w:r>
          </w:p>
        </w:tc>
        <w:tc>
          <w:tcPr>
            <w:tcW w:w="820" w:type="dxa"/>
            <w:vAlign w:val="bottom"/>
          </w:tcPr>
          <w:p>
            <w:pPr>
              <w:spacing w:after="0"/>
              <w:rPr>
                <w:sz w:val="15"/>
                <w:szCs w:val="15"/>
                <w:color w:val="auto"/>
              </w:rPr>
            </w:pPr>
          </w:p>
        </w:tc>
        <w:tc>
          <w:tcPr>
            <w:tcW w:w="12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Square Footage</w:t>
            </w:r>
          </w:p>
        </w:tc>
        <w:tc>
          <w:tcPr>
            <w:tcW w:w="820" w:type="dxa"/>
            <w:vAlign w:val="bottom"/>
          </w:tcPr>
          <w:p>
            <w:pPr>
              <w:spacing w:after="0"/>
              <w:rPr>
                <w:sz w:val="15"/>
                <w:szCs w:val="15"/>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Games</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1"/>
              </w:rPr>
              <w:t>of Slots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26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135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Encore</w:t>
            </w:r>
          </w:p>
        </w:tc>
        <w:tc>
          <w:tcPr>
            <w:tcW w:w="920" w:type="dxa"/>
            <w:vAlign w:val="bottom"/>
          </w:tcPr>
          <w:p>
            <w:pPr>
              <w:jc w:val="right"/>
              <w:spacing w:after="0"/>
              <w:rPr>
                <w:sz w:val="20"/>
                <w:szCs w:val="20"/>
                <w:color w:val="auto"/>
              </w:rPr>
            </w:pPr>
            <w:r>
              <w:rPr>
                <w:rFonts w:ascii="Arial" w:cs="Arial" w:eastAsia="Arial" w:hAnsi="Arial"/>
                <w:sz w:val="18"/>
                <w:szCs w:val="18"/>
                <w:color w:val="auto"/>
              </w:rPr>
              <w:t>2,034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2640" w:type="dxa"/>
            <w:vAlign w:val="bottom"/>
            <w:gridSpan w:val="3"/>
          </w:tcPr>
          <w:p>
            <w:pPr>
              <w:jc w:val="right"/>
              <w:ind w:right="840"/>
              <w:spacing w:after="0"/>
              <w:rPr>
                <w:sz w:val="20"/>
                <w:szCs w:val="20"/>
                <w:color w:val="auto"/>
              </w:rPr>
            </w:pPr>
            <w:r>
              <w:rPr>
                <w:rFonts w:ascii="Arial" w:cs="Arial" w:eastAsia="Arial" w:hAnsi="Arial"/>
                <w:sz w:val="18"/>
                <w:szCs w:val="18"/>
                <w:color w:val="auto"/>
              </w:rPr>
              <w:t>95</w:t>
            </w:r>
          </w:p>
        </w:tc>
        <w:tc>
          <w:tcPr>
            <w:tcW w:w="76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22</w:t>
            </w: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77" w:lineRule="exact"/>
        <w:rPr>
          <w:sz w:val="20"/>
          <w:szCs w:val="20"/>
          <w:color w:val="auto"/>
        </w:rPr>
      </w:pPr>
    </w:p>
    <w:p>
      <w:pPr>
        <w:ind w:left="780" w:right="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 Diamond, Mobil Five 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opened Encore on December 22, 2008. This resort is located immediately adjacent to and connected with Wynn Las Vegas. Encore currently features:</w:t>
      </w:r>
    </w:p>
    <w:p>
      <w:pPr>
        <w:spacing w:after="0" w:line="11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approximately 72,000 square foot casino offering 24-hour gaming and a full range of games, including private baccarat salons and a sports book;</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27,000 square feet of high-end brand name retail shopping, including stores and boutiques featuring Hermes, Chanel and Rock &amp; Republic;</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comprising Wynn Las Vegas and Encore is currently improved with a golf course. While we may develop this property in the future; due to the current economic environment and certain restrictions in our credit facilities, we have no immediate plans to develop this property.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declined, resulting in lower casino volumes and a reduced demand for hotel rooms. This slow down was particularly significant in the fourth quarter of 2008 and has continued into the first quarter of 2009. Based on our experience in 2008 and current market conditions, we believe that Wynn Las Vegas and Encore has in the last several months, and will continue to experience lower than historical hotel occupancy rates, room rates, casino volumes and accordingly lower departmental profitability.</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result of the current economic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 We expect that these initiatives, along with other operational efficiencies, will save approximately $75-$100 million annually.</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factors described above accelerated through 2008 with fourth quarter results in Las Vegas significantly weaker than 2007. Additionally, in early 2009, we have experienced cancellation and attrition of group business at greater than historical levels.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results of operations for the year ended December 31, 2008, include 10 days of operations for Encore which opened on December 22, 2008. Encore did not significantly impact our results of operations for the year ended December 31, 2008.</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in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2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recorded a net loss for the year ended December 31, 2008 of $129.8 million, which represents a $254 million decrease from the net income of $124.2 million recorded during the year ended December 31, 2007. This change is primarily due to decreases in revenues and operating income in our casino and hotel operations as identified below, a significant increase in pre-opening costs related to Encore, an increase in depreciation and amortization and an increase in property charges and other primarily related to the writeoff associated with the closure of the production show Spamalot.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7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2008 compared to financial results for the year ended December 31, 2007.</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 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3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53"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60325</wp:posOffset>
            </wp:positionV>
            <wp:extent cx="1115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Occupancy</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91.8%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 $311 million, retail revenues of approximately $94.8 million, entertainment revenues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of approximately $64.5 million, and other revenues from outlets, including the spa and salon, of approximately $50.2 million. Food and beverage revenues and retail revenues declined in 2008 as compared to 2007 as a result in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 We have renovated the theater and on February 10, 2009, it reopened as the Encore Theater featuring Danny Gans.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2008, departmental expenses included casino expenses of $258 million, rooms expenses of $73.8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$188.5 million, and entertainment, retail and other expenses of $132.9 million. General and administrative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$199.5 million and approximately $24.9 million charged as a provision for doubtful accounts receivable. During the year ended December 31, 2007, departmental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included casino expenses of $276.5 million, room expenses of $75.8 million, food and beverage expenses of $192.5 million, and entertainment,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of $145.5 million. Also included are general and administrative expenses of approximately $199.8 million and approximately $21.1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charged as a provision for doubtful accounts receivable. Departmental expenses decreased commensurate with the decrease in revenues.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increased with the opening of Encore, offset by a reduction in employee bonuses for the year ended December 31, 2008. Our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doubtful accounts receivable increased compared to prior year primarily due to an additional provision in light of the current global economic uncertainties.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Depreciation and amortization expense for the year ended December 31, 2008 was $169.6 million an increase of $16.8 million compared to the $152.8 million incurred in the year ended December 31, 2007. This increase primarily related to the shortened estimated lives beginning in March 2008, of certain hotel room furniture, fixtures and equipment of Wynn Las Vegas based on a planned room renovation, and the opening of Encore. In light of current economic conditions, the room renovation has been postponed.</w:t>
      </w:r>
    </w:p>
    <w:p>
      <w:pPr>
        <w:spacing w:after="0" w:line="13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 million first mortgage notes issued in November 2007 and approximately $12.5 million net related to borrowings under the Wynn Las Vegas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interest rate swap was accounted for in accordance with Statement of Financial Accounting Standards (“SFAS”) No. 133, “Accounting for Derivative Instruments and Hedging Activity”, as amended. The fair value of our interest rate swap was recorded as either an asset or liability with changes in the fair value of the interest rate swap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from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2007 compared to financial results for the year ended December 31, 2006.</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revenues for the year ended December 31, 2007 were comprised of $642.3 million in net casino revenues (49.6% of total net revenues) and $653.5 million of net non-casino revenues (50.4% of total net revenues). Net revenues for the year ended December 31, 2006 were comprised of $535.6 million in net casino revenues (47% of total net revenues) and $603.8 million of net non-casino revenues (53% of total net revenues). We believe the quality of our resorts’ non-casino amenities, combined with providing guests an unparalleled total resort experience, has driven a premium in our ADR and other non-gaming revenues as well as increased the length of casino play.</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2007 of approximately $642.3 million represents an increase of approximately $106.8 million (or 19.9%) from casino revenues of $535.6 million for the year ended December 31, 2006. The increase in casino revenues is primarily driven by Wynn Las Vegas’ success in the high-end gaming market. For the year ended December 31, 2007, we experienced a 14.6% increase in drop and our average table games win percentage (before discounts) of 25.3% was above the expected range of 21% to 24%. During the year ended December 31, 2006, our average table game win percentage (before discounts) was 22.1%. Slot handle at Wynn Las Vegas increased slightly during the year ended December 31, 2007 as compared to 2006, and our slot win percentage for the years ended December 31, 2007 and 2006 was within the expected range of 4.5% and 5.5%.</w:t>
      </w:r>
    </w:p>
    <w:p>
      <w:pPr>
        <w:spacing w:after="0" w:line="10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year ended December 31, 2007, room revenues were approximately $285.7 million, which represents a $17.5 million (or 6.5%) increase over the $268.2 million generated for the year ended December 31, 2006. The increase is primarily driven by increased occupancy and rates as noted in the table of key operating measures below.</w:t>
      </w:r>
    </w:p>
    <w:p>
      <w:pPr>
        <w:spacing w:after="0" w:line="122"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For the Year Ended</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60325</wp:posOffset>
            </wp:positionV>
            <wp:extent cx="11150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Occupancy</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96.0%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During the year ended December 31, 2007, departmental expenses included casino expenses of $276.5 million, rooms expenses of $75.8 million, food and beverage expenses of $192.5 million, and entertainment, retail and other expenses of $145.5 million. Also included are general and administrative expenses of approximately $199.8 million and approximately $21.1 million charged as a provision for doubtful accounts receivable. During the year ended December 31, 2006, departmental expenses included casino expenses of $250.4 million, room expenses of $71.2 million, food and beverage expenses of $185.4 million, and entertainment, retail and other expenses of $129.9 million. Also included are general and administrative expenses of approximately $180.7 million and approximately $20.7 million charged as a provision for doubtful accounts receivable. The increase of Wynn Las Vegas expenses is commensurate with the increase in revenues.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$19.5 million for the year ended December 31, 2007 compared to $17.1 million for the prior year as a result of increased revenues.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Pre-opening costs for the year ended December 31, 2007 of $6.5 million increased by $4.4 million compared to the $2 million incurred during the year ended December 31, 2006. Pre-opening costs for the year ended December 31, 2007 were incurred with the opening of “Monty Python’s Spamalot” and the development of Encore.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2007 of $152.8 million increased by $5.2 million compared to the $147.6 million incurred in the year ended December 31, 2006, primarily due to the addition of a new employee parking garage and the amortization of additional show production costs.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construction of Wynn Las Vegas and Encore,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When Encore opens and these assets are placed into service in December 2008, we will begin recognizing the associated depreciation expense thereon.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2007 of $6 million decreased by $8.4 million compared to the $14.4 million incurred for the year ended December 31, 2006.</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continue to make enhancements and refinements to Wynn Las Vegas.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Lure to the nightclub Blush.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Interest income was $14.2 million for the year ended December 31, 2007, a decrease of $8.6 million compared to $22.8 million for the year ended December 31, 2006. This decrease is primarily due to reduced interest income earned on restricted cash balances during the year ended December 31, 2007 compared to 2006 as our restricted cash was used to fund costs related to the development and construction of Encore.</w:t>
      </w:r>
    </w:p>
    <w:p>
      <w:pPr>
        <w:spacing w:after="0" w:line="93"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Interest expense, net of capitalized interest of $33.6 million, was $86.1 million for the year ended December 31, 2007 compared to $117.8 million, net of capitalized interest of $7.7 million, for the year ended December 31, 2006. This decrease is due to lower average debt balances under the credit facilities during the year, lower interest rates as a result of the August 2006 bank refinancing and increased capitalized interest of $25.9 million due to the continued construction of Encore, offset by approximately $4 million of additional interest expense related to the $400 million of debt issued in November 2007. Interest capitalization will increase in future periods as Encore construction progresses.</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Activity”, as amended. The fair value of our interest rate swap is recorded as either an asset or liability with changes in the fair value of the interest rate swap recorded as an increase (decrease) in swap fair value. We recorded a decrease in swap fair value of approximately $4.4 million for the year ended December 31, 2007 and an increase in swap fair value of approximately $871,000 for the year ended December 31, 2006 resulting from a decrease in the fair value of our interest rate swap from December 31, 2006 to December 31, 2007 and an increase in the fair value of our interest rate swap from December 31, 2005 to December 31, 2006 (December 31, 2005 to August 15, 2006 in the case of the terminated swap), respectively. We began 2006 with two $200 million notional amount interest rate swaps. On August 15, 2006, concurrent with the refinancing of our Credit Facilities (see “Liquidity and Capital Resources—Financing Activity”), we terminated one of our two previously existing interest rate swaps. For further information on our interest rate swaps, see Part II-Item 7A. “Quantitative and Qualitative Disclosures about Market Risk.”</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Loss from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 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12% Second Mortgage Notes due 2010 (the “Second Mortgage Notes”) and incurred a $1.7 million redemption premium which is also included as loss from extinguishment of debt.</w:t>
      </w:r>
    </w:p>
    <w:p>
      <w:pPr>
        <w:spacing w:after="0" w:line="100"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06"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operating cash flows are primarily affected by the operating income generated by Wynn Las Vegas and Encore, interest paid, and non-cash charges included in operating income. Net cash provided by operations for the year ended December 31, 2008 was $135.1 million compared to $315.7 million provided by operations for the year ended December 31, 2007. This decrease is due to the decrease in operating income as a result of a decline in operational results especially in the casino and hotel departments as noted above and an increase in pre-opening costs of $65.9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December 31, 2008, we had approximately $123.3 million of cash and cash equivalents available for use without restriction, including for operations, debt service and retirement, funding the remaining construction and retention payables related to Encore (approximately $202 million as of December 31, 2008), new development activities, enhancements to Wynn Las Vegas and Encore and general corporate purposes. We require a certain amount of cash on hand for operations. We will require additional funds to pay the final construction and retention payables related to Encore. We anticipate such funds, together with any other cash needs during 2009 in excess of what we generate from operations or additional borrowings, will be provided with capital contributions from Wynn Resorts. Subsequent to December 31, 2008, Wynn Resorts made $100 million of such contributions. Except for scheduled quarterly payments on one note payable, we have no debt maturities until August 2011.</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Flows—Investing Activities</w:t>
      </w:r>
    </w:p>
    <w:p>
      <w:pPr>
        <w:spacing w:after="0" w:line="7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Capital expenditures were approximately $1.1 billion for the year ended December 31, 2008 and were almost entirely related to Encore. There was also a decrease in our restricted cash balances which was used to pay construction payables. On April 28, 2006, we commenced construction on Encore which opened on December 22, 2008. Total costs of the project did not exceed our project budget of approximately $2.3 billion for Encore and related capital improvements. During 2008, the project was funded with proceeds from our Wynn Las Vegas Credit Facilities and operating cash flow from Wynn Las Vegas.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the Company loaned $80 million to Wynn Resorts. In July 2008, Wynn Resorts repaid the $80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2008, our Wynn Las Vegas credit facilities consist of a $900 million revolving credit facility (the “Wynn Las Vegas Revolver”) and a $225 million term loan facility (the “Wynn Las Vegas Term Loan”) ( together the “Wynn Las Vegas Credit Facilities”). For borrowings under the Wynn Las Vegas Term Loan we have historically elected Eurodollar loans which bear interest at the 1-month LIBOR and include a margin of 1.875% on that outstanding balance. We had a $200 million notional amount interest rate swap to essentially fix the interest on $200 million of the Wynn Las Vegas Term Loan at the rate of 5.7% per annum that expired in December 2008. (For further information, see Item 7A. “Quantitative and Qualitative Discussions about Market Risk”.)</w:t>
      </w:r>
    </w:p>
    <w:p>
      <w:pPr>
        <w:spacing w:after="0" w:line="10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year ended December 31, 2008, we borrowed $879.5 million under the Wynn Las Vegas Revolver. We also have $20.1 million of outstanding letters of credit that reduce our availability under the Wynn Las Vegas Revolver. Consequently, as of December 31, 2008, $0.4 million remained available under the Wynn Las Vegas Revolver for future borrowings. For borrowings under the Wynn Las Vegas Revolver, we have historically elected Eurodollar loans, which bear interest at the 1-month LIBOR and currently include a margin of 1.625% on the outstanding balance. Beginning June 30, 2009, the margin will fluctuate between a range of 1 to 1.75%, depending on our leverage ratio. In addition to interest, we also pay quarterly in arrears, an annual rate of 0.375% on the daily average of unborrowed availability. Beginning June 30, 2009, the annual fee that we will be required to pay for unborrowed availability is based on our leverage ratio and will range from an annual rate of 0.25% to 0.50%.</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$900 million Wynn Las Vegas Revolver will terminate and be payable in full on August 15, 2011. The Wynn Las Vegas Term Loan will mature in two installments: $112.5 million will be payable on September 30, 2012 and the remaining $112.5 million will be payable on August 15, 2013.</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17, 2008, Wynn Las Vegas entered into a third amendment to its Amended and Restated Credit Agreement dated as of August 15, 2006, as amended April 9, 2007 and as further amended October 31, 2007. This amendment, among other things, provides Wynn Las Vegas with additional flexibility with respect to its financial covenants and related financial calculations.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Wynn Las Vegas Credit Facilities contain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Leverage Ratio, as defined, not greater than 5.00 to 1 as of December 31, 2008, and Consolidated Interest Coverage Ratio, as defined, not less than 1.40 to 1. Management believes that we were in compliance with all covenants at December 31, 2008. The Consolidated Leverage Ratio is 5.00 to 1, 8.25 to 1, 7.75 to 1 and 7.50 to 1 for each of the reporting periods ending March 31, 2009, June 30, 2009, September 30, 2009 and December 31, 2009, respectively. The Consolidated Interest Coverage Ratio is 1.35 to 1 for the reporting period ending March 31, 2009, and then increases to 1.75 to 1 for the reporting periods ending June 30, 2009 and September 30, 2009, and 2.00 to 1 for the reporting period ending December 31, 2009.</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2008, we had outstanding letters of credit totaling $20.1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2008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1"/>
              </w:rPr>
              <w:t>Less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Than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1 to 3</w:t>
            </w:r>
          </w:p>
        </w:tc>
        <w:tc>
          <w:tcPr>
            <w:tcW w:w="52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4 to 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After 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0"/>
              <w:spacing w:after="0"/>
              <w:rPr>
                <w:sz w:val="20"/>
                <w:szCs w:val="20"/>
                <w:color w:val="auto"/>
              </w:rPr>
            </w:pPr>
            <w:r>
              <w:rPr>
                <w:rFonts w:ascii="Arial" w:cs="Arial" w:eastAsia="Arial" w:hAnsi="Arial"/>
                <w:sz w:val="14"/>
                <w:szCs w:val="14"/>
                <w:b w:val="1"/>
                <w:bCs w:val="1"/>
                <w:color w:val="auto"/>
                <w:w w:val="94"/>
              </w:rPr>
              <w:t>Years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$ 227.8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$ 1,732.9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225.3</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103.2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[2]</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commitments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217.1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1,174.1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$ 461.2</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$ 1,840.9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$ 3,693.3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-172720</wp:posOffset>
            </wp:positionV>
            <wp:extent cx="3302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-172720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-172720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-172720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-172720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105918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59180" cy="29845"/>
                    </a:xfrm>
                    <a:prstGeom prst="rect">
                      <a:avLst/>
                    </a:prstGeom>
                    <a:noFill/>
                  </pic:spPr>
                </pic:pic>
              </a:graphicData>
            </a:graphic>
          </wp:anchor>
        </w:drawing>
      </w:r>
    </w:p>
    <w:p>
      <w:pPr>
        <w:spacing w:after="0" w:line="80" w:lineRule="exact"/>
        <w:rPr>
          <w:sz w:val="20"/>
          <w:szCs w:val="20"/>
          <w:color w:val="auto"/>
        </w:rPr>
      </w:pPr>
    </w:p>
    <w:p>
      <w:pPr>
        <w:jc w:val="both"/>
        <w:ind w:left="460" w:right="620" w:hanging="452"/>
        <w:spacing w:after="0" w:line="305"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Amounts for all periods represent our estimated future interest payments on our debt facilities based upon amounts outstanding and LIBOR rates at December 31, 2008. Such rates are at historical lows as of December 31, 2008 and have been very volatile in recent months. Actual rates will vary.</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includes open purchase orders, aircraft purchase and other contracts.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 restricted payments may not be made until certain other financial and non-financial criteria have been satisfied. In addition, the Credit Facilities contain similar restrictions.</w:t>
      </w:r>
    </w:p>
    <w:p>
      <w:pPr>
        <w:spacing w:after="0" w:line="93"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Wynn Las Vegas and Encore will fund its operations and capital requirements from operating cash flow and to the extent required and available from capital contributions from Wynn Resorts. We cannot be sure that Wynn Las Vegas and Encore will generate sufficient cash flow from operations or that future borrowings or contributions from Wynn Resorts that are available to us, if any, will be sufficient to enable us to service and repay Wynn Las Vegas, LLC’s indebtedness and to fund its other liquidity needs. We cannot be sure that we will be able to refinance any of the indebtedness on acceptable terms or at all.</w:t>
      </w:r>
    </w:p>
    <w:p>
      <w:pPr>
        <w:spacing w:after="0" w:line="8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7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58"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SFAS No. 144, “Accounting for the Impairment or Disposal of Long-Lived Assets.” For assets to be disposed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2008 and 2007, approximately 69% and 53%,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740" w:type="dxa"/>
            <w:vAlign w:val="bottom"/>
            <w:gridSpan w:val="4"/>
          </w:tcPr>
          <w:p>
            <w:pPr>
              <w:ind w:left="148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161,913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46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increase in the allowance for doubtful accounts as a percentage of casino accounts receivable is due to a change in our reserve estimates effective September 2008, as a result of the current global economic uncertainty. Our reserve for doubtful casino accounts receivable is based on our estimates of amounts collectible and depends on the risk assessments and judgments by our employees regarding realizability, the state of the economy and our credit policy.</w:t>
      </w:r>
    </w:p>
    <w:p>
      <w:pPr>
        <w:spacing w:after="0" w:line="7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in a region’s economy or legal system.</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account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 During the year ended December 31, 2008, we had one interest rate swap with changes in fair value being recorded in our Consolidated Statements of Operations. This swap matured on December 31, 2008.</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us.</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2006, the Financial Accounting Standards Board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We partially adopted the provisions of SFAS 157 effective January 1, 2008 and expect to adopt the remaining provisions of SFAS 157 on January 1, 2009. The adoption of this statement did not have a material impact on our consolidated financial statements.</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SFAS No. 159 on January 1, 2008, did not have a material impact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2008, the FASB issued FSP EITF 03-6-1, Determining Whether Instruments Granted in Share-Based Payment Transactions Are Participating Securities. This FSP addresses whether instruments granted in share-based payment transactions are participating securities prior to vesting and, therefore, need to be included in the earnings allocation in computing earnings per share (“EPS”) under the two-class method described in paragraphs 60 and 61 of FASB Statement No. 128, Earnings per Share. The FSP will be effective for financial statements issued for fiscal years and interim periods beginning after December 15, 2008. All prior period EPS data presented shall be adjusted retrospectively to conform to the provisions of this FSP. We are currently evaluating the impact of this FSP, but do not expect it to have a material impact on our consolidated results of operations or financial position.</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w:t>
      </w:r>
      <w:r>
        <w:rPr>
          <w:rFonts w:ascii="Arial" w:cs="Arial" w:eastAsia="Arial" w:hAnsi="Arial"/>
          <w:sz w:val="18"/>
          <w:szCs w:val="18"/>
          <w:i w:val="1"/>
          <w:iCs w:val="1"/>
          <w:color w:val="auto"/>
        </w:rPr>
        <w:t>s</w:t>
      </w:r>
      <w:r>
        <w:rPr>
          <w:rFonts w:ascii="Arial" w:cs="Arial" w:eastAsia="Arial" w:hAnsi="Arial"/>
          <w:sz w:val="18"/>
          <w:szCs w:val="18"/>
          <w:color w:val="auto"/>
        </w:rPr>
        <w:t xml:space="preserve">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“Item 7. Management’s Discussion and Analysis of Financial Condition and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2008 on our expected long-term indebtedness. However, we cannot predict the LIBOR rate that will be in effect in the future. As of December 31, 2008, such rates were at historic lows and have been very volatile in recent months. Actual rates will vary. The one-month LIBOR rate at December 31, 2008 of 0.44% was used for all variable rate calculations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3"/>
              </w:rPr>
              <w:t>As of 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5160" w:type="dxa"/>
            <w:vAlign w:val="bottom"/>
          </w:tcPr>
          <w:p>
            <w:pPr>
              <w:spacing w:after="0"/>
              <w:rPr>
                <w:sz w:val="22"/>
                <w:szCs w:val="22"/>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22"/>
                <w:szCs w:val="22"/>
                <w:color w:val="auto"/>
              </w:rPr>
            </w:pPr>
          </w:p>
        </w:tc>
        <w:tc>
          <w:tcPr>
            <w:tcW w:w="5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22"/>
                <w:szCs w:val="22"/>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22"/>
                <w:szCs w:val="22"/>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22"/>
                <w:szCs w:val="22"/>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95"/>
        </w:trPr>
        <w:tc>
          <w:tcPr>
            <w:tcW w:w="5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Fixed rate</w:t>
            </w:r>
          </w:p>
        </w:tc>
        <w:tc>
          <w:tcPr>
            <w:tcW w:w="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1,700.0</w:t>
            </w:r>
          </w:p>
        </w:tc>
        <w:tc>
          <w:tcPr>
            <w:tcW w:w="4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$1,700.0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Variable rate</w:t>
            </w:r>
          </w:p>
        </w:tc>
        <w:tc>
          <w:tcPr>
            <w:tcW w:w="6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$ 1.1</w:t>
            </w:r>
          </w:p>
        </w:tc>
        <w:tc>
          <w:tcPr>
            <w:tcW w:w="500" w:type="dxa"/>
            <w:vAlign w:val="bottom"/>
            <w:gridSpan w:val="2"/>
          </w:tcPr>
          <w:p>
            <w:pPr>
              <w:jc w:val="center"/>
              <w:ind w:left="59"/>
              <w:spacing w:after="0"/>
              <w:rPr>
                <w:sz w:val="20"/>
                <w:szCs w:val="20"/>
                <w:color w:val="auto"/>
              </w:rPr>
            </w:pPr>
            <w:r>
              <w:rPr>
                <w:rFonts w:ascii="Arial" w:cs="Arial" w:eastAsia="Arial" w:hAnsi="Arial"/>
                <w:sz w:val="18"/>
                <w:szCs w:val="18"/>
                <w:color w:val="auto"/>
                <w:w w:val="89"/>
              </w:rPr>
              <w:t>$ 1.4</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$880.8</w:t>
            </w:r>
          </w:p>
        </w:tc>
        <w:tc>
          <w:tcPr>
            <w:tcW w:w="260" w:type="dxa"/>
            <w:vAlign w:val="bottom"/>
          </w:tcPr>
          <w:p>
            <w:pPr>
              <w:spacing w:after="0"/>
              <w:rPr>
                <w:sz w:val="18"/>
                <w:szCs w:val="18"/>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$113.9</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$113.9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32.9</w:t>
            </w:r>
          </w:p>
        </w:tc>
        <w:tc>
          <w:tcPr>
            <w:tcW w:w="4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$1,144.0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December 31, 2008, our interest rate swap at Wynn Las Vegas matured. This interest rate swap arrangement was intended to hedge the underlying interest rate risk on a total of $200 million of borrowings under the Wynn Las Vegas Term Loan, which bears interest at LIBOR plus 1.875%. Under this interest rate swap arrangement, we received payments at a variable rate of LIBOR and paid a fixed rate of 3.793% on the $200 million notional amount. Although this interest rate swap was highly effective economically in fixing the interest rate on borrowings under the Wynn Las Vegas Term Loan at approximately 5.7%, changes in the fair value of our interest rate swap for each reporting period was recorded as an increase/decrease in swap fair value in our Consolidated Statements of Operations, as the swap did not qualify for hedge accounting. We currently have no interest rate swap contracts.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Swap Fair Values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As of December 31, 2007, our interest rate swap had an approximate asset fair value of $0.4 million. The fair value approximates the amount we would have received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December 31, 2008, approximately 60% of our long-term debt was based on fixed rate. Based on our borrowings as of December 31, 2008, an assumed 1% change in variable rates would cause our annual interest cost to change by $11.4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95"/>
        </w:trPr>
        <w:tc>
          <w:tcPr>
            <w:tcW w:w="2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77"/>
        </w:trPr>
        <w:tc>
          <w:tcPr>
            <w:tcW w:w="488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Report of Independent Registered Public Accounting Firm</w:t>
              </w:r>
            </w:hyperlink>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Balance Sheets</w:t>
              </w:r>
            </w:hyperlink>
          </w:p>
        </w:tc>
        <w:tc>
          <w:tcPr>
            <w:tcW w:w="760" w:type="dxa"/>
            <w:vAlign w:val="bottom"/>
          </w:tcPr>
          <w:p>
            <w:pPr>
              <w:spacing w:after="0"/>
              <w:rPr>
                <w:sz w:val="22"/>
                <w:szCs w:val="22"/>
                <w:color w:val="auto"/>
              </w:rPr>
            </w:pP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Consolidated Statements of Operations</w:t>
              </w:r>
            </w:hyperlink>
          </w:p>
        </w:tc>
        <w:tc>
          <w:tcPr>
            <w:tcW w:w="2120" w:type="dxa"/>
            <w:vAlign w:val="bottom"/>
            <w:gridSpan w:val="5"/>
          </w:tcPr>
          <w:p>
            <w:pPr>
              <w:spacing w:after="0"/>
              <w:rPr>
                <w:sz w:val="22"/>
                <w:szCs w:val="22"/>
                <w:color w:val="auto"/>
              </w:rPr>
            </w:pP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Statements of Member’s Equity</w:t>
              </w:r>
            </w:hyperlink>
          </w:p>
        </w:tc>
        <w:tc>
          <w:tcPr>
            <w:tcW w:w="1660" w:type="dxa"/>
            <w:vAlign w:val="bottom"/>
            <w:gridSpan w:val="2"/>
          </w:tcPr>
          <w:p>
            <w:pPr>
              <w:spacing w:after="0"/>
              <w:rPr>
                <w:sz w:val="22"/>
                <w:szCs w:val="22"/>
                <w:color w:val="auto"/>
              </w:rPr>
            </w:pPr>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488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w:t>
              </w:r>
            </w:hyperlink>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64"/>
        </w:trPr>
        <w:tc>
          <w:tcPr>
            <w:tcW w:w="488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6540" w:type="dxa"/>
            <w:vAlign w:val="bottom"/>
            <w:gridSpan w:val="2"/>
          </w:tcPr>
          <w:p>
            <w:pPr>
              <w:jc w:val="right"/>
              <w:spacing w:after="0"/>
              <w:rPr>
                <w:sz w:val="20"/>
                <w:szCs w:val="20"/>
                <w:color w:val="auto"/>
              </w:rPr>
            </w:pPr>
            <w:r>
              <w:rPr>
                <w:rFonts w:ascii="Arial" w:cs="Arial" w:eastAsia="Arial" w:hAnsi="Arial"/>
                <w:sz w:val="18"/>
                <w:szCs w:val="18"/>
                <w:color w:val="auto"/>
              </w:rPr>
              <w:t>44-71</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40" w:type="dxa"/>
            <w:vAlign w:val="bottom"/>
          </w:tcPr>
          <w:p>
            <w:pPr>
              <w:jc w:val="right"/>
              <w:ind w:right="4932"/>
              <w:spacing w:after="0"/>
              <w:rPr>
                <w:sz w:val="20"/>
                <w:szCs w:val="20"/>
                <w:color w:val="auto"/>
              </w:rPr>
            </w:pPr>
            <w:r>
              <w:rPr>
                <w:rFonts w:ascii="Arial" w:cs="Arial" w:eastAsia="Arial" w:hAnsi="Arial"/>
                <w:sz w:val="18"/>
                <w:szCs w:val="18"/>
                <w:color w:val="auto"/>
              </w:rPr>
              <w:t>38</w:t>
            </w: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700" w:firstLine="2695"/>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w:t>
      </w:r>
    </w:p>
    <w:p>
      <w:pPr>
        <w:spacing w:after="0" w:line="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2008 and 2007, and the related consolidated statements of operations, member’s equity, and cash flows for each of the three years in the period ended December 31, 2008.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2008 and 2007, and the consolidated results of their operations and their cash flows for each of the three years in the period ended December 31, 2008,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98,282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21,648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4,108,953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3,031,403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37,462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4,555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4,584,271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3,647,256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46,701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50,127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101,825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2,833,423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1,954,084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3,326,708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2,272,236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1,474,286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1,461,949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(216,723)</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1,257,563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1,375,020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4,584,271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3,647,256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56134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-4193540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34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311,032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1,256,050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1,448,569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(156,159)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(152,718)</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(154,255)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1,099,891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1,295,851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199,825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152,839</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22,406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6,005</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1,158,507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1,096,026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(58,350)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14,217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(86,090)</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(4,372)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(76,402)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(129,794)</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53594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4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$ 1,224,829</w:t>
            </w:r>
          </w:p>
        </w:tc>
        <w:tc>
          <w:tcPr>
            <w:tcW w:w="0" w:type="dxa"/>
            <w:vAlign w:val="bottom"/>
          </w:tcPr>
          <w:p>
            <w:pPr>
              <w:spacing w:after="0"/>
              <w:rPr>
                <w:sz w:val="1"/>
                <w:szCs w:val="1"/>
                <w:color w:val="auto"/>
              </w:rPr>
            </w:pPr>
          </w:p>
        </w:tc>
      </w:tr>
      <w:tr>
        <w:trPr>
          <w:trHeight w:val="430"/>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60" w:type="dxa"/>
            <w:vAlign w:val="bottom"/>
            <w:gridSpan w:val="4"/>
          </w:tcPr>
          <w:p>
            <w:pPr>
              <w:jc w:val="right"/>
              <w:ind w:right="80"/>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4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4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1,242,770</w:t>
            </w:r>
          </w:p>
        </w:tc>
        <w:tc>
          <w:tcPr>
            <w:tcW w:w="0" w:type="dxa"/>
            <w:vAlign w:val="bottom"/>
          </w:tcPr>
          <w:p>
            <w:pPr>
              <w:spacing w:after="0"/>
              <w:rPr>
                <w:sz w:val="1"/>
                <w:szCs w:val="1"/>
                <w:color w:val="auto"/>
              </w:rPr>
            </w:pPr>
          </w:p>
        </w:tc>
      </w:tr>
      <w:tr>
        <w:trPr>
          <w:trHeight w:val="430"/>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60" w:type="dxa"/>
            <w:vAlign w:val="bottom"/>
            <w:gridSpan w:val="4"/>
          </w:tcPr>
          <w:p>
            <w:pPr>
              <w:jc w:val="right"/>
              <w:ind w:right="80"/>
              <w:spacing w:after="0"/>
              <w:rPr>
                <w:sz w:val="20"/>
                <w:szCs w:val="20"/>
                <w:color w:val="auto"/>
              </w:rPr>
            </w:pPr>
            <w:r>
              <w:rPr>
                <w:rFonts w:ascii="Arial" w:cs="Arial" w:eastAsia="Arial" w:hAnsi="Arial"/>
                <w:sz w:val="18"/>
                <w:szCs w:val="18"/>
                <w:color w:val="auto"/>
              </w:rPr>
              <w:t>124,219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4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4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1,375,020</w:t>
            </w:r>
          </w:p>
        </w:tc>
        <w:tc>
          <w:tcPr>
            <w:tcW w:w="0" w:type="dxa"/>
            <w:vAlign w:val="bottom"/>
          </w:tcPr>
          <w:p>
            <w:pPr>
              <w:spacing w:after="0"/>
              <w:rPr>
                <w:sz w:val="1"/>
                <w:szCs w:val="1"/>
                <w:color w:val="auto"/>
              </w:rPr>
            </w:pPr>
          </w:p>
        </w:tc>
      </w:tr>
      <w:tr>
        <w:trPr>
          <w:trHeight w:val="430"/>
        </w:trPr>
        <w:tc>
          <w:tcPr>
            <w:tcW w:w="6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60" w:type="dxa"/>
            <w:vAlign w:val="bottom"/>
            <w:gridSpan w:val="4"/>
          </w:tcPr>
          <w:p>
            <w:pPr>
              <w:jc w:val="right"/>
              <w:ind w:right="2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4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Contributions from Wynn Resorts, Ltd</w:t>
            </w:r>
          </w:p>
        </w:tc>
        <w:tc>
          <w:tcPr>
            <w:tcW w:w="4660" w:type="dxa"/>
            <w:vAlign w:val="bottom"/>
            <w:gridSpan w:val="4"/>
          </w:tcPr>
          <w:p>
            <w:pPr>
              <w:jc w:val="right"/>
              <w:ind w:right="8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46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$ 1,257,563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-27305</wp:posOffset>
            </wp:positionV>
            <wp:extent cx="57023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(129,794)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124,219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169,640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152,839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22,406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(41,782)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(38,706)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22,455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315,714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(1,129,525)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(678,480)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(249,526)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166,465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other assets and intangibles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(35,061)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(26,249)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(24,721)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(1,032,451)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(562,021)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(282,911)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(440,169)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585,460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299,008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147,209</w:t>
            </w:r>
          </w:p>
        </w:tc>
        <w:tc>
          <w:tcPr>
            <w:tcW w:w="2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110,298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ind w:left="420"/>
              <w:spacing w:after="0"/>
              <w:rPr>
                <w:sz w:val="20"/>
                <w:szCs w:val="20"/>
                <w:color w:val="auto"/>
              </w:rPr>
            </w:pPr>
            <w:r>
              <w:rPr>
                <w:rFonts w:ascii="Arial" w:cs="Arial" w:eastAsia="Arial" w:hAnsi="Arial"/>
                <w:sz w:val="18"/>
                <w:szCs w:val="18"/>
                <w:color w:val="auto"/>
              </w:rPr>
              <w:t>Capitalized stock-based compensation</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-648335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-648335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-648335</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-648335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-648335</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-648335</wp:posOffset>
            </wp:positionV>
            <wp:extent cx="3873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-648335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-648335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-648335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2008,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2007, restricted cash consisted primarily of certain proceeds of the Company’s financing activities invested in approved money market funds. The majority of these funds were restricted by the agreements governing the Company’s debt instruments for the payment of certain construction and development costs relating to Encore.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casino customers following investigations of creditworthiness. At December 31, 2008 and 2007, approximately 69% and 53%,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2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3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$80.4 million, $33.6 million and $7.7 million was capitalized for the years ended December 31, 2008, 2007 and 2006,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$8.5 million, $7.2 million and $8.8 million, was amortized to interest expense during the years ended December 31, 2008, 2007 and 2006,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interest rate swaps did not qualify for hedge accounting. Accordingly, changes in the fair value of the interest rate swaps are presented as an increase (decrease) in fair value of swaps in the accompanying Consolidated Statements of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revenues;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27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$27,292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Food and beverage</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53,006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53,742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55,930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$90,325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$88,259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$91,687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37274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37274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$27.1 million including $11.1 million of pre-opening related to Encore, $21.4 million and $16.7 million, respectively, for the years ended December 31, 2008, 2007 and 2006.</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accordance with SFAS 123(R), “Share Based Payment”, the Company recognizes compensation expense on a straight-line basis over the awards vesting period. SFAS 123(R) requires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29" w:lineRule="exact"/>
        <w:rPr>
          <w:sz w:val="20"/>
          <w:szCs w:val="20"/>
          <w:color w:val="auto"/>
        </w:rPr>
      </w:pPr>
    </w:p>
    <w:p>
      <w:pPr>
        <w:ind w:left="240" w:right="42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12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September 2006, FASB issued SFAS No. 157, “Fair Value Measurements”. This statement defines fair value, establishes a framework for measuring fair value, and expands disclosures about fair value measurements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partial adoption of this statement did not have a material impact the Company’s consolidated financial statements.</w:t>
      </w:r>
    </w:p>
    <w:p>
      <w:pPr>
        <w:spacing w:after="0" w:line="13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on January 1, 2008, did not have a material impact on the Company’s consolidated financial statements.</w:t>
      </w:r>
    </w:p>
    <w:p>
      <w:pPr>
        <w:spacing w:after="0" w:line="8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0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2008, the FASB issued FSP EITF 03-6-1, Determining Whether Instruments Granted in Share-Based Payment Transactions Are Participating Securities. This FSP addresses whether instruments granted in share-based payment transactions are participating securities prior to vesting and, therefore, need to be included in the earnings allocation in computing EPS under the two-class method described in paragraphs 60 and 61 of FASB Statement No. 128, Earnings per Share. The FSP will be effective for financial statements issued for fiscal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years and interim periods beginning after December 15, 2008. All prior period EPS data presented shall be adjusted retrospectively to conform to the provisions of this FSP. The Company is currently evaluating the impact of this FSP, but does not expect it to have a material impact on its financial position, results of operations or cash flows.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Measurements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$142,515</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Hotel</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13,051</w:t>
            </w:r>
          </w:p>
        </w:tc>
        <w:tc>
          <w:tcPr>
            <w:tcW w:w="20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15,317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163,696</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185,736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240" w:type="dxa"/>
            <w:vAlign w:val="bottom"/>
            <w:gridSpan w:val="5"/>
          </w:tcPr>
          <w:p>
            <w:pPr>
              <w:jc w:val="right"/>
              <w:ind w:right="140"/>
              <w:spacing w:after="0"/>
              <w:rPr>
                <w:sz w:val="20"/>
                <w:szCs w:val="20"/>
                <w:color w:val="auto"/>
              </w:rPr>
            </w:pPr>
            <w:r>
              <w:rPr>
                <w:rFonts w:ascii="Arial" w:cs="Arial" w:eastAsia="Arial" w:hAnsi="Arial"/>
                <w:sz w:val="18"/>
                <w:szCs w:val="18"/>
                <w:color w:val="auto"/>
              </w:rPr>
              <w:t>(65,414)</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(50,604)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$ 98,282</w:t>
            </w: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92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22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84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695,474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603,838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2,557,489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1,209,562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1,301,182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655,754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40" w:type="dxa"/>
            <w:vAlign w:val="bottom"/>
            <w:tcBorders>
              <w:bottom w:val="single" w:sz="8" w:color="auto"/>
            </w:tcBorders>
            <w:gridSpan w:val="3"/>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4,602,978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3,378,538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(494,025)</w:t>
            </w:r>
          </w:p>
        </w:tc>
        <w:tc>
          <w:tcPr>
            <w:tcW w:w="200" w:type="dxa"/>
            <w:vAlign w:val="bottom"/>
          </w:tcPr>
          <w:p>
            <w:pPr>
              <w:spacing w:after="0"/>
              <w:rPr>
                <w:sz w:val="19"/>
                <w:szCs w:val="19"/>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(347,135)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$ 4,108,953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$ 3,031,403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-2567940</wp:posOffset>
            </wp:positionV>
            <wp:extent cx="114490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490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for the years ended December 31, 2008, 2007 and 2006 was $156.4 million, $139.5 million and $133 million, respectively.</w:t>
      </w:r>
    </w:p>
    <w:p>
      <w:pPr>
        <w:spacing w:after="0" w:line="181" w:lineRule="exact"/>
        <w:rPr>
          <w:sz w:val="20"/>
          <w:szCs w:val="20"/>
          <w:color w:val="auto"/>
        </w:rPr>
      </w:pPr>
    </w:p>
    <w:p>
      <w:pPr>
        <w:jc w:val="both"/>
        <w:ind w:right="920" w:firstLine="456"/>
        <w:spacing w:after="0" w:line="259" w:lineRule="auto"/>
        <w:rPr>
          <w:sz w:val="20"/>
          <w:szCs w:val="20"/>
          <w:color w:val="auto"/>
        </w:rPr>
      </w:pPr>
      <w:r>
        <w:rPr>
          <w:rFonts w:ascii="Arial" w:cs="Arial" w:eastAsia="Arial" w:hAnsi="Arial"/>
          <w:sz w:val="18"/>
          <w:szCs w:val="18"/>
          <w:color w:val="auto"/>
        </w:rPr>
        <w:t>As of December 31, 2008, construction in progress includes construction, development, interest and other costs capitalized in conjunction with enhancements to Wynn Las Vegas. As of December 31, 2007, such balance primarily consisting of the costs associated with Encore which opened on December 22,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Show</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gridSpan w:val="4"/>
          </w:tcPr>
          <w:p>
            <w:pPr>
              <w:ind w:left="2280"/>
              <w:spacing w:after="0" w:line="149" w:lineRule="exact"/>
              <w:rPr>
                <w:sz w:val="20"/>
                <w:szCs w:val="20"/>
                <w:color w:val="auto"/>
              </w:rPr>
            </w:pPr>
            <w:r>
              <w:rPr>
                <w:rFonts w:ascii="Arial" w:cs="Arial" w:eastAsia="Arial" w:hAnsi="Arial"/>
                <w:sz w:val="14"/>
                <w:szCs w:val="14"/>
                <w:b w:val="1"/>
                <w:bCs w:val="1"/>
                <w:color w:val="auto"/>
              </w:rPr>
              <w:t>Production</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Rights</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1, 2007</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20,789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Amortization</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(2,339)</w:t>
            </w:r>
          </w:p>
        </w:tc>
        <w:tc>
          <w:tcPr>
            <w:tcW w:w="260" w:type="dxa"/>
            <w:vAlign w:val="bottom"/>
          </w:tcPr>
          <w:p>
            <w:pPr>
              <w:spacing w:after="0"/>
              <w:rPr>
                <w:sz w:val="19"/>
                <w:szCs w:val="19"/>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-29210</wp:posOffset>
            </wp:positionV>
            <wp:extent cx="44132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2009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56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$ 21,878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Base stock</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28,321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Golf memberships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$ 77,969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$ 63,895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5000" w:type="dxa"/>
            <w:vAlign w:val="bottom"/>
            <w:vMerge w:val="restart"/>
          </w:tcPr>
          <w:p>
            <w:pPr>
              <w:jc w:val="right"/>
              <w:ind w:right="3315"/>
              <w:spacing w:after="0"/>
              <w:rPr>
                <w:sz w:val="20"/>
                <w:szCs w:val="20"/>
                <w:color w:val="auto"/>
              </w:rPr>
            </w:pPr>
            <w:r>
              <w:rPr>
                <w:rFonts w:ascii="Arial" w:cs="Arial" w:eastAsia="Arial" w:hAnsi="Arial"/>
                <w:sz w:val="18"/>
                <w:szCs w:val="18"/>
                <w:color w:val="auto"/>
              </w:rPr>
              <w:t>50</w:t>
            </w: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-325755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-325755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960" w:type="dxa"/>
            <w:vAlign w:val="bottom"/>
          </w:tcPr>
          <w:p>
            <w:pPr>
              <w:spacing w:after="0"/>
              <w:rPr>
                <w:sz w:val="22"/>
                <w:szCs w:val="22"/>
                <w:color w:val="auto"/>
              </w:rPr>
            </w:pPr>
          </w:p>
        </w:tc>
        <w:tc>
          <w:tcPr>
            <w:tcW w:w="11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w w:val="94"/>
              </w:rPr>
              <w:t xml:space="preserve">6 </w:t>
            </w:r>
            <w:r>
              <w:rPr>
                <w:rFonts w:ascii="Arial" w:cs="Arial" w:eastAsia="Arial" w:hAnsi="Arial"/>
                <w:sz w:val="22"/>
                <w:szCs w:val="22"/>
                <w:color w:val="auto"/>
                <w:w w:val="94"/>
                <w:vertAlign w:val="superscript"/>
              </w:rPr>
              <w:t>5</w:t>
            </w:r>
            <w:r>
              <w:rPr>
                <w:rFonts w:ascii="Arial" w:cs="Arial" w:eastAsia="Arial" w:hAnsi="Arial"/>
                <w:sz w:val="18"/>
                <w:szCs w:val="18"/>
                <w:color w:val="auto"/>
                <w:w w:val="94"/>
              </w:rPr>
              <w:t>/</w:t>
            </w:r>
            <w:r>
              <w:rPr>
                <w:rFonts w:ascii="Arial" w:cs="Arial" w:eastAsia="Arial" w:hAnsi="Arial"/>
                <w:sz w:val="13"/>
                <w:szCs w:val="13"/>
                <w:color w:val="auto"/>
                <w:w w:val="94"/>
              </w:rPr>
              <w:t>8</w:t>
            </w:r>
            <w:r>
              <w:rPr>
                <w:rFonts w:ascii="Arial" w:cs="Arial" w:eastAsia="Arial" w:hAnsi="Arial"/>
                <w:sz w:val="18"/>
                <w:szCs w:val="18"/>
                <w:color w:val="auto"/>
                <w:w w:val="94"/>
              </w:rPr>
              <w:t>% First Mortgage Notes, due December 1, 2014, net of original issue discount of $9,561 and $10,816, respectively</w:t>
            </w:r>
          </w:p>
        </w:tc>
        <w:tc>
          <w:tcPr>
            <w:tcW w:w="15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$ 1,690,439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$ 1,689,184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9"/>
              </w:rPr>
              <w:t>$900 million Revolving Credit Facility; due August 15, 2011; interest at LIBOR plus 1.625% (approximately 2.2%)</w:t>
            </w:r>
          </w:p>
        </w:tc>
        <w:tc>
          <w:tcPr>
            <w:tcW w:w="1500" w:type="dxa"/>
            <w:vAlign w:val="bottom"/>
            <w:gridSpan w:val="4"/>
          </w:tcPr>
          <w:p>
            <w:pPr>
              <w:jc w:val="right"/>
              <w:ind w:right="400"/>
              <w:spacing w:after="0"/>
              <w:rPr>
                <w:sz w:val="20"/>
                <w:szCs w:val="20"/>
                <w:color w:val="auto"/>
              </w:rPr>
            </w:pPr>
            <w:r>
              <w:rPr>
                <w:rFonts w:ascii="Arial" w:cs="Arial" w:eastAsia="Arial" w:hAnsi="Arial"/>
                <w:sz w:val="18"/>
                <w:szCs w:val="18"/>
                <w:color w:val="auto"/>
              </w:rPr>
              <w:t>879,484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2"/>
              </w:rPr>
              <w:t>$225 million Term Loan Facility; $112.5 million due September 30, 2012 with the remaining $112.5 million due August 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interest at LIBOR plus 1.875% (approximately 3.1% and 6.9%, respectively)</w:t>
            </w:r>
          </w:p>
        </w:tc>
        <w:tc>
          <w:tcPr>
            <w:tcW w:w="15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225,000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w w:val="94"/>
              </w:rPr>
              <w:t>$42 million Note Payable; due April 1, 2017; interest at LIBOR plus 1.25% (approximately 3.0% and, 6.5% respectively)</w:t>
            </w:r>
          </w:p>
        </w:tc>
        <w:tc>
          <w:tcPr>
            <w:tcW w:w="1500" w:type="dxa"/>
            <w:vAlign w:val="bottom"/>
            <w:gridSpan w:val="4"/>
          </w:tcPr>
          <w:p>
            <w:pPr>
              <w:jc w:val="right"/>
              <w:ind w:right="400"/>
              <w:spacing w:after="0"/>
              <w:rPr>
                <w:sz w:val="20"/>
                <w:szCs w:val="20"/>
                <w:color w:val="auto"/>
              </w:rPr>
            </w:pPr>
            <w:r>
              <w:rPr>
                <w:rFonts w:ascii="Arial" w:cs="Arial" w:eastAsia="Arial" w:hAnsi="Arial"/>
                <w:sz w:val="18"/>
                <w:szCs w:val="18"/>
                <w:color w:val="auto"/>
              </w:rPr>
              <w:t>39,550</w:t>
            </w:r>
          </w:p>
        </w:tc>
        <w:tc>
          <w:tcPr>
            <w:tcW w:w="860" w:type="dxa"/>
            <w:vAlign w:val="bottom"/>
          </w:tcPr>
          <w:p>
            <w:pPr>
              <w:jc w:val="right"/>
              <w:spacing w:after="0"/>
              <w:rPr>
                <w:sz w:val="20"/>
                <w:szCs w:val="20"/>
                <w:color w:val="auto"/>
              </w:rPr>
            </w:pPr>
            <w:r>
              <w:rPr>
                <w:rFonts w:ascii="Arial" w:cs="Arial" w:eastAsia="Arial" w:hAnsi="Arial"/>
                <w:sz w:val="18"/>
                <w:szCs w:val="18"/>
                <w:color w:val="auto"/>
              </w:rPr>
              <w:t>40,950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2,834,473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(1,050)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$ 2,833,423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$ 1,954,084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56134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71" w:lineRule="exact"/>
        <w:rPr>
          <w:sz w:val="20"/>
          <w:szCs w:val="20"/>
          <w:color w:val="auto"/>
        </w:rPr>
      </w:pPr>
    </w:p>
    <w:p>
      <w:pPr>
        <w:ind w:right="500" w:firstLine="456"/>
        <w:spacing w:after="0" w:line="305" w:lineRule="auto"/>
        <w:rPr>
          <w:sz w:val="20"/>
          <w:szCs w:val="20"/>
          <w:color w:val="auto"/>
        </w:rPr>
      </w:pPr>
      <w:r>
        <w:rPr>
          <w:rFonts w:ascii="Arial" w:cs="Arial" w:eastAsia="Arial" w:hAnsi="Arial"/>
          <w:sz w:val="15"/>
          <w:szCs w:val="15"/>
          <w:color w:val="auto"/>
        </w:rPr>
        <w:t>On December 14, 2004, the Issuers issued $1.3 billion aggregate principal amount of 6 5/8% First Mortgage Notes (the “First Mortgage Notes”). On November 6, 2007, the Issuers issued, in a private offering, $400 million aggregate principal amount of 6 5/8% First Mortgage Notes due 2014 at a price of</w:t>
      </w:r>
    </w:p>
    <w:p>
      <w:pPr>
        <w:ind w:right="260"/>
        <w:spacing w:after="0" w:line="253" w:lineRule="auto"/>
        <w:rPr>
          <w:sz w:val="20"/>
          <w:szCs w:val="20"/>
          <w:color w:val="auto"/>
        </w:rPr>
      </w:pPr>
      <w:r>
        <w:rPr>
          <w:rFonts w:ascii="Arial" w:cs="Arial" w:eastAsia="Arial" w:hAnsi="Arial"/>
          <w:sz w:val="18"/>
          <w:szCs w:val="18"/>
          <w:color w:val="auto"/>
        </w:rPr>
        <w:t>97.25% of the principal amount (the “Additional Notes”). The Additional Notes were issued under the same indenture as the First Mortgage Notes issued on December 14, 2004. The First Mortgage Notes mature on December 1, 2014 and bear interest at the rate of 6 5/8% per year. The Company pays interest on the First Mortgage Notes on June 1st and December 1st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indenture governing the First Mortgage Notes and the Additional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First Mortgage Notes and the Additional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 first priority pledge of all of the member’s interests owned by Wynn Las Vegas, LLC in its subsidiaries (other than Wynn Completion Guarantor, LLC) and of Holdings’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and the Additional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Additional Notes were registered under the Securities Act of 1933 and in May 2008, the Company completed an exchange of the Additional Notes for registered, publicly traded notes that have substantially identical terms as the Additional Notes.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14, 2004, Wynn Las Vegas, LLC entered into a credit agreement and related ancillary agreements for secured revolving credit and term loan facilities in the aggregate amount of $1 billion. The credit facilities consisted of a revolving credit facility (the “Revolver”) in the amount of $600 million and a term loan facility (the “Term Loan”) in the amount of $400 million. The Revolver was to terminate and be payable in full on December 14, 2009, and the Term Loan was to mature on December 14, 2011.</w:t>
      </w:r>
    </w:p>
    <w:p>
      <w:pPr>
        <w:spacing w:after="0" w:line="13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Revolver from $600 million to $900 million and reducing the Term Loan from $400 million to $225 million. The $900 million Revolver and the $225 million Term Loan are herein referred to as the “Credit Facilities”. In August 2006, the maturity dates for the Revolver and the Term Loan were extended to August 15, 2011 and August 15, 2013, respectively. One half of the Term Loan is due on September 30, 2012 and the remaining half is due August 15, 2013.</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calculating interest, loans under the Credit Facilities will be designated, at the election of Wynn Las Vegas, LLC, as Eurodollar Loans or, in certain circumstances, Base Rate Loans. Eurodollar Loans under the Revolver and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 recently announced by Deutsche Bank as its “prime rate,” or (ii) the Federal Funds Rate plus 1/2 of 1% per annum; plus (b) a borrowing margin 0.625% or 0.875% under the Revolver and Term Loans, respectively. Interest on Base Rate Loans will be payable quarterly in arrears.</w:t>
      </w:r>
    </w:p>
    <w:p>
      <w:pPr>
        <w:spacing w:after="0" w:line="10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Beginning June 30, 2009, the applicable borrowing margins for the Revolver will be based on Wynn Las Vegas, LLC’s leverage ratio, ranging from 1% to 1.75% per annum for Eurodollar Loans and 0% to 0.75% per annum for Base Rate Loans. Until then, Wynn Las Vegas, LLC will pay, quarterly in arrears,</w:t>
      </w:r>
    </w:p>
    <w:p>
      <w:pPr>
        <w:spacing w:after="0" w:line="323" w:lineRule="auto"/>
        <w:rPr>
          <w:sz w:val="20"/>
          <w:szCs w:val="20"/>
          <w:color w:val="auto"/>
        </w:rPr>
      </w:pPr>
      <w:r>
        <w:rPr>
          <w:rFonts w:ascii="Arial" w:cs="Arial" w:eastAsia="Arial" w:hAnsi="Arial"/>
          <w:sz w:val="16"/>
          <w:szCs w:val="16"/>
          <w:color w:val="auto"/>
        </w:rPr>
        <w:t>0.375% per annum on the daily average of unborrowed availability under the Revolver. Beginning June 30, 2009, the annual fee Wynn Las Vegas, LLC will be required to pay for unborrowed availability under the Revolver will be based on Wynn Las Vegas, LLC’s leverage ratio, ranging from 0.25% to 0.50% per annum.</w:t>
      </w:r>
    </w:p>
    <w:p>
      <w:pPr>
        <w:spacing w:after="0" w:line="7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Credit Facilities are obligations of Wynn Las Vegas, LLC, guaranteed by each of the subsidiaries of Wynn Las Vegas, LLC, other than Wynn Completion Guarantor, LLC. Subject to an intercreditor agreement,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certain exceptions, the obligations of Wynn Las Vegas, LLC and each of the guarantors under the Credit Facilities are secured by: (1) a first priority pledge of all member’s interests owned by Wynn Las Vegas, LLC in its subsidiaries (other than Wynn Completion Guarantor, LLC) and Holdings’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existing and future senior indebtedness, including indebtedness with respect to the First Mortgage Notes and the Additional Notes and rank senior in right of payment to all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0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(i) Consolidated Leverage Ratio, as defined, not greater than 5.00 to 1 as of December 31, 2008, and (ii) Consolidated Interest Coverage Ratio, as defined, not less than 1.40 to 1. Management believes that the Company was in compliance with all covenants at December 31, 2008. The Consolidated Leverage Ratio is 5.00 to 1, 8.25 to 1, 7.75 to 1 and 7.50 to 1 for each of the reporting periods ending March 31, 2009, June 30, 2009, September 30, 2009 and December 31, 2009, respectively. The Consolidated Interest Coverage Ratio is 1.35 to 1 for the reporting period ending March 31, 2009, and then increases to 1.75 to 1 for the reporting periods ending June 30, 2009 and September 30, 2009, and 2.00 to 1 for the reporting period ending December 31, 2009.</w:t>
      </w:r>
    </w:p>
    <w:p>
      <w:pPr>
        <w:spacing w:after="0" w:line="109"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its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Credit Facilities.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2007, the Company amended the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October 2007, the Company further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9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September 17, 2008, Wynn Las Vegas entered into a third amendment to the Amended and Restated Credit Agreement. This amendment, among other things, provides Wynn Las Vegas with additional flexibility with respect to its financial covenants and related financial calculations.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March 30, 2007, World Travel, LLC, a subsidiary of Wynn Las Vegas, refinanced a $44.75 million note payable with a new loan. The new loan has a principal balance of $42 million and is due April 1, 2017. The loan is guaranteed by Wynn Las Vegas, LLC and secured by a first priority security interest in the Company’s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net book value of the First Mortgage Notes, including the Additional Notes, at December 31, 2008 and 2007 was approximately $1.7 billion and $1.7 billion, respectively. The estimated fair value of the First Mortgage Notes, including the Additional Notes, based upon most recent trades at December 31, 2008 and 2007 was approximately $1.25 billion and $1.67 billion, respectively. The net book value of the Company’s other debt instruments was $1.1 billion and the approximate fair value of such debt was approximately $694 million as of December 31, 2008.</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2010</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2012</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Thereafter</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1,732,900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2,844,034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940" w:type="dxa"/>
            <w:vAlign w:val="bottom"/>
            <w:vMerge w:val="restart"/>
          </w:tcPr>
          <w:p>
            <w:pPr>
              <w:jc w:val="right"/>
              <w:ind w:right="347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-325755</wp:posOffset>
            </wp:positionV>
            <wp:extent cx="5956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Company had a floating-for-fixed interest rate swap related to its Term Loan. The Company accounts for its interest rate swaps in accordance with SFAS No. 133, “Accounting for Derivative Instruments and Hedging Activities”, and its related interpretations. On December 31, 2008, the Company’s only interest rate swap matured.</w:t>
      </w:r>
    </w:p>
    <w:p>
      <w:pPr>
        <w:spacing w:after="0" w:line="12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 on a recurring basis pursuant to SFAS No. 157.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categorized its swap contract as Level 2.</w:t>
      </w:r>
    </w:p>
    <w:p>
      <w:pPr>
        <w:spacing w:after="0" w:line="12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Company’s swap had a notional amount of $200 million which essentially fixed the interest rate on $200 million of the $225 million of Term Loan borrowings. The Company paid a fixed rate of 3.793% on the $200 million notional amount and received payments based on LIBOR resulting in the interest rate on $200 million of the $225 million Term Loan being fixed at approximately 5.7%. The interest rate on the remaining $25 million of Term Loan was subject to changes in LIBOR rates.</w:t>
      </w:r>
    </w:p>
    <w:p>
      <w:pPr>
        <w:spacing w:after="0" w:line="13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December 31, 2007, the Company had recorded an asset of approximately $0.4 million to reflect the fair value of the $200 million notional amount interest rate swap. The fair value approximates the amount the Company would have received if the contract was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noted above, although the interest rate swap was highly effective economically in fixing the interest rate on $200 million of the Term Loan, this interest rate swap did not qualify for hedge accounting under SFAS No. 133. Accordingly, changes in the fair value of the interest rate swap were recorded in the accompanying Consolidated Statements of Operations as an increase/(decrease) in swap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net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15, 2005, the Company loaned $80 million to Wynn Resorts who then loaned those funds through its subsidiaries to Wynn Macau, S.A. as part of the financing of Wynn Macau, Wynn Resorts’ casino resort facility in the Macau Special Administrative Region of the People’s Republic of China (“Macau”). Interest accrued at 7.5% per annum and the note’s scheduled maturity was August 15, 2012. In July 2008, Wynn Resorts paid all amounts due to Wynn Las Vegas. Included in the balance as of December 31, 2007, was approximately $8.4 million of accrued interest receivable. In November 2006, Wynn Macau paid all amounts due to Wynn Resorts.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2008, the Company’s current Due to affiliates, net was primarily comprised of construction payables of approximately $123.4 million, construction retention of approximately $77.7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and other net amounts receivable from affiliates totaling $0.7 million. The long-term Due to affiliates, net is comprised of a management fee of approximately $63.9 million (equal to 1.5% of net revenues and payable upon meeting certain leverage ratios as specified in the documents governing the Company’s Credit Facilities). As of December 31, 2007 the Company’s net due to affiliates was primarily comprised of construction payables of approximately $65.7 million, construction retention of approximately $41.6 million, a management fee of approximately $47.4 million (equal to 1.5% of revenues and payable upon meeting certain leverage ratios as specified in the documents governing the Company’s Credit Facilities) and other net amounts receivable to affiliates totaling $34.8 million (including corporate allocations discussed below).</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the Company currently no longer intends to settle its corporate allocation and accordingly, such allocations have been recorded as a contribution to equity from Wynn Resorts. During the years ended December 31, 2008, 2007 and 2006, approximately $22 million, $25.9 million, and $24.6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These services include household services, construction work and other personal services. The cost of these services is transferred to Wynn Resorts, Limited on a periodic basis. Mr. Wynn and these other officers have amounts on deposit with Wynn Resorts to prepay any such items, which are replenished on an ongoing basis as needed. At December 31, 2008 and December 31, 2007, Wynn Resorts owed Mr. Wynn and the other officers approximately $434,003 and $357,145,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Effective July 1, 2005, Mr. Wynn and his wife, Elaine P.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Contract Termination Fee</w:t>
      </w:r>
    </w:p>
    <w:p>
      <w:pPr>
        <w:spacing w:after="0" w:line="83"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 xml:space="preserve">On May 28, 2006, the Company ended a production show that had performed at Wynn Las Vegas. To terminate the contract, the Company paid a termination fee of $5 million, which was recorded in the first quarter of 2006 in accordance with the liability recognition provisions of SFAS No. 146, </w:t>
      </w:r>
      <w:r>
        <w:rPr>
          <w:rFonts w:ascii="Arial" w:cs="Arial" w:eastAsia="Arial" w:hAnsi="Arial"/>
          <w:sz w:val="18"/>
          <w:szCs w:val="18"/>
          <w:i w:val="1"/>
          <w:iCs w:val="1"/>
          <w:color w:val="auto"/>
        </w:rPr>
        <w:t>“Accounting for Costs Associated with Exit or Disposal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2008, 2007 and 2006, were $22.4 million, $6 million and $14.4 million, respectively.</w:t>
      </w:r>
    </w:p>
    <w:p>
      <w:pPr>
        <w:spacing w:after="0" w:line="18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response to the Company’s evaluation of the completed Wynn Las Vegas project and the reactions of its guests, the Company makes enhancements and refinements to the property. Costs relating to assets retired as a result of these enhancement and remodel efforts have been expensed as property charges. 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r>
        <w:rPr>
          <w:rFonts w:ascii="Arial" w:cs="Arial" w:eastAsia="Arial" w:hAnsi="Arial"/>
          <w:sz w:val="16"/>
          <w:szCs w:val="16"/>
          <w:color w:val="auto"/>
        </w:rPr>
        <w:t>. During the year ended December 31, 2006, the Company remodeled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103" w:lineRule="exact"/>
        <w:rPr>
          <w:sz w:val="20"/>
          <w:szCs w:val="20"/>
          <w:color w:val="auto"/>
        </w:rPr>
      </w:pPr>
    </w:p>
    <w:p>
      <w:pPr>
        <w:ind w:left="240" w:right="9520" w:hanging="232"/>
        <w:spacing w:after="0" w:line="398" w:lineRule="auto"/>
        <w:tabs>
          <w:tab w:leader="none" w:pos="275"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Wynn Resorts established a retirement savings plan under Section 401(k) of the Internal Revenue Code covering its non-union employees in July 2000. The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plan allows employees to defer, within prescribed limits, a percentage of their income on a pre-tax basis through contributions to this plan. The Company matches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contributions, within prescribed limits, with an amount equal to 100% of the participant’s initial 2% tax deferred contribution and 50% of the tax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 between 2% and 4% of the participant’s compensation. The Company recorded charges for matching contributions of approximately $4.8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 million and $3 million for the years ended December 31, 2008, 2007 and 2006, respectively. Effective March 16, 2009, the Company is suspending matching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this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$4.6 million, $4.5 million and $4.3 million under such plans for the years ended December 31, 2008, 2007 and 2006, respectively. Information from the plans’ sponsors is not available to permit the Company to determine its share of unfunded vested benefits, if 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 maximum of 9,750,000 shares of Wynn Resorts’ common stock has been reserved for issuance under the Stock Plan. As of December 31, 2008, 3,124,212 shares remain available for the grant of stock options or nonvested shares of Wynn Resorts’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2008, and changes during the year then ended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440" w:type="dxa"/>
            <w:vAlign w:val="bottom"/>
          </w:tcPr>
          <w:p>
            <w:pPr>
              <w:spacing w:after="0"/>
              <w:rPr>
                <w:sz w:val="15"/>
                <w:szCs w:val="15"/>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1,205,925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48.68</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362,500</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105.47</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49.34</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66.20</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1,534,591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$5,627,376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603,162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$5,627,376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-329565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-329565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2008, 2007 and 2006 was $60.09, $0 and $31.01, respectively. The total intrinsic value of the options exercised for the years ended December 31, 2008, 2007 and 2006 was $1.3 million, $7.9 million and $25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nonvested share activity under the Stock Plan as of December 31, 2008, and changes during the year then ended is presented below:</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Shares</w:t>
            </w:r>
          </w:p>
        </w:tc>
        <w:tc>
          <w:tcPr>
            <w:tcW w:w="240" w:type="dxa"/>
            <w:vAlign w:val="bottom"/>
          </w:tcPr>
          <w:p>
            <w:pPr>
              <w:spacing w:after="0"/>
              <w:rPr>
                <w:sz w:val="15"/>
                <w:szCs w:val="15"/>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171,000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117,500</w:t>
            </w:r>
          </w:p>
        </w:tc>
        <w:tc>
          <w:tcPr>
            <w:tcW w:w="26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(10,000)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(25,500)</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253,000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42418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general and administrative expenses, pre-opening costs and construction in progress for the Company’s development projects.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The Company used the simplified method prescribed by SAB No. 107 and No. 110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0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6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1020" w:type="dxa"/>
            <w:vAlign w:val="bottom"/>
          </w:tcPr>
          <w:p>
            <w:pPr>
              <w:spacing w:after="0"/>
              <w:rPr>
                <w:sz w:val="22"/>
                <w:szCs w:val="22"/>
                <w:color w:val="auto"/>
              </w:rPr>
            </w:pP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44.1%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10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Compensation cost related to stock options for the years ended December 31, 2008, 2007 and 2006, were $6.8 million, $6.1 million and $7.3 million, respectively.</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 addition to compensation cost relating to stock options, during the years ended December 31, 2008, 2007 and 2006, the Company recognized compensation cost related to nonvested shares of Wynn Resorts’ common stock of approximately $2.7 million, $1.9 million and $0.8 million, respectively. Approximately $14.8 million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unamortized compensation cost relating to nonvested shares of Common Stock at December 31, 2008, will be recognized as compensation over the vesting period of the related grants through December 2016.</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2008, 2007 and 2006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380" w:type="dxa"/>
            <w:vAlign w:val="bottom"/>
            <w:gridSpan w:val="5"/>
          </w:tcPr>
          <w:p>
            <w:pPr>
              <w:jc w:val="right"/>
              <w:ind w:right="332"/>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2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9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240" w:right="8660" w:hanging="232"/>
        <w:spacing w:after="0" w:line="373" w:lineRule="auto"/>
        <w:tabs>
          <w:tab w:leader="none" w:pos="27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has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The deposit is refundable only to the extent the seller is able to find another buyer. Due to the uncertainty as to the recoverability of this deposit, the Company will write-off the $13.4 million deposit in the first quarter of 2009.</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1820" w:type="dxa"/>
            <w:vAlign w:val="bottom"/>
            <w:gridSpan w:val="2"/>
          </w:tcPr>
          <w:p>
            <w:pPr>
              <w:spacing w:after="0"/>
              <w:rPr>
                <w:sz w:val="20"/>
                <w:szCs w:val="20"/>
                <w:color w:val="auto"/>
              </w:rPr>
            </w:pPr>
            <w:r>
              <w:rPr>
                <w:rFonts w:ascii="Arial" w:cs="Arial" w:eastAsia="Arial" w:hAnsi="Arial"/>
                <w:sz w:val="14"/>
                <w:szCs w:val="14"/>
                <w:b w:val="1"/>
                <w:bCs w:val="1"/>
                <w:color w:val="auto"/>
                <w:w w:val="97"/>
              </w:rPr>
              <w:t>Years Ending December 31,</w:t>
            </w:r>
          </w:p>
        </w:tc>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2010</w:t>
            </w:r>
          </w:p>
        </w:tc>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2012</w:t>
            </w:r>
          </w:p>
        </w:tc>
        <w:tc>
          <w:tcPr>
            <w:tcW w:w="6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Thereafter</w:t>
            </w:r>
          </w:p>
        </w:tc>
        <w:tc>
          <w:tcPr>
            <w:tcW w:w="6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14,075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740" w:type="dxa"/>
            <w:vAlign w:val="bottom"/>
            <w:vMerge w:val="restart"/>
          </w:tcPr>
          <w:p>
            <w:pPr>
              <w:jc w:val="right"/>
              <w:ind w:right="38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2008,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2010</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2012</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Thereafter</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72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2008, 2007 and 2006 was $6.9 million, $7.4 million and $8.6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2008.</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December 31, 2008, the Company had not recorded a receivable related to this matter.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first two months of 2009, Wynn Resorts has contributed to Member’s Equity $100 million. These contributions will fund construction and retention payables related to Encore of approximately $202 million as of December 31,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2008 and 2007, and for each of the three years in the period ended December 31, 2008.</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7"/>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5"/>
                <w:szCs w:val="15"/>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98,277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21,465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Restricted cash</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3,906,460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202,493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4,350,255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226,725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201,003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203,397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2,794,923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3,092,692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241,897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Member’s 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1,474,286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1,474,286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(216,723)</w:t>
            </w: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(27,702)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7,886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19,816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1,257,563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(15,172)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3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4,350,255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226,725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63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-3962400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-3962400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-3962400</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-3962400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-3962400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-3962400</wp:posOffset>
            </wp:positionV>
            <wp:extent cx="3873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-3962400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-3962400</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-3962400</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-3962400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-3962400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-3962400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-3962400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-3962400</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-3962400</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-325755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3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Issuers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Subsidiary</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19,956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Restricted cash</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2,825,608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205,795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3,031,403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5,077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3,392,123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221,908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liabilities: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(148,607)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189,121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191,450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1,914,184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1,954,084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2,017,103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231,350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2,272,236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Member’s equity:</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1,461,949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(12,530)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(86,929)</w:t>
            </w: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(21,972)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14,703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3,392,123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221,908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640" w:type="dxa"/>
            <w:vAlign w:val="bottom"/>
            <w:vMerge w:val="restart"/>
          </w:tcPr>
          <w:p>
            <w:pPr>
              <w:jc w:val="right"/>
              <w:ind w:right="15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-3962400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-3962400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-3962400</wp:posOffset>
            </wp:positionV>
            <wp:extent cx="38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-3962400</wp:posOffset>
            </wp:positionV>
            <wp:extent cx="48450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-3962400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-3962400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-3962400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-3962400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-3962400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-3962400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-3962400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-3962400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-3962400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53594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7"/>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7"/>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(5,113)</w:t>
            </w: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266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(59,931)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622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(69,863)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622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617</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-325755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-325755</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-325755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-325755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7"/>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Issuers</w:t>
            </w:r>
          </w:p>
        </w:tc>
        <w:tc>
          <w:tcPr>
            <w:tcW w:w="2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1,449,365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1,448,569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(152,718)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1,296,647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1,295,851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1,092,910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1,096,026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(4,218)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796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(83,249)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(4,372)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3176270</wp:posOffset>
            </wp:positionH>
            <wp:positionV relativeFrom="paragraph">
              <wp:posOffset>-325755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-325755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48450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6"/>
              </w:rPr>
              <w:t>Subsidiary</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Casino</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535,561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295,205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1,295,012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(154,255)</w:t>
            </w: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(154,255)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1,140,757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1,139,348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Casino</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250,447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185,382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183,166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142,713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14,399</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1,021,916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(3,090)</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115,751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20,303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2,498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(114,584)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(105,943)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(106,648)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-325755</wp:posOffset>
            </wp:positionV>
            <wp:extent cx="53594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-325755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53594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Issuers</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5,113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5,113</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(38,691)</w:t>
            </w: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29,739</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(7,284)</w:t>
            </w:r>
          </w:p>
        </w:tc>
        <w:tc>
          <w:tcPr>
            <w:tcW w:w="100" w:type="dxa"/>
            <w:vAlign w:val="bottom"/>
          </w:tcPr>
          <w:p>
            <w:pPr>
              <w:spacing w:after="0"/>
              <w:rPr>
                <w:sz w:val="19"/>
                <w:szCs w:val="19"/>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(1,128,089)</w:t>
            </w: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31,052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(31,664)</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221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221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$ 124,219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(6,109)</w:t>
            </w: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1,891</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4,218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147,413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8,031</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Amortization and writeoff of deferred financing costs and other</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10,795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4,218</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color w:val="auto"/>
              </w:rPr>
              <w:t>(4,218)</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21,139</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6,005</w:t>
            </w:r>
          </w:p>
        </w:tc>
        <w:tc>
          <w:tcPr>
            <w:tcW w:w="140" w:type="dxa"/>
            <w:vAlign w:val="bottom"/>
          </w:tcPr>
          <w:p>
            <w:pPr>
              <w:spacing w:after="0"/>
              <w:rPr>
                <w:sz w:val="18"/>
                <w:szCs w:val="18"/>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4,372</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(41,744)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1680" w:type="dxa"/>
            <w:vAlign w:val="bottom"/>
            <w:gridSpan w:val="4"/>
          </w:tcPr>
          <w:p>
            <w:pPr>
              <w:jc w:val="right"/>
              <w:ind w:right="50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35,963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7,642</w:t>
            </w: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(7,177)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320,801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w w:val="95"/>
              </w:rPr>
              <w:t>Capital expenditures, net of construction payables and retentions</w:t>
            </w:r>
          </w:p>
        </w:tc>
        <w:tc>
          <w:tcPr>
            <w:tcW w:w="1680" w:type="dxa"/>
            <w:vAlign w:val="bottom"/>
            <w:gridSpan w:val="4"/>
          </w:tcPr>
          <w:p>
            <w:pPr>
              <w:jc w:val="right"/>
              <w:ind w:right="500"/>
              <w:spacing w:after="0"/>
              <w:rPr>
                <w:sz w:val="20"/>
                <w:szCs w:val="20"/>
                <w:color w:val="auto"/>
              </w:rPr>
            </w:pPr>
            <w:r>
              <w:rPr>
                <w:rFonts w:ascii="Arial" w:cs="Arial" w:eastAsia="Arial" w:hAnsi="Arial"/>
                <w:sz w:val="18"/>
                <w:szCs w:val="18"/>
                <w:color w:val="auto"/>
              </w:rPr>
              <w:t>(667,060)</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(11,420)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143,586</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22,879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680" w:type="dxa"/>
            <w:vAlign w:val="bottom"/>
            <w:gridSpan w:val="4"/>
          </w:tcPr>
          <w:p>
            <w:pPr>
              <w:jc w:val="right"/>
              <w:ind w:right="500"/>
              <w:spacing w:after="0"/>
              <w:rPr>
                <w:sz w:val="20"/>
                <w:szCs w:val="20"/>
                <w:color w:val="auto"/>
              </w:rPr>
            </w:pPr>
            <w:r>
              <w:rPr>
                <w:rFonts w:ascii="Arial" w:cs="Arial" w:eastAsia="Arial" w:hAnsi="Arial"/>
                <w:sz w:val="18"/>
                <w:szCs w:val="18"/>
                <w:color w:val="auto"/>
              </w:rPr>
              <w:t>(21,542)</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(20,585)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(24,770)</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(564,637)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680" w:type="dxa"/>
            <w:vAlign w:val="bottom"/>
            <w:gridSpan w:val="4"/>
          </w:tcPr>
          <w:p>
            <w:pPr>
              <w:jc w:val="right"/>
              <w:ind w:right="500"/>
              <w:spacing w:after="0"/>
              <w:rPr>
                <w:sz w:val="20"/>
                <w:szCs w:val="20"/>
                <w:color w:val="auto"/>
              </w:rPr>
            </w:pPr>
            <w:r>
              <w:rPr>
                <w:rFonts w:ascii="Arial" w:cs="Arial" w:eastAsia="Arial" w:hAnsi="Arial"/>
                <w:sz w:val="18"/>
                <w:szCs w:val="18"/>
                <w:color w:val="auto"/>
              </w:rPr>
              <w:t>(243,352)</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(39,559)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543,460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680" w:type="dxa"/>
            <w:vAlign w:val="bottom"/>
            <w:gridSpan w:val="4"/>
          </w:tcPr>
          <w:p>
            <w:pPr>
              <w:jc w:val="right"/>
              <w:ind w:right="500"/>
              <w:spacing w:after="0"/>
              <w:rPr>
                <w:sz w:val="20"/>
                <w:szCs w:val="20"/>
                <w:color w:val="auto"/>
              </w:rPr>
            </w:pPr>
            <w:r>
              <w:rPr>
                <w:rFonts w:ascii="Arial" w:cs="Arial" w:eastAsia="Arial" w:hAnsi="Arial"/>
                <w:sz w:val="18"/>
                <w:szCs w:val="18"/>
                <w:color w:val="auto"/>
              </w:rPr>
              <w:t>(3,541)</w:t>
            </w:r>
          </w:p>
        </w:tc>
        <w:tc>
          <w:tcPr>
            <w:tcW w:w="140" w:type="dxa"/>
            <w:vAlign w:val="bottom"/>
          </w:tcPr>
          <w:p>
            <w:pPr>
              <w:spacing w:after="0"/>
              <w:rPr>
                <w:sz w:val="19"/>
                <w:szCs w:val="19"/>
                <w:color w:val="auto"/>
              </w:rPr>
            </w:pPr>
          </w:p>
        </w:tc>
        <w:tc>
          <w:tcPr>
            <w:tcW w:w="11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296,567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680" w:type="dxa"/>
            <w:vAlign w:val="bottom"/>
            <w:gridSpan w:val="4"/>
          </w:tcPr>
          <w:p>
            <w:pPr>
              <w:jc w:val="right"/>
              <w:ind w:right="560"/>
              <w:spacing w:after="0"/>
              <w:rPr>
                <w:sz w:val="20"/>
                <w:szCs w:val="20"/>
                <w:color w:val="auto"/>
              </w:rPr>
            </w:pPr>
            <w:r>
              <w:rPr>
                <w:rFonts w:ascii="Arial" w:cs="Arial" w:eastAsia="Arial" w:hAnsi="Arial"/>
                <w:sz w:val="18"/>
                <w:szCs w:val="18"/>
                <w:color w:val="auto"/>
              </w:rPr>
              <w:t>52,731</w:t>
            </w: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93,825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16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$ 146,556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49276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(5,588)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2,498</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to net cash provided by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142,713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3,090</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(52,644)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(7,546)</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275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204,419</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9"/>
              </w:rPr>
              <w:t>Capital expenditures, net of construction payables and retention</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(212,455)</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(37,071)</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(249,526)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199,738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(21,423)</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(60,024)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(94,164)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(435,142)</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(5,027)</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(440,169)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Proceeds from termination of interest rate swap</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(4,572)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(104,217)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(5,027)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13"/>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-325755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-325755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2008 and 2007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 2008</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Second</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Third</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$287,601</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$295,468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$294,800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$222,022</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520" w:type="dxa"/>
            <w:vAlign w:val="bottom"/>
            <w:gridSpan w:val="3"/>
          </w:tcPr>
          <w:p>
            <w:pPr>
              <w:jc w:val="right"/>
              <w:ind w:right="180"/>
              <w:spacing w:after="0"/>
              <w:rPr>
                <w:sz w:val="20"/>
                <w:szCs w:val="20"/>
                <w:color w:val="auto"/>
              </w:rPr>
            </w:pPr>
            <w:r>
              <w:rPr>
                <w:rFonts w:ascii="Arial" w:cs="Arial" w:eastAsia="Arial" w:hAnsi="Arial"/>
                <w:sz w:val="18"/>
                <w:szCs w:val="18"/>
                <w:color w:val="auto"/>
              </w:rPr>
              <w:t>(8,592)</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20,299</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(272)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(69,785)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(28,767)</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5,078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(16,098)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(90,007)</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 2007</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080" w:type="dxa"/>
            <w:vAlign w:val="bottom"/>
            <w:tcBorders>
              <w:bottom w:val="single" w:sz="8" w:color="auto"/>
            </w:tcBorders>
            <w:gridSpan w:val="2"/>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Second</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Third</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$330,934</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$335,181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$305,798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$323,938</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$ 1,295,851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income</w:t>
            </w:r>
          </w:p>
        </w:tc>
        <w:tc>
          <w:tcPr>
            <w:tcW w:w="3520" w:type="dxa"/>
            <w:vAlign w:val="bottom"/>
            <w:gridSpan w:val="3"/>
          </w:tcPr>
          <w:p>
            <w:pPr>
              <w:jc w:val="right"/>
              <w:ind w:right="240"/>
              <w:spacing w:after="0"/>
              <w:rPr>
                <w:sz w:val="20"/>
                <w:szCs w:val="20"/>
                <w:color w:val="auto"/>
              </w:rPr>
            </w:pPr>
            <w:r>
              <w:rPr>
                <w:rFonts w:ascii="Arial" w:cs="Arial" w:eastAsia="Arial" w:hAnsi="Arial"/>
                <w:sz w:val="18"/>
                <w:szCs w:val="18"/>
                <w:color w:val="auto"/>
              </w:rPr>
              <w:t>59,014</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63,420</w:t>
            </w:r>
          </w:p>
        </w:tc>
        <w:tc>
          <w:tcPr>
            <w:tcW w:w="680" w:type="dxa"/>
            <w:vAlign w:val="bottom"/>
          </w:tcPr>
          <w:p>
            <w:pPr>
              <w:jc w:val="right"/>
              <w:spacing w:after="0"/>
              <w:rPr>
                <w:sz w:val="20"/>
                <w:szCs w:val="20"/>
                <w:color w:val="auto"/>
              </w:rPr>
            </w:pPr>
            <w:r>
              <w:rPr>
                <w:rFonts w:ascii="Arial" w:cs="Arial" w:eastAsia="Arial" w:hAnsi="Arial"/>
                <w:sz w:val="18"/>
                <w:szCs w:val="18"/>
                <w:color w:val="auto"/>
              </w:rPr>
              <w:t>35,803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42,384</w:t>
            </w:r>
          </w:p>
        </w:tc>
        <w:tc>
          <w:tcPr>
            <w:tcW w:w="24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200,621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37,572</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45,354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124,219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20" w:type="dxa"/>
            <w:vAlign w:val="bottom"/>
          </w:tcPr>
          <w:p>
            <w:pPr>
              <w:jc w:val="right"/>
              <w:ind w:right="392"/>
              <w:spacing w:after="0"/>
              <w:rPr>
                <w:sz w:val="20"/>
                <w:szCs w:val="20"/>
                <w:color w:val="auto"/>
              </w:rPr>
            </w:pPr>
            <w:r>
              <w:rPr>
                <w:rFonts w:ascii="Arial" w:cs="Arial" w:eastAsia="Arial" w:hAnsi="Arial"/>
                <w:sz w:val="18"/>
                <w:szCs w:val="18"/>
                <w:color w:val="auto"/>
              </w:rPr>
              <w:t>71</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64"/>
        <w:spacing w:after="0" w:line="286"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2008,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13"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Based on our assessment, management believes that, as of December 31, 2008, the Company’s internal control over financial reporting was effective.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temporary rules, which permit the Company to provide only management’s report in this annual report.</w:t>
      </w:r>
    </w:p>
    <w:p>
      <w:pPr>
        <w:spacing w:after="0" w:line="127" w:lineRule="exact"/>
        <w:rPr>
          <w:sz w:val="20"/>
          <w:szCs w:val="20"/>
          <w:color w:val="auto"/>
        </w:rPr>
      </w:pPr>
    </w:p>
    <w:p>
      <w:pPr>
        <w:ind w:right="40" w:firstLine="464"/>
        <w:spacing w:after="0" w:line="306"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2008 and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ind w:left="40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480" w:type="dxa"/>
            <w:vAlign w:val="bottom"/>
            <w:gridSpan w:val="2"/>
          </w:tcPr>
          <w:p>
            <w:pPr>
              <w:spacing w:after="0"/>
              <w:rPr>
                <w:sz w:val="8"/>
                <w:szCs w:val="8"/>
                <w:color w:val="auto"/>
              </w:rPr>
            </w:pPr>
          </w:p>
        </w:tc>
        <w:tc>
          <w:tcPr>
            <w:tcW w:w="37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290,600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60" w:firstLine="456"/>
        <w:spacing w:after="0" w:line="281" w:lineRule="auto"/>
        <w:rPr>
          <w:sz w:val="20"/>
          <w:szCs w:val="20"/>
          <w:color w:val="auto"/>
        </w:rPr>
      </w:pPr>
      <w:r>
        <w:rPr>
          <w:rFonts w:ascii="Arial" w:cs="Arial" w:eastAsia="Arial" w:hAnsi="Arial"/>
          <w:sz w:val="16"/>
          <w:szCs w:val="16"/>
          <w:color w:val="auto"/>
        </w:rPr>
        <w:t>“Audit fees” includes the aggregate fees billed by our principal auditors for professional services rendered for the audit of our consolidated financial statements for the year ended December 31. “Audit fees” also includes amounts billed for services provided in connection with the preparation of an offering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memorandum in 2007 and subsequent registration statement in 2008 relating to the issuance of $400 million of 6- </w:t>
      </w:r>
      <w:r>
        <w:rPr>
          <w:rFonts w:ascii="Arial" w:cs="Arial" w:eastAsia="Arial" w:hAnsi="Arial"/>
          <w:sz w:val="21"/>
          <w:szCs w:val="21"/>
          <w:color w:val="auto"/>
          <w:vertAlign w:val="superscript"/>
        </w:rPr>
        <w:t>5</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First Mortgage Notes due 2014.</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2008 and 2007.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(a)1. The following consolidated financial statements of the Company are filed as part of this report under Item 8—Financial Statements and Supplemental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Balance Sheets as of December 31, 2008 and 2007</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2008, 2007 and 2006</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Statements of Member’s Equity for the years ended December 31, 2008, 2007 and 2006</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2008, 2007 and 2006</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Provisions for</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Doubtful</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gridSpan w:val="3"/>
          </w:tcPr>
          <w:p>
            <w:pPr>
              <w:ind w:left="2800"/>
              <w:spacing w:after="0"/>
              <w:rPr>
                <w:sz w:val="20"/>
                <w:szCs w:val="20"/>
                <w:color w:val="auto"/>
              </w:rPr>
            </w:pPr>
            <w:r>
              <w:rPr>
                <w:rFonts w:ascii="Arial" w:cs="Arial" w:eastAsia="Arial" w:hAnsi="Arial"/>
                <w:sz w:val="14"/>
                <w:szCs w:val="14"/>
                <w:b w:val="1"/>
                <w:bCs w:val="1"/>
                <w:color w:val="auto"/>
              </w:rPr>
              <w:t>Description</w:t>
            </w:r>
          </w:p>
        </w:tc>
        <w:tc>
          <w:tcPr>
            <w:tcW w:w="2920" w:type="dxa"/>
            <w:vAlign w:val="bottom"/>
            <w:gridSpan w:val="2"/>
          </w:tcPr>
          <w:p>
            <w:pPr>
              <w:jc w:val="center"/>
              <w:ind w:left="2221"/>
              <w:spacing w:after="0"/>
              <w:rPr>
                <w:sz w:val="20"/>
                <w:szCs w:val="20"/>
                <w:color w:val="auto"/>
              </w:rPr>
            </w:pPr>
            <w:r>
              <w:rPr>
                <w:rFonts w:ascii="Arial" w:cs="Arial" w:eastAsia="Arial" w:hAnsi="Arial"/>
                <w:sz w:val="14"/>
                <w:szCs w:val="14"/>
                <w:b w:val="1"/>
                <w:bCs w:val="1"/>
                <w:color w:val="auto"/>
                <w:w w:val="83"/>
              </w:rPr>
              <w:t>2008</w:t>
            </w:r>
          </w:p>
        </w:tc>
        <w:tc>
          <w:tcPr>
            <w:tcW w:w="54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1"/>
              </w:rPr>
              <w:t>Accounts</w:t>
            </w: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920" w:type="dxa"/>
            <w:vAlign w:val="bottom"/>
            <w:gridSpan w:val="2"/>
            <w:shd w:val="clear" w:color="auto" w:fill="CCEEFF"/>
          </w:tcPr>
          <w:p>
            <w:pPr>
              <w:jc w:val="center"/>
              <w:ind w:left="2221"/>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24,887</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Provisions for</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Doubtful</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gridSpan w:val="3"/>
          </w:tcPr>
          <w:p>
            <w:pPr>
              <w:ind w:left="2800"/>
              <w:spacing w:after="0"/>
              <w:rPr>
                <w:sz w:val="20"/>
                <w:szCs w:val="20"/>
                <w:color w:val="auto"/>
              </w:rPr>
            </w:pPr>
            <w:r>
              <w:rPr>
                <w:rFonts w:ascii="Arial" w:cs="Arial" w:eastAsia="Arial" w:hAnsi="Arial"/>
                <w:sz w:val="14"/>
                <w:szCs w:val="14"/>
                <w:b w:val="1"/>
                <w:bCs w:val="1"/>
                <w:color w:val="auto"/>
              </w:rPr>
              <w:t>Description</w:t>
            </w:r>
          </w:p>
        </w:tc>
        <w:tc>
          <w:tcPr>
            <w:tcW w:w="2920" w:type="dxa"/>
            <w:vAlign w:val="bottom"/>
            <w:gridSpan w:val="2"/>
          </w:tcPr>
          <w:p>
            <w:pPr>
              <w:jc w:val="center"/>
              <w:ind w:left="2221"/>
              <w:spacing w:after="0"/>
              <w:rPr>
                <w:sz w:val="20"/>
                <w:szCs w:val="20"/>
                <w:color w:val="auto"/>
              </w:rPr>
            </w:pPr>
            <w:r>
              <w:rPr>
                <w:rFonts w:ascii="Arial" w:cs="Arial" w:eastAsia="Arial" w:hAnsi="Arial"/>
                <w:sz w:val="14"/>
                <w:szCs w:val="14"/>
                <w:b w:val="1"/>
                <w:bCs w:val="1"/>
                <w:color w:val="auto"/>
                <w:w w:val="83"/>
              </w:rPr>
              <w:t>2007</w:t>
            </w:r>
          </w:p>
        </w:tc>
        <w:tc>
          <w:tcPr>
            <w:tcW w:w="54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1"/>
              </w:rPr>
              <w:t>Accounts</w:t>
            </w: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920" w:type="dxa"/>
            <w:vAlign w:val="bottom"/>
            <w:gridSpan w:val="2"/>
            <w:shd w:val="clear" w:color="auto" w:fill="CCEEFF"/>
          </w:tcPr>
          <w:p>
            <w:pPr>
              <w:jc w:val="center"/>
              <w:ind w:left="2221"/>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21,139</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4"/>
              </w:rPr>
              <w:t>Provisions for</w:t>
            </w: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Doubtful</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40" w:type="dxa"/>
            <w:vAlign w:val="bottom"/>
            <w:gridSpan w:val="3"/>
          </w:tcPr>
          <w:p>
            <w:pPr>
              <w:ind w:left="2800"/>
              <w:spacing w:after="0"/>
              <w:rPr>
                <w:sz w:val="20"/>
                <w:szCs w:val="20"/>
                <w:color w:val="auto"/>
              </w:rPr>
            </w:pPr>
            <w:r>
              <w:rPr>
                <w:rFonts w:ascii="Arial" w:cs="Arial" w:eastAsia="Arial" w:hAnsi="Arial"/>
                <w:sz w:val="14"/>
                <w:szCs w:val="14"/>
                <w:b w:val="1"/>
                <w:bCs w:val="1"/>
                <w:color w:val="auto"/>
              </w:rPr>
              <w:t>Description</w:t>
            </w:r>
          </w:p>
        </w:tc>
        <w:tc>
          <w:tcPr>
            <w:tcW w:w="2920" w:type="dxa"/>
            <w:vAlign w:val="bottom"/>
            <w:gridSpan w:val="2"/>
          </w:tcPr>
          <w:p>
            <w:pPr>
              <w:jc w:val="center"/>
              <w:ind w:left="2221"/>
              <w:spacing w:after="0"/>
              <w:rPr>
                <w:sz w:val="20"/>
                <w:szCs w:val="20"/>
                <w:color w:val="auto"/>
              </w:rPr>
            </w:pPr>
            <w:r>
              <w:rPr>
                <w:rFonts w:ascii="Arial" w:cs="Arial" w:eastAsia="Arial" w:hAnsi="Arial"/>
                <w:sz w:val="14"/>
                <w:szCs w:val="14"/>
                <w:b w:val="1"/>
                <w:bCs w:val="1"/>
                <w:color w:val="auto"/>
                <w:w w:val="83"/>
              </w:rPr>
              <w:t>2006</w:t>
            </w:r>
          </w:p>
        </w:tc>
        <w:tc>
          <w:tcPr>
            <w:tcW w:w="54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1"/>
              </w:rPr>
              <w:t>Accounts</w:t>
            </w: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5"/>
                <w:szCs w:val="15"/>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920" w:type="dxa"/>
            <w:vAlign w:val="bottom"/>
            <w:gridSpan w:val="2"/>
            <w:shd w:val="clear" w:color="auto" w:fill="CCEEFF"/>
          </w:tcPr>
          <w:p>
            <w:pPr>
              <w:jc w:val="center"/>
              <w:ind w:left="2221"/>
              <w:spacing w:after="0"/>
              <w:rPr>
                <w:sz w:val="20"/>
                <w:szCs w:val="20"/>
                <w:color w:val="auto"/>
              </w:rPr>
            </w:pPr>
            <w:r>
              <w:rPr>
                <w:rFonts w:ascii="Arial" w:cs="Arial" w:eastAsia="Arial" w:hAnsi="Arial"/>
                <w:sz w:val="18"/>
                <w:szCs w:val="18"/>
                <w:color w:val="auto"/>
                <w:w w:val="88"/>
              </w:rPr>
              <w:t>$ 15,812</w:t>
            </w:r>
          </w:p>
        </w:tc>
        <w:tc>
          <w:tcPr>
            <w:tcW w:w="1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20,675</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jc w:val="right"/>
              <w:ind w:right="981"/>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41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74"/>
        </w:trPr>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w:t>
            </w:r>
          </w:p>
        </w:tc>
        <w:tc>
          <w:tcPr>
            <w:tcW w:w="4920" w:type="dxa"/>
            <w:vAlign w:val="bottom"/>
          </w:tcPr>
          <w:p>
            <w:pPr>
              <w:spacing w:after="0"/>
              <w:rPr>
                <w:sz w:val="15"/>
                <w:szCs w:val="15"/>
                <w:color w:val="auto"/>
              </w:rPr>
            </w:pPr>
          </w:p>
        </w:tc>
        <w:tc>
          <w:tcPr>
            <w:tcW w:w="55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9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16"/>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Articles of Organization of Kevyn, LLC (23)</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Operating Agreement of Kevyn, LLC (23)</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3.10</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3.11</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3.12</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3.13</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3.16</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3.17</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3.18</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3.19</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18"/>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87"/>
              </w:rPr>
              <w:t>First Supplemental Indenture, dated as of June 29, 2005, among Wynn Las Vegas, LLC, Wynn Las Vegas Capital Corp., the Guarantors set forth</w:t>
            </w:r>
          </w:p>
        </w:tc>
      </w:tr>
      <w:tr>
        <w:trPr>
          <w:trHeight w:val="222"/>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therein and U.S. Bank National Association, as trustee. (8)</w:t>
            </w:r>
          </w:p>
        </w:tc>
      </w:tr>
      <w:tr>
        <w:trPr>
          <w:trHeight w:val="318"/>
        </w:trPr>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forth therein and U.S. Bank National Association, as trustee. (23)</w:t>
            </w:r>
          </w:p>
        </w:tc>
      </w:tr>
      <w:tr>
        <w:trPr>
          <w:trHeight w:val="365"/>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Pr>
          <w:p>
            <w:pPr>
              <w:ind w:left="4700"/>
              <w:spacing w:after="0"/>
              <w:rPr>
                <w:sz w:val="20"/>
                <w:szCs w:val="20"/>
                <w:color w:val="auto"/>
              </w:rPr>
            </w:pPr>
            <w:r>
              <w:rPr>
                <w:rFonts w:ascii="Arial" w:cs="Arial" w:eastAsia="Arial" w:hAnsi="Arial"/>
                <w:sz w:val="18"/>
                <w:szCs w:val="18"/>
                <w:color w:val="auto"/>
                <w:w w:val="99"/>
              </w:rPr>
              <w:t>76</w:t>
            </w:r>
          </w:p>
        </w:tc>
        <w:tc>
          <w:tcPr>
            <w:tcW w:w="98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right="468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2400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90805</wp:posOffset>
            </wp:positionV>
            <wp:extent cx="3689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80" w:space="720"/>
            <w:col w:w="5500"/>
          </w:cols>
          <w:pgMar w:left="240" w:top="459" w:right="259" w:bottom="1440" w:gutter="0" w:footer="0" w:header="0"/>
          <w:type w:val="continuous"/>
        </w:sectPr>
      </w:pPr>
    </w:p>
    <w:p>
      <w:pPr>
        <w:spacing w:after="0" w:line="8" w:lineRule="exact"/>
        <w:rPr>
          <w:sz w:val="20"/>
          <w:szCs w:val="20"/>
          <w:color w:val="auto"/>
        </w:rPr>
      </w:pPr>
    </w:p>
    <w:p>
      <w:pPr>
        <w:ind w:left="1040" w:hanging="786"/>
        <w:spacing w:after="0" w:line="259" w:lineRule="auto"/>
        <w:tabs>
          <w:tab w:leader="none" w:pos="10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Registration Rights Agreement, dated as of December 14, 2004, by and among Wynn Las Vegas, LLC, Wynn Las Vegas Capital Corp., the Guarantor signatories thereto and Deutsche Bank Securities Inc., Banc of America Securities LLC, Bear, Stearns &amp; Co. Inc., J.P. Morgan Securities Inc. and SG Americas Securities, LLC. (4)</w:t>
      </w:r>
    </w:p>
    <w:p>
      <w:pPr>
        <w:spacing w:after="0" w:line="86" w:lineRule="exact"/>
        <w:rPr>
          <w:sz w:val="20"/>
          <w:szCs w:val="20"/>
          <w:color w:val="auto"/>
        </w:rPr>
      </w:pPr>
    </w:p>
    <w:p>
      <w:pPr>
        <w:ind w:left="1040" w:right="680" w:hanging="786"/>
        <w:spacing w:after="0" w:line="268" w:lineRule="auto"/>
        <w:tabs>
          <w:tab w:leader="none" w:pos="10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Registration Rights Agreement, dated as of November 6, 2007, by and among Wynn Las Vegas, LLC, Wynn Las Vegas Capital Corp., the Guarantor signatories thereto and Deutsche Bank Securities Inc., Banc of America Securities LLC. (19)</w:t>
      </w:r>
    </w:p>
    <w:p>
      <w:pPr>
        <w:spacing w:after="0" w:line="78" w:lineRule="exact"/>
        <w:rPr>
          <w:sz w:val="20"/>
          <w:szCs w:val="20"/>
          <w:color w:val="auto"/>
        </w:rPr>
      </w:pPr>
    </w:p>
    <w:p>
      <w:pPr>
        <w:ind w:left="1040" w:right="360" w:hanging="874"/>
        <w:spacing w:after="0" w:line="370" w:lineRule="auto"/>
        <w:tabs>
          <w:tab w:leader="none" w:pos="10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Amended and Restated Master Disbursement Agreement, dated as of October 25, 2007, by and among Wynn Las Vegas, LLC, Deutsche Bank Trust Company Americas, as the initial Bank Agent, and Deutsche Bank Trust Company America, as the initial Disbursement Agent. (20)</w:t>
      </w:r>
    </w:p>
    <w:p>
      <w:pPr>
        <w:spacing w:after="0" w:line="8" w:lineRule="exact"/>
        <w:rPr>
          <w:sz w:val="20"/>
          <w:szCs w:val="20"/>
          <w:color w:val="auto"/>
        </w:rPr>
      </w:pPr>
    </w:p>
    <w:p>
      <w:pPr>
        <w:ind w:left="1040" w:hanging="874"/>
        <w:spacing w:after="0" w:line="259" w:lineRule="auto"/>
        <w:tabs>
          <w:tab w:leader="none" w:pos="10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to Amended and Restated Master Disbursement Agreement, dated as of October 31, 2007, by and among Wynn Las Vegas, LLC, Deutsche Bank Trust Company Americas, as the initial Bank Agent, and Deutsche Bank Trust Company America, as the initial Disbursement Agent. (18)</w:t>
      </w:r>
    </w:p>
    <w:p>
      <w:pPr>
        <w:spacing w:after="0" w:line="86" w:lineRule="exact"/>
        <w:rPr>
          <w:sz w:val="20"/>
          <w:szCs w:val="20"/>
          <w:color w:val="auto"/>
        </w:rPr>
      </w:pPr>
    </w:p>
    <w:p>
      <w:pPr>
        <w:ind w:left="1040" w:right="140" w:hanging="874"/>
        <w:spacing w:after="0" w:line="259" w:lineRule="auto"/>
        <w:tabs>
          <w:tab w:leader="none" w:pos="10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to Amended and Restated Master Disbursement Agreement, dated as of November 6, 2007, by and among Wynn Las Vegas, LLC, Deutsche Bank Trust Company Americas, as the Bank Agent, and Deutsche Bank Trust Company Americas, as the Disbursement Agent. (19)</w:t>
      </w:r>
    </w:p>
    <w:p>
      <w:pPr>
        <w:spacing w:after="0" w:line="86" w:lineRule="exact"/>
        <w:rPr>
          <w:sz w:val="20"/>
          <w:szCs w:val="20"/>
          <w:color w:val="auto"/>
        </w:rPr>
      </w:pPr>
    </w:p>
    <w:p>
      <w:pPr>
        <w:ind w:left="1040" w:right="60" w:hanging="874"/>
        <w:spacing w:after="0" w:line="259" w:lineRule="auto"/>
        <w:tabs>
          <w:tab w:leader="none" w:pos="10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Promissory Note and Agreement, dated May 24, 2005, by Wells Fargo Northwest, National Association, not in its individual capacity but solely as owner trustee, and World Travel, LLC; and accepted and agreed to by Bank of America, N.A., as lender and Wells Fargo Bank, National Association, not in its individual capacity but solely as collateral agent. (10)</w:t>
      </w:r>
    </w:p>
    <w:p>
      <w:pPr>
        <w:spacing w:after="0" w:line="86" w:lineRule="exact"/>
        <w:rPr>
          <w:sz w:val="20"/>
          <w:szCs w:val="20"/>
          <w:color w:val="auto"/>
        </w:rPr>
      </w:pPr>
    </w:p>
    <w:p>
      <w:pPr>
        <w:ind w:left="1040" w:right="60" w:hanging="874"/>
        <w:spacing w:after="0" w:line="306" w:lineRule="auto"/>
        <w:tabs>
          <w:tab w:leader="none" w:pos="10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Promissory Note and Agreement, dated May 24, 2005, by Wells Fargo Northwest, National Association, not in its individual capacity but solely as owner trustee, and World Travel, LLC; and accepted and agreed to by The CIT Group / Equipment Financing, Inc., as lender and Wells Fargo Bank, National Association, not in its individual capacity but solely as collateral agent. (10)</w:t>
      </w:r>
    </w:p>
    <w:p>
      <w:pPr>
        <w:spacing w:after="0" w:line="53" w:lineRule="exact"/>
        <w:rPr>
          <w:sz w:val="20"/>
          <w:szCs w:val="20"/>
          <w:color w:val="auto"/>
        </w:rPr>
      </w:pPr>
    </w:p>
    <w:p>
      <w:pPr>
        <w:jc w:val="right"/>
        <w:ind w:left="180" w:right="100"/>
        <w:spacing w:after="0" w:line="332" w:lineRule="auto"/>
        <w:rPr>
          <w:sz w:val="20"/>
          <w:szCs w:val="20"/>
          <w:color w:val="auto"/>
        </w:rPr>
      </w:pPr>
      <w:r>
        <w:rPr>
          <w:rFonts w:ascii="Arial" w:cs="Arial" w:eastAsia="Arial" w:hAnsi="Arial"/>
          <w:sz w:val="16"/>
          <w:szCs w:val="16"/>
          <w:color w:val="auto"/>
        </w:rPr>
        <w:t>10.6       Aircraft Security Agreement, dated May 24, 2005, between Wells Fargo Northwest, National Association, not in its individual capacity but solely as owner trustee, World Travel, LLC and Wells Fargo Bank, National Association, not in its individual capacity but solely as collateral agent. (10)</w:t>
      </w:r>
    </w:p>
    <w:p>
      <w:pPr>
        <w:spacing w:after="0" w:line="31" w:lineRule="exact"/>
        <w:rPr>
          <w:sz w:val="20"/>
          <w:szCs w:val="20"/>
          <w:color w:val="auto"/>
        </w:rPr>
      </w:pPr>
    </w:p>
    <w:p>
      <w:pPr>
        <w:ind w:left="1040" w:right="360" w:hanging="874"/>
        <w:spacing w:after="0" w:line="268" w:lineRule="auto"/>
        <w:tabs>
          <w:tab w:leader="none" w:pos="10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Guaranty, dated May 24, 2005, by Wynn Las Vegas, LLC in favor of The CIT Group / Equipment Financing, Inc., Bank of America, N.A. and Wells Fargo Bank, National Association, not in its individual capacity but solely as collateral agent. (10)</w:t>
      </w:r>
    </w:p>
    <w:p>
      <w:pPr>
        <w:spacing w:after="0" w:line="78"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Agreement of Termination, dated June 30, 2005, by and between Stephen A. Wynn and Wynn Las Vegas, LLC. (11)</w:t>
      </w:r>
    </w:p>
    <w:p>
      <w:pPr>
        <w:spacing w:after="0" w:line="117" w:lineRule="exact"/>
        <w:rPr>
          <w:sz w:val="20"/>
          <w:szCs w:val="20"/>
          <w:color w:val="auto"/>
        </w:rPr>
      </w:pPr>
    </w:p>
    <w:p>
      <w:pPr>
        <w:ind w:left="1040" w:right="560" w:hanging="874"/>
        <w:spacing w:after="0" w:line="268" w:lineRule="auto"/>
        <w:tabs>
          <w:tab w:leader="none" w:pos="10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Fourth Amended and Restated Art Rental and Licensing Agreement, dated as of June 30, 2005, between Stephen A. Wynn, as lessor, Wynn Gallery, LLC, as lessee. (11)</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Lump Sum Agreement, by and between Wynn Las Vegas, LLC and Wadsworth Golf Construction Company, effective as of February 18, 2003. (6)</w:t>
      </w:r>
    </w:p>
    <w:p>
      <w:pPr>
        <w:spacing w:after="0" w:line="117" w:lineRule="exact"/>
        <w:rPr>
          <w:sz w:val="20"/>
          <w:szCs w:val="20"/>
          <w:color w:val="auto"/>
        </w:rPr>
      </w:pPr>
    </w:p>
    <w:p>
      <w:pPr>
        <w:ind w:left="1040" w:right="200" w:hanging="955"/>
        <w:spacing w:after="0" w:line="268" w:lineRule="auto"/>
        <w:tabs>
          <w:tab w:leader="none" w:pos="10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Completion Guaranty, dated December 14, 2004, by Wynn Completion Guarantor, LLC in favor of Deutsche Bank Trust Company Americas, as the Bank Agent, and U.S. Bank National Association, as Indenture Trustee. (4)</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Stephen A. Wynn. (2)</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 (2)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type w:val="continuous"/>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4" w:lineRule="exact"/>
        <w:rPr>
          <w:sz w:val="20"/>
          <w:szCs w:val="20"/>
          <w:color w:val="auto"/>
        </w:rPr>
      </w:pPr>
    </w:p>
    <w:p>
      <w:pPr>
        <w:jc w:val="center"/>
        <w:ind w:right="468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2400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90805</wp:posOffset>
            </wp:positionV>
            <wp:extent cx="3689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80" w:space="720"/>
            <w:col w:w="5480"/>
          </w:cols>
          <w:pgMar w:left="240" w:top="459" w:right="279" w:bottom="1440" w:gutter="0" w:footer="0" w:header="0"/>
          <w:type w:val="continuous"/>
        </w:sectPr>
      </w:pPr>
    </w:p>
    <w:p>
      <w:pPr>
        <w:spacing w:after="0" w:line="8" w:lineRule="exact"/>
        <w:rPr>
          <w:sz w:val="20"/>
          <w:szCs w:val="20"/>
          <w:color w:val="auto"/>
        </w:rPr>
      </w:pPr>
    </w:p>
    <w:p>
      <w:pPr>
        <w:ind w:left="1040" w:hanging="961"/>
        <w:spacing w:after="0" w:line="268" w:lineRule="auto"/>
        <w:tabs>
          <w:tab w:leader="none" w:pos="10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Acknowledgement and Agreement, dated as of September 1, 2004, among Wynn Las Vegas, LLC, Wells Fargo Bank, National Association and the lenders named therein. (7)</w:t>
      </w:r>
    </w:p>
    <w:p>
      <w:pPr>
        <w:spacing w:after="0" w:line="78" w:lineRule="exact"/>
        <w:rPr>
          <w:sz w:val="20"/>
          <w:szCs w:val="20"/>
          <w:color w:val="auto"/>
        </w:rPr>
      </w:pPr>
    </w:p>
    <w:p>
      <w:pPr>
        <w:ind w:left="1040" w:right="120" w:hanging="961"/>
        <w:spacing w:after="0" w:line="268" w:lineRule="auto"/>
        <w:tabs>
          <w:tab w:leader="none" w:pos="10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Third Amended and Restated Art Rental and Licensing Agreement, dated as of August 6, 2004, by and between Stephen A. Wynn and Wynn Las Vegas, LLC. (5)</w:t>
      </w:r>
    </w:p>
    <w:p>
      <w:pPr>
        <w:spacing w:after="0" w:line="78" w:lineRule="exact"/>
        <w:rPr>
          <w:sz w:val="20"/>
          <w:szCs w:val="20"/>
          <w:color w:val="auto"/>
        </w:rPr>
      </w:pPr>
    </w:p>
    <w:p>
      <w:pPr>
        <w:ind w:left="1040" w:right="240" w:hanging="961"/>
        <w:spacing w:after="0" w:line="370" w:lineRule="auto"/>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Las Vegas, LLC, as trustor, to Nevada Title Company, as trustee, for the benefit of Deutsche Bank Trust Company Americas, as collateral agent. (4)</w:t>
      </w:r>
    </w:p>
    <w:p>
      <w:pPr>
        <w:spacing w:after="0" w:line="8" w:lineRule="exact"/>
        <w:rPr>
          <w:sz w:val="20"/>
          <w:szCs w:val="20"/>
          <w:color w:val="auto"/>
        </w:rPr>
      </w:pPr>
    </w:p>
    <w:p>
      <w:pPr>
        <w:ind w:left="1040" w:right="140" w:hanging="961"/>
        <w:spacing w:after="0" w:line="370" w:lineRule="auto"/>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Sunrise, LLC, as trustor, to Nevada Title Company, as trustee, for the benefit of Deutsche Bank Trust Company Americas, as collateral agent. (4)</w:t>
      </w:r>
    </w:p>
    <w:p>
      <w:pPr>
        <w:spacing w:after="0" w:line="8" w:lineRule="exact"/>
        <w:rPr>
          <w:sz w:val="20"/>
          <w:szCs w:val="20"/>
          <w:color w:val="auto"/>
        </w:rPr>
      </w:pPr>
    </w:p>
    <w:p>
      <w:pPr>
        <w:ind w:left="1040" w:right="340" w:hanging="961"/>
        <w:spacing w:after="0" w:line="370"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Golf, LLC, as trustor, to Nevada Title Company, as trustee, for the benefit of Deutsche Bank Trust Company Americas, as collateral agent. (4)</w:t>
      </w:r>
    </w:p>
    <w:p>
      <w:pPr>
        <w:spacing w:after="0" w:line="8" w:lineRule="exact"/>
        <w:rPr>
          <w:sz w:val="20"/>
          <w:szCs w:val="20"/>
          <w:color w:val="auto"/>
        </w:rPr>
      </w:pPr>
    </w:p>
    <w:p>
      <w:pPr>
        <w:ind w:left="1040" w:right="20" w:hanging="961"/>
        <w:spacing w:after="0" w:line="306"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Guarantee and Collateral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(4)</w:t>
      </w:r>
    </w:p>
    <w:p>
      <w:pPr>
        <w:spacing w:after="0" w:line="53" w:lineRule="exact"/>
        <w:rPr>
          <w:sz w:val="20"/>
          <w:szCs w:val="20"/>
          <w:color w:val="auto"/>
        </w:rPr>
      </w:pPr>
    </w:p>
    <w:p>
      <w:pPr>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Intercreditor Agreement, dated as of December 14, 2004, among Deutsche Bank Trust Company Americas, as bank agent, Deutsche Bank Trust Company Americas, as collateral agent, and U.S. Bank National Association, as trustee. (3)</w:t>
      </w:r>
    </w:p>
    <w:p>
      <w:pPr>
        <w:spacing w:after="0" w:line="78" w:lineRule="exact"/>
        <w:rPr>
          <w:sz w:val="20"/>
          <w:szCs w:val="20"/>
          <w:color w:val="auto"/>
        </w:rPr>
      </w:pPr>
    </w:p>
    <w:p>
      <w:pPr>
        <w:ind w:left="1040" w:right="240" w:hanging="961"/>
        <w:spacing w:after="0" w:line="306"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Pledge and Security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(4)</w:t>
      </w:r>
    </w:p>
    <w:p>
      <w:pPr>
        <w:spacing w:after="0" w:line="53" w:lineRule="exact"/>
        <w:rPr>
          <w:sz w:val="20"/>
          <w:szCs w:val="20"/>
          <w:color w:val="auto"/>
        </w:rPr>
      </w:pPr>
    </w:p>
    <w:p>
      <w:pPr>
        <w:ind w:left="1040" w:right="20" w:hanging="961"/>
        <w:spacing w:after="0" w:line="259"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 xml:space="preserve">Management Fees Subordination Agreement, dated as of December 14, 2004, by Wynn Resorts, Limited, Wynn Las Vegas, LLC, Wynn Las Vegas Capital Corp., and those subsidiaries of Wynn Las Vegas, LLC listed on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hereto in favor of Deutsche Bank Trust Company Americas, as administrative agent, and U.S. Bank National Association, as trustee. (4)</w:t>
      </w:r>
    </w:p>
    <w:p>
      <w:pPr>
        <w:spacing w:after="0" w:line="86" w:lineRule="exact"/>
        <w:rPr>
          <w:sz w:val="20"/>
          <w:szCs w:val="20"/>
          <w:color w:val="auto"/>
        </w:rPr>
      </w:pPr>
    </w:p>
    <w:p>
      <w:pPr>
        <w:ind w:left="1040" w:right="140" w:hanging="961"/>
        <w:spacing w:after="0" w:line="332"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 Vegas Capital Corp., Wynn Golf, LLC, World Travel, LLC, Las Vegas Jet, LLC, Wynn Sunrise, LLC, and Wynn Resorts, Limited. (4)</w:t>
      </w:r>
    </w:p>
    <w:p>
      <w:pPr>
        <w:spacing w:after="0" w:line="31" w:lineRule="exact"/>
        <w:rPr>
          <w:sz w:val="20"/>
          <w:szCs w:val="20"/>
          <w:color w:val="auto"/>
        </w:rPr>
      </w:pPr>
    </w:p>
    <w:p>
      <w:pPr>
        <w:ind w:left="1040" w:right="260" w:hanging="961"/>
        <w:spacing w:after="0" w:line="268"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Irrevocable Trust Agreement, dated as of December 14, 2004, by and among Wynn Las Vegas, LLC, Wynn Las Vegas Capital Corp., and Wells Fargo Bank, National Association, as Trustee. (4)</w:t>
      </w:r>
    </w:p>
    <w:p>
      <w:pPr>
        <w:spacing w:after="0" w:line="78" w:lineRule="exact"/>
        <w:rPr>
          <w:sz w:val="20"/>
          <w:szCs w:val="20"/>
          <w:color w:val="auto"/>
        </w:rPr>
      </w:pPr>
    </w:p>
    <w:p>
      <w:pPr>
        <w:ind w:left="1040" w:right="80" w:hanging="961"/>
        <w:spacing w:after="0" w:line="268"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Amended and Restated Project Administration Services Agreement, dated December 14, 2004, between Wynn Las Vegas, LLC and Wynn Design &amp; Development, LLC. (4)</w:t>
      </w:r>
    </w:p>
    <w:p>
      <w:pPr>
        <w:spacing w:after="0" w:line="78" w:lineRule="exact"/>
        <w:rPr>
          <w:sz w:val="20"/>
          <w:szCs w:val="20"/>
          <w:color w:val="auto"/>
        </w:rPr>
      </w:pPr>
    </w:p>
    <w:p>
      <w:pPr>
        <w:ind w:left="1040" w:right="380" w:hanging="961"/>
        <w:spacing w:after="0" w:line="268"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Wynn Resorts, Limited and Wynn Las Vegas, LLC. (4)</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Employment Agreement, dated as of August 31, 2005, between Wynn Las Vegas, LLC and Andrew Pascal. (12)</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First Amendment to Employment Agreement, dated December 31, 2008, by and between Wynn Las Vegas, LLC and Andrew Pascal (16)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jc w:val="center"/>
        <w:ind w:right="468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60325</wp:posOffset>
            </wp:positionV>
            <wp:extent cx="2400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90805</wp:posOffset>
            </wp:positionV>
            <wp:extent cx="3689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80" w:space="720"/>
            <w:col w:w="5520"/>
          </w:cols>
          <w:pgMar w:left="240" w:top="459" w:right="239" w:bottom="1440" w:gutter="0" w:footer="0" w:header="0"/>
          <w:type w:val="continuous"/>
        </w:sectPr>
      </w:pPr>
    </w:p>
    <w:p>
      <w:pPr>
        <w:spacing w:after="0" w:line="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5"/>
          <w:szCs w:val="15"/>
          <w:color w:val="auto"/>
        </w:rPr>
        <w:t>Employment Agreement, dated as of March 3, 2008 by and between Wynn Las Vegas, LLC and David Sisk. (22)</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First Amendment to Employment Agreement, dated December 31, 2008, by and between Wynn Las Vegas, LLC and David Sisk. (16)</w:t>
      </w:r>
    </w:p>
    <w:p>
      <w:pPr>
        <w:spacing w:after="0" w:line="117" w:lineRule="exact"/>
        <w:rPr>
          <w:sz w:val="20"/>
          <w:szCs w:val="20"/>
          <w:color w:val="auto"/>
        </w:rPr>
      </w:pPr>
    </w:p>
    <w:p>
      <w:pPr>
        <w:ind w:left="1040" w:right="40" w:hanging="961"/>
        <w:spacing w:after="0" w:line="268"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Amended and Restated Credit Agreement, dated as of August 15, 2006 among Wynn Las Vegas, LLC, as the Borrower, several lenders and agents, and Deutsche Bank Trust Company Americas, as Administrative Agent. (21)</w:t>
      </w:r>
    </w:p>
    <w:p>
      <w:pPr>
        <w:spacing w:after="0" w:line="78" w:lineRule="exact"/>
        <w:rPr>
          <w:sz w:val="20"/>
          <w:szCs w:val="20"/>
          <w:color w:val="auto"/>
        </w:rPr>
      </w:pPr>
    </w:p>
    <w:p>
      <w:pPr>
        <w:ind w:left="1040" w:hanging="961"/>
        <w:spacing w:after="0" w:line="298"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First Amendment to Amended and Restated Credit Agreement dated April 9, 2007 among Wynn Las Vegas, LLC, Wynn Las Vegas Capital Corp., Wynn Show Performers, LLC, Wynn Golf, LLC, Wynn Sunrise, LLC, World Travel, LLC, Kevyn, LLC, Las Vegas Jet, LLC, and Deutsche Bank Trust Company Americas, as Administrative Agent on behalf of the several banks and other financial institutions or entities from time to time party to Wynn Las Vegas LLC’s Amended and Restated Credit Agreement, dated as of August 15, 2006. (17)</w:t>
      </w:r>
    </w:p>
    <w:p>
      <w:pPr>
        <w:spacing w:after="0" w:line="59" w:lineRule="exact"/>
        <w:rPr>
          <w:sz w:val="20"/>
          <w:szCs w:val="20"/>
          <w:color w:val="auto"/>
        </w:rPr>
      </w:pPr>
    </w:p>
    <w:p>
      <w:pPr>
        <w:ind w:left="1040" w:right="40" w:hanging="961"/>
        <w:spacing w:after="0" w:line="255" w:lineRule="auto"/>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Second Amendment to Amended and Restated Credit Agreement dated October 31, 2007 among Wynn Las Vegas, LLC, Wynn Las Vegas Capital Corp., Wynn Show Performers, LLC, Wynn Golf, LLC, Wynn Sunrise, LLC, World Travel, LLC, Kevyn, LLC, Las Vegas Jet, LLC, Wynn Resorts Holdings, LLC, Wynn Completion Guarantors, LLC and Deutsche Bank Trust Company Americas, as Administrative Agent on behalf of the several banks and other financial institutions or entities from time to time party to Wynn Las Vegas LLC’s Amended and Restated Credit Agreement, dated as of August 15, 2006. (18)</w:t>
      </w:r>
    </w:p>
    <w:p>
      <w:pPr>
        <w:spacing w:after="0" w:line="89" w:lineRule="exact"/>
        <w:rPr>
          <w:sz w:val="20"/>
          <w:szCs w:val="20"/>
          <w:color w:val="auto"/>
        </w:rPr>
      </w:pPr>
    </w:p>
    <w:p>
      <w:pPr>
        <w:ind w:left="1040" w:right="60" w:hanging="961"/>
        <w:spacing w:after="0" w:line="255" w:lineRule="auto"/>
        <w:tabs>
          <w:tab w:leader="none" w:pos="10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Third Amendment to Amended and Restated Credit Agreement dated as of September 17, 2008 among Wynn Las Vegas, LLC, Wynn Las Vegas Capital Corp., Wynn Show Performers, LLC, Wynn Golf, LLC, Wynn Sunrise, LLC, World Travel, LLC, Kevyn, LLC, Las Vegas Jet, LLC, Wynn Resorts Holdings, LLC, Wynn Completion Guarantor, LLC and Deutsche Bank Trust Company Americas, as Administrative Agent on behalf of the several banks and other financial institutions or entities from time to time party to Wynn Las Vegas, LLC’s Amended and Restated Credit Agreement, dated as of August 15, 2006. (13)</w:t>
      </w:r>
    </w:p>
    <w:p>
      <w:pPr>
        <w:spacing w:after="0" w:line="89"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 Pursuant to General Instructions I of Form 10-K, the list of subsidiaries is omitted.</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 (16)</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 (16)</w:t>
      </w:r>
    </w:p>
    <w:p>
      <w:pPr>
        <w:spacing w:after="0" w:line="117" w:lineRule="exact"/>
        <w:rPr>
          <w:sz w:val="20"/>
          <w:szCs w:val="20"/>
          <w:color w:val="auto"/>
        </w:rPr>
      </w:pPr>
    </w:p>
    <w:p>
      <w:pPr>
        <w:ind w:left="1040" w:hanging="735"/>
        <w:spacing w:after="0"/>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Certification of CEO and CFO Pursuant to 18 U.S.C. Section 1350, as Adopted Pursuant to Section 906 of the Sarbanes-Oxley Act of 2002. (16)</w:t>
      </w:r>
    </w:p>
    <w:p>
      <w:pPr>
        <w:spacing w:after="0" w:line="261"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-892810</wp:posOffset>
            </wp:positionV>
            <wp:extent cx="7461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on September 8, 2004.</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Wynn Resorts, Limited on April 27,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Periodic Report on form 10-Q filed by Wynn Resorts, Limited on August 2,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19,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Wynn Resorts on March 16,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Wynn Resorts, Limited on November 9,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9,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4,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February 22, 2008.</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6060" w:val="left"/>
          <w:tab w:leader="none" w:pos="8000" w:val="left"/>
          <w:tab w:leader="none" w:pos="8340" w:val="left"/>
        </w:tabs>
        <w:rPr>
          <w:sz w:val="20"/>
          <w:szCs w:val="20"/>
          <w:color w:val="auto"/>
        </w:rPr>
      </w:pPr>
      <w:r>
        <w:rPr>
          <w:rFonts w:ascii="Arial" w:cs="Arial" w:eastAsia="Arial" w:hAnsi="Arial"/>
          <w:sz w:val="18"/>
          <w:szCs w:val="18"/>
          <w:color w:val="auto"/>
        </w:rPr>
        <w:t>Dated: February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Andrew Pascal</w:t>
      </w:r>
    </w:p>
    <w:p>
      <w:pPr>
        <w:jc w:val="center"/>
        <w:ind w:left="6520"/>
        <w:spacing w:after="0" w:line="223" w:lineRule="auto"/>
        <w:rPr>
          <w:sz w:val="20"/>
          <w:szCs w:val="20"/>
          <w:color w:val="auto"/>
        </w:rPr>
      </w:pPr>
      <w:r>
        <w:rPr>
          <w:rFonts w:ascii="Arial" w:cs="Arial" w:eastAsia="Arial" w:hAnsi="Arial"/>
          <w:sz w:val="14"/>
          <w:szCs w:val="14"/>
          <w:b w:val="1"/>
          <w:bCs w:val="1"/>
          <w:color w:val="auto"/>
        </w:rPr>
        <w:t>Chief Operating Officer and President</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6"/>
              </w:rPr>
              <w:t>Signature</w:t>
            </w:r>
          </w:p>
        </w:tc>
        <w:tc>
          <w:tcPr>
            <w:tcW w:w="204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spacing w:after="0"/>
              <w:rPr>
                <w:sz w:val="15"/>
                <w:szCs w:val="15"/>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1480" w:type="dxa"/>
            <w:vAlign w:val="bottom"/>
          </w:tcPr>
          <w:p>
            <w:pPr>
              <w:ind w:left="12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40" w:type="dxa"/>
            <w:vAlign w:val="bottom"/>
          </w:tcPr>
          <w:p>
            <w:pPr>
              <w:spacing w:after="0"/>
              <w:rPr>
                <w:sz w:val="24"/>
                <w:szCs w:val="24"/>
                <w:color w:val="auto"/>
              </w:rPr>
            </w:pPr>
          </w:p>
        </w:tc>
        <w:tc>
          <w:tcPr>
            <w:tcW w:w="2960" w:type="dxa"/>
            <w:vAlign w:val="bottom"/>
            <w:gridSpan w:val="4"/>
          </w:tcPr>
          <w:p>
            <w:pPr>
              <w:jc w:val="center"/>
              <w:ind w:right="154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Stephen A. Wynn</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20" w:type="dxa"/>
            <w:vAlign w:val="bottom"/>
            <w:gridSpan w:val="2"/>
          </w:tcPr>
          <w:p>
            <w:pPr>
              <w:ind w:left="14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6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0"/>
              </w:rPr>
              <w:t>Kazuo Okada</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80" w:type="dxa"/>
            <w:vAlign w:val="bottom"/>
          </w:tcPr>
          <w:p>
            <w:pPr>
              <w:spacing w:after="0"/>
              <w:rPr>
                <w:sz w:val="24"/>
                <w:szCs w:val="24"/>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President, Wynn International Marketing and 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2"/>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89"/>
              </w:rPr>
              <w:t>Linda Chen</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80" w:type="dxa"/>
            <w:vAlign w:val="bottom"/>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gridSpan w:val="5"/>
          </w:tcPr>
          <w:p>
            <w:pPr>
              <w:jc w:val="center"/>
              <w:ind w:right="140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USSELL</w:t>
            </w:r>
            <w:r>
              <w:rPr>
                <w:rFonts w:ascii="Arial" w:cs="Arial" w:eastAsia="Arial" w:hAnsi="Arial"/>
                <w:sz w:val="18"/>
                <w:szCs w:val="18"/>
                <w:color w:val="auto"/>
                <w:w w:val="99"/>
              </w:rPr>
              <w:t xml:space="preserve"> G</w:t>
            </w:r>
            <w:r>
              <w:rPr>
                <w:rFonts w:ascii="Arial" w:cs="Arial" w:eastAsia="Arial" w:hAnsi="Arial"/>
                <w:sz w:val="14"/>
                <w:szCs w:val="14"/>
                <w:color w:val="auto"/>
                <w:w w:val="99"/>
              </w:rPr>
              <w:t>OLDSMITH</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4"/>
              </w:rPr>
              <w:t>Russell Goldsmith</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8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3"/>
              </w:rPr>
              <w:t>Dr. Ray R. Irani</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80" w:type="dxa"/>
            <w:vAlign w:val="bottom"/>
          </w:tcPr>
          <w:p>
            <w:pPr>
              <w:ind w:left="13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40" w:type="dxa"/>
            <w:vAlign w:val="bottom"/>
          </w:tcPr>
          <w:p>
            <w:pPr>
              <w:spacing w:after="0"/>
              <w:rPr>
                <w:sz w:val="24"/>
                <w:szCs w:val="24"/>
                <w:color w:val="auto"/>
              </w:rPr>
            </w:pPr>
          </w:p>
        </w:tc>
        <w:tc>
          <w:tcPr>
            <w:tcW w:w="2960" w:type="dxa"/>
            <w:vAlign w:val="bottom"/>
            <w:gridSpan w:val="4"/>
          </w:tcPr>
          <w:p>
            <w:pPr>
              <w:jc w:val="center"/>
              <w:ind w:right="156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0"/>
              </w:rPr>
              <w:t>Robert J. Miller</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0"/>
              </w:rPr>
              <w:t>John A. Moran</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80" w:type="dxa"/>
            <w:vAlign w:val="bottom"/>
          </w:tcPr>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gridSpan w:val="5"/>
          </w:tcPr>
          <w:p>
            <w:pPr>
              <w:jc w:val="center"/>
              <w:ind w:right="140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LVIN</w:t>
            </w:r>
            <w:r>
              <w:rPr>
                <w:rFonts w:ascii="Arial" w:cs="Arial" w:eastAsia="Arial" w:hAnsi="Arial"/>
                <w:sz w:val="18"/>
                <w:szCs w:val="18"/>
                <w:color w:val="auto"/>
                <w:w w:val="99"/>
              </w:rPr>
              <w:t xml:space="preserve"> V. S</w:t>
            </w:r>
            <w:r>
              <w:rPr>
                <w:rFonts w:ascii="Arial" w:cs="Arial" w:eastAsia="Arial" w:hAnsi="Arial"/>
                <w:sz w:val="14"/>
                <w:szCs w:val="14"/>
                <w:color w:val="auto"/>
                <w:w w:val="99"/>
              </w:rPr>
              <w:t>HOEMAKER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8"/>
              </w:rPr>
              <w:t>Alvin V. Shoemaker</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480" w:type="dxa"/>
            <w:vAlign w:val="bottom"/>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gridSpan w:val="5"/>
          </w:tcPr>
          <w:p>
            <w:pPr>
              <w:jc w:val="center"/>
              <w:ind w:right="142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85"/>
              </w:rPr>
              <w:t>D. Boone Wayson</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2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900" w:type="dxa"/>
            <w:vAlign w:val="bottom"/>
            <w:gridSpan w:val="3"/>
          </w:tcPr>
          <w:p>
            <w:pPr>
              <w:jc w:val="center"/>
              <w:ind w:right="162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20" w:type="dxa"/>
            <w:vAlign w:val="bottom"/>
            <w:gridSpan w:val="2"/>
          </w:tcPr>
          <w:p>
            <w:pPr>
              <w:ind w:left="14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6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0"/>
        </w:trPr>
        <w:tc>
          <w:tcPr>
            <w:tcW w:w="1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gridSpan w:val="2"/>
          </w:tcPr>
          <w:p>
            <w:pPr>
              <w:spacing w:after="0"/>
              <w:rPr>
                <w:sz w:val="9"/>
                <w:szCs w:val="9"/>
                <w:color w:val="auto"/>
              </w:rPr>
            </w:pPr>
          </w:p>
        </w:tc>
        <w:tc>
          <w:tcPr>
            <w:tcW w:w="2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620" w:type="dxa"/>
            <w:vAlign w:val="bottom"/>
            <w:gridSpan w:val="2"/>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900" w:type="dxa"/>
            <w:vAlign w:val="bottom"/>
            <w:gridSpan w:val="3"/>
          </w:tcPr>
          <w:p>
            <w:pPr>
              <w:jc w:val="center"/>
              <w:ind w:right="16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Chief Operating Officer and President (Principal</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6"/>
        </w:trPr>
        <w:tc>
          <w:tcPr>
            <w:tcW w:w="1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Officer)</w:t>
            </w: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gridSpan w:val="3"/>
            <w:vMerge w:val="restart"/>
          </w:tcPr>
          <w:p>
            <w:pPr>
              <w:jc w:val="center"/>
              <w:ind w:right="1680"/>
              <w:spacing w:after="0"/>
              <w:rPr>
                <w:sz w:val="20"/>
                <w:szCs w:val="20"/>
                <w:color w:val="auto"/>
              </w:rPr>
            </w:pPr>
            <w:r>
              <w:rPr>
                <w:rFonts w:ascii="Arial" w:cs="Arial" w:eastAsia="Arial" w:hAnsi="Arial"/>
                <w:sz w:val="14"/>
                <w:szCs w:val="14"/>
                <w:b w:val="1"/>
                <w:bCs w:val="1"/>
                <w:color w:val="auto"/>
                <w:w w:val="86"/>
              </w:rPr>
              <w:t>Andrew Pascal</w:t>
            </w:r>
          </w:p>
        </w:tc>
        <w:tc>
          <w:tcPr>
            <w:tcW w:w="45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0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20" w:type="dxa"/>
            <w:vAlign w:val="bottom"/>
            <w:gridSpan w:val="2"/>
          </w:tcPr>
          <w:p>
            <w:pPr>
              <w:ind w:left="14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60" w:type="dxa"/>
            <w:vAlign w:val="bottom"/>
          </w:tcPr>
          <w:p>
            <w:pPr>
              <w:spacing w:after="0"/>
              <w:rPr>
                <w:sz w:val="24"/>
                <w:szCs w:val="24"/>
                <w:color w:val="auto"/>
              </w:rPr>
            </w:pP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R. S</w:t>
            </w:r>
            <w:r>
              <w:rPr>
                <w:rFonts w:ascii="Arial" w:cs="Arial" w:eastAsia="Arial" w:hAnsi="Arial"/>
                <w:sz w:val="14"/>
                <w:szCs w:val="14"/>
                <w:color w:val="auto"/>
                <w:w w:val="97"/>
              </w:rPr>
              <w:t>ISK</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27, 2009</w:t>
            </w:r>
          </w:p>
        </w:tc>
        <w:tc>
          <w:tcPr>
            <w:tcW w:w="0" w:type="dxa"/>
            <w:vAlign w:val="bottom"/>
          </w:tcPr>
          <w:p>
            <w:pPr>
              <w:spacing w:after="0"/>
              <w:rPr>
                <w:sz w:val="1"/>
                <w:szCs w:val="1"/>
                <w:color w:val="auto"/>
              </w:rPr>
            </w:pPr>
          </w:p>
        </w:tc>
      </w:tr>
      <w:tr>
        <w:trPr>
          <w:trHeight w:val="116"/>
        </w:trPr>
        <w:tc>
          <w:tcPr>
            <w:tcW w:w="14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Chief Financial Officer (Principal</w:t>
            </w: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52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8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7"/>
              </w:rPr>
              <w:t>David R. Sisk</w:t>
            </w:r>
          </w:p>
        </w:tc>
        <w:tc>
          <w:tcPr>
            <w:tcW w:w="4520" w:type="dxa"/>
            <w:vAlign w:val="bottom"/>
            <w:gridSpan w:val="3"/>
          </w:tcPr>
          <w:p>
            <w:pPr>
              <w:ind w:left="460"/>
              <w:spacing w:after="0"/>
              <w:rPr>
                <w:sz w:val="20"/>
                <w:szCs w:val="20"/>
                <w:color w:val="auto"/>
              </w:rPr>
            </w:pPr>
            <w:r>
              <w:rPr>
                <w:rFonts w:ascii="Arial" w:cs="Arial" w:eastAsia="Arial" w:hAnsi="Arial"/>
                <w:sz w:val="18"/>
                <w:szCs w:val="18"/>
                <w:color w:val="auto"/>
              </w:rPr>
              <w:t>Financial and Accounting Officer)</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035" w:gutter="0" w:footer="0" w:header="0"/>
        </w:sect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459" w:right="239" w:bottom="1035"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10.28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4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December 31, 2008, by and between Wynn Las Vegas, LLC (“</w:t>
      </w:r>
      <w:r>
        <w:rPr>
          <w:rFonts w:ascii="Arial" w:cs="Arial" w:eastAsia="Arial" w:hAnsi="Arial"/>
          <w:sz w:val="18"/>
          <w:szCs w:val="18"/>
          <w:b w:val="1"/>
          <w:bCs w:val="1"/>
          <w:color w:val="auto"/>
        </w:rPr>
        <w:t>Employer</w:t>
      </w:r>
      <w:r>
        <w:rPr>
          <w:rFonts w:ascii="Arial" w:cs="Arial" w:eastAsia="Arial" w:hAnsi="Arial"/>
          <w:sz w:val="18"/>
          <w:szCs w:val="18"/>
          <w:color w:val="auto"/>
        </w:rPr>
        <w:t>”) and Andrew Pascal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WHEREAS, Employer and Employee have entered into that certain Employment Agreement, dated as of August 31, 2005 as amended by that certain First Amendment to Employment Agreement dated February 3, 2006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51" w:lineRule="exact"/>
        <w:rPr>
          <w:sz w:val="20"/>
          <w:szCs w:val="20"/>
          <w:color w:val="auto"/>
        </w:rPr>
      </w:pPr>
    </w:p>
    <w:p>
      <w:pPr>
        <w:ind w:right="60" w:firstLine="464"/>
        <w:spacing w:after="0" w:line="288"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06" w:lineRule="exact"/>
        <w:rPr>
          <w:rFonts w:ascii="Arial" w:cs="Arial" w:eastAsia="Arial" w:hAnsi="Arial"/>
          <w:sz w:val="16"/>
          <w:szCs w:val="16"/>
          <w:color w:val="auto"/>
        </w:rPr>
      </w:pPr>
    </w:p>
    <w:p>
      <w:pPr>
        <w:ind w:right="180" w:firstLine="464"/>
        <w:spacing w:after="0" w:line="268"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ectPr>
          <w:pgSz w:w="11900" w:h="16838" w:orient="portrait"/>
          <w:cols w:equalWidth="0" w:num="1">
            <w:col w:w="11420"/>
          </w:cols>
          <w:pgMar w:left="240" w:top="125"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executed as of the date first written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28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tc>
        <w:tc>
          <w:tcPr>
            <w:tcW w:w="280" w:type="dxa"/>
            <w:vAlign w:val="bottom"/>
          </w:tcPr>
          <w:p>
            <w:pPr>
              <w:spacing w:after="0"/>
              <w:rPr>
                <w:sz w:val="24"/>
                <w:szCs w:val="24"/>
                <w:color w:val="auto"/>
              </w:rPr>
            </w:pPr>
          </w:p>
        </w:tc>
        <w:tc>
          <w:tcPr>
            <w:tcW w:w="3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r>
      <w:tr>
        <w:trPr>
          <w:trHeight w:val="202"/>
        </w:trPr>
        <w:tc>
          <w:tcPr>
            <w:tcW w:w="360" w:type="dxa"/>
            <w:vAlign w:val="bottom"/>
          </w:tcPr>
          <w:p>
            <w:pPr>
              <w:spacing w:after="0"/>
              <w:rPr>
                <w:sz w:val="17"/>
                <w:szCs w:val="17"/>
                <w:color w:val="auto"/>
              </w:rPr>
            </w:pPr>
          </w:p>
        </w:tc>
        <w:tc>
          <w:tcPr>
            <w:tcW w:w="3140" w:type="dxa"/>
            <w:vAlign w:val="bottom"/>
          </w:tcPr>
          <w:p>
            <w:pPr>
              <w:ind w:left="60"/>
              <w:spacing w:after="0" w:line="202" w:lineRule="exact"/>
              <w:rPr>
                <w:sz w:val="20"/>
                <w:szCs w:val="20"/>
                <w:color w:val="auto"/>
              </w:rPr>
            </w:pPr>
            <w:r>
              <w:rPr>
                <w:rFonts w:ascii="Arial" w:cs="Arial" w:eastAsia="Arial" w:hAnsi="Arial"/>
                <w:sz w:val="18"/>
                <w:szCs w:val="18"/>
                <w:color w:val="auto"/>
              </w:rPr>
              <w:t>David Sisk</w:t>
            </w:r>
          </w:p>
        </w:tc>
        <w:tc>
          <w:tcPr>
            <w:tcW w:w="280" w:type="dxa"/>
            <w:vAlign w:val="bottom"/>
          </w:tcPr>
          <w:p>
            <w:pPr>
              <w:spacing w:after="0"/>
              <w:rPr>
                <w:sz w:val="17"/>
                <w:szCs w:val="17"/>
                <w:color w:val="auto"/>
              </w:rPr>
            </w:pPr>
          </w:p>
        </w:tc>
        <w:tc>
          <w:tcPr>
            <w:tcW w:w="3080" w:type="dxa"/>
            <w:vAlign w:val="bottom"/>
          </w:tcPr>
          <w:p>
            <w:pPr>
              <w:ind w:left="60"/>
              <w:spacing w:after="0" w:line="202" w:lineRule="exact"/>
              <w:rPr>
                <w:sz w:val="20"/>
                <w:szCs w:val="20"/>
                <w:color w:val="auto"/>
              </w:rPr>
            </w:pPr>
            <w:r>
              <w:rPr>
                <w:rFonts w:ascii="Arial" w:cs="Arial" w:eastAsia="Arial" w:hAnsi="Arial"/>
                <w:sz w:val="18"/>
                <w:szCs w:val="18"/>
                <w:color w:val="auto"/>
              </w:rPr>
              <w:t>Andrew Pascal</w:t>
            </w:r>
          </w:p>
        </w:tc>
      </w:tr>
      <w:tr>
        <w:trPr>
          <w:trHeight w:val="222"/>
        </w:trPr>
        <w:tc>
          <w:tcPr>
            <w:tcW w:w="36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28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10.30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2" w:lineRule="exact"/>
        <w:rPr>
          <w:sz w:val="20"/>
          <w:szCs w:val="20"/>
          <w:color w:val="auto"/>
        </w:rPr>
      </w:pPr>
    </w:p>
    <w:p>
      <w:pPr>
        <w:ind w:right="200" w:firstLine="456"/>
        <w:spacing w:after="0" w:line="228"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31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December, 2008, by and between Wynn Las Vegas, LLC (“</w:t>
      </w:r>
      <w:r>
        <w:rPr>
          <w:rFonts w:ascii="Arial" w:cs="Arial" w:eastAsia="Arial" w:hAnsi="Arial"/>
          <w:sz w:val="18"/>
          <w:szCs w:val="18"/>
          <w:b w:val="1"/>
          <w:bCs w:val="1"/>
          <w:color w:val="auto"/>
        </w:rPr>
        <w:t>Employer</w:t>
      </w:r>
      <w:r>
        <w:rPr>
          <w:rFonts w:ascii="Arial" w:cs="Arial" w:eastAsia="Arial" w:hAnsi="Arial"/>
          <w:sz w:val="18"/>
          <w:szCs w:val="18"/>
          <w:color w:val="auto"/>
        </w:rPr>
        <w:t>”) and David Sisk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52" w:lineRule="exact"/>
        <w:rPr>
          <w:sz w:val="20"/>
          <w:szCs w:val="20"/>
          <w:color w:val="auto"/>
        </w:rPr>
      </w:pPr>
    </w:p>
    <w:p>
      <w:pPr>
        <w:ind w:left="460" w:right="760"/>
        <w:spacing w:after="0" w:line="444" w:lineRule="auto"/>
        <w:rPr>
          <w:sz w:val="20"/>
          <w:szCs w:val="20"/>
          <w:color w:val="auto"/>
        </w:rPr>
      </w:pPr>
      <w:r>
        <w:rPr>
          <w:rFonts w:ascii="Arial" w:cs="Arial" w:eastAsia="Arial" w:hAnsi="Arial"/>
          <w:sz w:val="15"/>
          <w:szCs w:val="15"/>
          <w:color w:val="auto"/>
        </w:rPr>
        <w:t>WHEREAS, Employer and Employee have entered into that certain Employment Agreement, dated as of March 3, 2008 (the “</w:t>
      </w:r>
      <w:r>
        <w:rPr>
          <w:rFonts w:ascii="Arial" w:cs="Arial" w:eastAsia="Arial" w:hAnsi="Arial"/>
          <w:sz w:val="15"/>
          <w:szCs w:val="15"/>
          <w:b w:val="1"/>
          <w:bCs w:val="1"/>
          <w:color w:val="auto"/>
        </w:rPr>
        <w:t>Agreement</w:t>
      </w:r>
      <w:r>
        <w:rPr>
          <w:rFonts w:ascii="Arial" w:cs="Arial" w:eastAsia="Arial" w:hAnsi="Arial"/>
          <w:sz w:val="15"/>
          <w:szCs w:val="15"/>
          <w:color w:val="auto"/>
        </w:rPr>
        <w:t>”); and WHEREAS, Employer is willing and Employee desires to modify certain terms and conditions to the Agreement as more fully set forth herein; NOW, THEREFORE, in consideration of the foregoing and the respective representations, warranties, covenants and agreements set forth in this</w:t>
      </w: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51" w:lineRule="exact"/>
        <w:rPr>
          <w:sz w:val="20"/>
          <w:szCs w:val="20"/>
          <w:color w:val="auto"/>
        </w:rPr>
      </w:pPr>
    </w:p>
    <w:p>
      <w:pPr>
        <w:ind w:right="660" w:firstLine="464"/>
        <w:spacing w:after="0" w:line="306"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 of Affiliate Positions</w:t>
      </w:r>
      <w:r>
        <w:rPr>
          <w:rFonts w:ascii="Arial" w:cs="Arial" w:eastAsia="Arial" w:hAnsi="Arial"/>
          <w:sz w:val="16"/>
          <w:szCs w:val="16"/>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93" w:lineRule="exact"/>
        <w:rPr>
          <w:rFonts w:ascii="Arial" w:cs="Arial" w:eastAsia="Arial" w:hAnsi="Arial"/>
          <w:sz w:val="16"/>
          <w:szCs w:val="16"/>
          <w:color w:val="auto"/>
        </w:rPr>
      </w:pPr>
    </w:p>
    <w:p>
      <w:pPr>
        <w:ind w:right="60" w:firstLine="464"/>
        <w:spacing w:after="0" w:line="288"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4" w:name="page85"/>
    <w:bookmarkEnd w:id="84"/>
    <w:p>
      <w:pPr>
        <w:ind w:firstLine="464"/>
        <w:spacing w:after="0" w:line="268"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WYNN LAS VEGAS, LLC</w:t>
            </w:r>
          </w:p>
        </w:tc>
        <w:tc>
          <w:tcPr>
            <w:tcW w:w="260" w:type="dxa"/>
            <w:vAlign w:val="bottom"/>
          </w:tcPr>
          <w:p>
            <w:pPr>
              <w:spacing w:after="0"/>
              <w:rPr>
                <w:sz w:val="19"/>
                <w:szCs w:val="19"/>
                <w:color w:val="auto"/>
              </w:rPr>
            </w:pPr>
          </w:p>
        </w:tc>
        <w:tc>
          <w:tcPr>
            <w:tcW w:w="3360" w:type="dxa"/>
            <w:vAlign w:val="bottom"/>
          </w:tcPr>
          <w:p>
            <w:pPr>
              <w:ind w:left="8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20" w:type="dxa"/>
            <w:vAlign w:val="bottom"/>
          </w:tcPr>
          <w:p>
            <w:pPr>
              <w:spacing w:after="0"/>
              <w:rPr>
                <w:sz w:val="24"/>
                <w:szCs w:val="24"/>
                <w:color w:val="auto"/>
              </w:rPr>
            </w:pPr>
          </w:p>
        </w:tc>
        <w:tc>
          <w:tcPr>
            <w:tcW w:w="322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tc>
        <w:tc>
          <w:tcPr>
            <w:tcW w:w="260" w:type="dxa"/>
            <w:vAlign w:val="bottom"/>
          </w:tcPr>
          <w:p>
            <w:pPr>
              <w:spacing w:after="0"/>
              <w:rPr>
                <w:sz w:val="24"/>
                <w:szCs w:val="24"/>
                <w:color w:val="auto"/>
              </w:rPr>
            </w:pPr>
          </w:p>
        </w:tc>
        <w:tc>
          <w:tcPr>
            <w:tcW w:w="3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tc>
      </w:tr>
      <w:tr>
        <w:trPr>
          <w:trHeight w:val="202"/>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Andrew Pascal</w:t>
            </w:r>
          </w:p>
        </w:tc>
        <w:tc>
          <w:tcPr>
            <w:tcW w:w="260" w:type="dxa"/>
            <w:vAlign w:val="bottom"/>
          </w:tcPr>
          <w:p>
            <w:pPr>
              <w:spacing w:after="0"/>
              <w:rPr>
                <w:sz w:val="17"/>
                <w:szCs w:val="17"/>
                <w:color w:val="auto"/>
              </w:rPr>
            </w:pPr>
          </w:p>
        </w:tc>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David Sisk</w:t>
            </w:r>
          </w:p>
        </w:tc>
      </w:tr>
      <w:tr>
        <w:trPr>
          <w:trHeight w:val="222"/>
        </w:trPr>
        <w:tc>
          <w:tcPr>
            <w:tcW w:w="32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26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20" w:type="dxa"/>
            <w:vAlign w:val="bottom"/>
            <w:gridSpan w:val="2"/>
          </w:tcPr>
          <w:p>
            <w:pPr>
              <w:jc w:val="right"/>
              <w:ind w:right="101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240" w:top="280" w:right="4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7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27, 2009</w:t>
      </w:r>
    </w:p>
    <w:p>
      <w:pPr>
        <w:spacing w:after="0" w:line="293"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Sisk, certify that:</w:t>
      </w:r>
    </w:p>
    <w:p>
      <w:pPr>
        <w:spacing w:after="0" w:line="77"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27, 2009</w:t>
      </w:r>
    </w:p>
    <w:p>
      <w:pPr>
        <w:spacing w:after="0" w:line="293" w:lineRule="exact"/>
        <w:rPr>
          <w:sz w:val="20"/>
          <w:szCs w:val="20"/>
          <w:color w:val="auto"/>
        </w:rPr>
      </w:pPr>
    </w:p>
    <w:p>
      <w:pPr>
        <w:ind w:left="8580"/>
        <w:spacing w:after="0"/>
        <w:tabs>
          <w:tab w:leader="none" w:pos="89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S</w:t>
      </w:r>
      <w:r>
        <w:rPr>
          <w:rFonts w:ascii="Arial" w:cs="Arial" w:eastAsia="Arial" w:hAnsi="Arial"/>
          <w:sz w:val="13"/>
          <w:szCs w:val="13"/>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Sisk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2008 as filed with the Securities and Exchange Commission on the date hereof (the “Report”), Andrew Pascal, as Chief Operating Officer of the Company, and David Sisk,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Operating Officer and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158" w:lineRule="exact"/>
        <w:rPr>
          <w:sz w:val="20"/>
          <w:szCs w:val="20"/>
          <w:color w:val="auto"/>
        </w:rPr>
      </w:pPr>
    </w:p>
    <w:p>
      <w:pPr>
        <w:sectPr>
          <w:pgSz w:w="11900" w:h="16838" w:orient="portrait"/>
          <w:cols w:equalWidth="0" w:num="2">
            <w:col w:w="480" w:space="400"/>
            <w:col w:w="105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3920" w:type="dxa"/>
            <w:vAlign w:val="bottom"/>
          </w:tcPr>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tc>
      </w:tr>
      <w:tr>
        <w:trPr>
          <w:trHeight w:val="110"/>
        </w:trPr>
        <w:tc>
          <w:tcPr>
            <w:tcW w:w="66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180"/>
              <w:spacing w:after="0"/>
              <w:rPr>
                <w:sz w:val="20"/>
                <w:szCs w:val="20"/>
                <w:color w:val="auto"/>
              </w:rPr>
            </w:pPr>
            <w:r>
              <w:rPr>
                <w:rFonts w:ascii="Arial" w:cs="Arial" w:eastAsia="Arial" w:hAnsi="Arial"/>
                <w:sz w:val="18"/>
                <w:szCs w:val="18"/>
                <w:color w:val="auto"/>
              </w:rPr>
              <w:t>David Sisk</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80"/>
              <w:spacing w:after="0"/>
              <w:rPr>
                <w:sz w:val="20"/>
                <w:szCs w:val="20"/>
                <w:color w:val="auto"/>
              </w:rPr>
            </w:pPr>
            <w:r>
              <w:rPr>
                <w:rFonts w:ascii="Arial" w:cs="Arial" w:eastAsia="Arial" w:hAnsi="Arial"/>
                <w:sz w:val="18"/>
                <w:szCs w:val="18"/>
                <w:color w:val="auto"/>
                <w:w w:val="89"/>
              </w:rPr>
              <w:t>Chief Financial Officer and Executive Vice President</w:t>
            </w:r>
          </w:p>
        </w:tc>
      </w:tr>
      <w:tr>
        <w:trPr>
          <w:trHeight w:val="222"/>
        </w:trPr>
        <w:tc>
          <w:tcPr>
            <w:tcW w:w="660" w:type="dxa"/>
            <w:vAlign w:val="bottom"/>
          </w:tcPr>
          <w:p>
            <w:pPr>
              <w:spacing w:after="0"/>
              <w:rPr>
                <w:sz w:val="19"/>
                <w:szCs w:val="19"/>
                <w:color w:val="auto"/>
              </w:rPr>
            </w:pPr>
          </w:p>
        </w:tc>
        <w:tc>
          <w:tcPr>
            <w:tcW w:w="3920" w:type="dxa"/>
            <w:vAlign w:val="bottom"/>
          </w:tcPr>
          <w:p>
            <w:pPr>
              <w:ind w:left="18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920" w:type="dxa"/>
            <w:vAlign w:val="bottom"/>
          </w:tcPr>
          <w:p>
            <w:pPr>
              <w:ind w:left="180"/>
              <w:spacing w:after="0"/>
              <w:rPr>
                <w:sz w:val="20"/>
                <w:szCs w:val="20"/>
                <w:color w:val="auto"/>
              </w:rPr>
            </w:pPr>
            <w:r>
              <w:rPr>
                <w:rFonts w:ascii="Arial" w:cs="Arial" w:eastAsia="Arial" w:hAnsi="Arial"/>
                <w:sz w:val="18"/>
                <w:szCs w:val="18"/>
                <w:color w:val="auto"/>
              </w:rPr>
              <w:t>February 27, 2009</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lvl w:ilvl="1">
      <w:lvlJc w:val="left"/>
      <w:lvlText w:val="•"/>
      <w:numFmt w:val="bullet"/>
      <w:start w:val="1"/>
    </w:lvl>
  </w:abstractNum>
  <w:abstractNum w:abstractNumId="13">
    <w:nsid w:val="189A769B"/>
    <w:multiLevelType w:val="hybridMultilevel"/>
    <w:lvl w:ilvl="0">
      <w:lvlJc w:val="left"/>
      <w:lvlText w:val="•"/>
      <w:numFmt w:val="bullet"/>
      <w:start w:val="1"/>
    </w:lvl>
    <w:lvl w:ilvl="1">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lowerRoman"/>
      <w:start w:val="2"/>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1."/>
      <w:numFmt w:val="decimal"/>
      <w:start w:val="12"/>
    </w:lvl>
  </w:abstractNum>
  <w:abstractNum w:abstractNumId="25">
    <w:nsid w:val="22221A70"/>
    <w:multiLevelType w:val="hybridMultilevel"/>
    <w:lvl w:ilvl="0">
      <w:lvlJc w:val="left"/>
      <w:lvlText w:val="%1."/>
      <w:numFmt w:val="decimal"/>
      <w:start w:val="13"/>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3"/>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lvl w:ilvl="1">
      <w:lvlJc w:val="left"/>
      <w:lvlText w:val="%2"/>
      <w:numFmt w:val="decimal"/>
      <w:start w:val="32"/>
    </w:lvl>
  </w:abstractNum>
  <w:abstractNum w:abstractNumId="31">
    <w:nsid w:val="440BADFC"/>
    <w:multiLevelType w:val="hybridMultilevel"/>
    <w:lvl w:ilvl="0">
      <w:lvlJc w:val="left"/>
      <w:lvlText w:val="(%1)"/>
      <w:numFmt w:val="decimal"/>
      <w:start w:val="1"/>
    </w:lvl>
    <w:lvl w:ilvl="1">
      <w:lvlJc w:val="left"/>
      <w:lvlText w:val="%2"/>
      <w:numFmt w:val="decimal"/>
      <w:start w:val="1"/>
    </w:lvl>
  </w:abstractNum>
  <w:abstractNum w:abstractNumId="32">
    <w:nsid w:val="5072367"/>
    <w:multiLevelType w:val="hybridMultilevel"/>
    <w:lvl w:ilvl="0">
      <w:lvlJc w:val="left"/>
      <w:lvlText w:val="(%1)"/>
      <w:numFmt w:val="decimal"/>
      <w:start w:val="7"/>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2"/>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2019-12-10T21:39:09Z</dcterms:created>
  <dcterms:modified xsi:type="dcterms:W3CDTF">2019-12-10T21:39:09Z</dcterms:modified>
</cp:coreProperties>
</file>