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140335</wp:posOffset>
            </wp:positionV>
            <wp:extent cx="28568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53340</wp:posOffset>
            </wp:positionV>
            <wp:extent cx="28568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September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2172335</wp:posOffset>
            </wp:positionH>
            <wp:positionV relativeFrom="paragraph">
              <wp:posOffset>64135</wp:posOffset>
            </wp:positionV>
            <wp:extent cx="28568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WYNN RESORTS, LIMITED</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79"/>
        </w:trPr>
        <w:tc>
          <w:tcPr>
            <w:tcW w:w="980" w:type="dxa"/>
            <w:vAlign w:val="bottom"/>
          </w:tcPr>
          <w:p>
            <w:pPr>
              <w:spacing w:after="0"/>
              <w:rPr>
                <w:sz w:val="15"/>
                <w:szCs w:val="15"/>
                <w:color w:val="auto"/>
              </w:rPr>
            </w:pPr>
          </w:p>
        </w:tc>
        <w:tc>
          <w:tcPr>
            <w:tcW w:w="2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Nevada</w:t>
            </w:r>
          </w:p>
        </w:tc>
        <w:tc>
          <w:tcPr>
            <w:tcW w:w="3900" w:type="dxa"/>
            <w:vAlign w:val="bottom"/>
            <w:gridSpan w:val="3"/>
          </w:tcPr>
          <w:p>
            <w:pPr>
              <w:ind w:left="1840"/>
              <w:spacing w:after="0"/>
              <w:rPr>
                <w:sz w:val="20"/>
                <w:szCs w:val="20"/>
                <w:color w:val="auto"/>
              </w:rPr>
            </w:pPr>
            <w:r>
              <w:rPr>
                <w:rFonts w:ascii="Arial" w:cs="Arial" w:eastAsia="Arial" w:hAnsi="Arial"/>
                <w:sz w:val="14"/>
                <w:szCs w:val="14"/>
                <w:b w:val="1"/>
                <w:bCs w:val="1"/>
                <w:color w:val="auto"/>
              </w:rPr>
              <w:t>000-50028</w:t>
            </w:r>
          </w:p>
        </w:tc>
        <w:tc>
          <w:tcPr>
            <w:tcW w:w="2700" w:type="dxa"/>
            <w:vAlign w:val="bottom"/>
            <w:gridSpan w:val="3"/>
          </w:tcPr>
          <w:p>
            <w:pPr>
              <w:jc w:val="right"/>
              <w:ind w:right="223"/>
              <w:spacing w:after="0"/>
              <w:rPr>
                <w:sz w:val="20"/>
                <w:szCs w:val="20"/>
                <w:color w:val="auto"/>
              </w:rPr>
            </w:pPr>
            <w:r>
              <w:rPr>
                <w:rFonts w:ascii="Arial" w:cs="Arial" w:eastAsia="Arial" w:hAnsi="Arial"/>
                <w:sz w:val="14"/>
                <w:szCs w:val="14"/>
                <w:b w:val="1"/>
                <w:bCs w:val="1"/>
                <w:color w:val="auto"/>
              </w:rPr>
              <w:t>46-0484987</w:t>
            </w:r>
          </w:p>
        </w:tc>
        <w:tc>
          <w:tcPr>
            <w:tcW w:w="1280" w:type="dxa"/>
            <w:vAlign w:val="bottom"/>
          </w:tcPr>
          <w:p>
            <w:pPr>
              <w:spacing w:after="0"/>
              <w:rPr>
                <w:sz w:val="15"/>
                <w:szCs w:val="15"/>
                <w:color w:val="auto"/>
              </w:rPr>
            </w:pPr>
          </w:p>
        </w:tc>
      </w:tr>
      <w:tr>
        <w:trPr>
          <w:trHeight w:val="113"/>
        </w:trPr>
        <w:tc>
          <w:tcPr>
            <w:tcW w:w="980" w:type="dxa"/>
            <w:vAlign w:val="bottom"/>
          </w:tcPr>
          <w:p>
            <w:pPr>
              <w:spacing w:after="0"/>
              <w:rPr>
                <w:sz w:val="9"/>
                <w:szCs w:val="9"/>
                <w:color w:val="auto"/>
              </w:rPr>
            </w:pPr>
          </w:p>
        </w:tc>
        <w:tc>
          <w:tcPr>
            <w:tcW w:w="2420" w:type="dxa"/>
            <w:vAlign w:val="bottom"/>
            <w:gridSpan w:val="2"/>
          </w:tcPr>
          <w:p>
            <w:pPr>
              <w:jc w:val="center"/>
              <w:ind w:right="680"/>
              <w:spacing w:after="0" w:line="113" w:lineRule="exact"/>
              <w:rPr>
                <w:sz w:val="20"/>
                <w:szCs w:val="20"/>
                <w:color w:val="auto"/>
              </w:rPr>
            </w:pPr>
            <w:r>
              <w:rPr>
                <w:rFonts w:ascii="Arial" w:cs="Arial" w:eastAsia="Arial" w:hAnsi="Arial"/>
                <w:sz w:val="11"/>
                <w:szCs w:val="11"/>
                <w:b w:val="1"/>
                <w:bCs w:val="1"/>
                <w:color w:val="auto"/>
                <w:w w:val="94"/>
              </w:rPr>
              <w:t>(State or other jurisdiction</w:t>
            </w:r>
          </w:p>
        </w:tc>
        <w:tc>
          <w:tcPr>
            <w:tcW w:w="6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180" w:type="dxa"/>
            <w:vAlign w:val="bottom"/>
          </w:tcPr>
          <w:p>
            <w:pPr>
              <w:ind w:left="120"/>
              <w:spacing w:after="0" w:line="113" w:lineRule="exact"/>
              <w:rPr>
                <w:sz w:val="20"/>
                <w:szCs w:val="20"/>
                <w:color w:val="auto"/>
              </w:rPr>
            </w:pPr>
            <w:r>
              <w:rPr>
                <w:rFonts w:ascii="Arial" w:cs="Arial" w:eastAsia="Arial" w:hAnsi="Arial"/>
                <w:sz w:val="11"/>
                <w:szCs w:val="11"/>
                <w:b w:val="1"/>
                <w:bCs w:val="1"/>
                <w:color w:val="auto"/>
              </w:rPr>
              <w:t>(Commission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380" w:type="dxa"/>
            <w:vAlign w:val="bottom"/>
            <w:gridSpan w:val="2"/>
          </w:tcPr>
          <w:p>
            <w:pPr>
              <w:jc w:val="center"/>
              <w:ind w:right="440"/>
              <w:spacing w:after="0" w:line="113" w:lineRule="exact"/>
              <w:rPr>
                <w:sz w:val="20"/>
                <w:szCs w:val="20"/>
                <w:color w:val="auto"/>
              </w:rPr>
            </w:pPr>
            <w:r>
              <w:rPr>
                <w:rFonts w:ascii="Arial" w:cs="Arial" w:eastAsia="Arial" w:hAnsi="Arial"/>
                <w:sz w:val="11"/>
                <w:szCs w:val="11"/>
                <w:b w:val="1"/>
                <w:bCs w:val="1"/>
                <w:color w:val="auto"/>
                <w:w w:val="97"/>
              </w:rPr>
              <w:t>(I.R.S. Employer</w:t>
            </w:r>
          </w:p>
        </w:tc>
      </w:tr>
      <w:tr>
        <w:trPr>
          <w:trHeight w:val="144"/>
        </w:trPr>
        <w:tc>
          <w:tcPr>
            <w:tcW w:w="980" w:type="dxa"/>
            <w:vAlign w:val="bottom"/>
          </w:tcPr>
          <w:p>
            <w:pPr>
              <w:spacing w:after="0"/>
              <w:rPr>
                <w:sz w:val="12"/>
                <w:szCs w:val="12"/>
                <w:color w:val="auto"/>
              </w:rPr>
            </w:pPr>
          </w:p>
        </w:tc>
        <w:tc>
          <w:tcPr>
            <w:tcW w:w="2420" w:type="dxa"/>
            <w:vAlign w:val="bottom"/>
            <w:gridSpan w:val="2"/>
          </w:tcPr>
          <w:p>
            <w:pPr>
              <w:jc w:val="center"/>
              <w:ind w:right="680"/>
              <w:spacing w:after="0"/>
              <w:rPr>
                <w:sz w:val="20"/>
                <w:szCs w:val="20"/>
                <w:color w:val="auto"/>
              </w:rPr>
            </w:pPr>
            <w:r>
              <w:rPr>
                <w:rFonts w:ascii="Arial" w:cs="Arial" w:eastAsia="Arial" w:hAnsi="Arial"/>
                <w:sz w:val="11"/>
                <w:szCs w:val="11"/>
                <w:b w:val="1"/>
                <w:bCs w:val="1"/>
                <w:color w:val="auto"/>
                <w:w w:val="93"/>
              </w:rPr>
              <w:t>of incorporation)</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ind w:left="100"/>
              <w:spacing w:after="0"/>
              <w:rPr>
                <w:sz w:val="20"/>
                <w:szCs w:val="20"/>
                <w:color w:val="auto"/>
              </w:rPr>
            </w:pPr>
            <w:r>
              <w:rPr>
                <w:rFonts w:ascii="Arial" w:cs="Arial" w:eastAsia="Arial" w:hAnsi="Arial"/>
                <w:sz w:val="11"/>
                <w:szCs w:val="11"/>
                <w:b w:val="1"/>
                <w:bCs w:val="1"/>
                <w:color w:val="auto"/>
              </w:rPr>
              <w:t>File Number)</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4"/>
              </w:rPr>
              <w:t>Identification No.)</w:t>
            </w:r>
          </w:p>
        </w:tc>
      </w:tr>
      <w:tr>
        <w:trPr>
          <w:trHeight w:val="180"/>
        </w:trPr>
        <w:tc>
          <w:tcPr>
            <w:tcW w:w="340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89"/>
              </w:rPr>
              <w:t>3131 Las Vegas Boulevard South</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8"/>
        </w:trPr>
        <w:tc>
          <w:tcPr>
            <w:tcW w:w="98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Arial" w:cs="Arial" w:eastAsia="Arial" w:hAnsi="Arial"/>
                <w:sz w:val="14"/>
                <w:szCs w:val="14"/>
                <w:b w:val="1"/>
                <w:bCs w:val="1"/>
                <w:color w:val="auto"/>
              </w:rPr>
              <w:t>Las Vegas, Nevada</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700" w:type="dxa"/>
            <w:vAlign w:val="bottom"/>
            <w:gridSpan w:val="3"/>
          </w:tcPr>
          <w:p>
            <w:pPr>
              <w:jc w:val="right"/>
              <w:ind w:right="383"/>
              <w:spacing w:after="0"/>
              <w:rPr>
                <w:sz w:val="20"/>
                <w:szCs w:val="20"/>
                <w:color w:val="auto"/>
              </w:rPr>
            </w:pPr>
            <w:r>
              <w:rPr>
                <w:rFonts w:ascii="Arial" w:cs="Arial" w:eastAsia="Arial" w:hAnsi="Arial"/>
                <w:sz w:val="14"/>
                <w:szCs w:val="14"/>
                <w:b w:val="1"/>
                <w:bCs w:val="1"/>
                <w:color w:val="auto"/>
              </w:rPr>
              <w:t>89109</w:t>
            </w:r>
          </w:p>
        </w:tc>
        <w:tc>
          <w:tcPr>
            <w:tcW w:w="1280" w:type="dxa"/>
            <w:vAlign w:val="bottom"/>
          </w:tcPr>
          <w:p>
            <w:pPr>
              <w:spacing w:after="0"/>
              <w:rPr>
                <w:sz w:val="15"/>
                <w:szCs w:val="15"/>
                <w:color w:val="auto"/>
              </w:rPr>
            </w:pPr>
          </w:p>
        </w:tc>
      </w:tr>
      <w:tr>
        <w:trPr>
          <w:trHeight w:val="147"/>
        </w:trPr>
        <w:tc>
          <w:tcPr>
            <w:tcW w:w="3400" w:type="dxa"/>
            <w:vAlign w:val="bottom"/>
            <w:gridSpan w:val="3"/>
          </w:tcPr>
          <w:p>
            <w:pPr>
              <w:jc w:val="center"/>
              <w:ind w:left="233"/>
              <w:spacing w:after="0"/>
              <w:rPr>
                <w:sz w:val="20"/>
                <w:szCs w:val="20"/>
                <w:color w:val="auto"/>
              </w:rPr>
            </w:pPr>
            <w:r>
              <w:rPr>
                <w:rFonts w:ascii="Arial" w:cs="Arial" w:eastAsia="Arial" w:hAnsi="Arial"/>
                <w:sz w:val="11"/>
                <w:szCs w:val="11"/>
                <w:b w:val="1"/>
                <w:bCs w:val="1"/>
                <w:color w:val="auto"/>
                <w:w w:val="90"/>
              </w:rPr>
              <w:t>(Address of principal executive offices)</w:t>
            </w: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(Zip Code)</w:t>
            </w:r>
          </w:p>
        </w:tc>
      </w:tr>
      <w:tr>
        <w:trPr>
          <w:trHeight w:val="543"/>
        </w:trPr>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900" w:type="dxa"/>
            <w:vAlign w:val="bottom"/>
            <w:gridSpan w:val="3"/>
          </w:tcPr>
          <w:p>
            <w:pPr>
              <w:jc w:val="center"/>
              <w:ind w:left="509"/>
              <w:spacing w:after="0"/>
              <w:rPr>
                <w:sz w:val="20"/>
                <w:szCs w:val="20"/>
                <w:color w:val="auto"/>
              </w:rPr>
            </w:pPr>
            <w:r>
              <w:rPr>
                <w:rFonts w:ascii="Arial" w:cs="Arial" w:eastAsia="Arial" w:hAnsi="Arial"/>
                <w:sz w:val="14"/>
                <w:szCs w:val="14"/>
                <w:b w:val="1"/>
                <w:bCs w:val="1"/>
                <w:color w:val="auto"/>
                <w:w w:val="91"/>
              </w:rPr>
              <w:t>(702) 770-7555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47"/>
        </w:trPr>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320"/>
        </w:trPr>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jc w:val="center"/>
              <w:ind w:right="1059"/>
              <w:spacing w:after="0"/>
              <w:rPr>
                <w:sz w:val="20"/>
                <w:szCs w:val="20"/>
                <w:color w:val="auto"/>
              </w:rPr>
            </w:pPr>
            <w:r>
              <w:rPr>
                <w:rFonts w:ascii="Arial" w:cs="Arial" w:eastAsia="Arial" w:hAnsi="Arial"/>
                <w:sz w:val="14"/>
                <w:szCs w:val="14"/>
                <w:b w:val="1"/>
                <w:bCs w:val="1"/>
                <w:color w:val="auto"/>
                <w:w w:val="91"/>
              </w:rPr>
              <w:t>Not Applicable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56"/>
        </w:trPr>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2"/>
              </w:rPr>
              <w:t>(Former name or former address, if changed since last report)</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466"/>
        </w:trPr>
        <w:tc>
          <w:tcPr>
            <w:tcW w:w="3400" w:type="dxa"/>
            <w:vAlign w:val="bottom"/>
            <w:gridSpan w:val="3"/>
          </w:tcPr>
          <w:p>
            <w:pPr>
              <w:spacing w:after="0"/>
              <w:rPr>
                <w:sz w:val="20"/>
                <w:szCs w:val="20"/>
                <w:color w:val="auto"/>
              </w:rPr>
            </w:pPr>
            <w:r>
              <w:rPr>
                <w:rFonts w:ascii="Arial" w:cs="Arial" w:eastAsia="Arial" w:hAnsi="Arial"/>
                <w:sz w:val="14"/>
                <w:szCs w:val="14"/>
                <w:color w:val="auto"/>
                <w:w w:val="95"/>
              </w:rPr>
              <w:t>Securities registered pursuant to Section 12(b) of the Act:</w:t>
            </w: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0"/>
        </w:trPr>
        <w:tc>
          <w:tcPr>
            <w:tcW w:w="980" w:type="dxa"/>
            <w:vAlign w:val="bottom"/>
          </w:tcPr>
          <w:p>
            <w:pPr>
              <w:spacing w:after="0"/>
              <w:rPr>
                <w:sz w:val="14"/>
                <w:szCs w:val="14"/>
                <w:color w:val="auto"/>
              </w:rPr>
            </w:pPr>
          </w:p>
        </w:tc>
        <w:tc>
          <w:tcPr>
            <w:tcW w:w="242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87"/>
              </w:rPr>
              <w:t>Title of each class</w:t>
            </w:r>
          </w:p>
        </w:tc>
        <w:tc>
          <w:tcPr>
            <w:tcW w:w="600" w:type="dxa"/>
            <w:vAlign w:val="bottom"/>
          </w:tcPr>
          <w:p>
            <w:pPr>
              <w:spacing w:after="0"/>
              <w:rPr>
                <w:sz w:val="14"/>
                <w:szCs w:val="14"/>
                <w:color w:val="auto"/>
              </w:rPr>
            </w:pPr>
          </w:p>
        </w:tc>
        <w:tc>
          <w:tcPr>
            <w:tcW w:w="3300" w:type="dxa"/>
            <w:vAlign w:val="bottom"/>
            <w:gridSpan w:val="2"/>
          </w:tcPr>
          <w:p>
            <w:pPr>
              <w:jc w:val="center"/>
              <w:ind w:right="2119"/>
              <w:spacing w:after="0"/>
              <w:rPr>
                <w:sz w:val="20"/>
                <w:szCs w:val="20"/>
                <w:color w:val="auto"/>
              </w:rPr>
            </w:pPr>
            <w:r>
              <w:rPr>
                <w:rFonts w:ascii="Arial" w:cs="Arial" w:eastAsia="Arial" w:hAnsi="Arial"/>
                <w:sz w:val="14"/>
                <w:szCs w:val="14"/>
                <w:b w:val="1"/>
                <w:bCs w:val="1"/>
                <w:color w:val="auto"/>
                <w:w w:val="91"/>
              </w:rPr>
              <w:t>Trading Symbol(s)</w:t>
            </w:r>
          </w:p>
        </w:tc>
        <w:tc>
          <w:tcPr>
            <w:tcW w:w="3980" w:type="dxa"/>
            <w:vAlign w:val="bottom"/>
            <w:gridSpan w:val="4"/>
          </w:tcPr>
          <w:p>
            <w:pPr>
              <w:jc w:val="center"/>
              <w:ind w:right="1200"/>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3400" w:type="dxa"/>
            <w:vAlign w:val="bottom"/>
            <w:gridSpan w:val="3"/>
          </w:tcPr>
          <w:p>
            <w:pPr>
              <w:jc w:val="center"/>
              <w:ind w:right="360"/>
              <w:spacing w:after="0"/>
              <w:rPr>
                <w:sz w:val="20"/>
                <w:szCs w:val="20"/>
                <w:color w:val="auto"/>
              </w:rPr>
            </w:pPr>
            <w:r>
              <w:rPr>
                <w:rFonts w:ascii="Arial" w:cs="Arial" w:eastAsia="Arial" w:hAnsi="Arial"/>
                <w:sz w:val="14"/>
                <w:szCs w:val="14"/>
                <w:color w:val="auto"/>
                <w:w w:val="91"/>
              </w:rPr>
              <w:t>Common stock, par value $0.01</w:t>
            </w:r>
          </w:p>
        </w:tc>
        <w:tc>
          <w:tcPr>
            <w:tcW w:w="600" w:type="dxa"/>
            <w:vAlign w:val="bottom"/>
          </w:tcPr>
          <w:p>
            <w:pPr>
              <w:spacing w:after="0"/>
              <w:rPr>
                <w:sz w:val="16"/>
                <w:szCs w:val="16"/>
                <w:color w:val="auto"/>
              </w:rPr>
            </w:pPr>
          </w:p>
        </w:tc>
        <w:tc>
          <w:tcPr>
            <w:tcW w:w="3300" w:type="dxa"/>
            <w:vAlign w:val="bottom"/>
            <w:gridSpan w:val="2"/>
          </w:tcPr>
          <w:p>
            <w:pPr>
              <w:jc w:val="center"/>
              <w:ind w:right="2119"/>
              <w:spacing w:after="0"/>
              <w:rPr>
                <w:sz w:val="20"/>
                <w:szCs w:val="20"/>
                <w:color w:val="auto"/>
              </w:rPr>
            </w:pPr>
            <w:r>
              <w:rPr>
                <w:rFonts w:ascii="Arial" w:cs="Arial" w:eastAsia="Arial" w:hAnsi="Arial"/>
                <w:sz w:val="14"/>
                <w:szCs w:val="14"/>
                <w:color w:val="auto"/>
              </w:rPr>
              <w:t>WYNN</w:t>
            </w:r>
          </w:p>
        </w:tc>
        <w:tc>
          <w:tcPr>
            <w:tcW w:w="80" w:type="dxa"/>
            <w:vAlign w:val="bottom"/>
          </w:tcPr>
          <w:p>
            <w:pPr>
              <w:spacing w:after="0"/>
              <w:rPr>
                <w:sz w:val="16"/>
                <w:szCs w:val="16"/>
                <w:color w:val="auto"/>
              </w:rPr>
            </w:pPr>
          </w:p>
        </w:tc>
        <w:tc>
          <w:tcPr>
            <w:tcW w:w="3900" w:type="dxa"/>
            <w:vAlign w:val="bottom"/>
            <w:gridSpan w:val="3"/>
          </w:tcPr>
          <w:p>
            <w:pPr>
              <w:jc w:val="center"/>
              <w:ind w:right="1280"/>
              <w:spacing w:after="0"/>
              <w:rPr>
                <w:sz w:val="20"/>
                <w:szCs w:val="20"/>
                <w:color w:val="auto"/>
              </w:rPr>
            </w:pPr>
            <w:r>
              <w:rPr>
                <w:rFonts w:ascii="Arial" w:cs="Arial" w:eastAsia="Arial" w:hAnsi="Arial"/>
                <w:sz w:val="14"/>
                <w:szCs w:val="14"/>
                <w:color w:val="auto"/>
                <w:w w:val="91"/>
              </w:rPr>
              <w:t>Nasdaq Global Select Market</w:t>
            </w:r>
          </w:p>
        </w:tc>
      </w:tr>
      <w:tr>
        <w:trPr>
          <w:trHeight w:val="150"/>
        </w:trPr>
        <w:tc>
          <w:tcPr>
            <w:tcW w:w="9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bl>
    <w:p>
      <w:pPr>
        <w:spacing w:after="0" w:line="26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9"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31"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8"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9" w:lineRule="exact"/>
        <w:rPr>
          <w:sz w:val="24"/>
          <w:szCs w:val="24"/>
          <w:color w:val="auto"/>
        </w:rPr>
      </w:pPr>
    </w:p>
    <w:p>
      <w:pPr>
        <w:spacing w:after="0" w:line="249"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5" w:lineRule="exact"/>
        <w:rPr>
          <w:sz w:val="24"/>
          <w:szCs w:val="24"/>
          <w:color w:val="auto"/>
        </w:rPr>
      </w:pPr>
    </w:p>
    <w:p>
      <w:pPr>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544195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27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On September 3, 2021, Wynn Macau, Limited ("WML"), an indirect subsidiary of Wynn Resorts, Limited (the "Registrant") with its ordinary shares of common stock listed on The Stock Exchange of Hong Kong Limited (the "HKSE"), filed with the HKSE its interim report in respect of the six months ended June 30, 2021 (the "Interim Report"). The Registrant owns approximately 72%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Item 9.01</w:t>
            </w:r>
          </w:p>
        </w:tc>
        <w:tc>
          <w:tcPr>
            <w:tcW w:w="9920" w:type="dxa"/>
            <w:vAlign w:val="bottom"/>
            <w:gridSpan w:val="3"/>
          </w:tcPr>
          <w:p>
            <w:pPr>
              <w:spacing w:after="0"/>
              <w:rPr>
                <w:sz w:val="20"/>
                <w:szCs w:val="20"/>
                <w:color w:val="auto"/>
              </w:rPr>
            </w:pPr>
            <w:r>
              <w:rPr>
                <w:rFonts w:ascii="Arial" w:cs="Arial" w:eastAsia="Arial" w:hAnsi="Arial"/>
                <w:sz w:val="14"/>
                <w:szCs w:val="14"/>
                <w:b w:val="1"/>
                <w:bCs w:val="1"/>
                <w:color w:val="auto"/>
              </w:rPr>
              <w:t>Financial Statements and Exhibits.</w:t>
            </w:r>
          </w:p>
        </w:tc>
      </w:tr>
      <w:tr>
        <w:trPr>
          <w:trHeight w:val="329"/>
        </w:trPr>
        <w:tc>
          <w:tcPr>
            <w:tcW w:w="2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color w:val="auto"/>
              </w:rPr>
              <w:t>(d) Exhibits.</w:t>
            </w: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38"/>
        </w:trPr>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3"/>
              </w:rPr>
              <w:t>Exhibit No.</w:t>
            </w:r>
          </w:p>
        </w:tc>
        <w:tc>
          <w:tcPr>
            <w:tcW w:w="78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9"/>
              </w:rPr>
              <w:t>Description</w:t>
            </w:r>
          </w:p>
        </w:tc>
        <w:tc>
          <w:tcPr>
            <w:tcW w:w="9360" w:type="dxa"/>
            <w:vAlign w:val="bottom"/>
            <w:gridSpan w:val="2"/>
          </w:tcPr>
          <w:p>
            <w:pPr>
              <w:spacing w:after="0"/>
              <w:rPr>
                <w:sz w:val="12"/>
                <w:szCs w:val="12"/>
                <w:color w:val="auto"/>
              </w:rPr>
            </w:pPr>
          </w:p>
        </w:tc>
      </w:tr>
      <w:tr>
        <w:trPr>
          <w:trHeight w:val="203"/>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99.1</w:t>
            </w:r>
          </w:p>
        </w:tc>
        <w:tc>
          <w:tcPr>
            <w:tcW w:w="780" w:type="dxa"/>
            <w:vAlign w:val="bottom"/>
          </w:tcPr>
          <w:p>
            <w:pPr>
              <w:spacing w:after="0"/>
              <w:rPr>
                <w:sz w:val="17"/>
                <w:szCs w:val="17"/>
                <w:color w:val="auto"/>
              </w:rPr>
            </w:pPr>
          </w:p>
        </w:tc>
        <w:tc>
          <w:tcPr>
            <w:tcW w:w="9920" w:type="dxa"/>
            <w:vAlign w:val="bottom"/>
            <w:gridSpan w:val="3"/>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Interim Report of Wynn Macau, Limited in respect of the six months ended June 30, 2021.</w:t>
              </w:r>
            </w:hyperlink>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120" w:type="dxa"/>
            <w:vAlign w:val="bottom"/>
            <w:gridSpan w:val="2"/>
            <w:shd w:val="clear" w:color="auto" w:fill="0000FF"/>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192"/>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104</w:t>
            </w:r>
          </w:p>
        </w:tc>
        <w:tc>
          <w:tcPr>
            <w:tcW w:w="780" w:type="dxa"/>
            <w:vAlign w:val="bottom"/>
          </w:tcPr>
          <w:p>
            <w:pPr>
              <w:spacing w:after="0"/>
              <w:rPr>
                <w:sz w:val="16"/>
                <w:szCs w:val="16"/>
                <w:color w:val="auto"/>
              </w:rPr>
            </w:pPr>
          </w:p>
        </w:tc>
        <w:tc>
          <w:tcPr>
            <w:tcW w:w="9920" w:type="dxa"/>
            <w:vAlign w:val="bottom"/>
            <w:gridSpan w:val="3"/>
          </w:tcPr>
          <w:p>
            <w:pPr>
              <w:spacing w:after="0"/>
              <w:rPr>
                <w:sz w:val="20"/>
                <w:szCs w:val="20"/>
                <w:color w:val="auto"/>
              </w:rPr>
            </w:pPr>
            <w:r>
              <w:rPr>
                <w:rFonts w:ascii="Arial" w:cs="Arial" w:eastAsia="Arial" w:hAnsi="Arial"/>
                <w:sz w:val="14"/>
                <w:szCs w:val="14"/>
                <w:color w:val="auto"/>
              </w:rPr>
              <w:t>Cover Page Interactive Data File - the cover page XBRL tags are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WYNN RESORTS, LIMITED</w:t>
      </w:r>
    </w:p>
    <w:p>
      <w:pPr>
        <w:sectPr>
          <w:pgSz w:w="11900" w:h="16838" w:orient="portrait"/>
          <w:cols w:equalWidth="0" w:num="1">
            <w:col w:w="10320"/>
          </w:cols>
          <w:pgMar w:left="660" w:top="730" w:right="919" w:bottom="1440" w:gutter="0" w:footer="0" w:header="0"/>
        </w:sectPr>
      </w:pPr>
    </w:p>
    <w:p>
      <w:pPr>
        <w:spacing w:after="0" w:line="6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Dated: September 3, 2021</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/s/ Craig S. Billings</w:t>
      </w:r>
    </w:p>
    <w:p>
      <w:pPr>
        <w:spacing w:after="0" w:line="31" w:lineRule="exact"/>
        <w:rPr>
          <w:sz w:val="20"/>
          <w:szCs w:val="20"/>
          <w:color w:val="auto"/>
        </w:rPr>
      </w:pPr>
    </w:p>
    <w:p>
      <w:pPr>
        <w:sectPr>
          <w:pgSz w:w="11900" w:h="16838" w:orient="portrait"/>
          <w:cols w:equalWidth="0" w:num="3">
            <w:col w:w="5880" w:space="720"/>
            <w:col w:w="340" w:space="720"/>
            <w:col w:w="2660"/>
          </w:cols>
          <w:pgMar w:left="660" w:top="730" w:right="919" w:bottom="1440" w:gutter="0" w:footer="0" w:header="0"/>
          <w:type w:val="continuous"/>
        </w:sectPr>
      </w:pPr>
    </w:p>
    <w:p>
      <w:pPr>
        <w:ind w:left="6700"/>
        <w:spacing w:after="0"/>
        <w:rPr>
          <w:sz w:val="20"/>
          <w:szCs w:val="20"/>
          <w:color w:val="auto"/>
        </w:rPr>
      </w:pPr>
      <w:r>
        <w:rPr>
          <w:rFonts w:ascii="Arial" w:cs="Arial" w:eastAsia="Arial" w:hAnsi="Arial"/>
          <w:sz w:val="14"/>
          <w:szCs w:val="14"/>
          <w:color w:val="auto"/>
        </w:rPr>
        <w:t>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-101600</wp:posOffset>
            </wp:positionV>
            <wp:extent cx="24066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6650" cy="6985"/>
                    </a:xfrm>
                    <a:prstGeom prst="rect">
                      <a:avLst/>
                    </a:prstGeom>
                    <a:noFill/>
                  </pic:spPr>
                </pic:pic>
              </a:graphicData>
            </a:graphic>
          </wp:anchor>
        </w:drawing>
      </w:r>
    </w:p>
    <w:p>
      <w:pPr>
        <w:ind w:left="6700"/>
        <w:spacing w:after="0"/>
        <w:rPr>
          <w:sz w:val="20"/>
          <w:szCs w:val="20"/>
          <w:color w:val="auto"/>
        </w:rPr>
      </w:pPr>
      <w:r>
        <w:rPr>
          <w:rFonts w:ascii="Arial" w:cs="Arial" w:eastAsia="Arial" w:hAnsi="Arial"/>
          <w:sz w:val="14"/>
          <w:szCs w:val="14"/>
          <w:color w:val="auto"/>
        </w:rPr>
        <w:t>Chief Financial Officer</w:t>
      </w:r>
    </w:p>
    <w:p>
      <w:pPr>
        <w:spacing w:after="0" w:line="19" w:lineRule="exact"/>
        <w:rPr>
          <w:sz w:val="20"/>
          <w:szCs w:val="20"/>
          <w:color w:val="auto"/>
        </w:rPr>
      </w:pPr>
    </w:p>
    <w:p>
      <w:pPr>
        <w:ind w:left="6700"/>
        <w:spacing w:after="0"/>
        <w:rPr>
          <w:sz w:val="20"/>
          <w:szCs w:val="20"/>
          <w:color w:val="auto"/>
        </w:rPr>
      </w:pPr>
      <w:r>
        <w:rPr>
          <w:rFonts w:ascii="Arial" w:cs="Arial" w:eastAsia="Arial" w:hAnsi="Arial"/>
          <w:sz w:val="13"/>
          <w:szCs w:val="13"/>
          <w:color w:val="auto"/>
        </w:rPr>
        <w:t>(Principal Financial and Accounting Officer)</w:t>
      </w:r>
    </w:p>
    <w:p>
      <w:pPr>
        <w:sectPr>
          <w:pgSz w:w="11900" w:h="16838" w:orient="portrait"/>
          <w:cols w:equalWidth="0" w:num="1">
            <w:col w:w="10320"/>
          </w:cols>
          <w:pgMar w:left="660" w:top="730" w:right="9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2021-09-03T15:21:26Z</dcterms:created>
  <dcterms:modified xsi:type="dcterms:W3CDTF">2021-09-03T15:21:26Z</dcterms:modified>
</cp:coreProperties>
</file>