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Mulroy Patricia</w:t>
              </w:r>
            </w:hyperlink>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03/12/2019</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2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6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gridSpan w:val="7"/>
            <w:vMerge w:val="restart"/>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20" w:type="dxa"/>
            <w:vAlign w:val="bottom"/>
            <w:gridSpan w:val="5"/>
            <w:vMerge w:val="restart"/>
          </w:tcPr>
          <w:p>
            <w:pPr>
              <w:jc w:val="right"/>
              <w:ind w:right="135"/>
              <w:spacing w:after="0"/>
              <w:rPr>
                <w:sz w:val="20"/>
                <w:szCs w:val="20"/>
                <w:color w:val="auto"/>
              </w:rPr>
            </w:pPr>
            <w:r>
              <w:rPr>
                <w:rFonts w:ascii="Arial" w:cs="Arial" w:eastAsia="Arial" w:hAnsi="Arial"/>
                <w:sz w:val="18"/>
                <w:szCs w:val="18"/>
                <w:color w:val="0000FF"/>
              </w:rPr>
              <w:t>03/12/2019</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4"/>
                <w:szCs w:val="14"/>
                <w:color w:val="0000FF"/>
              </w:rPr>
              <w:t>S</w:t>
            </w:r>
          </w:p>
        </w:tc>
        <w:tc>
          <w:tcPr>
            <w:tcW w:w="720" w:type="dxa"/>
            <w:vAlign w:val="bottom"/>
            <w:vMerge w:val="restart"/>
          </w:tcPr>
          <w:p>
            <w:pPr>
              <w:ind w:left="320"/>
              <w:spacing w:after="0"/>
              <w:rPr>
                <w:sz w:val="20"/>
                <w:szCs w:val="20"/>
                <w:color w:val="auto"/>
              </w:rPr>
            </w:pPr>
            <w:r>
              <w:rPr>
                <w:rFonts w:ascii="Arial" w:cs="Arial" w:eastAsia="Arial" w:hAnsi="Arial"/>
                <w:sz w:val="18"/>
                <w:szCs w:val="18"/>
                <w:color w:val="0000FF"/>
              </w:rPr>
              <w:t>425</w:t>
            </w:r>
          </w:p>
        </w:tc>
        <w:tc>
          <w:tcPr>
            <w:tcW w:w="480" w:type="dxa"/>
            <w:vAlign w:val="bottom"/>
            <w:vMerge w:val="restart"/>
          </w:tcPr>
          <w:p>
            <w:pPr>
              <w:ind w:left="34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2"/>
                <w:szCs w:val="22"/>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118.02</w:t>
            </w:r>
          </w:p>
        </w:tc>
        <w:tc>
          <w:tcPr>
            <w:tcW w:w="1240" w:type="dxa"/>
            <w:vAlign w:val="bottom"/>
            <w:gridSpan w:val="2"/>
            <w:vMerge w:val="restart"/>
          </w:tcPr>
          <w:p>
            <w:pPr>
              <w:ind w:left="340"/>
              <w:spacing w:after="0"/>
              <w:rPr>
                <w:sz w:val="20"/>
                <w:szCs w:val="20"/>
                <w:color w:val="auto"/>
              </w:rPr>
            </w:pPr>
            <w:r>
              <w:rPr>
                <w:rFonts w:ascii="Arial" w:cs="Arial" w:eastAsia="Arial" w:hAnsi="Arial"/>
                <w:sz w:val="18"/>
                <w:szCs w:val="18"/>
                <w:color w:val="0000FF"/>
              </w:rPr>
              <w:t>2,466</w:t>
            </w:r>
            <w:r>
              <w:rPr>
                <w:rFonts w:ascii="Arial" w:cs="Arial" w:eastAsia="Arial" w:hAnsi="Arial"/>
                <w:sz w:val="22"/>
                <w:szCs w:val="22"/>
                <w:color w:val="008000"/>
                <w:vertAlign w:val="superscript"/>
              </w:rPr>
              <w:t>(1)</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gridSpan w:val="7"/>
            <w:vMerge w:val="continue"/>
          </w:tcPr>
          <w:p>
            <w:pPr>
              <w:spacing w:after="0"/>
              <w:rPr>
                <w:sz w:val="14"/>
                <w:szCs w:val="14"/>
                <w:color w:val="auto"/>
              </w:rPr>
            </w:pPr>
          </w:p>
        </w:tc>
        <w:tc>
          <w:tcPr>
            <w:tcW w:w="122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4,203</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0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Previous Form 4s classified all shares beneficially owned by the Reporting Person as held directly. This Form 4 clarifies that a portion of such shares are held by the Reporting Person indirectly through a family trust.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Nick Pannucci, attorney-in-  </w:t>
      </w:r>
      <w:r>
        <w:rPr>
          <w:rFonts w:ascii="Arial" w:cs="Arial" w:eastAsia="Arial" w:hAnsi="Arial"/>
          <w:sz w:val="34"/>
          <w:szCs w:val="34"/>
          <w:color w:val="0000FF"/>
          <w:vertAlign w:val="subscript"/>
        </w:rPr>
        <w:t>03/14/2019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Patricia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55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53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Ellen Whittemore, Craig Billings, Nick Pannucci, and Roxane Peper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IN WITNESS WHEREOF, the undersigned has executed this instrument effective as of the 21st day of February,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Signed: </w:t>
      </w:r>
      <w:r>
        <w:rPr>
          <w:rFonts w:ascii="Arial" w:cs="Arial" w:eastAsia="Arial" w:hAnsi="Arial"/>
          <w:sz w:val="22"/>
          <w:szCs w:val="22"/>
          <w:u w:val="single" w:color="auto"/>
          <w:color w:val="auto"/>
        </w:rPr>
        <w:t>/s/ Patricia Mulroy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200396.01-Palo Alto Server 1A - MSW</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600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2019-12-23T22:15:44Z</dcterms:created>
  <dcterms:modified xsi:type="dcterms:W3CDTF">2019-12-23T22:15:44Z</dcterms:modified>
</cp:coreProperties>
</file>