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2142490</wp:posOffset>
            </wp:positionH>
            <wp:positionV relativeFrom="paragraph">
              <wp:posOffset>174625</wp:posOffset>
            </wp:positionV>
            <wp:extent cx="28911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1155" cy="8255"/>
                    </a:xfrm>
                    <a:prstGeom prst="rect">
                      <a:avLst/>
                    </a:prstGeom>
                    <a:noFill/>
                  </pic:spPr>
                </pic:pic>
              </a:graphicData>
            </a:graphic>
          </wp:anchor>
        </w:drawing>
      </w:r>
    </w:p>
    <w:p>
      <w:pPr>
        <w:spacing w:after="0" w:line="37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2142490</wp:posOffset>
            </wp:positionH>
            <wp:positionV relativeFrom="paragraph">
              <wp:posOffset>59690</wp:posOffset>
            </wp:positionV>
            <wp:extent cx="28911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1155" cy="8255"/>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OF THE SECURITIES EXCHANGE ACT OF 1934</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Date of Report (Date of earliest event reported): November 9,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2142490</wp:posOffset>
            </wp:positionH>
            <wp:positionV relativeFrom="paragraph">
              <wp:posOffset>81280</wp:posOffset>
            </wp:positionV>
            <wp:extent cx="2891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1155" cy="8255"/>
                    </a:xfrm>
                    <a:prstGeom prst="rect">
                      <a:avLst/>
                    </a:prstGeom>
                    <a:noFill/>
                  </pic:spPr>
                </pic:pic>
              </a:graphicData>
            </a:graphic>
          </wp:anchor>
        </w:drawing>
      </w:r>
    </w:p>
    <w:p>
      <w:pPr>
        <w:spacing w:after="0" w:line="224" w:lineRule="exact"/>
        <w:rPr>
          <w:sz w:val="24"/>
          <w:szCs w:val="24"/>
          <w:color w:val="auto"/>
        </w:rPr>
      </w:pPr>
    </w:p>
    <w:p>
      <w:pPr>
        <w:jc w:val="center"/>
        <w:spacing w:after="0"/>
        <w:rPr>
          <w:sz w:val="20"/>
          <w:szCs w:val="20"/>
          <w:color w:val="auto"/>
        </w:rPr>
      </w:pPr>
      <w:r>
        <w:rPr>
          <w:rFonts w:ascii="Arial" w:cs="Arial" w:eastAsia="Arial" w:hAnsi="Arial"/>
          <w:sz w:val="42"/>
          <w:szCs w:val="42"/>
          <w:b w:val="1"/>
          <w:bCs w:val="1"/>
          <w:color w:val="auto"/>
        </w:rPr>
        <w:t>WYNN RESORTS, LIMITED</w:t>
      </w:r>
    </w:p>
    <w:p>
      <w:pPr>
        <w:spacing w:after="0" w:line="4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73"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860" w:type="dxa"/>
            <w:vAlign w:val="bottom"/>
          </w:tcPr>
          <w:p>
            <w:pPr>
              <w:spacing w:after="0"/>
              <w:rPr>
                <w:sz w:val="19"/>
                <w:szCs w:val="19"/>
                <w:color w:val="auto"/>
              </w:rPr>
            </w:pPr>
          </w:p>
        </w:tc>
        <w:tc>
          <w:tcPr>
            <w:tcW w:w="248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87"/>
              </w:rPr>
              <w:t>Nevada</w:t>
            </w:r>
          </w:p>
        </w:tc>
        <w:tc>
          <w:tcPr>
            <w:tcW w:w="3720" w:type="dxa"/>
            <w:vAlign w:val="bottom"/>
            <w:gridSpan w:val="3"/>
          </w:tcPr>
          <w:p>
            <w:pPr>
              <w:ind w:left="1780"/>
              <w:spacing w:after="0"/>
              <w:rPr>
                <w:sz w:val="20"/>
                <w:szCs w:val="20"/>
                <w:color w:val="auto"/>
              </w:rPr>
            </w:pPr>
            <w:r>
              <w:rPr>
                <w:rFonts w:ascii="Arial" w:cs="Arial" w:eastAsia="Arial" w:hAnsi="Arial"/>
                <w:sz w:val="18"/>
                <w:szCs w:val="18"/>
                <w:b w:val="1"/>
                <w:bCs w:val="1"/>
                <w:color w:val="auto"/>
              </w:rPr>
              <w:t>000-50028</w:t>
            </w:r>
          </w:p>
        </w:tc>
        <w:tc>
          <w:tcPr>
            <w:tcW w:w="3260" w:type="dxa"/>
            <w:vAlign w:val="bottom"/>
            <w:gridSpan w:val="2"/>
          </w:tcPr>
          <w:p>
            <w:pPr>
              <w:jc w:val="right"/>
              <w:ind w:right="490"/>
              <w:spacing w:after="0"/>
              <w:rPr>
                <w:sz w:val="20"/>
                <w:szCs w:val="20"/>
                <w:color w:val="auto"/>
              </w:rPr>
            </w:pPr>
            <w:r>
              <w:rPr>
                <w:rFonts w:ascii="Arial" w:cs="Arial" w:eastAsia="Arial" w:hAnsi="Arial"/>
                <w:sz w:val="18"/>
                <w:szCs w:val="18"/>
                <w:b w:val="1"/>
                <w:bCs w:val="1"/>
                <w:color w:val="auto"/>
              </w:rPr>
              <w:t>46-0484987</w:t>
            </w:r>
          </w:p>
        </w:tc>
        <w:tc>
          <w:tcPr>
            <w:tcW w:w="920" w:type="dxa"/>
            <w:vAlign w:val="bottom"/>
          </w:tcPr>
          <w:p>
            <w:pPr>
              <w:spacing w:after="0"/>
              <w:rPr>
                <w:sz w:val="19"/>
                <w:szCs w:val="19"/>
                <w:color w:val="auto"/>
              </w:rPr>
            </w:pPr>
          </w:p>
        </w:tc>
      </w:tr>
      <w:tr>
        <w:trPr>
          <w:trHeight w:val="141"/>
        </w:trPr>
        <w:tc>
          <w:tcPr>
            <w:tcW w:w="860" w:type="dxa"/>
            <w:vAlign w:val="bottom"/>
          </w:tcPr>
          <w:p>
            <w:pPr>
              <w:spacing w:after="0"/>
              <w:rPr>
                <w:sz w:val="12"/>
                <w:szCs w:val="12"/>
                <w:color w:val="auto"/>
              </w:rPr>
            </w:pPr>
          </w:p>
        </w:tc>
        <w:tc>
          <w:tcPr>
            <w:tcW w:w="2480" w:type="dxa"/>
            <w:vAlign w:val="bottom"/>
            <w:gridSpan w:val="2"/>
          </w:tcPr>
          <w:p>
            <w:pPr>
              <w:jc w:val="center"/>
              <w:ind w:right="600"/>
              <w:spacing w:after="0" w:line="141" w:lineRule="exact"/>
              <w:rPr>
                <w:sz w:val="20"/>
                <w:szCs w:val="20"/>
                <w:color w:val="auto"/>
              </w:rPr>
            </w:pPr>
            <w:r>
              <w:rPr>
                <w:rFonts w:ascii="Arial" w:cs="Arial" w:eastAsia="Arial" w:hAnsi="Arial"/>
                <w:sz w:val="14"/>
                <w:szCs w:val="14"/>
                <w:b w:val="1"/>
                <w:bCs w:val="1"/>
                <w:color w:val="auto"/>
                <w:w w:val="91"/>
              </w:rPr>
              <w:t>(State or other jurisdiction</w:t>
            </w:r>
          </w:p>
        </w:tc>
        <w:tc>
          <w:tcPr>
            <w:tcW w:w="520" w:type="dxa"/>
            <w:vAlign w:val="bottom"/>
          </w:tcPr>
          <w:p>
            <w:pPr>
              <w:spacing w:after="0"/>
              <w:rPr>
                <w:sz w:val="12"/>
                <w:szCs w:val="12"/>
                <w:color w:val="auto"/>
              </w:rPr>
            </w:pPr>
          </w:p>
        </w:tc>
        <w:tc>
          <w:tcPr>
            <w:tcW w:w="3200" w:type="dxa"/>
            <w:vAlign w:val="bottom"/>
            <w:gridSpan w:val="2"/>
          </w:tcPr>
          <w:p>
            <w:pPr>
              <w:ind w:left="1260"/>
              <w:spacing w:after="0" w:line="141" w:lineRule="exact"/>
              <w:rPr>
                <w:sz w:val="20"/>
                <w:szCs w:val="20"/>
                <w:color w:val="auto"/>
              </w:rPr>
            </w:pPr>
            <w:r>
              <w:rPr>
                <w:rFonts w:ascii="Arial" w:cs="Arial" w:eastAsia="Arial" w:hAnsi="Arial"/>
                <w:sz w:val="14"/>
                <w:szCs w:val="14"/>
                <w:b w:val="1"/>
                <w:bCs w:val="1"/>
                <w:color w:val="auto"/>
              </w:rPr>
              <w:t>(Commission</w:t>
            </w:r>
          </w:p>
        </w:tc>
        <w:tc>
          <w:tcPr>
            <w:tcW w:w="840" w:type="dxa"/>
            <w:vAlign w:val="bottom"/>
          </w:tcPr>
          <w:p>
            <w:pPr>
              <w:spacing w:after="0"/>
              <w:rPr>
                <w:sz w:val="12"/>
                <w:szCs w:val="12"/>
                <w:color w:val="auto"/>
              </w:rPr>
            </w:pPr>
          </w:p>
        </w:tc>
        <w:tc>
          <w:tcPr>
            <w:tcW w:w="3340" w:type="dxa"/>
            <w:vAlign w:val="bottom"/>
            <w:gridSpan w:val="2"/>
          </w:tcPr>
          <w:p>
            <w:pPr>
              <w:jc w:val="center"/>
              <w:ind w:right="480"/>
              <w:spacing w:after="0" w:line="141" w:lineRule="exact"/>
              <w:rPr>
                <w:sz w:val="20"/>
                <w:szCs w:val="20"/>
                <w:color w:val="auto"/>
              </w:rPr>
            </w:pPr>
            <w:r>
              <w:rPr>
                <w:rFonts w:ascii="Arial" w:cs="Arial" w:eastAsia="Arial" w:hAnsi="Arial"/>
                <w:sz w:val="14"/>
                <w:szCs w:val="14"/>
                <w:b w:val="1"/>
                <w:bCs w:val="1"/>
                <w:color w:val="auto"/>
                <w:w w:val="94"/>
              </w:rPr>
              <w:t>(I.R.S. Employer</w:t>
            </w:r>
          </w:p>
        </w:tc>
      </w:tr>
      <w:tr>
        <w:trPr>
          <w:trHeight w:val="179"/>
        </w:trPr>
        <w:tc>
          <w:tcPr>
            <w:tcW w:w="860" w:type="dxa"/>
            <w:vAlign w:val="bottom"/>
          </w:tcPr>
          <w:p>
            <w:pPr>
              <w:spacing w:after="0"/>
              <w:rPr>
                <w:sz w:val="15"/>
                <w:szCs w:val="15"/>
                <w:color w:val="auto"/>
              </w:rPr>
            </w:pPr>
          </w:p>
        </w:tc>
        <w:tc>
          <w:tcPr>
            <w:tcW w:w="248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2"/>
              </w:rPr>
              <w:t>of incorporation)</w:t>
            </w:r>
          </w:p>
        </w:tc>
        <w:tc>
          <w:tcPr>
            <w:tcW w:w="520" w:type="dxa"/>
            <w:vAlign w:val="bottom"/>
          </w:tcPr>
          <w:p>
            <w:pPr>
              <w:spacing w:after="0"/>
              <w:rPr>
                <w:sz w:val="15"/>
                <w:szCs w:val="15"/>
                <w:color w:val="auto"/>
              </w:rPr>
            </w:pPr>
          </w:p>
        </w:tc>
        <w:tc>
          <w:tcPr>
            <w:tcW w:w="3200" w:type="dxa"/>
            <w:vAlign w:val="bottom"/>
            <w:gridSpan w:val="2"/>
          </w:tcPr>
          <w:p>
            <w:pPr>
              <w:ind w:left="1240"/>
              <w:spacing w:after="0"/>
              <w:rPr>
                <w:sz w:val="20"/>
                <w:szCs w:val="20"/>
                <w:color w:val="auto"/>
              </w:rPr>
            </w:pPr>
            <w:r>
              <w:rPr>
                <w:rFonts w:ascii="Arial" w:cs="Arial" w:eastAsia="Arial" w:hAnsi="Arial"/>
                <w:sz w:val="14"/>
                <w:szCs w:val="14"/>
                <w:b w:val="1"/>
                <w:bCs w:val="1"/>
                <w:color w:val="auto"/>
              </w:rPr>
              <w:t>File Number)</w:t>
            </w:r>
          </w:p>
        </w:tc>
        <w:tc>
          <w:tcPr>
            <w:tcW w:w="840" w:type="dxa"/>
            <w:vAlign w:val="bottom"/>
          </w:tcPr>
          <w:p>
            <w:pPr>
              <w:spacing w:after="0"/>
              <w:rPr>
                <w:sz w:val="15"/>
                <w:szCs w:val="15"/>
                <w:color w:val="auto"/>
              </w:rPr>
            </w:pPr>
          </w:p>
        </w:tc>
        <w:tc>
          <w:tcPr>
            <w:tcW w:w="33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Identification No.)</w:t>
            </w:r>
          </w:p>
        </w:tc>
      </w:tr>
      <w:tr>
        <w:trPr>
          <w:trHeight w:val="224"/>
        </w:trPr>
        <w:tc>
          <w:tcPr>
            <w:tcW w:w="3340" w:type="dxa"/>
            <w:vAlign w:val="bottom"/>
            <w:gridSpan w:val="3"/>
          </w:tcPr>
          <w:p>
            <w:pPr>
              <w:jc w:val="center"/>
              <w:ind w:left="177"/>
              <w:spacing w:after="0"/>
              <w:rPr>
                <w:sz w:val="20"/>
                <w:szCs w:val="20"/>
                <w:color w:val="auto"/>
              </w:rPr>
            </w:pPr>
            <w:r>
              <w:rPr>
                <w:rFonts w:ascii="Arial" w:cs="Arial" w:eastAsia="Arial" w:hAnsi="Arial"/>
                <w:sz w:val="18"/>
                <w:szCs w:val="18"/>
                <w:b w:val="1"/>
                <w:bCs w:val="1"/>
                <w:color w:val="auto"/>
                <w:w w:val="86"/>
              </w:rPr>
              <w:t>3131 Las Vegas Boulevard South</w:t>
            </w: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0"/>
        </w:trPr>
        <w:tc>
          <w:tcPr>
            <w:tcW w:w="860" w:type="dxa"/>
            <w:vAlign w:val="bottom"/>
          </w:tcPr>
          <w:p>
            <w:pPr>
              <w:spacing w:after="0"/>
              <w:rPr>
                <w:sz w:val="19"/>
                <w:szCs w:val="19"/>
                <w:color w:val="auto"/>
              </w:rPr>
            </w:pPr>
          </w:p>
        </w:tc>
        <w:tc>
          <w:tcPr>
            <w:tcW w:w="2480" w:type="dxa"/>
            <w:vAlign w:val="bottom"/>
            <w:gridSpan w:val="2"/>
          </w:tcPr>
          <w:p>
            <w:pPr>
              <w:ind w:left="120"/>
              <w:spacing w:after="0"/>
              <w:rPr>
                <w:sz w:val="20"/>
                <w:szCs w:val="20"/>
                <w:color w:val="auto"/>
              </w:rPr>
            </w:pPr>
            <w:r>
              <w:rPr>
                <w:rFonts w:ascii="Arial" w:cs="Arial" w:eastAsia="Arial" w:hAnsi="Arial"/>
                <w:sz w:val="18"/>
                <w:szCs w:val="18"/>
                <w:b w:val="1"/>
                <w:bCs w:val="1"/>
                <w:color w:val="auto"/>
              </w:rPr>
              <w:t>Las Vegas, Nevada</w:t>
            </w: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3260" w:type="dxa"/>
            <w:vAlign w:val="bottom"/>
            <w:gridSpan w:val="2"/>
          </w:tcPr>
          <w:p>
            <w:pPr>
              <w:jc w:val="right"/>
              <w:ind w:right="710"/>
              <w:spacing w:after="0"/>
              <w:rPr>
                <w:sz w:val="20"/>
                <w:szCs w:val="20"/>
                <w:color w:val="auto"/>
              </w:rPr>
            </w:pPr>
            <w:r>
              <w:rPr>
                <w:rFonts w:ascii="Arial" w:cs="Arial" w:eastAsia="Arial" w:hAnsi="Arial"/>
                <w:sz w:val="18"/>
                <w:szCs w:val="18"/>
                <w:b w:val="1"/>
                <w:bCs w:val="1"/>
                <w:color w:val="auto"/>
              </w:rPr>
              <w:t>89109</w:t>
            </w:r>
          </w:p>
        </w:tc>
        <w:tc>
          <w:tcPr>
            <w:tcW w:w="920" w:type="dxa"/>
            <w:vAlign w:val="bottom"/>
          </w:tcPr>
          <w:p>
            <w:pPr>
              <w:spacing w:after="0"/>
              <w:rPr>
                <w:sz w:val="19"/>
                <w:szCs w:val="19"/>
                <w:color w:val="auto"/>
              </w:rPr>
            </w:pPr>
          </w:p>
        </w:tc>
      </w:tr>
      <w:tr>
        <w:trPr>
          <w:trHeight w:val="183"/>
        </w:trPr>
        <w:tc>
          <w:tcPr>
            <w:tcW w:w="3340" w:type="dxa"/>
            <w:vAlign w:val="bottom"/>
            <w:gridSpan w:val="3"/>
          </w:tcPr>
          <w:p>
            <w:pPr>
              <w:jc w:val="center"/>
              <w:ind w:left="177"/>
              <w:spacing w:after="0"/>
              <w:rPr>
                <w:sz w:val="20"/>
                <w:szCs w:val="20"/>
                <w:color w:val="auto"/>
              </w:rPr>
            </w:pPr>
            <w:r>
              <w:rPr>
                <w:rFonts w:ascii="Arial" w:cs="Arial" w:eastAsia="Arial" w:hAnsi="Arial"/>
                <w:sz w:val="14"/>
                <w:szCs w:val="14"/>
                <w:b w:val="1"/>
                <w:bCs w:val="1"/>
                <w:color w:val="auto"/>
                <w:w w:val="88"/>
              </w:rPr>
              <w:t>(Address of principal executive offices)</w:t>
            </w:r>
          </w:p>
        </w:tc>
        <w:tc>
          <w:tcPr>
            <w:tcW w:w="5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3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5"/>
              </w:rPr>
              <w:t>(Zip Code)</w:t>
            </w:r>
          </w:p>
        </w:tc>
      </w:tr>
      <w:tr>
        <w:trPr>
          <w:trHeight w:val="659"/>
        </w:trPr>
        <w:tc>
          <w:tcPr>
            <w:tcW w:w="8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720" w:type="dxa"/>
            <w:vAlign w:val="bottom"/>
            <w:gridSpan w:val="3"/>
          </w:tcPr>
          <w:p>
            <w:pPr>
              <w:jc w:val="center"/>
              <w:ind w:left="778"/>
              <w:spacing w:after="0"/>
              <w:rPr>
                <w:sz w:val="20"/>
                <w:szCs w:val="20"/>
                <w:color w:val="auto"/>
              </w:rPr>
            </w:pPr>
            <w:r>
              <w:rPr>
                <w:rFonts w:ascii="Arial" w:cs="Arial" w:eastAsia="Arial" w:hAnsi="Arial"/>
                <w:sz w:val="18"/>
                <w:szCs w:val="18"/>
                <w:b w:val="1"/>
                <w:bCs w:val="1"/>
                <w:color w:val="auto"/>
                <w:w w:val="89"/>
              </w:rPr>
              <w:t>(702) 770-7555</w:t>
            </w:r>
          </w:p>
        </w:tc>
        <w:tc>
          <w:tcPr>
            <w:tcW w:w="8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83"/>
        </w:trPr>
        <w:tc>
          <w:tcPr>
            <w:tcW w:w="8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380" w:type="dxa"/>
            <w:vAlign w:val="bottom"/>
            <w:gridSpan w:val="5"/>
          </w:tcPr>
          <w:p>
            <w:pPr>
              <w:jc w:val="center"/>
              <w:ind w:right="3860"/>
              <w:spacing w:after="0"/>
              <w:rPr>
                <w:sz w:val="20"/>
                <w:szCs w:val="20"/>
                <w:color w:val="auto"/>
              </w:rPr>
            </w:pPr>
            <w:r>
              <w:rPr>
                <w:rFonts w:ascii="Arial" w:cs="Arial" w:eastAsia="Arial" w:hAnsi="Arial"/>
                <w:sz w:val="14"/>
                <w:szCs w:val="14"/>
                <w:b w:val="1"/>
                <w:bCs w:val="1"/>
                <w:color w:val="auto"/>
                <w:w w:val="89"/>
              </w:rPr>
              <w:t>(Registrant’s telephone number, including area code)</w:t>
            </w:r>
          </w:p>
        </w:tc>
      </w:tr>
      <w:tr>
        <w:trPr>
          <w:trHeight w:val="396"/>
        </w:trPr>
        <w:tc>
          <w:tcPr>
            <w:tcW w:w="8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0" w:type="dxa"/>
            <w:vAlign w:val="bottom"/>
            <w:gridSpan w:val="2"/>
          </w:tcPr>
          <w:p>
            <w:pPr>
              <w:jc w:val="center"/>
              <w:ind w:left="241"/>
              <w:spacing w:after="0"/>
              <w:rPr>
                <w:sz w:val="20"/>
                <w:szCs w:val="20"/>
                <w:color w:val="auto"/>
              </w:rPr>
            </w:pPr>
            <w:r>
              <w:rPr>
                <w:rFonts w:ascii="Arial" w:cs="Arial" w:eastAsia="Arial" w:hAnsi="Arial"/>
                <w:sz w:val="18"/>
                <w:szCs w:val="18"/>
                <w:b w:val="1"/>
                <w:bCs w:val="1"/>
                <w:color w:val="auto"/>
                <w:w w:val="88"/>
              </w:rPr>
              <w:t>Not Applicable</w:t>
            </w:r>
          </w:p>
        </w:tc>
        <w:tc>
          <w:tcPr>
            <w:tcW w:w="8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83"/>
        </w:trPr>
        <w:tc>
          <w:tcPr>
            <w:tcW w:w="8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900" w:type="dxa"/>
            <w:vAlign w:val="bottom"/>
            <w:gridSpan w:val="6"/>
          </w:tcPr>
          <w:p>
            <w:pPr>
              <w:jc w:val="center"/>
              <w:ind w:right="3340"/>
              <w:spacing w:after="0"/>
              <w:rPr>
                <w:sz w:val="20"/>
                <w:szCs w:val="20"/>
                <w:color w:val="auto"/>
              </w:rPr>
            </w:pPr>
            <w:r>
              <w:rPr>
                <w:rFonts w:ascii="Arial" w:cs="Arial" w:eastAsia="Arial" w:hAnsi="Arial"/>
                <w:sz w:val="14"/>
                <w:szCs w:val="14"/>
                <w:b w:val="1"/>
                <w:bCs w:val="1"/>
                <w:color w:val="auto"/>
                <w:w w:val="90"/>
              </w:rPr>
              <w:t>(Former name or former address, if changed since last report)</w:t>
            </w:r>
          </w:p>
        </w:tc>
      </w:tr>
      <w:tr>
        <w:trPr>
          <w:trHeight w:val="24"/>
        </w:trPr>
        <w:tc>
          <w:tcPr>
            <w:tcW w:w="8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572"/>
        </w:trPr>
        <w:tc>
          <w:tcPr>
            <w:tcW w:w="7060" w:type="dxa"/>
            <w:vAlign w:val="bottom"/>
            <w:gridSpan w:val="6"/>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8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11"/>
        </w:trPr>
        <w:tc>
          <w:tcPr>
            <w:tcW w:w="86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5"/>
              </w:rPr>
              <w:t>Title of each class</w:t>
            </w:r>
          </w:p>
        </w:tc>
        <w:tc>
          <w:tcPr>
            <w:tcW w:w="1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0" w:type="dxa"/>
            <w:vAlign w:val="bottom"/>
            <w:gridSpan w:val="2"/>
          </w:tcPr>
          <w:p>
            <w:pPr>
              <w:jc w:val="center"/>
              <w:ind w:right="1800"/>
              <w:spacing w:after="0"/>
              <w:rPr>
                <w:sz w:val="20"/>
                <w:szCs w:val="20"/>
                <w:color w:val="auto"/>
              </w:rPr>
            </w:pPr>
            <w:r>
              <w:rPr>
                <w:rFonts w:ascii="Arial" w:cs="Arial" w:eastAsia="Arial" w:hAnsi="Arial"/>
                <w:sz w:val="18"/>
                <w:szCs w:val="18"/>
                <w:b w:val="1"/>
                <w:bCs w:val="1"/>
                <w:color w:val="auto"/>
                <w:w w:val="88"/>
              </w:rPr>
              <w:t>Trading Symbol(s)</w:t>
            </w:r>
          </w:p>
        </w:tc>
        <w:tc>
          <w:tcPr>
            <w:tcW w:w="4180" w:type="dxa"/>
            <w:vAlign w:val="bottom"/>
            <w:gridSpan w:val="3"/>
          </w:tcPr>
          <w:p>
            <w:pPr>
              <w:jc w:val="center"/>
              <w:ind w:right="920"/>
              <w:spacing w:after="0"/>
              <w:rPr>
                <w:sz w:val="20"/>
                <w:szCs w:val="20"/>
                <w:color w:val="auto"/>
              </w:rPr>
            </w:pPr>
            <w:r>
              <w:rPr>
                <w:rFonts w:ascii="Arial" w:cs="Arial" w:eastAsia="Arial" w:hAnsi="Arial"/>
                <w:sz w:val="18"/>
                <w:szCs w:val="18"/>
                <w:b w:val="1"/>
                <w:bCs w:val="1"/>
                <w:color w:val="auto"/>
                <w:w w:val="85"/>
              </w:rPr>
              <w:t>Name of each exchange on which registered</w:t>
            </w:r>
          </w:p>
        </w:tc>
      </w:tr>
      <w:tr>
        <w:trPr>
          <w:trHeight w:val="20"/>
        </w:trPr>
        <w:tc>
          <w:tcPr>
            <w:tcW w:w="8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260" w:type="dxa"/>
            <w:vAlign w:val="bottom"/>
            <w:gridSpan w:val="2"/>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43"/>
        </w:trPr>
        <w:tc>
          <w:tcPr>
            <w:tcW w:w="3340" w:type="dxa"/>
            <w:vAlign w:val="bottom"/>
            <w:gridSpan w:val="3"/>
          </w:tcPr>
          <w:p>
            <w:pPr>
              <w:jc w:val="center"/>
              <w:ind w:right="300"/>
              <w:spacing w:after="0"/>
              <w:rPr>
                <w:sz w:val="20"/>
                <w:szCs w:val="20"/>
                <w:color w:val="auto"/>
              </w:rPr>
            </w:pPr>
            <w:r>
              <w:rPr>
                <w:rFonts w:ascii="Arial" w:cs="Arial" w:eastAsia="Arial" w:hAnsi="Arial"/>
                <w:sz w:val="18"/>
                <w:szCs w:val="18"/>
                <w:color w:val="auto"/>
                <w:w w:val="88"/>
              </w:rPr>
              <w:t>Common stock, par value $0.01</w:t>
            </w:r>
          </w:p>
        </w:tc>
        <w:tc>
          <w:tcPr>
            <w:tcW w:w="520" w:type="dxa"/>
            <w:vAlign w:val="bottom"/>
          </w:tcPr>
          <w:p>
            <w:pPr>
              <w:spacing w:after="0"/>
              <w:rPr>
                <w:sz w:val="21"/>
                <w:szCs w:val="21"/>
                <w:color w:val="auto"/>
              </w:rPr>
            </w:pPr>
          </w:p>
        </w:tc>
        <w:tc>
          <w:tcPr>
            <w:tcW w:w="3200" w:type="dxa"/>
            <w:vAlign w:val="bottom"/>
            <w:gridSpan w:val="2"/>
          </w:tcPr>
          <w:p>
            <w:pPr>
              <w:jc w:val="center"/>
              <w:ind w:right="1780"/>
              <w:spacing w:after="0"/>
              <w:rPr>
                <w:sz w:val="20"/>
                <w:szCs w:val="20"/>
                <w:color w:val="auto"/>
              </w:rPr>
            </w:pPr>
            <w:r>
              <w:rPr>
                <w:rFonts w:ascii="Arial" w:cs="Arial" w:eastAsia="Arial" w:hAnsi="Arial"/>
                <w:sz w:val="18"/>
                <w:szCs w:val="18"/>
                <w:color w:val="auto"/>
                <w:w w:val="98"/>
              </w:rPr>
              <w:t>WYNN</w:t>
            </w:r>
          </w:p>
        </w:tc>
        <w:tc>
          <w:tcPr>
            <w:tcW w:w="4180" w:type="dxa"/>
            <w:vAlign w:val="bottom"/>
            <w:gridSpan w:val="3"/>
          </w:tcPr>
          <w:p>
            <w:pPr>
              <w:jc w:val="center"/>
              <w:ind w:right="940"/>
              <w:spacing w:after="0"/>
              <w:rPr>
                <w:sz w:val="20"/>
                <w:szCs w:val="20"/>
                <w:color w:val="auto"/>
              </w:rPr>
            </w:pPr>
            <w:r>
              <w:rPr>
                <w:rFonts w:ascii="Arial" w:cs="Arial" w:eastAsia="Arial" w:hAnsi="Arial"/>
                <w:sz w:val="18"/>
                <w:szCs w:val="18"/>
                <w:color w:val="auto"/>
                <w:w w:val="88"/>
              </w:rPr>
              <w:t>Nasdaq Global Select Market</w:t>
            </w:r>
          </w:p>
        </w:tc>
      </w:tr>
      <w:tr>
        <w:trPr>
          <w:trHeight w:val="191"/>
        </w:trPr>
        <w:tc>
          <w:tcPr>
            <w:tcW w:w="8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bl>
    <w:p>
      <w:pPr>
        <w:spacing w:after="0" w:line="330" w:lineRule="exact"/>
        <w:rPr>
          <w:sz w:val="24"/>
          <w:szCs w:val="24"/>
          <w:color w:val="auto"/>
        </w:rPr>
      </w:pPr>
    </w:p>
    <w:p>
      <w:pPr>
        <w:jc w:val="both"/>
        <w:spacing w:after="0" w:line="250"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3" w:lineRule="exact"/>
        <w:rPr>
          <w:sz w:val="24"/>
          <w:szCs w:val="24"/>
          <w:color w:val="auto"/>
        </w:rPr>
      </w:pPr>
    </w:p>
    <w:p>
      <w:pPr>
        <w:ind w:left="360" w:hanging="35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30" w:lineRule="exact"/>
        <w:rPr>
          <w:rFonts w:ascii="MS PGothic" w:cs="MS PGothic" w:eastAsia="MS PGothic" w:hAnsi="MS PGothic"/>
          <w:sz w:val="18"/>
          <w:szCs w:val="18"/>
          <w:color w:val="auto"/>
        </w:rPr>
      </w:pPr>
    </w:p>
    <w:p>
      <w:pPr>
        <w:ind w:left="360" w:hanging="35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3" w:lineRule="exact"/>
        <w:rPr>
          <w:rFonts w:ascii="MS PGothic" w:cs="MS PGothic" w:eastAsia="MS PGothic" w:hAnsi="MS PGothic"/>
          <w:sz w:val="18"/>
          <w:szCs w:val="18"/>
          <w:color w:val="auto"/>
        </w:rPr>
      </w:pPr>
    </w:p>
    <w:p>
      <w:pPr>
        <w:ind w:left="360" w:hanging="35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6" w:lineRule="exact"/>
        <w:rPr>
          <w:rFonts w:ascii="MS PGothic" w:cs="MS PGothic" w:eastAsia="MS PGothic" w:hAnsi="MS PGothic"/>
          <w:sz w:val="18"/>
          <w:szCs w:val="18"/>
          <w:color w:val="auto"/>
        </w:rPr>
      </w:pPr>
    </w:p>
    <w:p>
      <w:pPr>
        <w:ind w:left="360" w:hanging="35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3" w:lineRule="exact"/>
        <w:rPr>
          <w:sz w:val="24"/>
          <w:szCs w:val="24"/>
          <w:color w:val="auto"/>
        </w:rPr>
      </w:pPr>
    </w:p>
    <w:p>
      <w:pPr>
        <w:spacing w:after="0" w:line="22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677545</wp:posOffset>
            </wp:positionV>
            <wp:extent cx="716089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33" w:right="339" w:bottom="1440" w:gutter="0" w:footer="0" w:header="0"/>
        </w:sectPr>
      </w:pPr>
    </w:p>
    <w:bookmarkStart w:id="1" w:name="page2"/>
    <w:bookmarkEnd w:id="1"/>
    <w:p>
      <w:pPr>
        <w:ind w:left="20"/>
        <w:spacing w:after="0"/>
        <w:tabs>
          <w:tab w:leader="none" w:pos="134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207" w:lineRule="exact"/>
        <w:rPr>
          <w:sz w:val="20"/>
          <w:szCs w:val="20"/>
          <w:color w:val="auto"/>
        </w:rPr>
      </w:pPr>
    </w:p>
    <w:p>
      <w:pPr>
        <w:jc w:val="both"/>
        <w:ind w:firstLine="434"/>
        <w:spacing w:after="0" w:line="316" w:lineRule="auto"/>
        <w:rPr>
          <w:sz w:val="20"/>
          <w:szCs w:val="20"/>
          <w:color w:val="auto"/>
        </w:rPr>
      </w:pPr>
      <w:r>
        <w:rPr>
          <w:rFonts w:ascii="Arial" w:cs="Arial" w:eastAsia="Arial" w:hAnsi="Arial"/>
          <w:sz w:val="15"/>
          <w:szCs w:val="15"/>
          <w:color w:val="auto"/>
        </w:rPr>
        <w:t>On November 9, 2021, Wynn Resorts, Limited issued a press release announcing its results of operations for the quarter ended September 30, 2021. The press release is furnished herewith as Exhibit 99.1. The information furnished under Items 2.02, 7.01 and 9.01 of this Current Report on Form 8-K, including Exhibit 99.1 attached hereto,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pacing w:after="0" w:line="204" w:lineRule="exact"/>
        <w:rPr>
          <w:sz w:val="20"/>
          <w:szCs w:val="20"/>
          <w:color w:val="auto"/>
        </w:rPr>
      </w:pPr>
    </w:p>
    <w:p>
      <w:pPr>
        <w:ind w:left="20"/>
        <w:spacing w:after="0"/>
        <w:tabs>
          <w:tab w:leader="none" w:pos="134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5"/>
          <w:szCs w:val="15"/>
          <w:b w:val="1"/>
          <w:bCs w:val="1"/>
          <w:color w:val="auto"/>
        </w:rPr>
        <w:t>Regulation FD Disclosure.</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information set forth under Item 2.02 of this report is incorporated herein by reference.</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34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9880" w:type="dxa"/>
            <w:vAlign w:val="bottom"/>
            <w:gridSpan w:val="3"/>
          </w:tcPr>
          <w:p>
            <w:pPr>
              <w:spacing w:after="0"/>
              <w:rPr>
                <w:sz w:val="20"/>
                <w:szCs w:val="20"/>
                <w:color w:val="auto"/>
              </w:rPr>
            </w:pPr>
            <w:r>
              <w:rPr>
                <w:rFonts w:ascii="Arial" w:cs="Arial" w:eastAsia="Arial" w:hAnsi="Arial"/>
                <w:sz w:val="18"/>
                <w:szCs w:val="18"/>
                <w:b w:val="1"/>
                <w:bCs w:val="1"/>
                <w:color w:val="auto"/>
              </w:rPr>
              <w:t>Financial Statements and Exhibits.</w:t>
            </w:r>
          </w:p>
        </w:tc>
      </w:tr>
      <w:tr>
        <w:trPr>
          <w:trHeight w:val="303"/>
        </w:trPr>
        <w:tc>
          <w:tcPr>
            <w:tcW w:w="20" w:type="dxa"/>
            <w:vAlign w:val="bottom"/>
          </w:tcPr>
          <w:p>
            <w:pPr>
              <w:spacing w:after="0"/>
              <w:rPr>
                <w:sz w:val="24"/>
                <w:szCs w:val="24"/>
                <w:color w:val="auto"/>
              </w:rPr>
            </w:pPr>
          </w:p>
        </w:tc>
        <w:tc>
          <w:tcPr>
            <w:tcW w:w="1340" w:type="dxa"/>
            <w:vAlign w:val="bottom"/>
            <w:gridSpan w:val="2"/>
          </w:tcPr>
          <w:p>
            <w:pPr>
              <w:ind w:left="220"/>
              <w:spacing w:after="0"/>
              <w:rPr>
                <w:sz w:val="20"/>
                <w:szCs w:val="20"/>
                <w:color w:val="auto"/>
              </w:rPr>
            </w:pPr>
            <w:r>
              <w:rPr>
                <w:rFonts w:ascii="Arial" w:cs="Arial" w:eastAsia="Arial" w:hAnsi="Arial"/>
                <w:sz w:val="18"/>
                <w:szCs w:val="18"/>
                <w:color w:val="auto"/>
              </w:rPr>
              <w:t>(d) Exhibits.</w:t>
            </w:r>
          </w:p>
        </w:tc>
        <w:tc>
          <w:tcPr>
            <w:tcW w:w="6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5220" w:type="dxa"/>
            <w:vAlign w:val="bottom"/>
          </w:tcPr>
          <w:p>
            <w:pPr>
              <w:spacing w:after="0"/>
              <w:rPr>
                <w:sz w:val="24"/>
                <w:szCs w:val="24"/>
                <w:color w:val="auto"/>
              </w:rPr>
            </w:pPr>
          </w:p>
        </w:tc>
      </w:tr>
      <w:tr>
        <w:trPr>
          <w:trHeight w:val="172"/>
        </w:trPr>
        <w:tc>
          <w:tcPr>
            <w:tcW w:w="20" w:type="dxa"/>
            <w:vAlign w:val="bottom"/>
          </w:tcPr>
          <w:p>
            <w:pPr>
              <w:spacing w:after="0"/>
              <w:rPr>
                <w:sz w:val="14"/>
                <w:szCs w:val="14"/>
                <w:color w:val="auto"/>
              </w:rPr>
            </w:pPr>
          </w:p>
        </w:tc>
        <w:tc>
          <w:tcPr>
            <w:tcW w:w="134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988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99.1</w:t>
            </w:r>
          </w:p>
        </w:tc>
        <w:tc>
          <w:tcPr>
            <w:tcW w:w="660" w:type="dxa"/>
            <w:vAlign w:val="bottom"/>
          </w:tcPr>
          <w:p>
            <w:pPr>
              <w:spacing w:after="0"/>
              <w:rPr>
                <w:sz w:val="22"/>
                <w:szCs w:val="22"/>
                <w:color w:val="auto"/>
              </w:rPr>
            </w:pPr>
          </w:p>
        </w:tc>
        <w:tc>
          <w:tcPr>
            <w:tcW w:w="9880" w:type="dxa"/>
            <w:vAlign w:val="bottom"/>
            <w:gridSpan w:val="3"/>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 xml:space="preserve">Press release, dated November </w:t>
              </w:r>
            </w:hyperlink>
            <w:r>
              <w:rPr>
                <w:rFonts w:ascii="Arial" w:cs="Arial" w:eastAsia="Arial" w:hAnsi="Arial"/>
                <w:sz w:val="18"/>
                <w:szCs w:val="18"/>
                <w:color w:val="0000FF"/>
              </w:rPr>
              <w:t xml:space="preserve">9, </w:t>
            </w:r>
            <w:hyperlink w:anchor="page4">
              <w:r>
                <w:rPr>
                  <w:rFonts w:ascii="Arial" w:cs="Arial" w:eastAsia="Arial" w:hAnsi="Arial"/>
                  <w:sz w:val="18"/>
                  <w:szCs w:val="18"/>
                  <w:color w:val="0000FF"/>
                </w:rPr>
                <w:t>2021, of Wynn Resorts, Limited.</w:t>
              </w:r>
            </w:hyperlink>
          </w:p>
        </w:tc>
      </w:tr>
      <w:tr>
        <w:trPr>
          <w:trHeight w:val="20"/>
        </w:trPr>
        <w:tc>
          <w:tcPr>
            <w:tcW w:w="7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60" w:type="dxa"/>
            <w:vAlign w:val="bottom"/>
            <w:gridSpan w:val="2"/>
            <w:shd w:val="clear" w:color="auto" w:fill="0000FF"/>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r>
      <w:tr>
        <w:trPr>
          <w:trHeight w:val="243"/>
        </w:trPr>
        <w:tc>
          <w:tcPr>
            <w:tcW w:w="700" w:type="dxa"/>
            <w:vAlign w:val="bottom"/>
            <w:gridSpan w:val="2"/>
          </w:tcPr>
          <w:p>
            <w:pPr>
              <w:ind w:left="20"/>
              <w:spacing w:after="0"/>
              <w:rPr>
                <w:sz w:val="20"/>
                <w:szCs w:val="20"/>
                <w:color w:val="auto"/>
              </w:rPr>
            </w:pPr>
            <w:r>
              <w:rPr>
                <w:rFonts w:ascii="Arial" w:cs="Arial" w:eastAsia="Arial" w:hAnsi="Arial"/>
                <w:sz w:val="18"/>
                <w:szCs w:val="18"/>
                <w:color w:val="auto"/>
              </w:rPr>
              <w:t>104</w:t>
            </w:r>
          </w:p>
        </w:tc>
        <w:tc>
          <w:tcPr>
            <w:tcW w:w="660" w:type="dxa"/>
            <w:vAlign w:val="bottom"/>
          </w:tcPr>
          <w:p>
            <w:pPr>
              <w:spacing w:after="0"/>
              <w:rPr>
                <w:sz w:val="21"/>
                <w:szCs w:val="21"/>
                <w:color w:val="auto"/>
              </w:rPr>
            </w:pPr>
          </w:p>
        </w:tc>
        <w:tc>
          <w:tcPr>
            <w:tcW w:w="9880" w:type="dxa"/>
            <w:vAlign w:val="bottom"/>
            <w:gridSpan w:val="3"/>
          </w:tcPr>
          <w:p>
            <w:pPr>
              <w:spacing w:after="0"/>
              <w:rPr>
                <w:sz w:val="20"/>
                <w:szCs w:val="20"/>
                <w:color w:val="auto"/>
              </w:rPr>
            </w:pPr>
            <w:r>
              <w:rPr>
                <w:rFonts w:ascii="Arial" w:cs="Arial" w:eastAsia="Arial" w:hAnsi="Arial"/>
                <w:sz w:val="18"/>
                <w:szCs w:val="18"/>
                <w:color w:val="auto"/>
              </w:rPr>
              <w:t>Cover Page Interactive Data File - the cover page XBRL tags are embedded within the Inline XBRL document</w:t>
            </w:r>
          </w:p>
        </w:tc>
      </w:tr>
      <w:tr>
        <w:trPr>
          <w:trHeight w:val="1191"/>
        </w:trPr>
        <w:tc>
          <w:tcPr>
            <w:tcW w:w="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398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0" w:lineRule="exact"/>
        <w:rPr>
          <w:sz w:val="20"/>
          <w:szCs w:val="20"/>
          <w:color w:val="auto"/>
        </w:rPr>
      </w:pPr>
    </w:p>
    <w:p>
      <w:pPr>
        <w:ind w:firstLine="434"/>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8280"/>
        <w:spacing w:after="0"/>
        <w:rPr>
          <w:sz w:val="20"/>
          <w:szCs w:val="20"/>
          <w:color w:val="auto"/>
        </w:rPr>
      </w:pPr>
      <w:r>
        <w:rPr>
          <w:rFonts w:ascii="Arial" w:cs="Arial" w:eastAsia="Arial" w:hAnsi="Arial"/>
          <w:sz w:val="18"/>
          <w:szCs w:val="18"/>
          <w:b w:val="1"/>
          <w:bCs w:val="1"/>
          <w:color w:val="auto"/>
        </w:rPr>
        <w:t>WYNN RESORTS, LIMITED</w:t>
      </w:r>
    </w:p>
    <w:p>
      <w:pPr>
        <w:sectPr>
          <w:pgSz w:w="11900" w:h="16838" w:orient="portrait"/>
          <w:cols w:equalWidth="0" w:num="1">
            <w:col w:w="11240"/>
          </w:cols>
          <w:pgMar w:left="320" w:top="871" w:right="339" w:bottom="1440" w:gutter="0" w:footer="0" w:header="0"/>
        </w:sectPr>
      </w:pPr>
    </w:p>
    <w:p>
      <w:pPr>
        <w:spacing w:after="0" w:line="75" w:lineRule="exact"/>
        <w:rPr>
          <w:sz w:val="20"/>
          <w:szCs w:val="20"/>
          <w:color w:val="auto"/>
        </w:rPr>
      </w:pPr>
    </w:p>
    <w:p>
      <w:pPr>
        <w:ind w:left="900"/>
        <w:spacing w:after="0"/>
        <w:rPr>
          <w:sz w:val="20"/>
          <w:szCs w:val="20"/>
          <w:color w:val="auto"/>
        </w:rPr>
      </w:pPr>
      <w:r>
        <w:rPr>
          <w:rFonts w:ascii="Arial" w:cs="Arial" w:eastAsia="Arial" w:hAnsi="Arial"/>
          <w:sz w:val="15"/>
          <w:szCs w:val="15"/>
          <w:color w:val="auto"/>
        </w:rPr>
        <w:t>Dated: November 9, 2021</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24765</wp:posOffset>
            </wp:positionV>
            <wp:extent cx="23012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01240" cy="8255"/>
                    </a:xfrm>
                    <a:prstGeom prst="rect">
                      <a:avLst/>
                    </a:prstGeom>
                    <a:noFill/>
                  </pic:spPr>
                </pic:pic>
              </a:graphicData>
            </a:graphic>
          </wp:anchor>
        </w:drawing>
      </w:r>
    </w:p>
    <w:p>
      <w:pPr>
        <w:spacing w:after="0" w:line="40" w:lineRule="exact"/>
        <w:rPr>
          <w:sz w:val="20"/>
          <w:szCs w:val="20"/>
          <w:color w:val="auto"/>
        </w:rPr>
      </w:pPr>
    </w:p>
    <w:p>
      <w:pPr>
        <w:sectPr>
          <w:pgSz w:w="11900" w:h="16838" w:orient="portrait"/>
          <w:cols w:equalWidth="0" w:num="3">
            <w:col w:w="6240" w:space="720"/>
            <w:col w:w="600" w:space="720"/>
            <w:col w:w="2960"/>
          </w:cols>
          <w:pgMar w:left="320" w:top="871" w:right="339" w:bottom="1440" w:gutter="0" w:footer="0" w:header="0"/>
          <w:type w:val="continuous"/>
        </w:sectPr>
      </w:pPr>
    </w:p>
    <w:p>
      <w:pPr>
        <w:ind w:left="7080"/>
        <w:spacing w:after="0"/>
        <w:rPr>
          <w:sz w:val="20"/>
          <w:szCs w:val="20"/>
          <w:color w:val="auto"/>
        </w:rPr>
      </w:pPr>
      <w:r>
        <w:rPr>
          <w:rFonts w:ascii="Arial" w:cs="Arial" w:eastAsia="Arial" w:hAnsi="Arial"/>
          <w:sz w:val="18"/>
          <w:szCs w:val="18"/>
          <w:color w:val="auto"/>
        </w:rPr>
        <w:t>Craig S. Billings</w:t>
      </w:r>
    </w:p>
    <w:p>
      <w:pPr>
        <w:spacing w:after="0" w:line="17"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Chief Financial Officer</w:t>
      </w:r>
    </w:p>
    <w:p>
      <w:pPr>
        <w:spacing w:after="0" w:line="17" w:lineRule="exact"/>
        <w:rPr>
          <w:sz w:val="20"/>
          <w:szCs w:val="20"/>
          <w:color w:val="auto"/>
        </w:rPr>
      </w:pPr>
    </w:p>
    <w:p>
      <w:pPr>
        <w:ind w:left="7080"/>
        <w:spacing w:after="0"/>
        <w:rPr>
          <w:sz w:val="20"/>
          <w:szCs w:val="20"/>
          <w:color w:val="auto"/>
        </w:rPr>
      </w:pPr>
      <w:r>
        <w:rPr>
          <w:rFonts w:ascii="Arial" w:cs="Arial" w:eastAsia="Arial" w:hAnsi="Arial"/>
          <w:sz w:val="16"/>
          <w:szCs w:val="16"/>
          <w:color w:val="auto"/>
        </w:rPr>
        <w:t>(Principal Financial and Accounting Officer)</w:t>
      </w:r>
    </w:p>
    <w:p>
      <w:pPr>
        <w:sectPr>
          <w:pgSz w:w="11900" w:h="16838" w:orient="portrait"/>
          <w:cols w:equalWidth="0" w:num="1">
            <w:col w:w="11240"/>
          </w:cols>
          <w:pgMar w:left="320" w:top="871" w:right="339" w:bottom="1440" w:gutter="0" w:footer="0" w:header="0"/>
          <w:type w:val="continuous"/>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Reports Third Quarter 2021 Results</w:t>
      </w:r>
    </w:p>
    <w:p>
      <w:pPr>
        <w:spacing w:after="0" w:line="24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LAS VEGAS, November 9, 2021 — Wynn Resorts, Limited (NASDAQ: WYNN) (the "Company") today reported financial results for the quarter ended September 30, 2021.</w:t>
      </w:r>
    </w:p>
    <w:p>
      <w:pPr>
        <w:spacing w:after="0" w:line="20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Operating revenues were $994.6 million for the third quarter of 2021, an increase of $624.2 million, from $370.5 million for the third quarter of 2020. Net loss attributable to Wynn Resorts, Limited was $166.2 million, or $1.45 per diluted share, for the third quarter of 2021, compared to net loss attributable to Wynn Resorts, Limited of $758.1 million, or $7.10 per diluted share, in the third quarter of 2020. Adjusted Property EBITDA (1) at our integrated resort properties increased $89.8 million, $32.5 million, $163.2 million, and $38.6 million at Wynn Palace, Wynn Macau, our Las Vegas Operations, and Encore Boston Harbor, respectively, when compared with the third quarter of 2020. Adjusted Property EBITDA was $(103.6) million at Corporate and other for the third quarter of 2021.</w:t>
      </w:r>
    </w:p>
    <w:p>
      <w:pPr>
        <w:spacing w:after="0" w:line="22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were pleased to deliver record Adjusted Property EBITDA at both Wynn Las Vegas and Encore Boston Harbor during the third quarter," said Matt Maddox, CEO of Wynn Resorts, Limited. "With our recent investments in innovative food and beverage offerings, a new convention facility in Las Vegas and a revamped casino loyalty program, the best days are ahead for our business in North America. And while there have been some fits and starts along the road to recovery in Macau, we are confident that Macau will benefit from the return of consumer demand as we progress through 2022."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w:t>
      </w:r>
    </w:p>
    <w:p>
      <w:pPr>
        <w:spacing w:after="0" w:line="23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Operating revenues were $994.6 million for the third quarter of 2021, an increase of $624.2 million, from $370.5 million for the third quarter of 2020. Operating revenues increased $165.6 million, $79.3 million, $289.3 million, and $75.5 million at Wynn Palace, Wynn Macau, our Las Vegas Operations, and Encore Boston Harbor, respectively, from the third quarter of 2020.</w:t>
      </w:r>
    </w:p>
    <w:p>
      <w:pPr>
        <w:spacing w:after="0" w:line="21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a U.S. generally accepted accounting principles ("GAAP") basis, net loss attributable to Wynn Resorts, Limited was $166.2 million, or $1.45 per diluted share, for the third quarter of 2021, compared to net loss attributable to Wynn Resorts, Limited of $758.1 million, or $7.10 per diluted share, in the third quarter of 2020. Adjusted net loss attributable to Wynn Resorts, Limited (2) was $141.7 million, or $1.24 per diluted share, for the third quarter of 2021, compared to adjusted net loss attributable to Wynn Resorts, Limited of $751.4 million, or $7.04 per diluted share, for the third quarter of 2020.</w:t>
      </w:r>
    </w:p>
    <w:p>
      <w:pPr>
        <w:spacing w:after="0" w:line="18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Adjusted Property EBITDA was $154.6 million for the third quarter of 2021, compared to Adjusted Property EBITDA of $(65.9) million in the third quarter of 2020. Adjusted Property EBITDA was $(103.6) million at Corporate and other for the third quarter of 2021.</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Results</w:t>
      </w:r>
    </w:p>
    <w:p>
      <w:pPr>
        <w:spacing w:after="0" w:line="246"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In response to the initial outbreak of COVID-19 in early 2020, each of our properties was subject to partial or full closure for varying lengths of time during 2020, and each has since reopened. Over the course of the nine months ended September 30, 2021, the Company's Las Vegas Operations and Encore Boston Harbor have each incrementally resumed full operations, including reopening gaming areas to 100% of capacity and restoring seven-day-per-week hotel operations, as permitted by governmental authorities and in response to increased customer demand. Given the evolving conditions created by and in response to the COVID-19 pandemic, measures that have been lifted may be reintroduced if there are adverse developments in the COVID-19 situation, and management cannot reasonably estimate the impact of such developments to the Company's future results of operations, cash flows, or financial condition.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Macau Operations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Wynn Palace</w:t>
      </w:r>
    </w:p>
    <w:p>
      <w:pPr>
        <w:spacing w:after="0" w:line="22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Operating revenues from Wynn Palace were $181.3 million for the third quarter of 2021, an increase of $165.6 million from $15.7 million for the third quarter of 2020. Adjusted Property EBITDA from Wynn Palace was $12.1 million for the third quarter of 2021, compared with $(77.6) million for the third quarter of 2020. VIP table games win as a percentage of turnover was 4.45%, above the property's expected range of 2.7% to 3.0% and above the 1.04% experienced in the third quarter of 2020. Table games win percentage in mass market operations was 21.8%, below the 22.0% experienced in the third quarter of 2020.</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87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i w:val="1"/>
          <w:iCs w:val="1"/>
          <w:color w:val="auto"/>
        </w:rPr>
        <w:t>Wynn Macau</w:t>
      </w:r>
    </w:p>
    <w:p>
      <w:pPr>
        <w:spacing w:after="0" w:line="24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Operating revenues from Wynn Macau were $130.7 million for the third quarter of 2021, an increase of $79.3 million from $51.4 million for the third quarter of 2020. Adjusted Property EBITDA was $(1.9) million for the third quarter of 2021, compared with $(34.5) million for the third quarter of 2020. VIP table games win as a percentage of turnover was 2.44%, below the property's expected range of 2.7% to 3.0% and below the 3.95% experienced in the third quarter of 2020. Table games win percentage in mass market operations was 19.7%, above the 18.7% experienced in the third quarter of 2020.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Las Vegas Operations</w:t>
      </w:r>
    </w:p>
    <w:p>
      <w:pPr>
        <w:spacing w:after="0" w:line="240"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Operating revenues from our Las Vegas Operations were $476.0 million for the third quarter of 2021, an increase of $289.3 million from $186.7 million for the third quarter of 2020. Adjusted Property EBITDA from our Las Vegas Operations for the third quarter of 2021 was $183.4 million, compared with $20.3 million for the third quarter of 2020. Table games win percentage for the third quarter of 2021 was 21.7%, below the property's expected range of 22% to 26% and above the 20.2% experienced in the third quarter of 2020.</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Encore Boston Harbor</w:t>
      </w:r>
    </w:p>
    <w:p>
      <w:pPr>
        <w:spacing w:after="0" w:line="240"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Operating revenues from Encore Boston Harbor were $192.2 million for the third quarter of 2021, an increase of $75.5 million from $116.7 million for the third quarter of 2020. Adjusted Property EBITDA from Encore Boston Harbor for the third quarter of 2021 was $64.6 million, compared with $26.0 million for the third quarter of 2020. Table games win percentage for the third quarter of 2021 was 21.4%, within the property's expected range of 18% to 22% and below the 21.8% experienced in the third quarter of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w:t>
      </w:r>
    </w:p>
    <w:p>
      <w:pPr>
        <w:spacing w:after="0" w:line="24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cash and cash equivalents as of September 30, 2021 totaled $2.48 billion, comprised of approximately $1.39 billion held by Wynn Macau, Limited ("WML") and subsidiaries, approximately $327.4 million held by Wynn Resorts Finance excluding WML, and approximately $760.7 million at Corporate and other.</w:t>
      </w:r>
    </w:p>
    <w:p>
      <w:pPr>
        <w:spacing w:after="0" w:line="216"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As previously disclosed, on September 16, 2021, WM Cayman Holdings Limited II, a subsidiary of WML, entered into an unsecured revolving credit facility in an aggregate principal amount of $1.50 billion (the "WM Cayman II Revolver"). Borrowings of $1.09 billion under the new facility, along with $200.0 million of cash, were used to facilitate the prepayment of the outstanding $1.26 billion of borrowings under the Wynn Macau Credit Facilities and to pay related fees and expenses.</w:t>
      </w:r>
    </w:p>
    <w:p>
      <w:pPr>
        <w:spacing w:after="0" w:line="21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 of September 30, 2021, the available borrowing capacity under the Wynn Resorts Finance Revolver and WM Cayman II Revolver was $834.2 million and $413.1 million, respectively.</w:t>
      </w:r>
    </w:p>
    <w:p>
      <w:pPr>
        <w:spacing w:after="0" w:line="208"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Total current and long-term debt outstanding at September 30, 2021 was $11.74 billion, comprised of $5.77 billion of Macau related debt, $3.13 billion of Wynn Las Vegas debt, $2.23 billion of Wynn Resorts Finance debt, and $612.8 million of debt held by the retail joint venture which we consolidate.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Other Information</w:t>
      </w:r>
    </w:p>
    <w:p>
      <w:pPr>
        <w:spacing w:after="0" w:line="24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will hold a conference call to discuss its results, including the results of Wynn Resorts Finance, LLC and Wynn Las Vegas, LLC, on November 9, 2021 at 1:30 p.m. PT (4:30 p.m. ET). Interested parties are invited to join the call by accessing a live audio webcast at http://www.wynnresorts.com.</w:t>
      </w:r>
    </w:p>
    <w:p>
      <w:pPr>
        <w:spacing w:after="0" w:line="21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or before November 12, 2021, the Company will make Wynn Resorts Finance, LLC and Wynn Las Vegas, LLC financial information for the quarter ended September 30, 2021 available to noteholders, prospective investors, broker-dealers and securities analysts. Please contact our investor relations office at 702-770-7555 or at investorrelations@wynnresorts.com, to obtain access to such financial information.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46"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This release contains forward-looking statements regarding operating trends and future results of operations. Such forward-looking statements are subject to a number of risks and uncertainties that could cause actual results to differ materially from those we express in these forward-looking statements, including, but not limited to, the recent global pandemic of COVID-19, caused by a novel strain of the coronavirus, and the continued impact of its consequences, extensive regulation of our business,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877" w:right="339" w:bottom="1440" w:gutter="0" w:footer="0" w:header="0"/>
        </w:sectPr>
      </w:pPr>
    </w:p>
    <w:bookmarkStart w:id="5" w:name="page6"/>
    <w:bookmarkEnd w:id="5"/>
    <w:p>
      <w:pPr>
        <w:jc w:val="both"/>
        <w:spacing w:after="0" w:line="247" w:lineRule="auto"/>
        <w:rPr>
          <w:sz w:val="20"/>
          <w:szCs w:val="20"/>
          <w:color w:val="auto"/>
        </w:rPr>
      </w:pPr>
      <w:r>
        <w:rPr>
          <w:rFonts w:ascii="Arial" w:cs="Arial" w:eastAsia="Arial" w:hAnsi="Arial"/>
          <w:sz w:val="18"/>
          <w:szCs w:val="18"/>
          <w:color w:val="auto"/>
        </w:rPr>
        <w:t>pending or future legal proceedings, ability to maintain gaming licenses and concessions, dependence on key employees, general global political and economic conditions, adverse tourism trends, dependence on a limited number of resorts, competition in the casino/hotel and resort industries, uncertainties over the development, and success of new gaming and resort properties, construction risks, cybersecurity risk and our leverage and debt service. Additional information concerning potential factors that could affect the Company's financial results is included in the Company's Annual Report on Form 10-K for the year ended December 31, 2020 and the Company's other periodic reports filed with the Securities and Exchange Commission. The Company is under no obligation to (and expressly disclaims any such obligation to) update or revise its forward-looking statements as a result of new information, future events or otherwise, except as required by law.</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46" w:lineRule="exact"/>
        <w:rPr>
          <w:sz w:val="20"/>
          <w:szCs w:val="20"/>
          <w:color w:val="auto"/>
        </w:rPr>
      </w:pPr>
    </w:p>
    <w:p>
      <w:pPr>
        <w:jc w:val="both"/>
        <w:ind w:firstLine="5"/>
        <w:spacing w:after="0" w:line="277" w:lineRule="auto"/>
        <w:tabs>
          <w:tab w:leader="none" w:pos="264" w:val="left"/>
        </w:tabs>
        <w:numPr>
          <w:ilvl w:val="0"/>
          <w:numId w:val="2"/>
        </w:numPr>
        <w:rPr>
          <w:rFonts w:ascii="Arial" w:cs="Arial" w:eastAsia="Arial" w:hAnsi="Arial"/>
          <w:sz w:val="16"/>
          <w:szCs w:val="16"/>
          <w:color w:val="auto"/>
        </w:rPr>
      </w:pPr>
      <w:r>
        <w:rPr>
          <w:rFonts w:ascii="Arial" w:cs="Arial" w:eastAsia="Arial" w:hAnsi="Arial"/>
          <w:sz w:val="16"/>
          <w:szCs w:val="16"/>
          <w:color w:val="auto"/>
        </w:rPr>
        <w:t>"Adjusted Property EBITDA" is net loss before interest, income taxes, depreciation and amortization, pre-opening expenses, property charges and other, management and license fees, corporate expenses and other (including intercompany golf course, meeting and convention, and water rights leases), stock-based compensation, change in derivatives fair value, loss on extinguishment of debt, and other non-operating income and expenses. Adjusted Property EBITDA is presented exclusively as a supplemental disclosure because management believes that it is widely used to measure the performance, and as a basis for valuation, of gaming companies. Management uses Adjusted Property EBITDA as a measure of the operating performance of its segments and to compare the operating performance of its properties with those of its competitors, as well as a basis for determining certain incentive compensation. We also present Adjusted Property EBITDA because it is used by some investors to measure a company's ability to incur and service debt, make capital expenditures and meet working capital requirements. Gaming companies have historically reported EBITDA as a supplement to GAAP. In order to view the operations of their casinos on a more stand-alone basis, gaming companies, including us, have historically excluded from their EBITDA calculations preopening expenses, property charges, corporate expenses and stock-based compensation, that do not relate to the management of specific casino properties. However, Adjusted Property EBITDA should not be considered as an alternative to operating income as an indicator of our performance, as an alternative to cash flows from operating activities as a measure of liquidity, or as an alternative to any other measure determined in accordance with GAAP. Unlike net income, Adjusted Property EBITDA does not include depreciation or interest expense and therefore does not reflect current or future capital expenditures or the cost of capital. We have significant uses of cash flows, including capital expenditures, interest payments, debt principal repayments, income taxes and other non-recurring charges, which are not reflected in Adjusted Property EBITDA. Also, our calculation of Adjusted Property EBITDA may be different from the calculation methods used by other companies and, therefore, comparability may be limited.</w:t>
      </w:r>
    </w:p>
    <w:p>
      <w:pPr>
        <w:spacing w:after="0" w:line="207" w:lineRule="exact"/>
        <w:rPr>
          <w:rFonts w:ascii="Arial" w:cs="Arial" w:eastAsia="Arial" w:hAnsi="Arial"/>
          <w:sz w:val="16"/>
          <w:szCs w:val="16"/>
          <w:color w:val="auto"/>
        </w:rPr>
      </w:pPr>
    </w:p>
    <w:p>
      <w:pPr>
        <w:jc w:val="both"/>
        <w:ind w:firstLine="5"/>
        <w:spacing w:after="0" w:line="280" w:lineRule="auto"/>
        <w:tabs>
          <w:tab w:leader="none" w:pos="257" w:val="left"/>
        </w:tabs>
        <w:numPr>
          <w:ilvl w:val="0"/>
          <w:numId w:val="2"/>
        </w:numPr>
        <w:rPr>
          <w:rFonts w:ascii="Arial" w:cs="Arial" w:eastAsia="Arial" w:hAnsi="Arial"/>
          <w:sz w:val="16"/>
          <w:szCs w:val="16"/>
          <w:color w:val="auto"/>
        </w:rPr>
      </w:pPr>
      <w:r>
        <w:rPr>
          <w:rFonts w:ascii="Arial" w:cs="Arial" w:eastAsia="Arial" w:hAnsi="Arial"/>
          <w:sz w:val="16"/>
          <w:szCs w:val="16"/>
          <w:color w:val="auto"/>
        </w:rPr>
        <w:t>"Adjusted net loss attributable to Wynn Resorts, Limited" is net loss attributable to Wynn Resorts, Limited before pre-opening expenses, property charges and other, change in derivatives fair value, loss on extinguishment of debt, and foreign currency remeasurement and other, net of noncontrolling interests and income taxes calculated using the specific tax treatment applicable to the adjustments based on their respective jurisdictions. Adjusted net loss attributable to Wynn Resorts, Limited and adjusted net loss attributable to Wynn Resorts, Limited per diluted share are presented as supplemental disclosures to financial measures in accordance with GAAP because management believes that these non-GAAP financial measures are widely used to measure the performance, and as a principal basis for valuation, of gaming companies. These measures are used by management and/or evaluated by some investors, in addition to net income (loss) and earnings per share computed in accordance with GAAP, as an additional basis for assessing period-to-period results of our business. Adjusted net loss attributable to Wynn Resorts, Limited and adjusted net loss attributable to Wynn Resorts, Limited per diluted share may be different from the calculation methods used by other companies and, therefore, comparability may be limited.</w:t>
      </w:r>
    </w:p>
    <w:p>
      <w:pPr>
        <w:spacing w:after="0" w:line="20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has included schedules in the tables that accompany this release that reconcile (i) net loss attributable to Wynn Resorts, Limited to adjusted net loss attributable to Wynn Resorts, Limited, (ii) operating income (loss) to Adjusted Property EBITDA, and (iii) net loss attributable to Wynn Resorts, Limited to Adjusted Property EBITDA.</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87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20" w:type="dxa"/>
            <w:vAlign w:val="bottom"/>
            <w:gridSpan w:val="5"/>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320" w:type="dxa"/>
            <w:vAlign w:val="bottom"/>
            <w:gridSpan w:val="4"/>
          </w:tcPr>
          <w:p>
            <w:pPr>
              <w:jc w:val="right"/>
              <w:ind w:right="613"/>
              <w:spacing w:after="0"/>
              <w:rPr>
                <w:sz w:val="20"/>
                <w:szCs w:val="20"/>
                <w:color w:val="auto"/>
              </w:rPr>
            </w:pPr>
            <w:r>
              <w:rPr>
                <w:rFonts w:ascii="Arial" w:cs="Arial" w:eastAsia="Arial" w:hAnsi="Arial"/>
                <w:sz w:val="14"/>
                <w:szCs w:val="14"/>
                <w:b w:val="1"/>
                <w:bCs w:val="1"/>
                <w:color w:val="auto"/>
              </w:rPr>
              <w:t>Nine Months Ended</w:t>
            </w:r>
          </w:p>
        </w:tc>
      </w:tr>
      <w:tr>
        <w:trPr>
          <w:trHeight w:val="184"/>
        </w:trPr>
        <w:tc>
          <w:tcPr>
            <w:tcW w:w="59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5"/>
                <w:szCs w:val="15"/>
                <w:color w:val="auto"/>
              </w:rPr>
            </w:pPr>
          </w:p>
        </w:tc>
      </w:tr>
      <w:tr>
        <w:trPr>
          <w:trHeight w:val="177"/>
        </w:trPr>
        <w:tc>
          <w:tcPr>
            <w:tcW w:w="59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2020</w:t>
            </w:r>
          </w:p>
        </w:tc>
      </w:tr>
      <w:tr>
        <w:trPr>
          <w:trHeight w:val="204"/>
        </w:trPr>
        <w:tc>
          <w:tcPr>
            <w:tcW w:w="5900" w:type="dxa"/>
            <w:vAlign w:val="bottom"/>
            <w:shd w:val="clear" w:color="auto" w:fill="CCEEFF"/>
          </w:tcPr>
          <w:p>
            <w:pPr>
              <w:ind w:left="20"/>
              <w:spacing w:after="0" w:line="204" w:lineRule="exact"/>
              <w:rPr>
                <w:sz w:val="20"/>
                <w:szCs w:val="20"/>
                <w:color w:val="auto"/>
              </w:rPr>
            </w:pPr>
            <w:r>
              <w:rPr>
                <w:rFonts w:ascii="Arial" w:cs="Arial" w:eastAsia="Arial" w:hAnsi="Arial"/>
                <w:sz w:val="18"/>
                <w:szCs w:val="18"/>
                <w:b w:val="1"/>
                <w:bCs w:val="1"/>
                <w:color w:val="auto"/>
              </w:rPr>
              <w:t>Operating revenues:</w:t>
            </w: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23"/>
        </w:trPr>
        <w:tc>
          <w:tcPr>
            <w:tcW w:w="5900" w:type="dxa"/>
            <w:vAlign w:val="bottom"/>
          </w:tcPr>
          <w:p>
            <w:pPr>
              <w:ind w:left="340"/>
              <w:spacing w:after="0"/>
              <w:rPr>
                <w:sz w:val="20"/>
                <w:szCs w:val="20"/>
                <w:color w:val="auto"/>
              </w:rPr>
            </w:pPr>
            <w:r>
              <w:rPr>
                <w:rFonts w:ascii="Arial" w:cs="Arial" w:eastAsia="Arial" w:hAnsi="Arial"/>
                <w:sz w:val="18"/>
                <w:szCs w:val="18"/>
                <w:color w:val="auto"/>
              </w:rPr>
              <w:t>Casino</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496,264</w:t>
            </w:r>
          </w:p>
        </w:tc>
        <w:tc>
          <w:tcPr>
            <w:tcW w:w="100" w:type="dxa"/>
            <w:vAlign w:val="bottom"/>
          </w:tcPr>
          <w:p>
            <w:pPr>
              <w:spacing w:after="0"/>
              <w:rPr>
                <w:sz w:val="19"/>
                <w:szCs w:val="19"/>
                <w:color w:val="auto"/>
              </w:rPr>
            </w:pPr>
          </w:p>
        </w:tc>
        <w:tc>
          <w:tcPr>
            <w:tcW w:w="440" w:type="dxa"/>
            <w:vAlign w:val="bottom"/>
          </w:tcPr>
          <w:p>
            <w:pPr>
              <w:jc w:val="right"/>
              <w:ind w:right="232"/>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201,872</w:t>
            </w:r>
          </w:p>
        </w:tc>
        <w:tc>
          <w:tcPr>
            <w:tcW w:w="8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1,615,228</w:t>
            </w:r>
          </w:p>
        </w:tc>
        <w:tc>
          <w:tcPr>
            <w:tcW w:w="100" w:type="dxa"/>
            <w:vAlign w:val="bottom"/>
          </w:tcPr>
          <w:p>
            <w:pPr>
              <w:spacing w:after="0"/>
              <w:rPr>
                <w:sz w:val="19"/>
                <w:szCs w:val="19"/>
                <w:color w:val="auto"/>
              </w:rPr>
            </w:pP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782,074</w:t>
            </w:r>
          </w:p>
        </w:tc>
      </w:tr>
      <w:tr>
        <w:trPr>
          <w:trHeight w:val="224"/>
        </w:trPr>
        <w:tc>
          <w:tcPr>
            <w:tcW w:w="5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Rooms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173,817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61,144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387,772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231,240</w:t>
            </w:r>
          </w:p>
        </w:tc>
      </w:tr>
      <w:tr>
        <w:trPr>
          <w:trHeight w:val="223"/>
        </w:trPr>
        <w:tc>
          <w:tcPr>
            <w:tcW w:w="5900" w:type="dxa"/>
            <w:vAlign w:val="bottom"/>
          </w:tcPr>
          <w:p>
            <w:pPr>
              <w:ind w:left="340"/>
              <w:spacing w:after="0"/>
              <w:rPr>
                <w:sz w:val="20"/>
                <w:szCs w:val="20"/>
                <w:color w:val="auto"/>
              </w:rPr>
            </w:pPr>
            <w:r>
              <w:rPr>
                <w:rFonts w:ascii="Arial" w:cs="Arial" w:eastAsia="Arial" w:hAnsi="Arial"/>
                <w:sz w:val="18"/>
                <w:szCs w:val="18"/>
                <w:color w:val="auto"/>
              </w:rPr>
              <w:t>Food and beverage</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217,501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76,586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435,152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250,007</w:t>
            </w:r>
          </w:p>
        </w:tc>
      </w:tr>
      <w:tr>
        <w:trPr>
          <w:trHeight w:val="224"/>
        </w:trPr>
        <w:tc>
          <w:tcPr>
            <w:tcW w:w="5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Entertainment, retail and other</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107,062</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30,850</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283,287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146,545</w:t>
            </w:r>
          </w:p>
        </w:tc>
      </w:tr>
      <w:tr>
        <w:trPr>
          <w:trHeight w:val="217"/>
        </w:trPr>
        <w:tc>
          <w:tcPr>
            <w:tcW w:w="5900" w:type="dxa"/>
            <w:vAlign w:val="bottom"/>
            <w:tcBorders>
              <w:bottom w:val="single" w:sz="8" w:color="CCEEFF"/>
            </w:tcBorders>
          </w:tcPr>
          <w:p>
            <w:pPr>
              <w:ind w:left="660"/>
              <w:spacing w:after="0"/>
              <w:rPr>
                <w:sz w:val="20"/>
                <w:szCs w:val="20"/>
                <w:color w:val="auto"/>
              </w:rPr>
            </w:pPr>
            <w:r>
              <w:rPr>
                <w:rFonts w:ascii="Arial" w:cs="Arial" w:eastAsia="Arial" w:hAnsi="Arial"/>
                <w:sz w:val="18"/>
                <w:szCs w:val="18"/>
                <w:b w:val="1"/>
                <w:bCs w:val="1"/>
                <w:color w:val="auto"/>
              </w:rPr>
              <w:t>Total operating revenues</w:t>
            </w: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994,644</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370,452</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2,721,439</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1,409,866</w:t>
            </w:r>
          </w:p>
        </w:tc>
      </w:tr>
      <w:tr>
        <w:trPr>
          <w:trHeight w:val="204"/>
        </w:trPr>
        <w:tc>
          <w:tcPr>
            <w:tcW w:w="5900" w:type="dxa"/>
            <w:vAlign w:val="bottom"/>
            <w:shd w:val="clear" w:color="auto" w:fill="CCEEFF"/>
          </w:tcPr>
          <w:p>
            <w:pPr>
              <w:ind w:left="20"/>
              <w:spacing w:after="0" w:line="204" w:lineRule="exact"/>
              <w:rPr>
                <w:sz w:val="20"/>
                <w:szCs w:val="20"/>
                <w:color w:val="auto"/>
              </w:rPr>
            </w:pPr>
            <w:r>
              <w:rPr>
                <w:rFonts w:ascii="Arial" w:cs="Arial" w:eastAsia="Arial" w:hAnsi="Arial"/>
                <w:sz w:val="18"/>
                <w:szCs w:val="18"/>
                <w:b w:val="1"/>
                <w:bCs w:val="1"/>
                <w:color w:val="auto"/>
              </w:rPr>
              <w:t>Operating expenses:</w:t>
            </w: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23"/>
        </w:trPr>
        <w:tc>
          <w:tcPr>
            <w:tcW w:w="5900" w:type="dxa"/>
            <w:vAlign w:val="bottom"/>
          </w:tcPr>
          <w:p>
            <w:pPr>
              <w:ind w:left="340"/>
              <w:spacing w:after="0"/>
              <w:rPr>
                <w:sz w:val="20"/>
                <w:szCs w:val="20"/>
                <w:color w:val="auto"/>
              </w:rPr>
            </w:pPr>
            <w:r>
              <w:rPr>
                <w:rFonts w:ascii="Arial" w:cs="Arial" w:eastAsia="Arial" w:hAnsi="Arial"/>
                <w:sz w:val="18"/>
                <w:szCs w:val="18"/>
                <w:color w:val="auto"/>
              </w:rPr>
              <w:t>Casino</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315,316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160,861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1,048,897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734,689</w:t>
            </w:r>
          </w:p>
        </w:tc>
      </w:tr>
      <w:tr>
        <w:trPr>
          <w:trHeight w:val="224"/>
        </w:trPr>
        <w:tc>
          <w:tcPr>
            <w:tcW w:w="5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Rooms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52,100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35,940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136,187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139,787</w:t>
            </w:r>
          </w:p>
        </w:tc>
      </w:tr>
      <w:tr>
        <w:trPr>
          <w:trHeight w:val="223"/>
        </w:trPr>
        <w:tc>
          <w:tcPr>
            <w:tcW w:w="5900" w:type="dxa"/>
            <w:vAlign w:val="bottom"/>
          </w:tcPr>
          <w:p>
            <w:pPr>
              <w:ind w:left="340"/>
              <w:spacing w:after="0"/>
              <w:rPr>
                <w:sz w:val="20"/>
                <w:szCs w:val="20"/>
                <w:color w:val="auto"/>
              </w:rPr>
            </w:pPr>
            <w:r>
              <w:rPr>
                <w:rFonts w:ascii="Arial" w:cs="Arial" w:eastAsia="Arial" w:hAnsi="Arial"/>
                <w:sz w:val="18"/>
                <w:szCs w:val="18"/>
                <w:color w:val="auto"/>
              </w:rPr>
              <w:t>Food and beverage</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163,655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76,536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354,709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314,335</w:t>
            </w:r>
          </w:p>
        </w:tc>
      </w:tr>
      <w:tr>
        <w:trPr>
          <w:trHeight w:val="224"/>
        </w:trPr>
        <w:tc>
          <w:tcPr>
            <w:tcW w:w="5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Entertainment, retail and other</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156,490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310,871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75,823</w:t>
            </w:r>
          </w:p>
        </w:tc>
      </w:tr>
      <w:tr>
        <w:trPr>
          <w:trHeight w:val="223"/>
        </w:trPr>
        <w:tc>
          <w:tcPr>
            <w:tcW w:w="590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197,350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160,896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574,669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547,305</w:t>
            </w:r>
          </w:p>
        </w:tc>
      </w:tr>
      <w:tr>
        <w:trPr>
          <w:trHeight w:val="224"/>
        </w:trPr>
        <w:tc>
          <w:tcPr>
            <w:tcW w:w="5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Provision for credit losses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11,588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60,548</w:t>
            </w:r>
          </w:p>
        </w:tc>
      </w:tr>
      <w:tr>
        <w:trPr>
          <w:trHeight w:val="223"/>
        </w:trPr>
        <w:tc>
          <w:tcPr>
            <w:tcW w:w="5900" w:type="dxa"/>
            <w:vAlign w:val="bottom"/>
          </w:tcPr>
          <w:p>
            <w:pPr>
              <w:ind w:left="340"/>
              <w:spacing w:after="0"/>
              <w:rPr>
                <w:sz w:val="20"/>
                <w:szCs w:val="20"/>
                <w:color w:val="auto"/>
              </w:rPr>
            </w:pPr>
            <w:r>
              <w:rPr>
                <w:rFonts w:ascii="Arial" w:cs="Arial" w:eastAsia="Arial" w:hAnsi="Arial"/>
                <w:sz w:val="18"/>
                <w:szCs w:val="18"/>
                <w:color w:val="auto"/>
              </w:rPr>
              <w:t>Pre-opening</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1,333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ind w:right="53"/>
              <w:spacing w:after="0"/>
              <w:rPr>
                <w:sz w:val="20"/>
                <w:szCs w:val="20"/>
                <w:color w:val="auto"/>
              </w:rPr>
            </w:pPr>
            <w:r>
              <w:rPr>
                <w:rFonts w:ascii="Arial" w:cs="Arial" w:eastAsia="Arial" w:hAnsi="Arial"/>
                <w:sz w:val="18"/>
                <w:szCs w:val="18"/>
                <w:color w:val="auto"/>
              </w:rPr>
              <w:t>877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5,455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5,614</w:t>
            </w:r>
          </w:p>
        </w:tc>
      </w:tr>
      <w:tr>
        <w:trPr>
          <w:trHeight w:val="224"/>
        </w:trPr>
        <w:tc>
          <w:tcPr>
            <w:tcW w:w="5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177,110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183,486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545,538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541,498</w:t>
            </w:r>
          </w:p>
        </w:tc>
      </w:tr>
      <w:tr>
        <w:trPr>
          <w:trHeight w:val="223"/>
        </w:trPr>
        <w:tc>
          <w:tcPr>
            <w:tcW w:w="59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Property charges and other</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15,301</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9,905</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26,569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43,701</w:t>
            </w:r>
          </w:p>
        </w:tc>
      </w:tr>
      <w:tr>
        <w:trPr>
          <w:trHeight w:val="217"/>
        </w:trPr>
        <w:tc>
          <w:tcPr>
            <w:tcW w:w="5900" w:type="dxa"/>
            <w:vAlign w:val="bottom"/>
            <w:shd w:val="clear" w:color="auto" w:fill="CCEEFF"/>
          </w:tcPr>
          <w:p>
            <w:pPr>
              <w:ind w:left="660"/>
              <w:spacing w:after="0"/>
              <w:rPr>
                <w:sz w:val="20"/>
                <w:szCs w:val="20"/>
                <w:color w:val="auto"/>
              </w:rPr>
            </w:pPr>
            <w:r>
              <w:rPr>
                <w:rFonts w:ascii="Arial" w:cs="Arial" w:eastAsia="Arial" w:hAnsi="Arial"/>
                <w:sz w:val="18"/>
                <w:szCs w:val="18"/>
                <w:b w:val="1"/>
                <w:bCs w:val="1"/>
                <w:color w:val="auto"/>
              </w:rPr>
              <w:t>Total operating expenses</w:t>
            </w: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1,078,308</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653,459</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3,010,356</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2,463,300</w:t>
            </w:r>
          </w:p>
        </w:tc>
      </w:tr>
      <w:tr>
        <w:trPr>
          <w:trHeight w:val="217"/>
        </w:trPr>
        <w:tc>
          <w:tcPr>
            <w:tcW w:w="59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Operating loss</w:t>
            </w: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(83,664)</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(283,007)</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(288,917)</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(1,053,434)</w:t>
            </w:r>
          </w:p>
        </w:tc>
      </w:tr>
      <w:tr>
        <w:trPr>
          <w:trHeight w:val="204"/>
        </w:trPr>
        <w:tc>
          <w:tcPr>
            <w:tcW w:w="5900" w:type="dxa"/>
            <w:vAlign w:val="bottom"/>
            <w:shd w:val="clear" w:color="auto" w:fill="CCEEFF"/>
          </w:tcPr>
          <w:p>
            <w:pPr>
              <w:ind w:left="20"/>
              <w:spacing w:after="0" w:line="204" w:lineRule="exact"/>
              <w:rPr>
                <w:sz w:val="20"/>
                <w:szCs w:val="20"/>
                <w:color w:val="auto"/>
              </w:rPr>
            </w:pPr>
            <w:r>
              <w:rPr>
                <w:rFonts w:ascii="Arial" w:cs="Arial" w:eastAsia="Arial" w:hAnsi="Arial"/>
                <w:sz w:val="18"/>
                <w:szCs w:val="18"/>
                <w:b w:val="1"/>
                <w:bCs w:val="1"/>
                <w:color w:val="auto"/>
              </w:rPr>
              <w:t>Other income (expense):</w:t>
            </w: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23"/>
        </w:trPr>
        <w:tc>
          <w:tcPr>
            <w:tcW w:w="590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2,033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2,131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13,969</w:t>
            </w:r>
          </w:p>
        </w:tc>
      </w:tr>
      <w:tr>
        <w:trPr>
          <w:trHeight w:val="224"/>
        </w:trPr>
        <w:tc>
          <w:tcPr>
            <w:tcW w:w="5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 net of amounts capitalized</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(150,325)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(145,142)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(453,601)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(407,187)</w:t>
            </w:r>
          </w:p>
        </w:tc>
      </w:tr>
      <w:tr>
        <w:trPr>
          <w:trHeight w:val="223"/>
        </w:trPr>
        <w:tc>
          <w:tcPr>
            <w:tcW w:w="5900" w:type="dxa"/>
            <w:vAlign w:val="bottom"/>
          </w:tcPr>
          <w:p>
            <w:pPr>
              <w:ind w:left="340"/>
              <w:spacing w:after="0"/>
              <w:rPr>
                <w:sz w:val="20"/>
                <w:szCs w:val="20"/>
                <w:color w:val="auto"/>
              </w:rPr>
            </w:pPr>
            <w:r>
              <w:rPr>
                <w:rFonts w:ascii="Arial" w:cs="Arial" w:eastAsia="Arial" w:hAnsi="Arial"/>
                <w:sz w:val="18"/>
                <w:szCs w:val="18"/>
                <w:color w:val="auto"/>
              </w:rPr>
              <w:t>Change in derivatives fair value</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1,176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4,675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6,557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(14,279)</w:t>
            </w:r>
          </w:p>
        </w:tc>
      </w:tr>
      <w:tr>
        <w:trPr>
          <w:trHeight w:val="224"/>
        </w:trPr>
        <w:tc>
          <w:tcPr>
            <w:tcW w:w="5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on extinguishment of debt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(4,601)</w:t>
            </w:r>
          </w:p>
        </w:tc>
      </w:tr>
      <w:tr>
        <w:trPr>
          <w:trHeight w:val="223"/>
        </w:trPr>
        <w:tc>
          <w:tcPr>
            <w:tcW w:w="59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(11,784)</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(17,324)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12,980</w:t>
            </w:r>
          </w:p>
        </w:tc>
      </w:tr>
      <w:tr>
        <w:trPr>
          <w:trHeight w:val="217"/>
        </w:trPr>
        <w:tc>
          <w:tcPr>
            <w:tcW w:w="5900" w:type="dxa"/>
            <w:vAlign w:val="bottom"/>
            <w:shd w:val="clear" w:color="auto" w:fill="CCEEFF"/>
          </w:tcPr>
          <w:p>
            <w:pPr>
              <w:ind w:left="660"/>
              <w:spacing w:after="0"/>
              <w:rPr>
                <w:sz w:val="20"/>
                <w:szCs w:val="20"/>
                <w:color w:val="auto"/>
              </w:rPr>
            </w:pPr>
            <w:r>
              <w:rPr>
                <w:rFonts w:ascii="Arial" w:cs="Arial" w:eastAsia="Arial" w:hAnsi="Arial"/>
                <w:sz w:val="18"/>
                <w:szCs w:val="18"/>
                <w:b w:val="1"/>
                <w:bCs w:val="1"/>
                <w:color w:val="auto"/>
              </w:rPr>
              <w:t>Other income (expense), net</w:t>
            </w: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(161,164)</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(141,161)</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(464,297)</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(399,118)</w:t>
            </w:r>
          </w:p>
        </w:tc>
      </w:tr>
      <w:tr>
        <w:trPr>
          <w:trHeight w:val="217"/>
        </w:trPr>
        <w:tc>
          <w:tcPr>
            <w:tcW w:w="5900" w:type="dxa"/>
            <w:vAlign w:val="bottom"/>
          </w:tcPr>
          <w:p>
            <w:pPr>
              <w:ind w:left="20"/>
              <w:spacing w:after="0"/>
              <w:rPr>
                <w:sz w:val="20"/>
                <w:szCs w:val="20"/>
                <w:color w:val="auto"/>
              </w:rPr>
            </w:pPr>
            <w:r>
              <w:rPr>
                <w:rFonts w:ascii="Arial" w:cs="Arial" w:eastAsia="Arial" w:hAnsi="Arial"/>
                <w:sz w:val="18"/>
                <w:szCs w:val="18"/>
                <w:b w:val="1"/>
                <w:bCs w:val="1"/>
                <w:color w:val="auto"/>
              </w:rPr>
              <w:t>Loss before income taxes</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(244,828)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(424,168)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(753,214)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w w:val="89"/>
              </w:rPr>
              <w:t>(1,452,552)</w:t>
            </w:r>
          </w:p>
        </w:tc>
      </w:tr>
      <w:tr>
        <w:trPr>
          <w:trHeight w:val="224"/>
        </w:trPr>
        <w:tc>
          <w:tcPr>
            <w:tcW w:w="5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Provision for income taxes</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(1,155)</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(407,365)</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(564,103)</w:t>
            </w:r>
          </w:p>
        </w:tc>
      </w:tr>
      <w:tr>
        <w:trPr>
          <w:trHeight w:val="217"/>
        </w:trPr>
        <w:tc>
          <w:tcPr>
            <w:tcW w:w="5900" w:type="dxa"/>
            <w:vAlign w:val="bottom"/>
          </w:tcPr>
          <w:p>
            <w:pPr>
              <w:ind w:left="20"/>
              <w:spacing w:after="0"/>
              <w:rPr>
                <w:sz w:val="20"/>
                <w:szCs w:val="20"/>
                <w:color w:val="auto"/>
              </w:rPr>
            </w:pPr>
            <w:r>
              <w:rPr>
                <w:rFonts w:ascii="Arial" w:cs="Arial" w:eastAsia="Arial" w:hAnsi="Arial"/>
                <w:sz w:val="18"/>
                <w:szCs w:val="18"/>
                <w:b w:val="1"/>
                <w:bCs w:val="1"/>
                <w:color w:val="auto"/>
              </w:rPr>
              <w:t>Net loss</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(245,983)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(831,533)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(755,559)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w w:val="89"/>
              </w:rPr>
              <w:t>(2,016,655)</w:t>
            </w:r>
          </w:p>
        </w:tc>
      </w:tr>
      <w:tr>
        <w:trPr>
          <w:trHeight w:val="224"/>
        </w:trPr>
        <w:tc>
          <w:tcPr>
            <w:tcW w:w="5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net loss attributable to noncontrolling interests</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79,734</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73,391</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176,963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218,912</w:t>
            </w:r>
          </w:p>
        </w:tc>
      </w:tr>
      <w:tr>
        <w:trPr>
          <w:trHeight w:val="217"/>
        </w:trPr>
        <w:tc>
          <w:tcPr>
            <w:tcW w:w="5900" w:type="dxa"/>
            <w:vAlign w:val="bottom"/>
          </w:tcPr>
          <w:p>
            <w:pPr>
              <w:ind w:left="20"/>
              <w:spacing w:after="0"/>
              <w:rPr>
                <w:sz w:val="20"/>
                <w:szCs w:val="20"/>
                <w:color w:val="auto"/>
              </w:rPr>
            </w:pPr>
            <w:r>
              <w:rPr>
                <w:rFonts w:ascii="Arial" w:cs="Arial" w:eastAsia="Arial" w:hAnsi="Arial"/>
                <w:sz w:val="18"/>
                <w:szCs w:val="18"/>
                <w:b w:val="1"/>
                <w:bCs w:val="1"/>
                <w:color w:val="auto"/>
              </w:rPr>
              <w:t>Net loss attributable to Wynn Resorts, Limited</w:t>
            </w: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(166,249)</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(758,142)</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(578,596)</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(1,797,743)</w:t>
            </w:r>
          </w:p>
        </w:tc>
      </w:tr>
      <w:tr>
        <w:trPr>
          <w:trHeight w:val="20"/>
        </w:trPr>
        <w:tc>
          <w:tcPr>
            <w:tcW w:w="59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90"/>
        </w:trPr>
        <w:tc>
          <w:tcPr>
            <w:tcW w:w="5900" w:type="dxa"/>
            <w:vAlign w:val="bottom"/>
            <w:shd w:val="clear" w:color="auto" w:fill="CCEEFF"/>
          </w:tcPr>
          <w:p>
            <w:pPr>
              <w:ind w:left="20"/>
              <w:spacing w:after="0" w:line="190" w:lineRule="exact"/>
              <w:rPr>
                <w:sz w:val="20"/>
                <w:szCs w:val="20"/>
                <w:color w:val="auto"/>
              </w:rPr>
            </w:pPr>
            <w:r>
              <w:rPr>
                <w:rFonts w:ascii="Arial" w:cs="Arial" w:eastAsia="Arial" w:hAnsi="Arial"/>
                <w:sz w:val="18"/>
                <w:szCs w:val="18"/>
                <w:color w:val="auto"/>
              </w:rPr>
              <w:t>Basic and diluted net loss per common share:</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223"/>
        </w:trPr>
        <w:tc>
          <w:tcPr>
            <w:tcW w:w="5900" w:type="dxa"/>
            <w:vAlign w:val="bottom"/>
          </w:tcPr>
          <w:p>
            <w:pPr>
              <w:ind w:left="340"/>
              <w:spacing w:after="0"/>
              <w:rPr>
                <w:sz w:val="20"/>
                <w:szCs w:val="20"/>
                <w:color w:val="auto"/>
              </w:rPr>
            </w:pPr>
            <w:r>
              <w:rPr>
                <w:rFonts w:ascii="Arial" w:cs="Arial" w:eastAsia="Arial" w:hAnsi="Arial"/>
                <w:sz w:val="18"/>
                <w:szCs w:val="18"/>
                <w:color w:val="auto"/>
              </w:rPr>
              <w:t>Net loss attributable to Wynn Resorts, Limited:</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4"/>
        </w:trPr>
        <w:tc>
          <w:tcPr>
            <w:tcW w:w="59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Basic</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(16.85)</w:t>
            </w:r>
          </w:p>
        </w:tc>
      </w:tr>
      <w:tr>
        <w:trPr>
          <w:trHeight w:val="223"/>
        </w:trPr>
        <w:tc>
          <w:tcPr>
            <w:tcW w:w="5900" w:type="dxa"/>
            <w:vAlign w:val="bottom"/>
          </w:tcPr>
          <w:p>
            <w:pPr>
              <w:ind w:left="660"/>
              <w:spacing w:after="0"/>
              <w:rPr>
                <w:sz w:val="20"/>
                <w:szCs w:val="20"/>
                <w:color w:val="auto"/>
              </w:rPr>
            </w:pPr>
            <w:r>
              <w:rPr>
                <w:rFonts w:ascii="Arial" w:cs="Arial" w:eastAsia="Arial" w:hAnsi="Arial"/>
                <w:sz w:val="18"/>
                <w:szCs w:val="18"/>
                <w:color w:val="auto"/>
              </w:rPr>
              <w:t>Diluted</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9"/>
                <w:szCs w:val="19"/>
                <w:color w:val="auto"/>
              </w:rPr>
            </w:pPr>
          </w:p>
        </w:tc>
        <w:tc>
          <w:tcPr>
            <w:tcW w:w="440" w:type="dxa"/>
            <w:vAlign w:val="bottom"/>
          </w:tcPr>
          <w:p>
            <w:pPr>
              <w:jc w:val="right"/>
              <w:ind w:right="232"/>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(7.10)</w:t>
            </w:r>
          </w:p>
        </w:tc>
        <w:tc>
          <w:tcPr>
            <w:tcW w:w="8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19"/>
                <w:szCs w:val="19"/>
                <w:color w:val="auto"/>
              </w:rPr>
            </w:pP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(16.85)</w:t>
            </w:r>
          </w:p>
        </w:tc>
      </w:tr>
      <w:tr>
        <w:trPr>
          <w:trHeight w:val="224"/>
        </w:trPr>
        <w:tc>
          <w:tcPr>
            <w:tcW w:w="5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Weighted average common shares outstanding:</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3"/>
        </w:trPr>
        <w:tc>
          <w:tcPr>
            <w:tcW w:w="5900" w:type="dxa"/>
            <w:vAlign w:val="bottom"/>
          </w:tcPr>
          <w:p>
            <w:pPr>
              <w:ind w:left="660"/>
              <w:spacing w:after="0"/>
              <w:rPr>
                <w:sz w:val="20"/>
                <w:szCs w:val="20"/>
                <w:color w:val="auto"/>
              </w:rPr>
            </w:pPr>
            <w:r>
              <w:rPr>
                <w:rFonts w:ascii="Arial" w:cs="Arial" w:eastAsia="Arial" w:hAnsi="Arial"/>
                <w:sz w:val="18"/>
                <w:szCs w:val="18"/>
                <w:color w:val="auto"/>
              </w:rPr>
              <w:t>Basic</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114,655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106,783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113,420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106,720</w:t>
            </w:r>
          </w:p>
        </w:tc>
      </w:tr>
      <w:tr>
        <w:trPr>
          <w:trHeight w:val="224"/>
        </w:trPr>
        <w:tc>
          <w:tcPr>
            <w:tcW w:w="59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Diluted</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114,655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106,783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113,420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106,720</w:t>
            </w:r>
          </w:p>
        </w:tc>
      </w:tr>
      <w:tr>
        <w:trPr>
          <w:trHeight w:val="223"/>
        </w:trPr>
        <w:tc>
          <w:tcPr>
            <w:tcW w:w="5900" w:type="dxa"/>
            <w:vAlign w:val="bottom"/>
          </w:tcPr>
          <w:p>
            <w:pPr>
              <w:ind w:left="20"/>
              <w:spacing w:after="0"/>
              <w:rPr>
                <w:sz w:val="20"/>
                <w:szCs w:val="20"/>
                <w:color w:val="auto"/>
              </w:rPr>
            </w:pPr>
            <w:r>
              <w:rPr>
                <w:rFonts w:ascii="Arial" w:cs="Arial" w:eastAsia="Arial" w:hAnsi="Arial"/>
                <w:sz w:val="18"/>
                <w:szCs w:val="18"/>
                <w:color w:val="auto"/>
              </w:rPr>
              <w:t>Dividends declared per common share:</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32"/>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87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NET LOSS ATTRIBUTABLE TO WYNN RESORTS, LIMITED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ADJUSTED NET LOSS ATTRIBUTABLE TO WYNN RESORTS, LIMITED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8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180" w:type="dxa"/>
            <w:vAlign w:val="bottom"/>
            <w:gridSpan w:val="4"/>
          </w:tcPr>
          <w:p>
            <w:pPr>
              <w:jc w:val="right"/>
              <w:ind w:right="534"/>
              <w:spacing w:after="0"/>
              <w:rPr>
                <w:sz w:val="20"/>
                <w:szCs w:val="20"/>
                <w:color w:val="auto"/>
              </w:rPr>
            </w:pPr>
            <w:r>
              <w:rPr>
                <w:rFonts w:ascii="Arial" w:cs="Arial" w:eastAsia="Arial" w:hAnsi="Arial"/>
                <w:sz w:val="14"/>
                <w:szCs w:val="14"/>
                <w:b w:val="1"/>
                <w:bCs w:val="1"/>
                <w:color w:val="auto"/>
              </w:rPr>
              <w:t>Nine Months Ended</w:t>
            </w:r>
          </w:p>
        </w:tc>
      </w:tr>
      <w:tr>
        <w:trPr>
          <w:trHeight w:val="184"/>
        </w:trPr>
        <w:tc>
          <w:tcPr>
            <w:tcW w:w="62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4"/>
          </w:tcPr>
          <w:p>
            <w:pPr>
              <w:jc w:val="right"/>
              <w:ind w:right="714"/>
              <w:spacing w:after="0"/>
              <w:rPr>
                <w:sz w:val="20"/>
                <w:szCs w:val="20"/>
                <w:color w:val="auto"/>
              </w:rPr>
            </w:pPr>
            <w:r>
              <w:rPr>
                <w:rFonts w:ascii="Arial" w:cs="Arial" w:eastAsia="Arial" w:hAnsi="Arial"/>
                <w:sz w:val="14"/>
                <w:szCs w:val="14"/>
                <w:b w:val="1"/>
                <w:bCs w:val="1"/>
                <w:color w:val="auto"/>
              </w:rPr>
              <w:t>September 30,</w:t>
            </w:r>
          </w:p>
        </w:tc>
      </w:tr>
      <w:tr>
        <w:trPr>
          <w:trHeight w:val="177"/>
        </w:trPr>
        <w:tc>
          <w:tcPr>
            <w:tcW w:w="62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2020</w:t>
            </w:r>
          </w:p>
        </w:tc>
      </w:tr>
      <w:tr>
        <w:trPr>
          <w:trHeight w:val="217"/>
        </w:trPr>
        <w:tc>
          <w:tcPr>
            <w:tcW w:w="6220" w:type="dxa"/>
            <w:vAlign w:val="bottom"/>
            <w:shd w:val="clear" w:color="auto" w:fill="CCEEFF"/>
          </w:tcPr>
          <w:p>
            <w:pPr>
              <w:ind w:left="20"/>
              <w:spacing w:after="0" w:line="204" w:lineRule="exact"/>
              <w:rPr>
                <w:sz w:val="20"/>
                <w:szCs w:val="20"/>
                <w:color w:val="auto"/>
              </w:rPr>
            </w:pPr>
            <w:r>
              <w:rPr>
                <w:rFonts w:ascii="Arial" w:cs="Arial" w:eastAsia="Arial" w:hAnsi="Arial"/>
                <w:sz w:val="18"/>
                <w:szCs w:val="18"/>
                <w:color w:val="auto"/>
              </w:rPr>
              <w:t>Net loss attributable to Wynn Resorts, Limited</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(166,249)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(758,142)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(578,596)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(1,797,743)</w:t>
            </w:r>
          </w:p>
        </w:tc>
      </w:tr>
      <w:tr>
        <w:trPr>
          <w:trHeight w:val="223"/>
        </w:trPr>
        <w:tc>
          <w:tcPr>
            <w:tcW w:w="6220" w:type="dxa"/>
            <w:vAlign w:val="bottom"/>
          </w:tcPr>
          <w:p>
            <w:pPr>
              <w:ind w:left="340"/>
              <w:spacing w:after="0"/>
              <w:rPr>
                <w:sz w:val="20"/>
                <w:szCs w:val="20"/>
                <w:color w:val="auto"/>
              </w:rPr>
            </w:pPr>
            <w:r>
              <w:rPr>
                <w:rFonts w:ascii="Arial" w:cs="Arial" w:eastAsia="Arial" w:hAnsi="Arial"/>
                <w:sz w:val="18"/>
                <w:szCs w:val="18"/>
                <w:color w:val="auto"/>
              </w:rPr>
              <w:t>Litigation settlement net gain</w:t>
            </w:r>
          </w:p>
        </w:tc>
        <w:tc>
          <w:tcPr>
            <w:tcW w:w="28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(30,200)</w:t>
            </w:r>
          </w:p>
        </w:tc>
      </w:tr>
      <w:tr>
        <w:trPr>
          <w:trHeight w:val="224"/>
        </w:trPr>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Pre-opening expenses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5,614</w:t>
            </w:r>
          </w:p>
        </w:tc>
      </w:tr>
      <w:tr>
        <w:trPr>
          <w:trHeight w:val="223"/>
        </w:trPr>
        <w:tc>
          <w:tcPr>
            <w:tcW w:w="6220" w:type="dxa"/>
            <w:vAlign w:val="bottom"/>
          </w:tcPr>
          <w:p>
            <w:pPr>
              <w:ind w:left="340"/>
              <w:spacing w:after="0"/>
              <w:rPr>
                <w:sz w:val="20"/>
                <w:szCs w:val="20"/>
                <w:color w:val="auto"/>
              </w:rPr>
            </w:pPr>
            <w:r>
              <w:rPr>
                <w:rFonts w:ascii="Arial" w:cs="Arial" w:eastAsia="Arial" w:hAnsi="Arial"/>
                <w:sz w:val="18"/>
                <w:szCs w:val="18"/>
                <w:color w:val="auto"/>
              </w:rPr>
              <w:t>Property charges and other</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15,301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9,905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26,569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43,701</w:t>
            </w:r>
          </w:p>
        </w:tc>
      </w:tr>
      <w:tr>
        <w:trPr>
          <w:trHeight w:val="224"/>
        </w:trPr>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derivatives fair value</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14,279</w:t>
            </w:r>
          </w:p>
        </w:tc>
      </w:tr>
      <w:tr>
        <w:trPr>
          <w:trHeight w:val="223"/>
        </w:trPr>
        <w:tc>
          <w:tcPr>
            <w:tcW w:w="6220" w:type="dxa"/>
            <w:vAlign w:val="bottom"/>
          </w:tcPr>
          <w:p>
            <w:pPr>
              <w:ind w:left="340"/>
              <w:spacing w:after="0"/>
              <w:rPr>
                <w:sz w:val="20"/>
                <w:szCs w:val="20"/>
                <w:color w:val="auto"/>
              </w:rPr>
            </w:pPr>
            <w:r>
              <w:rPr>
                <w:rFonts w:ascii="Arial" w:cs="Arial" w:eastAsia="Arial" w:hAnsi="Arial"/>
                <w:sz w:val="18"/>
                <w:szCs w:val="18"/>
                <w:color w:val="auto"/>
              </w:rPr>
              <w:t>Loss on extinguishment of debt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738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3,139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2,060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4,601</w:t>
            </w:r>
          </w:p>
        </w:tc>
      </w:tr>
      <w:tr>
        <w:trPr>
          <w:trHeight w:val="224"/>
        </w:trPr>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remeasurement loss (gain)</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(12,980)</w:t>
            </w:r>
          </w:p>
        </w:tc>
      </w:tr>
      <w:tr>
        <w:trPr>
          <w:trHeight w:val="223"/>
        </w:trPr>
        <w:tc>
          <w:tcPr>
            <w:tcW w:w="6220" w:type="dxa"/>
            <w:vAlign w:val="bottom"/>
          </w:tcPr>
          <w:p>
            <w:pPr>
              <w:ind w:left="340"/>
              <w:spacing w:after="0"/>
              <w:rPr>
                <w:sz w:val="20"/>
                <w:szCs w:val="20"/>
                <w:color w:val="auto"/>
              </w:rPr>
            </w:pPr>
            <w:r>
              <w:rPr>
                <w:rFonts w:ascii="Arial" w:cs="Arial" w:eastAsia="Arial" w:hAnsi="Arial"/>
                <w:sz w:val="18"/>
                <w:szCs w:val="18"/>
                <w:color w:val="auto"/>
              </w:rPr>
              <w:t>Income tax impact on adjustments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24"/>
        </w:trPr>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Noncontrolling interests impact on adjustments</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(3,418)</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(12,315)</w:t>
            </w:r>
          </w:p>
        </w:tc>
      </w:tr>
      <w:tr>
        <w:trPr>
          <w:trHeight w:val="217"/>
        </w:trPr>
        <w:tc>
          <w:tcPr>
            <w:tcW w:w="6220" w:type="dxa"/>
            <w:vAlign w:val="bottom"/>
          </w:tcPr>
          <w:p>
            <w:pPr>
              <w:ind w:left="20"/>
              <w:spacing w:after="0"/>
              <w:rPr>
                <w:sz w:val="20"/>
                <w:szCs w:val="20"/>
                <w:color w:val="auto"/>
              </w:rPr>
            </w:pPr>
            <w:r>
              <w:rPr>
                <w:rFonts w:ascii="Arial" w:cs="Arial" w:eastAsia="Arial" w:hAnsi="Arial"/>
                <w:sz w:val="18"/>
                <w:szCs w:val="18"/>
                <w:b w:val="1"/>
                <w:bCs w:val="1"/>
                <w:color w:val="auto"/>
              </w:rPr>
              <w:t>Adjusted net loss attributable to Wynn Resorts, Limited</w:t>
            </w: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(141,702)</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(751,437)</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(538,428)</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(1,785,023)</w:t>
            </w:r>
          </w:p>
        </w:tc>
      </w:tr>
      <w:tr>
        <w:trPr>
          <w:trHeight w:val="20"/>
        </w:trPr>
        <w:tc>
          <w:tcPr>
            <w:tcW w:w="62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41"/>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8"/>
              </w:rPr>
              <w:t>Adjusted net loss attributable to Wynn Resorts, Limited per diluted share</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(1.24)</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(16.73)</w:t>
            </w: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209"/>
        </w:trPr>
        <w:tc>
          <w:tcPr>
            <w:tcW w:w="6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24"/>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 - diluted</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114,655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106,783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106,720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871"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OPERATING INCOME (LOSS) TO ADJUSTED PROPERTY EBITDA</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8"/>
          </w:tcPr>
          <w:p>
            <w:pPr>
              <w:jc w:val="right"/>
              <w:ind w:right="10"/>
              <w:spacing w:after="0"/>
              <w:rPr>
                <w:sz w:val="20"/>
                <w:szCs w:val="20"/>
                <w:color w:val="auto"/>
              </w:rPr>
            </w:pPr>
            <w:r>
              <w:rPr>
                <w:rFonts w:ascii="Arial" w:cs="Arial" w:eastAsia="Arial" w:hAnsi="Arial"/>
                <w:sz w:val="14"/>
                <w:szCs w:val="14"/>
                <w:b w:val="1"/>
                <w:bCs w:val="1"/>
                <w:color w:val="auto"/>
                <w:w w:val="91"/>
              </w:rPr>
              <w:t>Three Months Ended September 30, 2021</w:t>
            </w:r>
          </w:p>
        </w:tc>
        <w:tc>
          <w:tcPr>
            <w:tcW w:w="9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Operating</w:t>
            </w:r>
          </w:p>
        </w:tc>
        <w:tc>
          <w:tcPr>
            <w:tcW w:w="120" w:type="dxa"/>
            <w:vAlign w:val="bottom"/>
          </w:tcPr>
          <w:p>
            <w:pPr>
              <w:spacing w:after="0"/>
              <w:rPr>
                <w:sz w:val="11"/>
                <w:szCs w:val="11"/>
                <w:color w:val="auto"/>
              </w:rPr>
            </w:pPr>
          </w:p>
        </w:tc>
        <w:tc>
          <w:tcPr>
            <w:tcW w:w="10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8"/>
              </w:rPr>
              <w:t>Pre-opening</w:t>
            </w:r>
          </w:p>
        </w:tc>
        <w:tc>
          <w:tcPr>
            <w:tcW w:w="10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1"/>
              </w:rPr>
              <w:t>Depreciation and</w:t>
            </w:r>
          </w:p>
        </w:tc>
        <w:tc>
          <w:tcPr>
            <w:tcW w:w="100" w:type="dxa"/>
            <w:vAlign w:val="bottom"/>
          </w:tcPr>
          <w:p>
            <w:pPr>
              <w:spacing w:after="0"/>
              <w:rPr>
                <w:sz w:val="11"/>
                <w:szCs w:val="11"/>
                <w:color w:val="auto"/>
              </w:rPr>
            </w:pPr>
          </w:p>
        </w:tc>
        <w:tc>
          <w:tcPr>
            <w:tcW w:w="11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7"/>
              </w:rPr>
              <w:t>Property charges</w:t>
            </w:r>
          </w:p>
        </w:tc>
        <w:tc>
          <w:tcPr>
            <w:tcW w:w="12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9"/>
              </w:rPr>
              <w:t>Management and</w:t>
            </w:r>
          </w:p>
        </w:tc>
        <w:tc>
          <w:tcPr>
            <w:tcW w:w="120" w:type="dxa"/>
            <w:vAlign w:val="bottom"/>
          </w:tcPr>
          <w:p>
            <w:pPr>
              <w:spacing w:after="0"/>
              <w:rPr>
                <w:sz w:val="11"/>
                <w:szCs w:val="11"/>
                <w:color w:val="auto"/>
              </w:rPr>
            </w:pPr>
          </w:p>
        </w:tc>
        <w:tc>
          <w:tcPr>
            <w:tcW w:w="1060" w:type="dxa"/>
            <w:vAlign w:val="bottom"/>
            <w:gridSpan w:val="2"/>
          </w:tcPr>
          <w:p>
            <w:pPr>
              <w:jc w:val="center"/>
              <w:ind w:right="200"/>
              <w:spacing w:after="0" w:line="130" w:lineRule="exact"/>
              <w:rPr>
                <w:sz w:val="20"/>
                <w:szCs w:val="20"/>
                <w:color w:val="auto"/>
              </w:rPr>
            </w:pPr>
            <w:r>
              <w:rPr>
                <w:rFonts w:ascii="Arial" w:cs="Arial" w:eastAsia="Arial" w:hAnsi="Arial"/>
                <w:sz w:val="14"/>
                <w:szCs w:val="14"/>
                <w:b w:val="1"/>
                <w:bCs w:val="1"/>
                <w:color w:val="auto"/>
                <w:w w:val="92"/>
              </w:rPr>
              <w:t>Corporate</w:t>
            </w:r>
          </w:p>
        </w:tc>
        <w:tc>
          <w:tcPr>
            <w:tcW w:w="140" w:type="dxa"/>
            <w:vAlign w:val="bottom"/>
          </w:tcPr>
          <w:p>
            <w:pPr>
              <w:spacing w:after="0"/>
              <w:rPr>
                <w:sz w:val="11"/>
                <w:szCs w:val="11"/>
                <w:color w:val="auto"/>
              </w:rPr>
            </w:pPr>
          </w:p>
        </w:tc>
        <w:tc>
          <w:tcPr>
            <w:tcW w:w="11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8"/>
              </w:rPr>
              <w:t>Stock-based</w:t>
            </w:r>
          </w:p>
        </w:tc>
        <w:tc>
          <w:tcPr>
            <w:tcW w:w="160" w:type="dxa"/>
            <w:vAlign w:val="bottom"/>
          </w:tcPr>
          <w:p>
            <w:pPr>
              <w:spacing w:after="0"/>
              <w:rPr>
                <w:sz w:val="11"/>
                <w:szCs w:val="11"/>
                <w:color w:val="auto"/>
              </w:rPr>
            </w:pPr>
          </w:p>
        </w:tc>
        <w:tc>
          <w:tcPr>
            <w:tcW w:w="820" w:type="dxa"/>
            <w:vAlign w:val="bottom"/>
          </w:tcPr>
          <w:p>
            <w:pPr>
              <w:jc w:val="right"/>
              <w:ind w:right="150"/>
              <w:spacing w:after="0" w:line="130" w:lineRule="exact"/>
              <w:rPr>
                <w:sz w:val="20"/>
                <w:szCs w:val="20"/>
                <w:color w:val="auto"/>
              </w:rPr>
            </w:pPr>
            <w:r>
              <w:rPr>
                <w:rFonts w:ascii="Arial" w:cs="Arial" w:eastAsia="Arial" w:hAnsi="Arial"/>
                <w:sz w:val="14"/>
                <w:szCs w:val="14"/>
                <w:b w:val="1"/>
                <w:bCs w:val="1"/>
                <w:color w:val="auto"/>
                <w:w w:val="96"/>
              </w:rPr>
              <w:t>Adjusted</w:t>
            </w:r>
          </w:p>
        </w:tc>
        <w:tc>
          <w:tcPr>
            <w:tcW w:w="0" w:type="dxa"/>
            <w:vAlign w:val="bottom"/>
          </w:tcPr>
          <w:p>
            <w:pPr>
              <w:spacing w:after="0"/>
              <w:rPr>
                <w:sz w:val="1"/>
                <w:szCs w:val="1"/>
                <w:color w:val="auto"/>
              </w:rPr>
            </w:pPr>
          </w:p>
        </w:tc>
      </w:tr>
      <w:tr>
        <w:trPr>
          <w:trHeight w:val="132"/>
        </w:trPr>
        <w:tc>
          <w:tcPr>
            <w:tcW w:w="2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3"/>
            <w:vMerge w:val="continue"/>
          </w:tcPr>
          <w:p>
            <w:pPr>
              <w:spacing w:after="0"/>
              <w:rPr>
                <w:sz w:val="11"/>
                <w:szCs w:val="11"/>
                <w:color w:val="auto"/>
              </w:rPr>
            </w:pPr>
          </w:p>
        </w:tc>
        <w:tc>
          <w:tcPr>
            <w:tcW w:w="120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center"/>
              <w:ind w:right="200"/>
              <w:spacing w:after="0" w:line="132" w:lineRule="exact"/>
              <w:rPr>
                <w:sz w:val="20"/>
                <w:szCs w:val="20"/>
                <w:color w:val="auto"/>
              </w:rPr>
            </w:pPr>
            <w:r>
              <w:rPr>
                <w:rFonts w:ascii="Arial" w:cs="Arial" w:eastAsia="Arial" w:hAnsi="Arial"/>
                <w:sz w:val="14"/>
                <w:szCs w:val="14"/>
                <w:b w:val="1"/>
                <w:bCs w:val="1"/>
                <w:color w:val="auto"/>
                <w:w w:val="84"/>
              </w:rPr>
              <w:t>expenses and</w:t>
            </w:r>
          </w:p>
        </w:tc>
        <w:tc>
          <w:tcPr>
            <w:tcW w:w="14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jc w:val="right"/>
              <w:ind w:right="150"/>
              <w:spacing w:after="0" w:line="132" w:lineRule="exact"/>
              <w:rPr>
                <w:sz w:val="20"/>
                <w:szCs w:val="20"/>
                <w:color w:val="auto"/>
              </w:rPr>
            </w:pPr>
            <w:r>
              <w:rPr>
                <w:rFonts w:ascii="Arial" w:cs="Arial" w:eastAsia="Arial" w:hAnsi="Arial"/>
                <w:sz w:val="14"/>
                <w:szCs w:val="14"/>
                <w:b w:val="1"/>
                <w:bCs w:val="1"/>
                <w:color w:val="auto"/>
              </w:rPr>
              <w:t>Property</w:t>
            </w:r>
          </w:p>
        </w:tc>
        <w:tc>
          <w:tcPr>
            <w:tcW w:w="0" w:type="dxa"/>
            <w:vAlign w:val="bottom"/>
          </w:tcPr>
          <w:p>
            <w:pPr>
              <w:spacing w:after="0"/>
              <w:rPr>
                <w:sz w:val="1"/>
                <w:szCs w:val="1"/>
                <w:color w:val="auto"/>
              </w:rPr>
            </w:pPr>
          </w:p>
        </w:tc>
      </w:tr>
      <w:tr>
        <w:trPr>
          <w:trHeight w:val="184"/>
        </w:trPr>
        <w:tc>
          <w:tcPr>
            <w:tcW w:w="2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income (loss)</w:t>
            </w:r>
          </w:p>
        </w:tc>
        <w:tc>
          <w:tcPr>
            <w:tcW w:w="12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1"/>
              </w:rPr>
              <w:t>expenses</w:t>
            </w:r>
          </w:p>
        </w:tc>
        <w:tc>
          <w:tcPr>
            <w:tcW w:w="120" w:type="dxa"/>
            <w:vAlign w:val="bottom"/>
          </w:tcPr>
          <w:p>
            <w:pPr>
              <w:spacing w:after="0"/>
              <w:rPr>
                <w:sz w:val="15"/>
                <w:szCs w:val="15"/>
                <w:color w:val="auto"/>
              </w:rPr>
            </w:pPr>
          </w:p>
        </w:tc>
        <w:tc>
          <w:tcPr>
            <w:tcW w:w="960" w:type="dxa"/>
            <w:vAlign w:val="bottom"/>
          </w:tcPr>
          <w:p>
            <w:pPr>
              <w:jc w:val="right"/>
              <w:ind w:right="90"/>
              <w:spacing w:after="0"/>
              <w:rPr>
                <w:sz w:val="20"/>
                <w:szCs w:val="20"/>
                <w:color w:val="auto"/>
              </w:rPr>
            </w:pPr>
            <w:r>
              <w:rPr>
                <w:rFonts w:ascii="Arial" w:cs="Arial" w:eastAsia="Arial" w:hAnsi="Arial"/>
                <w:sz w:val="14"/>
                <w:szCs w:val="14"/>
                <w:b w:val="1"/>
                <w:bCs w:val="1"/>
                <w:color w:val="auto"/>
                <w:w w:val="93"/>
              </w:rPr>
              <w:t>amortization</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gridSpan w:val="2"/>
          </w:tcPr>
          <w:p>
            <w:pPr>
              <w:ind w:left="80"/>
              <w:spacing w:after="0"/>
              <w:rPr>
                <w:sz w:val="20"/>
                <w:szCs w:val="20"/>
                <w:color w:val="auto"/>
              </w:rPr>
            </w:pPr>
            <w:r>
              <w:rPr>
                <w:rFonts w:ascii="Arial" w:cs="Arial" w:eastAsia="Arial" w:hAnsi="Arial"/>
                <w:sz w:val="14"/>
                <w:szCs w:val="14"/>
                <w:b w:val="1"/>
                <w:bCs w:val="1"/>
                <w:color w:val="auto"/>
              </w:rPr>
              <w:t>and other</w:t>
            </w:r>
          </w:p>
        </w:tc>
        <w:tc>
          <w:tcPr>
            <w:tcW w:w="160" w:type="dxa"/>
            <w:vAlign w:val="bottom"/>
          </w:tcPr>
          <w:p>
            <w:pPr>
              <w:spacing w:after="0"/>
              <w:rPr>
                <w:sz w:val="15"/>
                <w:szCs w:val="15"/>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license fees</w:t>
            </w:r>
          </w:p>
        </w:tc>
        <w:tc>
          <w:tcPr>
            <w:tcW w:w="120" w:type="dxa"/>
            <w:vAlign w:val="bottom"/>
          </w:tcPr>
          <w:p>
            <w:pPr>
              <w:spacing w:after="0"/>
              <w:rPr>
                <w:sz w:val="15"/>
                <w:szCs w:val="15"/>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other</w:t>
            </w:r>
          </w:p>
        </w:tc>
        <w:tc>
          <w:tcPr>
            <w:tcW w:w="14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compensation</w:t>
            </w:r>
          </w:p>
        </w:tc>
        <w:tc>
          <w:tcPr>
            <w:tcW w:w="160" w:type="dxa"/>
            <w:vAlign w:val="bottom"/>
          </w:tcPr>
          <w:p>
            <w:pPr>
              <w:spacing w:after="0"/>
              <w:rPr>
                <w:sz w:val="15"/>
                <w:szCs w:val="15"/>
                <w:color w:val="auto"/>
              </w:rPr>
            </w:pPr>
          </w:p>
        </w:tc>
        <w:tc>
          <w:tcPr>
            <w:tcW w:w="820" w:type="dxa"/>
            <w:vAlign w:val="bottom"/>
          </w:tcPr>
          <w:p>
            <w:pPr>
              <w:jc w:val="right"/>
              <w:ind w:right="150"/>
              <w:spacing w:after="0"/>
              <w:rPr>
                <w:sz w:val="20"/>
                <w:szCs w:val="20"/>
                <w:color w:val="auto"/>
              </w:rPr>
            </w:pPr>
            <w:r>
              <w:rPr>
                <w:rFonts w:ascii="Arial" w:cs="Arial" w:eastAsia="Arial" w:hAnsi="Arial"/>
                <w:sz w:val="14"/>
                <w:szCs w:val="14"/>
                <w:b w:val="1"/>
                <w:bCs w:val="1"/>
                <w:color w:val="auto"/>
              </w:rPr>
              <w:t>EBITDA</w:t>
            </w:r>
          </w:p>
        </w:tc>
        <w:tc>
          <w:tcPr>
            <w:tcW w:w="0" w:type="dxa"/>
            <w:vAlign w:val="bottom"/>
          </w:tcPr>
          <w:p>
            <w:pPr>
              <w:spacing w:after="0"/>
              <w:rPr>
                <w:sz w:val="1"/>
                <w:szCs w:val="1"/>
                <w:color w:val="auto"/>
              </w:rPr>
            </w:pPr>
          </w:p>
        </w:tc>
      </w:tr>
      <w:tr>
        <w:trPr>
          <w:trHeight w:val="165"/>
        </w:trPr>
        <w:tc>
          <w:tcPr>
            <w:tcW w:w="2000" w:type="dxa"/>
            <w:vAlign w:val="bottom"/>
            <w:tcBorders>
              <w:top w:val="single" w:sz="8" w:color="CCEEFF"/>
            </w:tcBorders>
            <w:shd w:val="clear" w:color="auto" w:fill="CCEEFF"/>
          </w:tcPr>
          <w:p>
            <w:pPr>
              <w:ind w:left="20"/>
              <w:spacing w:after="0" w:line="159" w:lineRule="exact"/>
              <w:rPr>
                <w:sz w:val="20"/>
                <w:szCs w:val="20"/>
                <w:color w:val="auto"/>
              </w:rPr>
            </w:pPr>
            <w:r>
              <w:rPr>
                <w:rFonts w:ascii="Arial" w:cs="Arial" w:eastAsia="Arial" w:hAnsi="Arial"/>
                <w:sz w:val="14"/>
                <w:szCs w:val="14"/>
                <w:color w:val="auto"/>
              </w:rPr>
              <w:t>Macau Operations:</w:t>
            </w:r>
          </w:p>
        </w:tc>
        <w:tc>
          <w:tcPr>
            <w:tcW w:w="1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00" w:type="dxa"/>
            <w:vAlign w:val="bottom"/>
          </w:tcPr>
          <w:p>
            <w:pPr>
              <w:ind w:left="120"/>
              <w:spacing w:after="0"/>
              <w:rPr>
                <w:sz w:val="20"/>
                <w:szCs w:val="20"/>
                <w:color w:val="auto"/>
              </w:rPr>
            </w:pPr>
            <w:r>
              <w:rPr>
                <w:rFonts w:ascii="Arial" w:cs="Arial" w:eastAsia="Arial" w:hAnsi="Arial"/>
                <w:sz w:val="14"/>
                <w:szCs w:val="14"/>
                <w:color w:val="auto"/>
              </w:rPr>
              <w:t>Wynn Palace</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(58,642)</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62</w:t>
            </w:r>
          </w:p>
        </w:tc>
        <w:tc>
          <w:tcPr>
            <w:tcW w:w="100" w:type="dxa"/>
            <w:vAlign w:val="bottom"/>
          </w:tcPr>
          <w:p>
            <w:pPr>
              <w:spacing w:after="0"/>
              <w:rPr>
                <w:sz w:val="15"/>
                <w:szCs w:val="15"/>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59,908</w:t>
            </w:r>
          </w:p>
        </w:tc>
        <w:tc>
          <w:tcPr>
            <w:tcW w:w="28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919</w:t>
            </w:r>
          </w:p>
        </w:tc>
        <w:tc>
          <w:tcPr>
            <w:tcW w:w="80" w:type="dxa"/>
            <w:vAlign w:val="bottom"/>
          </w:tcPr>
          <w:p>
            <w:pPr>
              <w:spacing w:after="0"/>
              <w:rPr>
                <w:sz w:val="15"/>
                <w:szCs w:val="15"/>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6,161</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1,187</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2,517</w:t>
            </w:r>
          </w:p>
        </w:tc>
        <w:tc>
          <w:tcPr>
            <w:tcW w:w="8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12,112</w:t>
            </w:r>
          </w:p>
        </w:tc>
        <w:tc>
          <w:tcPr>
            <w:tcW w:w="0" w:type="dxa"/>
            <w:vAlign w:val="bottom"/>
          </w:tcPr>
          <w:p>
            <w:pPr>
              <w:spacing w:after="0"/>
              <w:rPr>
                <w:sz w:val="1"/>
                <w:szCs w:val="1"/>
                <w:color w:val="auto"/>
              </w:rPr>
            </w:pPr>
          </w:p>
        </w:tc>
      </w:tr>
      <w:tr>
        <w:trPr>
          <w:trHeight w:val="187"/>
        </w:trPr>
        <w:tc>
          <w:tcPr>
            <w:tcW w:w="20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Wynn Macau</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(33,255)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20,816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617</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4,355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1,274</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4,254</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(1,939)</w:t>
            </w:r>
          </w:p>
        </w:tc>
        <w:tc>
          <w:tcPr>
            <w:tcW w:w="0" w:type="dxa"/>
            <w:vAlign w:val="bottom"/>
          </w:tcPr>
          <w:p>
            <w:pPr>
              <w:spacing w:after="0"/>
              <w:rPr>
                <w:sz w:val="1"/>
                <w:szCs w:val="1"/>
                <w:color w:val="auto"/>
              </w:rPr>
            </w:pPr>
          </w:p>
        </w:tc>
      </w:tr>
      <w:tr>
        <w:trPr>
          <w:trHeight w:val="182"/>
        </w:trPr>
        <w:tc>
          <w:tcPr>
            <w:tcW w:w="2000" w:type="dxa"/>
            <w:vAlign w:val="bottom"/>
          </w:tcPr>
          <w:p>
            <w:pPr>
              <w:ind w:left="120"/>
              <w:spacing w:after="0"/>
              <w:rPr>
                <w:sz w:val="20"/>
                <w:szCs w:val="20"/>
                <w:color w:val="auto"/>
              </w:rPr>
            </w:pPr>
            <w:r>
              <w:rPr>
                <w:rFonts w:ascii="Arial" w:cs="Arial" w:eastAsia="Arial" w:hAnsi="Arial"/>
                <w:sz w:val="14"/>
                <w:szCs w:val="14"/>
                <w:color w:val="auto"/>
              </w:rPr>
              <w:t>Other Macau</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(3,477)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1,042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1,899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532</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2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Macau Operations</w:t>
            </w:r>
          </w:p>
        </w:tc>
        <w:tc>
          <w:tcPr>
            <w:tcW w:w="1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(95,374)</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62</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81,766</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1,540</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10,516</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4,360</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7,303</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10,173</w:t>
            </w:r>
          </w:p>
        </w:tc>
        <w:tc>
          <w:tcPr>
            <w:tcW w:w="0" w:type="dxa"/>
            <w:vAlign w:val="bottom"/>
          </w:tcPr>
          <w:p>
            <w:pPr>
              <w:spacing w:after="0"/>
              <w:rPr>
                <w:sz w:val="1"/>
                <w:szCs w:val="1"/>
                <w:color w:val="auto"/>
              </w:rPr>
            </w:pPr>
          </w:p>
        </w:tc>
      </w:tr>
      <w:tr>
        <w:trPr>
          <w:trHeight w:val="182"/>
        </w:trPr>
        <w:tc>
          <w:tcPr>
            <w:tcW w:w="2000" w:type="dxa"/>
            <w:vAlign w:val="bottom"/>
          </w:tcPr>
          <w:p>
            <w:pPr>
              <w:ind w:left="20"/>
              <w:spacing w:after="0"/>
              <w:rPr>
                <w:sz w:val="20"/>
                <w:szCs w:val="20"/>
                <w:color w:val="auto"/>
              </w:rPr>
            </w:pPr>
            <w:r>
              <w:rPr>
                <w:rFonts w:ascii="Arial" w:cs="Arial" w:eastAsia="Arial" w:hAnsi="Arial"/>
                <w:sz w:val="14"/>
                <w:szCs w:val="14"/>
                <w:color w:val="auto"/>
              </w:rPr>
              <w:t>Las Vegas Operations</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102,734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1,129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47,862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1,108</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22,437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5,757</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2,389</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183,416</w:t>
            </w:r>
          </w:p>
        </w:tc>
        <w:tc>
          <w:tcPr>
            <w:tcW w:w="0" w:type="dxa"/>
            <w:vAlign w:val="bottom"/>
          </w:tcPr>
          <w:p>
            <w:pPr>
              <w:spacing w:after="0"/>
              <w:rPr>
                <w:sz w:val="1"/>
                <w:szCs w:val="1"/>
                <w:color w:val="auto"/>
              </w:rPr>
            </w:pPr>
          </w:p>
        </w:tc>
      </w:tr>
      <w:tr>
        <w:trPr>
          <w:trHeight w:val="187"/>
        </w:trPr>
        <w:tc>
          <w:tcPr>
            <w:tcW w:w="2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Encore Boston Harbor</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13,104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39,182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9,349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2,217</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469</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64,565</w:t>
            </w:r>
          </w:p>
        </w:tc>
        <w:tc>
          <w:tcPr>
            <w:tcW w:w="0" w:type="dxa"/>
            <w:vAlign w:val="bottom"/>
          </w:tcPr>
          <w:p>
            <w:pPr>
              <w:spacing w:after="0"/>
              <w:rPr>
                <w:sz w:val="1"/>
                <w:szCs w:val="1"/>
                <w:color w:val="auto"/>
              </w:rPr>
            </w:pPr>
          </w:p>
        </w:tc>
      </w:tr>
      <w:tr>
        <w:trPr>
          <w:trHeight w:val="182"/>
        </w:trPr>
        <w:tc>
          <w:tcPr>
            <w:tcW w:w="2000" w:type="dxa"/>
            <w:vAlign w:val="bottom"/>
          </w:tcPr>
          <w:p>
            <w:pPr>
              <w:ind w:left="20"/>
              <w:spacing w:after="0"/>
              <w:rPr>
                <w:sz w:val="20"/>
                <w:szCs w:val="20"/>
                <w:color w:val="auto"/>
              </w:rPr>
            </w:pPr>
            <w:r>
              <w:rPr>
                <w:rFonts w:ascii="Arial" w:cs="Arial" w:eastAsia="Arial" w:hAnsi="Arial"/>
                <w:sz w:val="14"/>
                <w:szCs w:val="14"/>
                <w:color w:val="auto"/>
              </w:rPr>
              <w:t>Corporate and other</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(104,128)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8,300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12,551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(42,302)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6,567</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15,419</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(103,593)</w:t>
            </w:r>
          </w:p>
        </w:tc>
        <w:tc>
          <w:tcPr>
            <w:tcW w:w="0" w:type="dxa"/>
            <w:vAlign w:val="bottom"/>
          </w:tcPr>
          <w:p>
            <w:pPr>
              <w:spacing w:after="0"/>
              <w:rPr>
                <w:sz w:val="1"/>
                <w:szCs w:val="1"/>
                <w:color w:val="auto"/>
              </w:rPr>
            </w:pPr>
          </w:p>
        </w:tc>
      </w:tr>
      <w:tr>
        <w:trPr>
          <w:trHeight w:val="205"/>
        </w:trPr>
        <w:tc>
          <w:tcPr>
            <w:tcW w:w="2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(83,664)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1,333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177,110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15,301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18,901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25,580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154,561</w:t>
            </w:r>
          </w:p>
        </w:tc>
        <w:tc>
          <w:tcPr>
            <w:tcW w:w="0" w:type="dxa"/>
            <w:vAlign w:val="bottom"/>
          </w:tcPr>
          <w:p>
            <w:pPr>
              <w:spacing w:after="0"/>
              <w:rPr>
                <w:sz w:val="1"/>
                <w:szCs w:val="1"/>
                <w:color w:val="auto"/>
              </w:rPr>
            </w:pPr>
          </w:p>
        </w:tc>
      </w:tr>
      <w:tr>
        <w:trPr>
          <w:trHeight w:val="20"/>
        </w:trPr>
        <w:tc>
          <w:tcPr>
            <w:tcW w:w="2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8"/>
          </w:tcPr>
          <w:p>
            <w:pPr>
              <w:jc w:val="right"/>
              <w:ind w:right="10"/>
              <w:spacing w:after="0"/>
              <w:rPr>
                <w:sz w:val="20"/>
                <w:szCs w:val="20"/>
                <w:color w:val="auto"/>
              </w:rPr>
            </w:pPr>
            <w:r>
              <w:rPr>
                <w:rFonts w:ascii="Arial" w:cs="Arial" w:eastAsia="Arial" w:hAnsi="Arial"/>
                <w:sz w:val="14"/>
                <w:szCs w:val="14"/>
                <w:b w:val="1"/>
                <w:bCs w:val="1"/>
                <w:color w:val="auto"/>
                <w:w w:val="91"/>
              </w:rPr>
              <w:t>Three Months Ended September 30, 2020</w:t>
            </w: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Operating</w:t>
            </w:r>
          </w:p>
        </w:tc>
        <w:tc>
          <w:tcPr>
            <w:tcW w:w="120" w:type="dxa"/>
            <w:vAlign w:val="bottom"/>
          </w:tcPr>
          <w:p>
            <w:pPr>
              <w:spacing w:after="0"/>
              <w:rPr>
                <w:sz w:val="11"/>
                <w:szCs w:val="11"/>
                <w:color w:val="auto"/>
              </w:rPr>
            </w:pPr>
          </w:p>
        </w:tc>
        <w:tc>
          <w:tcPr>
            <w:tcW w:w="10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8"/>
              </w:rPr>
              <w:t>Pre-opening</w:t>
            </w:r>
          </w:p>
        </w:tc>
        <w:tc>
          <w:tcPr>
            <w:tcW w:w="10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1"/>
              </w:rPr>
              <w:t>Depreciation and</w:t>
            </w:r>
          </w:p>
        </w:tc>
        <w:tc>
          <w:tcPr>
            <w:tcW w:w="100" w:type="dxa"/>
            <w:vAlign w:val="bottom"/>
          </w:tcPr>
          <w:p>
            <w:pPr>
              <w:spacing w:after="0"/>
              <w:rPr>
                <w:sz w:val="11"/>
                <w:szCs w:val="11"/>
                <w:color w:val="auto"/>
              </w:rPr>
            </w:pPr>
          </w:p>
        </w:tc>
        <w:tc>
          <w:tcPr>
            <w:tcW w:w="11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8"/>
              </w:rPr>
              <w:t>Property charges</w:t>
            </w:r>
          </w:p>
        </w:tc>
        <w:tc>
          <w:tcPr>
            <w:tcW w:w="11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9"/>
              </w:rPr>
              <w:t>Management and</w:t>
            </w:r>
          </w:p>
        </w:tc>
        <w:tc>
          <w:tcPr>
            <w:tcW w:w="140" w:type="dxa"/>
            <w:vAlign w:val="bottom"/>
          </w:tcPr>
          <w:p>
            <w:pPr>
              <w:spacing w:after="0"/>
              <w:rPr>
                <w:sz w:val="11"/>
                <w:szCs w:val="11"/>
                <w:color w:val="auto"/>
              </w:rPr>
            </w:pPr>
          </w:p>
        </w:tc>
        <w:tc>
          <w:tcPr>
            <w:tcW w:w="1080" w:type="dxa"/>
            <w:vAlign w:val="bottom"/>
            <w:gridSpan w:val="2"/>
          </w:tcPr>
          <w:p>
            <w:pPr>
              <w:jc w:val="center"/>
              <w:ind w:right="220"/>
              <w:spacing w:after="0" w:line="130" w:lineRule="exact"/>
              <w:rPr>
                <w:sz w:val="20"/>
                <w:szCs w:val="20"/>
                <w:color w:val="auto"/>
              </w:rPr>
            </w:pPr>
            <w:r>
              <w:rPr>
                <w:rFonts w:ascii="Arial" w:cs="Arial" w:eastAsia="Arial" w:hAnsi="Arial"/>
                <w:sz w:val="14"/>
                <w:szCs w:val="14"/>
                <w:b w:val="1"/>
                <w:bCs w:val="1"/>
                <w:color w:val="auto"/>
                <w:w w:val="92"/>
              </w:rPr>
              <w:t>Corporate</w:t>
            </w:r>
          </w:p>
        </w:tc>
        <w:tc>
          <w:tcPr>
            <w:tcW w:w="120" w:type="dxa"/>
            <w:vAlign w:val="bottom"/>
          </w:tcPr>
          <w:p>
            <w:pPr>
              <w:spacing w:after="0"/>
              <w:rPr>
                <w:sz w:val="11"/>
                <w:szCs w:val="11"/>
                <w:color w:val="auto"/>
              </w:rPr>
            </w:pPr>
          </w:p>
        </w:tc>
        <w:tc>
          <w:tcPr>
            <w:tcW w:w="11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6"/>
              </w:rPr>
              <w:t>Stock-based</w:t>
            </w:r>
          </w:p>
        </w:tc>
        <w:tc>
          <w:tcPr>
            <w:tcW w:w="140" w:type="dxa"/>
            <w:vAlign w:val="bottom"/>
          </w:tcPr>
          <w:p>
            <w:pPr>
              <w:spacing w:after="0"/>
              <w:rPr>
                <w:sz w:val="11"/>
                <w:szCs w:val="11"/>
                <w:color w:val="auto"/>
              </w:rPr>
            </w:pPr>
          </w:p>
        </w:tc>
        <w:tc>
          <w:tcPr>
            <w:tcW w:w="820" w:type="dxa"/>
            <w:vAlign w:val="bottom"/>
          </w:tcPr>
          <w:p>
            <w:pPr>
              <w:jc w:val="right"/>
              <w:ind w:right="130"/>
              <w:spacing w:after="0" w:line="130" w:lineRule="exact"/>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32"/>
        </w:trPr>
        <w:tc>
          <w:tcPr>
            <w:tcW w:w="2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3"/>
            <w:vMerge w:val="continue"/>
          </w:tcPr>
          <w:p>
            <w:pPr>
              <w:spacing w:after="0"/>
              <w:rPr>
                <w:sz w:val="11"/>
                <w:szCs w:val="11"/>
                <w:color w:val="auto"/>
              </w:rPr>
            </w:pPr>
          </w:p>
        </w:tc>
        <w:tc>
          <w:tcPr>
            <w:tcW w:w="118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jc w:val="center"/>
              <w:ind w:right="220"/>
              <w:spacing w:after="0" w:line="132" w:lineRule="exact"/>
              <w:rPr>
                <w:sz w:val="20"/>
                <w:szCs w:val="20"/>
                <w:color w:val="auto"/>
              </w:rPr>
            </w:pPr>
            <w:r>
              <w:rPr>
                <w:rFonts w:ascii="Arial" w:cs="Arial" w:eastAsia="Arial" w:hAnsi="Arial"/>
                <w:sz w:val="14"/>
                <w:szCs w:val="14"/>
                <w:b w:val="1"/>
                <w:bCs w:val="1"/>
                <w:color w:val="auto"/>
                <w:w w:val="84"/>
              </w:rPr>
              <w:t>expenses and</w:t>
            </w:r>
          </w:p>
        </w:tc>
        <w:tc>
          <w:tcPr>
            <w:tcW w:w="12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right"/>
              <w:ind w:right="130"/>
              <w:spacing w:after="0" w:line="132" w:lineRule="exact"/>
              <w:rPr>
                <w:sz w:val="20"/>
                <w:szCs w:val="20"/>
                <w:color w:val="auto"/>
              </w:rPr>
            </w:pPr>
            <w:r>
              <w:rPr>
                <w:rFonts w:ascii="Arial" w:cs="Arial" w:eastAsia="Arial" w:hAnsi="Arial"/>
                <w:sz w:val="14"/>
                <w:szCs w:val="14"/>
                <w:b w:val="1"/>
                <w:bCs w:val="1"/>
                <w:color w:val="auto"/>
              </w:rPr>
              <w:t>Property</w:t>
            </w:r>
          </w:p>
        </w:tc>
        <w:tc>
          <w:tcPr>
            <w:tcW w:w="0" w:type="dxa"/>
            <w:vAlign w:val="bottom"/>
          </w:tcPr>
          <w:p>
            <w:pPr>
              <w:spacing w:after="0"/>
              <w:rPr>
                <w:sz w:val="1"/>
                <w:szCs w:val="1"/>
                <w:color w:val="auto"/>
              </w:rPr>
            </w:pPr>
          </w:p>
        </w:tc>
      </w:tr>
      <w:tr>
        <w:trPr>
          <w:trHeight w:val="184"/>
        </w:trPr>
        <w:tc>
          <w:tcPr>
            <w:tcW w:w="2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income (loss)</w:t>
            </w:r>
          </w:p>
        </w:tc>
        <w:tc>
          <w:tcPr>
            <w:tcW w:w="12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1"/>
              </w:rPr>
              <w:t>expenses</w:t>
            </w:r>
          </w:p>
        </w:tc>
        <w:tc>
          <w:tcPr>
            <w:tcW w:w="120" w:type="dxa"/>
            <w:vAlign w:val="bottom"/>
          </w:tcPr>
          <w:p>
            <w:pPr>
              <w:spacing w:after="0"/>
              <w:rPr>
                <w:sz w:val="15"/>
                <w:szCs w:val="15"/>
                <w:color w:val="auto"/>
              </w:rPr>
            </w:pPr>
          </w:p>
        </w:tc>
        <w:tc>
          <w:tcPr>
            <w:tcW w:w="960" w:type="dxa"/>
            <w:vAlign w:val="bottom"/>
          </w:tcPr>
          <w:p>
            <w:pPr>
              <w:jc w:val="right"/>
              <w:ind w:right="90"/>
              <w:spacing w:after="0"/>
              <w:rPr>
                <w:sz w:val="20"/>
                <w:szCs w:val="20"/>
                <w:color w:val="auto"/>
              </w:rPr>
            </w:pPr>
            <w:r>
              <w:rPr>
                <w:rFonts w:ascii="Arial" w:cs="Arial" w:eastAsia="Arial" w:hAnsi="Arial"/>
                <w:sz w:val="14"/>
                <w:szCs w:val="14"/>
                <w:b w:val="1"/>
                <w:bCs w:val="1"/>
                <w:color w:val="auto"/>
                <w:w w:val="93"/>
              </w:rPr>
              <w:t>amortization</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ind w:left="80"/>
              <w:spacing w:after="0"/>
              <w:rPr>
                <w:sz w:val="20"/>
                <w:szCs w:val="20"/>
                <w:color w:val="auto"/>
              </w:rPr>
            </w:pPr>
            <w:r>
              <w:rPr>
                <w:rFonts w:ascii="Arial" w:cs="Arial" w:eastAsia="Arial" w:hAnsi="Arial"/>
                <w:sz w:val="14"/>
                <w:szCs w:val="14"/>
                <w:b w:val="1"/>
                <w:bCs w:val="1"/>
                <w:color w:val="auto"/>
              </w:rPr>
              <w:t>and other</w:t>
            </w:r>
          </w:p>
        </w:tc>
        <w:tc>
          <w:tcPr>
            <w:tcW w:w="140" w:type="dxa"/>
            <w:vAlign w:val="bottom"/>
          </w:tcPr>
          <w:p>
            <w:pPr>
              <w:spacing w:after="0"/>
              <w:rPr>
                <w:sz w:val="15"/>
                <w:szCs w:val="15"/>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license fees</w:t>
            </w:r>
          </w:p>
        </w:tc>
        <w:tc>
          <w:tcPr>
            <w:tcW w:w="140" w:type="dxa"/>
            <w:vAlign w:val="bottom"/>
          </w:tcPr>
          <w:p>
            <w:pPr>
              <w:spacing w:after="0"/>
              <w:rPr>
                <w:sz w:val="15"/>
                <w:szCs w:val="15"/>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other</w:t>
            </w:r>
          </w:p>
        </w:tc>
        <w:tc>
          <w:tcPr>
            <w:tcW w:w="120" w:type="dxa"/>
            <w:vAlign w:val="bottom"/>
          </w:tcPr>
          <w:p>
            <w:pPr>
              <w:spacing w:after="0"/>
              <w:rPr>
                <w:sz w:val="15"/>
                <w:szCs w:val="15"/>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compensation</w:t>
            </w:r>
          </w:p>
        </w:tc>
        <w:tc>
          <w:tcPr>
            <w:tcW w:w="140" w:type="dxa"/>
            <w:vAlign w:val="bottom"/>
          </w:tcPr>
          <w:p>
            <w:pPr>
              <w:spacing w:after="0"/>
              <w:rPr>
                <w:sz w:val="15"/>
                <w:szCs w:val="15"/>
                <w:color w:val="auto"/>
              </w:rPr>
            </w:pPr>
          </w:p>
        </w:tc>
        <w:tc>
          <w:tcPr>
            <w:tcW w:w="820" w:type="dxa"/>
            <w:vAlign w:val="bottom"/>
          </w:tcPr>
          <w:p>
            <w:pPr>
              <w:jc w:val="right"/>
              <w:ind w:right="130"/>
              <w:spacing w:after="0"/>
              <w:rPr>
                <w:sz w:val="20"/>
                <w:szCs w:val="20"/>
                <w:color w:val="auto"/>
              </w:rPr>
            </w:pPr>
            <w:r>
              <w:rPr>
                <w:rFonts w:ascii="Arial" w:cs="Arial" w:eastAsia="Arial" w:hAnsi="Arial"/>
                <w:sz w:val="14"/>
                <w:szCs w:val="14"/>
                <w:b w:val="1"/>
                <w:bCs w:val="1"/>
                <w:color w:val="auto"/>
              </w:rPr>
              <w:t>EBITDA</w:t>
            </w:r>
          </w:p>
        </w:tc>
        <w:tc>
          <w:tcPr>
            <w:tcW w:w="0" w:type="dxa"/>
            <w:vAlign w:val="bottom"/>
          </w:tcPr>
          <w:p>
            <w:pPr>
              <w:spacing w:after="0"/>
              <w:rPr>
                <w:sz w:val="1"/>
                <w:szCs w:val="1"/>
                <w:color w:val="auto"/>
              </w:rPr>
            </w:pPr>
          </w:p>
        </w:tc>
      </w:tr>
      <w:tr>
        <w:trPr>
          <w:trHeight w:val="165"/>
        </w:trPr>
        <w:tc>
          <w:tcPr>
            <w:tcW w:w="2000" w:type="dxa"/>
            <w:vAlign w:val="bottom"/>
            <w:tcBorders>
              <w:top w:val="single" w:sz="8" w:color="CCEEFF"/>
            </w:tcBorders>
            <w:shd w:val="clear" w:color="auto" w:fill="CCEEFF"/>
          </w:tcPr>
          <w:p>
            <w:pPr>
              <w:ind w:left="20"/>
              <w:spacing w:after="0" w:line="159" w:lineRule="exact"/>
              <w:rPr>
                <w:sz w:val="20"/>
                <w:szCs w:val="20"/>
                <w:color w:val="auto"/>
              </w:rPr>
            </w:pPr>
            <w:r>
              <w:rPr>
                <w:rFonts w:ascii="Arial" w:cs="Arial" w:eastAsia="Arial" w:hAnsi="Arial"/>
                <w:sz w:val="14"/>
                <w:szCs w:val="14"/>
                <w:color w:val="auto"/>
              </w:rPr>
              <w:t>Macau Operations:</w:t>
            </w:r>
          </w:p>
        </w:tc>
        <w:tc>
          <w:tcPr>
            <w:tcW w:w="1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00" w:type="dxa"/>
            <w:vAlign w:val="bottom"/>
          </w:tcPr>
          <w:p>
            <w:pPr>
              <w:ind w:left="120"/>
              <w:spacing w:after="0"/>
              <w:rPr>
                <w:sz w:val="20"/>
                <w:szCs w:val="20"/>
                <w:color w:val="auto"/>
              </w:rPr>
            </w:pPr>
            <w:r>
              <w:rPr>
                <w:rFonts w:ascii="Arial" w:cs="Arial" w:eastAsia="Arial" w:hAnsi="Arial"/>
                <w:sz w:val="14"/>
                <w:szCs w:val="14"/>
                <w:color w:val="auto"/>
              </w:rPr>
              <w:t>Wynn Palace</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(150,477)</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378</w:t>
            </w:r>
          </w:p>
        </w:tc>
        <w:tc>
          <w:tcPr>
            <w:tcW w:w="100" w:type="dxa"/>
            <w:vAlign w:val="bottom"/>
          </w:tcPr>
          <w:p>
            <w:pPr>
              <w:spacing w:after="0"/>
              <w:rPr>
                <w:sz w:val="15"/>
                <w:szCs w:val="15"/>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67,424</w:t>
            </w:r>
          </w:p>
        </w:tc>
        <w:tc>
          <w:tcPr>
            <w:tcW w:w="26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502</w:t>
            </w:r>
          </w:p>
        </w:tc>
        <w:tc>
          <w:tcPr>
            <w:tcW w:w="100" w:type="dxa"/>
            <w:vAlign w:val="bottom"/>
          </w:tcPr>
          <w:p>
            <w:pPr>
              <w:spacing w:after="0"/>
              <w:rPr>
                <w:sz w:val="15"/>
                <w:szCs w:val="15"/>
                <w:color w:val="auto"/>
              </w:rPr>
            </w:pP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2,250</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258</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10"/>
              <w:spacing w:after="0"/>
              <w:rPr>
                <w:sz w:val="20"/>
                <w:szCs w:val="20"/>
                <w:color w:val="auto"/>
              </w:rPr>
            </w:pPr>
            <w:r>
              <w:rPr>
                <w:rFonts w:ascii="Arial" w:cs="Arial" w:eastAsia="Arial" w:hAnsi="Arial"/>
                <w:sz w:val="14"/>
                <w:szCs w:val="14"/>
                <w:color w:val="auto"/>
              </w:rPr>
              <w:t>2,018</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(77,647)</w:t>
            </w:r>
          </w:p>
        </w:tc>
        <w:tc>
          <w:tcPr>
            <w:tcW w:w="0" w:type="dxa"/>
            <w:vAlign w:val="bottom"/>
          </w:tcPr>
          <w:p>
            <w:pPr>
              <w:spacing w:after="0"/>
              <w:rPr>
                <w:sz w:val="1"/>
                <w:szCs w:val="1"/>
                <w:color w:val="auto"/>
              </w:rPr>
            </w:pPr>
          </w:p>
        </w:tc>
      </w:tr>
      <w:tr>
        <w:trPr>
          <w:trHeight w:val="187"/>
        </w:trPr>
        <w:tc>
          <w:tcPr>
            <w:tcW w:w="20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Wynn Macau</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(63,052)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22,247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2,250</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3,220</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(34,457)</w:t>
            </w:r>
          </w:p>
        </w:tc>
        <w:tc>
          <w:tcPr>
            <w:tcW w:w="0" w:type="dxa"/>
            <w:vAlign w:val="bottom"/>
          </w:tcPr>
          <w:p>
            <w:pPr>
              <w:spacing w:after="0"/>
              <w:rPr>
                <w:sz w:val="1"/>
                <w:szCs w:val="1"/>
                <w:color w:val="auto"/>
              </w:rPr>
            </w:pPr>
          </w:p>
        </w:tc>
      </w:tr>
      <w:tr>
        <w:trPr>
          <w:trHeight w:val="182"/>
        </w:trPr>
        <w:tc>
          <w:tcPr>
            <w:tcW w:w="2000" w:type="dxa"/>
            <w:vAlign w:val="bottom"/>
          </w:tcPr>
          <w:p>
            <w:pPr>
              <w:ind w:left="120"/>
              <w:spacing w:after="0"/>
              <w:rPr>
                <w:sz w:val="20"/>
                <w:szCs w:val="20"/>
                <w:color w:val="auto"/>
              </w:rPr>
            </w:pPr>
            <w:r>
              <w:rPr>
                <w:rFonts w:ascii="Arial" w:cs="Arial" w:eastAsia="Arial" w:hAnsi="Arial"/>
                <w:sz w:val="14"/>
                <w:szCs w:val="14"/>
                <w:color w:val="auto"/>
              </w:rPr>
              <w:t>Other Macau</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(2,501)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1,109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993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ind w:right="10"/>
              <w:spacing w:after="0"/>
              <w:rPr>
                <w:sz w:val="20"/>
                <w:szCs w:val="20"/>
                <w:color w:val="auto"/>
              </w:rPr>
            </w:pPr>
            <w:r>
              <w:rPr>
                <w:rFonts w:ascii="Arial" w:cs="Arial" w:eastAsia="Arial" w:hAnsi="Arial"/>
                <w:sz w:val="14"/>
                <w:szCs w:val="14"/>
                <w:color w:val="auto"/>
              </w:rPr>
              <w:t>397</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2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Macau Operations</w:t>
            </w:r>
          </w:p>
        </w:tc>
        <w:tc>
          <w:tcPr>
            <w:tcW w:w="1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(216,030)</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378</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90,780</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1,042</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4,500</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1,591</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5,635</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(112,104)</w:t>
            </w:r>
          </w:p>
        </w:tc>
        <w:tc>
          <w:tcPr>
            <w:tcW w:w="0" w:type="dxa"/>
            <w:vAlign w:val="bottom"/>
          </w:tcPr>
          <w:p>
            <w:pPr>
              <w:spacing w:after="0"/>
              <w:rPr>
                <w:sz w:val="1"/>
                <w:szCs w:val="1"/>
                <w:color w:val="auto"/>
              </w:rPr>
            </w:pPr>
          </w:p>
        </w:tc>
      </w:tr>
      <w:tr>
        <w:trPr>
          <w:trHeight w:val="182"/>
        </w:trPr>
        <w:tc>
          <w:tcPr>
            <w:tcW w:w="2000" w:type="dxa"/>
            <w:vAlign w:val="bottom"/>
          </w:tcPr>
          <w:p>
            <w:pPr>
              <w:ind w:left="20"/>
              <w:spacing w:after="0"/>
              <w:rPr>
                <w:sz w:val="20"/>
                <w:szCs w:val="20"/>
                <w:color w:val="auto"/>
              </w:rPr>
            </w:pPr>
            <w:r>
              <w:rPr>
                <w:rFonts w:ascii="Arial" w:cs="Arial" w:eastAsia="Arial" w:hAnsi="Arial"/>
                <w:sz w:val="14"/>
                <w:szCs w:val="14"/>
                <w:color w:val="auto"/>
              </w:rPr>
              <w:t>Las Vegas Operations</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(47,377)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51,320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1,155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8,855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4,458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ind w:right="10"/>
              <w:spacing w:after="0"/>
              <w:rPr>
                <w:sz w:val="20"/>
                <w:szCs w:val="20"/>
                <w:color w:val="auto"/>
              </w:rPr>
            </w:pPr>
            <w:r>
              <w:rPr>
                <w:rFonts w:ascii="Arial" w:cs="Arial" w:eastAsia="Arial" w:hAnsi="Arial"/>
                <w:sz w:val="14"/>
                <w:szCs w:val="14"/>
                <w:color w:val="auto"/>
              </w:rPr>
              <w:t>1,779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20,258</w:t>
            </w:r>
          </w:p>
        </w:tc>
        <w:tc>
          <w:tcPr>
            <w:tcW w:w="0" w:type="dxa"/>
            <w:vAlign w:val="bottom"/>
          </w:tcPr>
          <w:p>
            <w:pPr>
              <w:spacing w:after="0"/>
              <w:rPr>
                <w:sz w:val="1"/>
                <w:szCs w:val="1"/>
                <w:color w:val="auto"/>
              </w:rPr>
            </w:pPr>
          </w:p>
        </w:tc>
      </w:tr>
      <w:tr>
        <w:trPr>
          <w:trHeight w:val="187"/>
        </w:trPr>
        <w:tc>
          <w:tcPr>
            <w:tcW w:w="2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Encore Boston Harbor</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(25,094)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37,745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6,354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5,680</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25,986</w:t>
            </w:r>
          </w:p>
        </w:tc>
        <w:tc>
          <w:tcPr>
            <w:tcW w:w="0" w:type="dxa"/>
            <w:vAlign w:val="bottom"/>
          </w:tcPr>
          <w:p>
            <w:pPr>
              <w:spacing w:after="0"/>
              <w:rPr>
                <w:sz w:val="1"/>
                <w:szCs w:val="1"/>
                <w:color w:val="auto"/>
              </w:rPr>
            </w:pPr>
          </w:p>
        </w:tc>
      </w:tr>
      <w:tr>
        <w:trPr>
          <w:trHeight w:val="182"/>
        </w:trPr>
        <w:tc>
          <w:tcPr>
            <w:tcW w:w="20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Corporate and other</w:t>
            </w: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5,494</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431</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3,641</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1,354</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(19,035)</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5,242</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2,873</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5"/>
        </w:trPr>
        <w:tc>
          <w:tcPr>
            <w:tcW w:w="2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(283,007)</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877</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183,486</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9,905</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12,826</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10,053</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(65,860)</w:t>
            </w:r>
          </w:p>
        </w:tc>
        <w:tc>
          <w:tcPr>
            <w:tcW w:w="0" w:type="dxa"/>
            <w:vAlign w:val="bottom"/>
          </w:tcPr>
          <w:p>
            <w:pPr>
              <w:spacing w:after="0"/>
              <w:rPr>
                <w:sz w:val="1"/>
                <w:szCs w:val="1"/>
                <w:color w:val="auto"/>
              </w:rPr>
            </w:pPr>
          </w:p>
        </w:tc>
      </w:tr>
      <w:tr>
        <w:trPr>
          <w:trHeight w:val="20"/>
        </w:trPr>
        <w:tc>
          <w:tcPr>
            <w:tcW w:w="2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871" w:right="339" w:bottom="1440" w:gutter="0" w:footer="0" w:header="0"/>
        </w:sectPr>
      </w:pPr>
    </w:p>
    <w:bookmarkStart w:id="9" w:name="page10"/>
    <w:bookmarkEnd w:id="9"/>
    <w:p>
      <w:pPr>
        <w:ind w:left="35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10"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RECONCILIATION OF OPERATING INCOME (LOSS) TO ADJUSTED PROPERTY EBITDA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7"/>
          </w:tcPr>
          <w:p>
            <w:pPr>
              <w:ind w:left="80"/>
              <w:spacing w:after="0"/>
              <w:rPr>
                <w:sz w:val="20"/>
                <w:szCs w:val="20"/>
                <w:color w:val="auto"/>
              </w:rPr>
            </w:pPr>
            <w:r>
              <w:rPr>
                <w:rFonts w:ascii="Arial" w:cs="Arial" w:eastAsia="Arial" w:hAnsi="Arial"/>
                <w:sz w:val="14"/>
                <w:szCs w:val="14"/>
                <w:b w:val="1"/>
                <w:bCs w:val="1"/>
                <w:color w:val="auto"/>
                <w:w w:val="89"/>
              </w:rPr>
              <w:t>Nine Months Ended September 30, 2021</w:t>
            </w: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Operating</w:t>
            </w:r>
          </w:p>
        </w:tc>
        <w:tc>
          <w:tcPr>
            <w:tcW w:w="120" w:type="dxa"/>
            <w:vAlign w:val="bottom"/>
          </w:tcPr>
          <w:p>
            <w:pPr>
              <w:spacing w:after="0"/>
              <w:rPr>
                <w:sz w:val="11"/>
                <w:szCs w:val="11"/>
                <w:color w:val="auto"/>
              </w:rPr>
            </w:pPr>
          </w:p>
        </w:tc>
        <w:tc>
          <w:tcPr>
            <w:tcW w:w="10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8"/>
              </w:rPr>
              <w:t>Pre-opening</w:t>
            </w:r>
          </w:p>
        </w:tc>
        <w:tc>
          <w:tcPr>
            <w:tcW w:w="10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1"/>
              </w:rPr>
              <w:t>Depreciation and</w:t>
            </w:r>
          </w:p>
        </w:tc>
        <w:tc>
          <w:tcPr>
            <w:tcW w:w="100" w:type="dxa"/>
            <w:vAlign w:val="bottom"/>
          </w:tcPr>
          <w:p>
            <w:pPr>
              <w:spacing w:after="0"/>
              <w:rPr>
                <w:sz w:val="11"/>
                <w:szCs w:val="11"/>
                <w:color w:val="auto"/>
              </w:rPr>
            </w:pPr>
          </w:p>
        </w:tc>
        <w:tc>
          <w:tcPr>
            <w:tcW w:w="11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7"/>
              </w:rPr>
              <w:t>Property charges</w:t>
            </w:r>
          </w:p>
        </w:tc>
        <w:tc>
          <w:tcPr>
            <w:tcW w:w="12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9"/>
              </w:rPr>
              <w:t>Management and</w:t>
            </w:r>
          </w:p>
        </w:tc>
        <w:tc>
          <w:tcPr>
            <w:tcW w:w="120" w:type="dxa"/>
            <w:vAlign w:val="bottom"/>
          </w:tcPr>
          <w:p>
            <w:pPr>
              <w:spacing w:after="0"/>
              <w:rPr>
                <w:sz w:val="11"/>
                <w:szCs w:val="11"/>
                <w:color w:val="auto"/>
              </w:rPr>
            </w:pPr>
          </w:p>
        </w:tc>
        <w:tc>
          <w:tcPr>
            <w:tcW w:w="1060" w:type="dxa"/>
            <w:vAlign w:val="bottom"/>
            <w:gridSpan w:val="2"/>
          </w:tcPr>
          <w:p>
            <w:pPr>
              <w:jc w:val="center"/>
              <w:ind w:right="200"/>
              <w:spacing w:after="0" w:line="130" w:lineRule="exact"/>
              <w:rPr>
                <w:sz w:val="20"/>
                <w:szCs w:val="20"/>
                <w:color w:val="auto"/>
              </w:rPr>
            </w:pPr>
            <w:r>
              <w:rPr>
                <w:rFonts w:ascii="Arial" w:cs="Arial" w:eastAsia="Arial" w:hAnsi="Arial"/>
                <w:sz w:val="14"/>
                <w:szCs w:val="14"/>
                <w:b w:val="1"/>
                <w:bCs w:val="1"/>
                <w:color w:val="auto"/>
                <w:w w:val="92"/>
              </w:rPr>
              <w:t>Corporate</w:t>
            </w:r>
          </w:p>
        </w:tc>
        <w:tc>
          <w:tcPr>
            <w:tcW w:w="140" w:type="dxa"/>
            <w:vAlign w:val="bottom"/>
          </w:tcPr>
          <w:p>
            <w:pPr>
              <w:spacing w:after="0"/>
              <w:rPr>
                <w:sz w:val="11"/>
                <w:szCs w:val="11"/>
                <w:color w:val="auto"/>
              </w:rPr>
            </w:pPr>
          </w:p>
        </w:tc>
        <w:tc>
          <w:tcPr>
            <w:tcW w:w="11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8"/>
              </w:rPr>
              <w:t>Stock-based</w:t>
            </w:r>
          </w:p>
        </w:tc>
        <w:tc>
          <w:tcPr>
            <w:tcW w:w="160" w:type="dxa"/>
            <w:vAlign w:val="bottom"/>
          </w:tcPr>
          <w:p>
            <w:pPr>
              <w:spacing w:after="0"/>
              <w:rPr>
                <w:sz w:val="11"/>
                <w:szCs w:val="11"/>
                <w:color w:val="auto"/>
              </w:rPr>
            </w:pPr>
          </w:p>
        </w:tc>
        <w:tc>
          <w:tcPr>
            <w:tcW w:w="820" w:type="dxa"/>
            <w:vAlign w:val="bottom"/>
          </w:tcPr>
          <w:p>
            <w:pPr>
              <w:jc w:val="right"/>
              <w:ind w:right="150"/>
              <w:spacing w:after="0" w:line="130" w:lineRule="exact"/>
              <w:rPr>
                <w:sz w:val="20"/>
                <w:szCs w:val="20"/>
                <w:color w:val="auto"/>
              </w:rPr>
            </w:pPr>
            <w:r>
              <w:rPr>
                <w:rFonts w:ascii="Arial" w:cs="Arial" w:eastAsia="Arial" w:hAnsi="Arial"/>
                <w:sz w:val="14"/>
                <w:szCs w:val="14"/>
                <w:b w:val="1"/>
                <w:bCs w:val="1"/>
                <w:color w:val="auto"/>
                <w:w w:val="96"/>
              </w:rPr>
              <w:t>Adjusted</w:t>
            </w:r>
          </w:p>
        </w:tc>
        <w:tc>
          <w:tcPr>
            <w:tcW w:w="0" w:type="dxa"/>
            <w:vAlign w:val="bottom"/>
          </w:tcPr>
          <w:p>
            <w:pPr>
              <w:spacing w:after="0"/>
              <w:rPr>
                <w:sz w:val="1"/>
                <w:szCs w:val="1"/>
                <w:color w:val="auto"/>
              </w:rPr>
            </w:pPr>
          </w:p>
        </w:tc>
      </w:tr>
      <w:tr>
        <w:trPr>
          <w:trHeight w:val="132"/>
        </w:trPr>
        <w:tc>
          <w:tcPr>
            <w:tcW w:w="2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3"/>
            <w:vMerge w:val="continue"/>
          </w:tcPr>
          <w:p>
            <w:pPr>
              <w:spacing w:after="0"/>
              <w:rPr>
                <w:sz w:val="11"/>
                <w:szCs w:val="11"/>
                <w:color w:val="auto"/>
              </w:rPr>
            </w:pPr>
          </w:p>
        </w:tc>
        <w:tc>
          <w:tcPr>
            <w:tcW w:w="120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center"/>
              <w:ind w:right="200"/>
              <w:spacing w:after="0" w:line="132" w:lineRule="exact"/>
              <w:rPr>
                <w:sz w:val="20"/>
                <w:szCs w:val="20"/>
                <w:color w:val="auto"/>
              </w:rPr>
            </w:pPr>
            <w:r>
              <w:rPr>
                <w:rFonts w:ascii="Arial" w:cs="Arial" w:eastAsia="Arial" w:hAnsi="Arial"/>
                <w:sz w:val="14"/>
                <w:szCs w:val="14"/>
                <w:b w:val="1"/>
                <w:bCs w:val="1"/>
                <w:color w:val="auto"/>
                <w:w w:val="84"/>
              </w:rPr>
              <w:t>expenses and</w:t>
            </w:r>
          </w:p>
        </w:tc>
        <w:tc>
          <w:tcPr>
            <w:tcW w:w="14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jc w:val="right"/>
              <w:ind w:right="150"/>
              <w:spacing w:after="0" w:line="132" w:lineRule="exact"/>
              <w:rPr>
                <w:sz w:val="20"/>
                <w:szCs w:val="20"/>
                <w:color w:val="auto"/>
              </w:rPr>
            </w:pPr>
            <w:r>
              <w:rPr>
                <w:rFonts w:ascii="Arial" w:cs="Arial" w:eastAsia="Arial" w:hAnsi="Arial"/>
                <w:sz w:val="14"/>
                <w:szCs w:val="14"/>
                <w:b w:val="1"/>
                <w:bCs w:val="1"/>
                <w:color w:val="auto"/>
              </w:rPr>
              <w:t>Property</w:t>
            </w:r>
          </w:p>
        </w:tc>
        <w:tc>
          <w:tcPr>
            <w:tcW w:w="0" w:type="dxa"/>
            <w:vAlign w:val="bottom"/>
          </w:tcPr>
          <w:p>
            <w:pPr>
              <w:spacing w:after="0"/>
              <w:rPr>
                <w:sz w:val="1"/>
                <w:szCs w:val="1"/>
                <w:color w:val="auto"/>
              </w:rPr>
            </w:pPr>
          </w:p>
        </w:tc>
      </w:tr>
      <w:tr>
        <w:trPr>
          <w:trHeight w:val="184"/>
        </w:trPr>
        <w:tc>
          <w:tcPr>
            <w:tcW w:w="2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income (loss)</w:t>
            </w:r>
          </w:p>
        </w:tc>
        <w:tc>
          <w:tcPr>
            <w:tcW w:w="12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1"/>
              </w:rPr>
              <w:t>expenses</w:t>
            </w:r>
          </w:p>
        </w:tc>
        <w:tc>
          <w:tcPr>
            <w:tcW w:w="120" w:type="dxa"/>
            <w:vAlign w:val="bottom"/>
          </w:tcPr>
          <w:p>
            <w:pPr>
              <w:spacing w:after="0"/>
              <w:rPr>
                <w:sz w:val="15"/>
                <w:szCs w:val="15"/>
                <w:color w:val="auto"/>
              </w:rPr>
            </w:pPr>
          </w:p>
        </w:tc>
        <w:tc>
          <w:tcPr>
            <w:tcW w:w="960" w:type="dxa"/>
            <w:vAlign w:val="bottom"/>
          </w:tcPr>
          <w:p>
            <w:pPr>
              <w:jc w:val="right"/>
              <w:ind w:right="90"/>
              <w:spacing w:after="0"/>
              <w:rPr>
                <w:sz w:val="20"/>
                <w:szCs w:val="20"/>
                <w:color w:val="auto"/>
              </w:rPr>
            </w:pPr>
            <w:r>
              <w:rPr>
                <w:rFonts w:ascii="Arial" w:cs="Arial" w:eastAsia="Arial" w:hAnsi="Arial"/>
                <w:sz w:val="14"/>
                <w:szCs w:val="14"/>
                <w:b w:val="1"/>
                <w:bCs w:val="1"/>
                <w:color w:val="auto"/>
                <w:w w:val="93"/>
              </w:rPr>
              <w:t>amortization</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gridSpan w:val="2"/>
          </w:tcPr>
          <w:p>
            <w:pPr>
              <w:ind w:left="80"/>
              <w:spacing w:after="0"/>
              <w:rPr>
                <w:sz w:val="20"/>
                <w:szCs w:val="20"/>
                <w:color w:val="auto"/>
              </w:rPr>
            </w:pPr>
            <w:r>
              <w:rPr>
                <w:rFonts w:ascii="Arial" w:cs="Arial" w:eastAsia="Arial" w:hAnsi="Arial"/>
                <w:sz w:val="14"/>
                <w:szCs w:val="14"/>
                <w:b w:val="1"/>
                <w:bCs w:val="1"/>
                <w:color w:val="auto"/>
              </w:rPr>
              <w:t>and other</w:t>
            </w:r>
          </w:p>
        </w:tc>
        <w:tc>
          <w:tcPr>
            <w:tcW w:w="160" w:type="dxa"/>
            <w:vAlign w:val="bottom"/>
          </w:tcPr>
          <w:p>
            <w:pPr>
              <w:spacing w:after="0"/>
              <w:rPr>
                <w:sz w:val="15"/>
                <w:szCs w:val="15"/>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license fees</w:t>
            </w:r>
          </w:p>
        </w:tc>
        <w:tc>
          <w:tcPr>
            <w:tcW w:w="120" w:type="dxa"/>
            <w:vAlign w:val="bottom"/>
          </w:tcPr>
          <w:p>
            <w:pPr>
              <w:spacing w:after="0"/>
              <w:rPr>
                <w:sz w:val="15"/>
                <w:szCs w:val="15"/>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other</w:t>
            </w:r>
          </w:p>
        </w:tc>
        <w:tc>
          <w:tcPr>
            <w:tcW w:w="14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compensation</w:t>
            </w:r>
          </w:p>
        </w:tc>
        <w:tc>
          <w:tcPr>
            <w:tcW w:w="160" w:type="dxa"/>
            <w:vAlign w:val="bottom"/>
          </w:tcPr>
          <w:p>
            <w:pPr>
              <w:spacing w:after="0"/>
              <w:rPr>
                <w:sz w:val="15"/>
                <w:szCs w:val="15"/>
                <w:color w:val="auto"/>
              </w:rPr>
            </w:pPr>
          </w:p>
        </w:tc>
        <w:tc>
          <w:tcPr>
            <w:tcW w:w="820" w:type="dxa"/>
            <w:vAlign w:val="bottom"/>
          </w:tcPr>
          <w:p>
            <w:pPr>
              <w:jc w:val="right"/>
              <w:ind w:right="150"/>
              <w:spacing w:after="0"/>
              <w:rPr>
                <w:sz w:val="20"/>
                <w:szCs w:val="20"/>
                <w:color w:val="auto"/>
              </w:rPr>
            </w:pPr>
            <w:r>
              <w:rPr>
                <w:rFonts w:ascii="Arial" w:cs="Arial" w:eastAsia="Arial" w:hAnsi="Arial"/>
                <w:sz w:val="14"/>
                <w:szCs w:val="14"/>
                <w:b w:val="1"/>
                <w:bCs w:val="1"/>
                <w:color w:val="auto"/>
              </w:rPr>
              <w:t>EBITDA</w:t>
            </w:r>
          </w:p>
        </w:tc>
        <w:tc>
          <w:tcPr>
            <w:tcW w:w="0" w:type="dxa"/>
            <w:vAlign w:val="bottom"/>
          </w:tcPr>
          <w:p>
            <w:pPr>
              <w:spacing w:after="0"/>
              <w:rPr>
                <w:sz w:val="1"/>
                <w:szCs w:val="1"/>
                <w:color w:val="auto"/>
              </w:rPr>
            </w:pPr>
          </w:p>
        </w:tc>
      </w:tr>
      <w:tr>
        <w:trPr>
          <w:trHeight w:val="165"/>
        </w:trPr>
        <w:tc>
          <w:tcPr>
            <w:tcW w:w="2000" w:type="dxa"/>
            <w:vAlign w:val="bottom"/>
            <w:tcBorders>
              <w:top w:val="single" w:sz="8" w:color="CCEEFF"/>
            </w:tcBorders>
            <w:shd w:val="clear" w:color="auto" w:fill="CCEEFF"/>
          </w:tcPr>
          <w:p>
            <w:pPr>
              <w:ind w:left="20"/>
              <w:spacing w:after="0" w:line="159" w:lineRule="exact"/>
              <w:rPr>
                <w:sz w:val="20"/>
                <w:szCs w:val="20"/>
                <w:color w:val="auto"/>
              </w:rPr>
            </w:pPr>
            <w:r>
              <w:rPr>
                <w:rFonts w:ascii="Arial" w:cs="Arial" w:eastAsia="Arial" w:hAnsi="Arial"/>
                <w:sz w:val="14"/>
                <w:szCs w:val="14"/>
                <w:color w:val="auto"/>
              </w:rPr>
              <w:t>Macau Operations:</w:t>
            </w:r>
          </w:p>
        </w:tc>
        <w:tc>
          <w:tcPr>
            <w:tcW w:w="1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00" w:type="dxa"/>
            <w:vAlign w:val="bottom"/>
          </w:tcPr>
          <w:p>
            <w:pPr>
              <w:ind w:left="120"/>
              <w:spacing w:after="0"/>
              <w:rPr>
                <w:sz w:val="20"/>
                <w:szCs w:val="20"/>
                <w:color w:val="auto"/>
              </w:rPr>
            </w:pPr>
            <w:r>
              <w:rPr>
                <w:rFonts w:ascii="Arial" w:cs="Arial" w:eastAsia="Arial" w:hAnsi="Arial"/>
                <w:sz w:val="14"/>
                <w:szCs w:val="14"/>
                <w:color w:val="auto"/>
              </w:rPr>
              <w:t>Wynn Palace</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(139,661)</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898</w:t>
            </w:r>
          </w:p>
        </w:tc>
        <w:tc>
          <w:tcPr>
            <w:tcW w:w="100" w:type="dxa"/>
            <w:vAlign w:val="bottom"/>
          </w:tcPr>
          <w:p>
            <w:pPr>
              <w:spacing w:after="0"/>
              <w:rPr>
                <w:sz w:val="15"/>
                <w:szCs w:val="15"/>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192,980</w:t>
            </w:r>
          </w:p>
        </w:tc>
        <w:tc>
          <w:tcPr>
            <w:tcW w:w="28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4,073</w:t>
            </w:r>
          </w:p>
        </w:tc>
        <w:tc>
          <w:tcPr>
            <w:tcW w:w="80" w:type="dxa"/>
            <w:vAlign w:val="bottom"/>
          </w:tcPr>
          <w:p>
            <w:pPr>
              <w:spacing w:after="0"/>
              <w:rPr>
                <w:sz w:val="15"/>
                <w:szCs w:val="15"/>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22,987</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3,542</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8,217</w:t>
            </w:r>
          </w:p>
        </w:tc>
        <w:tc>
          <w:tcPr>
            <w:tcW w:w="8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93,036</w:t>
            </w:r>
          </w:p>
        </w:tc>
        <w:tc>
          <w:tcPr>
            <w:tcW w:w="0" w:type="dxa"/>
            <w:vAlign w:val="bottom"/>
          </w:tcPr>
          <w:p>
            <w:pPr>
              <w:spacing w:after="0"/>
              <w:rPr>
                <w:sz w:val="1"/>
                <w:szCs w:val="1"/>
                <w:color w:val="auto"/>
              </w:rPr>
            </w:pPr>
          </w:p>
        </w:tc>
      </w:tr>
      <w:tr>
        <w:trPr>
          <w:trHeight w:val="187"/>
        </w:trPr>
        <w:tc>
          <w:tcPr>
            <w:tcW w:w="20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Wynn Macau</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(70,541)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63,062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2,809</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16,209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3,904</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13,260</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28,703</w:t>
            </w:r>
          </w:p>
        </w:tc>
        <w:tc>
          <w:tcPr>
            <w:tcW w:w="0" w:type="dxa"/>
            <w:vAlign w:val="bottom"/>
          </w:tcPr>
          <w:p>
            <w:pPr>
              <w:spacing w:after="0"/>
              <w:rPr>
                <w:sz w:val="1"/>
                <w:szCs w:val="1"/>
                <w:color w:val="auto"/>
              </w:rPr>
            </w:pPr>
          </w:p>
        </w:tc>
      </w:tr>
      <w:tr>
        <w:trPr>
          <w:trHeight w:val="182"/>
        </w:trPr>
        <w:tc>
          <w:tcPr>
            <w:tcW w:w="2000" w:type="dxa"/>
            <w:vAlign w:val="bottom"/>
          </w:tcPr>
          <w:p>
            <w:pPr>
              <w:ind w:left="120"/>
              <w:spacing w:after="0"/>
              <w:rPr>
                <w:sz w:val="20"/>
                <w:szCs w:val="20"/>
                <w:color w:val="auto"/>
              </w:rPr>
            </w:pPr>
            <w:r>
              <w:rPr>
                <w:rFonts w:ascii="Arial" w:cs="Arial" w:eastAsia="Arial" w:hAnsi="Arial"/>
                <w:sz w:val="14"/>
                <w:szCs w:val="14"/>
                <w:color w:val="auto"/>
              </w:rPr>
              <w:t>Other Macau</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(9,799)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3,245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4,852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1,681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2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Macau Operations</w:t>
            </w:r>
          </w:p>
        </w:tc>
        <w:tc>
          <w:tcPr>
            <w:tcW w:w="1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(220,001)</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898</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259,287</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6,903</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39,196</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12,298</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23,158</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121,739</w:t>
            </w:r>
          </w:p>
        </w:tc>
        <w:tc>
          <w:tcPr>
            <w:tcW w:w="0" w:type="dxa"/>
            <w:vAlign w:val="bottom"/>
          </w:tcPr>
          <w:p>
            <w:pPr>
              <w:spacing w:after="0"/>
              <w:rPr>
                <w:sz w:val="1"/>
                <w:szCs w:val="1"/>
                <w:color w:val="auto"/>
              </w:rPr>
            </w:pPr>
          </w:p>
        </w:tc>
      </w:tr>
      <w:tr>
        <w:trPr>
          <w:trHeight w:val="182"/>
        </w:trPr>
        <w:tc>
          <w:tcPr>
            <w:tcW w:w="2000" w:type="dxa"/>
            <w:vAlign w:val="bottom"/>
          </w:tcPr>
          <w:p>
            <w:pPr>
              <w:ind w:left="20"/>
              <w:spacing w:after="0"/>
              <w:rPr>
                <w:sz w:val="20"/>
                <w:szCs w:val="20"/>
                <w:color w:val="auto"/>
              </w:rPr>
            </w:pPr>
            <w:r>
              <w:rPr>
                <w:rFonts w:ascii="Arial" w:cs="Arial" w:eastAsia="Arial" w:hAnsi="Arial"/>
                <w:sz w:val="14"/>
                <w:szCs w:val="14"/>
                <w:color w:val="auto"/>
              </w:rPr>
              <w:t>Las Vegas Operations</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117,713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3,572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144,043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6,259</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47,952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16,806</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8,374</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344,719</w:t>
            </w:r>
          </w:p>
        </w:tc>
        <w:tc>
          <w:tcPr>
            <w:tcW w:w="0" w:type="dxa"/>
            <w:vAlign w:val="bottom"/>
          </w:tcPr>
          <w:p>
            <w:pPr>
              <w:spacing w:after="0"/>
              <w:rPr>
                <w:sz w:val="1"/>
                <w:szCs w:val="1"/>
                <w:color w:val="auto"/>
              </w:rPr>
            </w:pPr>
          </w:p>
        </w:tc>
      </w:tr>
      <w:tr>
        <w:trPr>
          <w:trHeight w:val="187"/>
        </w:trPr>
        <w:tc>
          <w:tcPr>
            <w:tcW w:w="2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Encore Boston Harbor</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(9,149)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117,450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1,323</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23,583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6,757</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1,710</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141,844</w:t>
            </w:r>
          </w:p>
        </w:tc>
        <w:tc>
          <w:tcPr>
            <w:tcW w:w="0" w:type="dxa"/>
            <w:vAlign w:val="bottom"/>
          </w:tcPr>
          <w:p>
            <w:pPr>
              <w:spacing w:after="0"/>
              <w:rPr>
                <w:sz w:val="1"/>
                <w:szCs w:val="1"/>
                <w:color w:val="auto"/>
              </w:rPr>
            </w:pPr>
          </w:p>
        </w:tc>
      </w:tr>
      <w:tr>
        <w:trPr>
          <w:trHeight w:val="182"/>
        </w:trPr>
        <w:tc>
          <w:tcPr>
            <w:tcW w:w="20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Corporate and other</w:t>
            </w: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(177,480)</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815</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24,758</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12,084</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(110,731)</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20,802</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41,791</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(187,961)</w:t>
            </w:r>
          </w:p>
        </w:tc>
        <w:tc>
          <w:tcPr>
            <w:tcW w:w="0" w:type="dxa"/>
            <w:vAlign w:val="bottom"/>
          </w:tcPr>
          <w:p>
            <w:pPr>
              <w:spacing w:after="0"/>
              <w:rPr>
                <w:sz w:val="1"/>
                <w:szCs w:val="1"/>
                <w:color w:val="auto"/>
              </w:rPr>
            </w:pPr>
          </w:p>
        </w:tc>
      </w:tr>
      <w:tr>
        <w:trPr>
          <w:trHeight w:val="205"/>
        </w:trPr>
        <w:tc>
          <w:tcPr>
            <w:tcW w:w="2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(288,917)</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5,455</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545,538</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26,569</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56,663</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75,033</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420,341</w:t>
            </w:r>
          </w:p>
        </w:tc>
        <w:tc>
          <w:tcPr>
            <w:tcW w:w="0" w:type="dxa"/>
            <w:vAlign w:val="bottom"/>
          </w:tcPr>
          <w:p>
            <w:pPr>
              <w:spacing w:after="0"/>
              <w:rPr>
                <w:sz w:val="1"/>
                <w:szCs w:val="1"/>
                <w:color w:val="auto"/>
              </w:rPr>
            </w:pPr>
          </w:p>
        </w:tc>
      </w:tr>
      <w:tr>
        <w:trPr>
          <w:trHeight w:val="20"/>
        </w:trPr>
        <w:tc>
          <w:tcPr>
            <w:tcW w:w="2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8"/>
          </w:tcPr>
          <w:p>
            <w:pPr>
              <w:ind w:left="80"/>
              <w:spacing w:after="0"/>
              <w:rPr>
                <w:sz w:val="20"/>
                <w:szCs w:val="20"/>
                <w:color w:val="auto"/>
              </w:rPr>
            </w:pPr>
            <w:r>
              <w:rPr>
                <w:rFonts w:ascii="Arial" w:cs="Arial" w:eastAsia="Arial" w:hAnsi="Arial"/>
                <w:sz w:val="14"/>
                <w:szCs w:val="14"/>
                <w:b w:val="1"/>
                <w:bCs w:val="1"/>
                <w:color w:val="auto"/>
                <w:w w:val="89"/>
              </w:rPr>
              <w:t>Nine Months Ended September 30, 2020</w:t>
            </w: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0"/>
              </w:rPr>
              <w:t>Operating</w:t>
            </w:r>
          </w:p>
        </w:tc>
        <w:tc>
          <w:tcPr>
            <w:tcW w:w="120" w:type="dxa"/>
            <w:vAlign w:val="bottom"/>
          </w:tcPr>
          <w:p>
            <w:pPr>
              <w:spacing w:after="0"/>
              <w:rPr>
                <w:sz w:val="11"/>
                <w:szCs w:val="11"/>
                <w:color w:val="auto"/>
              </w:rPr>
            </w:pPr>
          </w:p>
        </w:tc>
        <w:tc>
          <w:tcPr>
            <w:tcW w:w="10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8"/>
              </w:rPr>
              <w:t>Pre-opening</w:t>
            </w:r>
          </w:p>
        </w:tc>
        <w:tc>
          <w:tcPr>
            <w:tcW w:w="10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1"/>
              </w:rPr>
              <w:t>Depreciation and</w:t>
            </w:r>
          </w:p>
        </w:tc>
        <w:tc>
          <w:tcPr>
            <w:tcW w:w="100" w:type="dxa"/>
            <w:vAlign w:val="bottom"/>
          </w:tcPr>
          <w:p>
            <w:pPr>
              <w:spacing w:after="0"/>
              <w:rPr>
                <w:sz w:val="11"/>
                <w:szCs w:val="11"/>
                <w:color w:val="auto"/>
              </w:rPr>
            </w:pPr>
          </w:p>
        </w:tc>
        <w:tc>
          <w:tcPr>
            <w:tcW w:w="11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8"/>
              </w:rPr>
              <w:t>Property charges</w:t>
            </w:r>
          </w:p>
        </w:tc>
        <w:tc>
          <w:tcPr>
            <w:tcW w:w="120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Management and</w:t>
            </w:r>
          </w:p>
        </w:tc>
        <w:tc>
          <w:tcPr>
            <w:tcW w:w="120" w:type="dxa"/>
            <w:vAlign w:val="bottom"/>
          </w:tcPr>
          <w:p>
            <w:pPr>
              <w:spacing w:after="0"/>
              <w:rPr>
                <w:sz w:val="11"/>
                <w:szCs w:val="11"/>
                <w:color w:val="auto"/>
              </w:rPr>
            </w:pPr>
          </w:p>
        </w:tc>
        <w:tc>
          <w:tcPr>
            <w:tcW w:w="1080" w:type="dxa"/>
            <w:vAlign w:val="bottom"/>
            <w:gridSpan w:val="2"/>
          </w:tcPr>
          <w:p>
            <w:pPr>
              <w:jc w:val="center"/>
              <w:ind w:right="220"/>
              <w:spacing w:after="0" w:line="130" w:lineRule="exact"/>
              <w:rPr>
                <w:sz w:val="20"/>
                <w:szCs w:val="20"/>
                <w:color w:val="auto"/>
              </w:rPr>
            </w:pPr>
            <w:r>
              <w:rPr>
                <w:rFonts w:ascii="Arial" w:cs="Arial" w:eastAsia="Arial" w:hAnsi="Arial"/>
                <w:sz w:val="14"/>
                <w:szCs w:val="14"/>
                <w:b w:val="1"/>
                <w:bCs w:val="1"/>
                <w:color w:val="auto"/>
                <w:w w:val="92"/>
              </w:rPr>
              <w:t>Corporate</w:t>
            </w:r>
          </w:p>
        </w:tc>
        <w:tc>
          <w:tcPr>
            <w:tcW w:w="120" w:type="dxa"/>
            <w:vAlign w:val="bottom"/>
          </w:tcPr>
          <w:p>
            <w:pPr>
              <w:spacing w:after="0"/>
              <w:rPr>
                <w:sz w:val="11"/>
                <w:szCs w:val="11"/>
                <w:color w:val="auto"/>
              </w:rPr>
            </w:pPr>
          </w:p>
        </w:tc>
        <w:tc>
          <w:tcPr>
            <w:tcW w:w="11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6"/>
              </w:rPr>
              <w:t>Stock-based</w:t>
            </w:r>
          </w:p>
        </w:tc>
        <w:tc>
          <w:tcPr>
            <w:tcW w:w="140" w:type="dxa"/>
            <w:vAlign w:val="bottom"/>
          </w:tcPr>
          <w:p>
            <w:pPr>
              <w:spacing w:after="0"/>
              <w:rPr>
                <w:sz w:val="11"/>
                <w:szCs w:val="11"/>
                <w:color w:val="auto"/>
              </w:rPr>
            </w:pPr>
          </w:p>
        </w:tc>
        <w:tc>
          <w:tcPr>
            <w:tcW w:w="820" w:type="dxa"/>
            <w:vAlign w:val="bottom"/>
          </w:tcPr>
          <w:p>
            <w:pPr>
              <w:jc w:val="right"/>
              <w:ind w:right="130"/>
              <w:spacing w:after="0" w:line="130" w:lineRule="exact"/>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32"/>
        </w:trPr>
        <w:tc>
          <w:tcPr>
            <w:tcW w:w="2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3"/>
            <w:vMerge w:val="continue"/>
          </w:tcPr>
          <w:p>
            <w:pPr>
              <w:spacing w:after="0"/>
              <w:rPr>
                <w:sz w:val="11"/>
                <w:szCs w:val="11"/>
                <w:color w:val="auto"/>
              </w:rPr>
            </w:pPr>
          </w:p>
        </w:tc>
        <w:tc>
          <w:tcPr>
            <w:tcW w:w="1200" w:type="dxa"/>
            <w:vAlign w:val="bottom"/>
            <w:gridSpan w:val="4"/>
            <w:vMerge w:val="continue"/>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220"/>
              <w:spacing w:after="0" w:line="132" w:lineRule="exact"/>
              <w:rPr>
                <w:sz w:val="20"/>
                <w:szCs w:val="20"/>
                <w:color w:val="auto"/>
              </w:rPr>
            </w:pPr>
            <w:r>
              <w:rPr>
                <w:rFonts w:ascii="Arial" w:cs="Arial" w:eastAsia="Arial" w:hAnsi="Arial"/>
                <w:sz w:val="14"/>
                <w:szCs w:val="14"/>
                <w:b w:val="1"/>
                <w:bCs w:val="1"/>
                <w:color w:val="auto"/>
                <w:w w:val="84"/>
              </w:rPr>
              <w:t>expenses and</w:t>
            </w:r>
          </w:p>
        </w:tc>
        <w:tc>
          <w:tcPr>
            <w:tcW w:w="12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right"/>
              <w:ind w:right="130"/>
              <w:spacing w:after="0" w:line="132" w:lineRule="exact"/>
              <w:rPr>
                <w:sz w:val="20"/>
                <w:szCs w:val="20"/>
                <w:color w:val="auto"/>
              </w:rPr>
            </w:pPr>
            <w:r>
              <w:rPr>
                <w:rFonts w:ascii="Arial" w:cs="Arial" w:eastAsia="Arial" w:hAnsi="Arial"/>
                <w:sz w:val="14"/>
                <w:szCs w:val="14"/>
                <w:b w:val="1"/>
                <w:bCs w:val="1"/>
                <w:color w:val="auto"/>
              </w:rPr>
              <w:t>Property</w:t>
            </w:r>
          </w:p>
        </w:tc>
        <w:tc>
          <w:tcPr>
            <w:tcW w:w="0" w:type="dxa"/>
            <w:vAlign w:val="bottom"/>
          </w:tcPr>
          <w:p>
            <w:pPr>
              <w:spacing w:after="0"/>
              <w:rPr>
                <w:sz w:val="1"/>
                <w:szCs w:val="1"/>
                <w:color w:val="auto"/>
              </w:rPr>
            </w:pPr>
          </w:p>
        </w:tc>
      </w:tr>
      <w:tr>
        <w:trPr>
          <w:trHeight w:val="184"/>
        </w:trPr>
        <w:tc>
          <w:tcPr>
            <w:tcW w:w="2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income (loss)</w:t>
            </w:r>
          </w:p>
        </w:tc>
        <w:tc>
          <w:tcPr>
            <w:tcW w:w="12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1"/>
              </w:rPr>
              <w:t>expenses</w:t>
            </w:r>
          </w:p>
        </w:tc>
        <w:tc>
          <w:tcPr>
            <w:tcW w:w="120" w:type="dxa"/>
            <w:vAlign w:val="bottom"/>
          </w:tcPr>
          <w:p>
            <w:pPr>
              <w:spacing w:after="0"/>
              <w:rPr>
                <w:sz w:val="15"/>
                <w:szCs w:val="15"/>
                <w:color w:val="auto"/>
              </w:rPr>
            </w:pPr>
          </w:p>
        </w:tc>
        <w:tc>
          <w:tcPr>
            <w:tcW w:w="960" w:type="dxa"/>
            <w:vAlign w:val="bottom"/>
          </w:tcPr>
          <w:p>
            <w:pPr>
              <w:jc w:val="right"/>
              <w:ind w:right="90"/>
              <w:spacing w:after="0"/>
              <w:rPr>
                <w:sz w:val="20"/>
                <w:szCs w:val="20"/>
                <w:color w:val="auto"/>
              </w:rPr>
            </w:pPr>
            <w:r>
              <w:rPr>
                <w:rFonts w:ascii="Arial" w:cs="Arial" w:eastAsia="Arial" w:hAnsi="Arial"/>
                <w:sz w:val="14"/>
                <w:szCs w:val="14"/>
                <w:b w:val="1"/>
                <w:bCs w:val="1"/>
                <w:color w:val="auto"/>
                <w:w w:val="93"/>
              </w:rPr>
              <w:t>amortization</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ind w:left="80"/>
              <w:spacing w:after="0"/>
              <w:rPr>
                <w:sz w:val="20"/>
                <w:szCs w:val="20"/>
                <w:color w:val="auto"/>
              </w:rPr>
            </w:pPr>
            <w:r>
              <w:rPr>
                <w:rFonts w:ascii="Arial" w:cs="Arial" w:eastAsia="Arial" w:hAnsi="Arial"/>
                <w:sz w:val="14"/>
                <w:szCs w:val="14"/>
                <w:b w:val="1"/>
                <w:bCs w:val="1"/>
                <w:color w:val="auto"/>
              </w:rPr>
              <w:t>and other</w:t>
            </w:r>
          </w:p>
        </w:tc>
        <w:tc>
          <w:tcPr>
            <w:tcW w:w="140" w:type="dxa"/>
            <w:vAlign w:val="bottom"/>
          </w:tcPr>
          <w:p>
            <w:pPr>
              <w:spacing w:after="0"/>
              <w:rPr>
                <w:sz w:val="15"/>
                <w:szCs w:val="15"/>
                <w:color w:val="auto"/>
              </w:rPr>
            </w:pPr>
          </w:p>
        </w:tc>
        <w:tc>
          <w:tcPr>
            <w:tcW w:w="1060" w:type="dxa"/>
            <w:vAlign w:val="bottom"/>
            <w:gridSpan w:val="3"/>
          </w:tcPr>
          <w:p>
            <w:pPr>
              <w:ind w:left="80"/>
              <w:spacing w:after="0"/>
              <w:rPr>
                <w:sz w:val="20"/>
                <w:szCs w:val="20"/>
                <w:color w:val="auto"/>
              </w:rPr>
            </w:pPr>
            <w:r>
              <w:rPr>
                <w:rFonts w:ascii="Arial" w:cs="Arial" w:eastAsia="Arial" w:hAnsi="Arial"/>
                <w:sz w:val="14"/>
                <w:szCs w:val="14"/>
                <w:b w:val="1"/>
                <w:bCs w:val="1"/>
                <w:color w:val="auto"/>
              </w:rPr>
              <w:t>license fees</w:t>
            </w:r>
          </w:p>
        </w:tc>
        <w:tc>
          <w:tcPr>
            <w:tcW w:w="120" w:type="dxa"/>
            <w:vAlign w:val="bottom"/>
          </w:tcPr>
          <w:p>
            <w:pPr>
              <w:spacing w:after="0"/>
              <w:rPr>
                <w:sz w:val="15"/>
                <w:szCs w:val="15"/>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 xml:space="preserve">other </w:t>
            </w:r>
            <w:r>
              <w:rPr>
                <w:rFonts w:ascii="Arial" w:cs="Arial" w:eastAsia="Arial" w:hAnsi="Arial"/>
                <w:sz w:val="10"/>
                <w:szCs w:val="10"/>
                <w:b w:val="1"/>
                <w:bCs w:val="1"/>
                <w:color w:val="auto"/>
                <w:w w:val="93"/>
              </w:rPr>
              <w:t>(1)</w:t>
            </w:r>
          </w:p>
        </w:tc>
        <w:tc>
          <w:tcPr>
            <w:tcW w:w="120" w:type="dxa"/>
            <w:vAlign w:val="bottom"/>
          </w:tcPr>
          <w:p>
            <w:pPr>
              <w:spacing w:after="0"/>
              <w:rPr>
                <w:sz w:val="15"/>
                <w:szCs w:val="15"/>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compensation</w:t>
            </w:r>
          </w:p>
        </w:tc>
        <w:tc>
          <w:tcPr>
            <w:tcW w:w="140" w:type="dxa"/>
            <w:vAlign w:val="bottom"/>
          </w:tcPr>
          <w:p>
            <w:pPr>
              <w:spacing w:after="0"/>
              <w:rPr>
                <w:sz w:val="15"/>
                <w:szCs w:val="15"/>
                <w:color w:val="auto"/>
              </w:rPr>
            </w:pPr>
          </w:p>
        </w:tc>
        <w:tc>
          <w:tcPr>
            <w:tcW w:w="820" w:type="dxa"/>
            <w:vAlign w:val="bottom"/>
          </w:tcPr>
          <w:p>
            <w:pPr>
              <w:jc w:val="right"/>
              <w:ind w:right="130"/>
              <w:spacing w:after="0"/>
              <w:rPr>
                <w:sz w:val="20"/>
                <w:szCs w:val="20"/>
                <w:color w:val="auto"/>
              </w:rPr>
            </w:pPr>
            <w:r>
              <w:rPr>
                <w:rFonts w:ascii="Arial" w:cs="Arial" w:eastAsia="Arial" w:hAnsi="Arial"/>
                <w:sz w:val="14"/>
                <w:szCs w:val="14"/>
                <w:b w:val="1"/>
                <w:bCs w:val="1"/>
                <w:color w:val="auto"/>
              </w:rPr>
              <w:t>EBITDA</w:t>
            </w:r>
          </w:p>
        </w:tc>
        <w:tc>
          <w:tcPr>
            <w:tcW w:w="0" w:type="dxa"/>
            <w:vAlign w:val="bottom"/>
          </w:tcPr>
          <w:p>
            <w:pPr>
              <w:spacing w:after="0"/>
              <w:rPr>
                <w:sz w:val="1"/>
                <w:szCs w:val="1"/>
                <w:color w:val="auto"/>
              </w:rPr>
            </w:pPr>
          </w:p>
        </w:tc>
      </w:tr>
      <w:tr>
        <w:trPr>
          <w:trHeight w:val="165"/>
        </w:trPr>
        <w:tc>
          <w:tcPr>
            <w:tcW w:w="2000" w:type="dxa"/>
            <w:vAlign w:val="bottom"/>
            <w:tcBorders>
              <w:top w:val="single" w:sz="8" w:color="CCEEFF"/>
            </w:tcBorders>
            <w:shd w:val="clear" w:color="auto" w:fill="CCEEFF"/>
          </w:tcPr>
          <w:p>
            <w:pPr>
              <w:ind w:left="20"/>
              <w:spacing w:after="0" w:line="159" w:lineRule="exact"/>
              <w:rPr>
                <w:sz w:val="20"/>
                <w:szCs w:val="20"/>
                <w:color w:val="auto"/>
              </w:rPr>
            </w:pPr>
            <w:r>
              <w:rPr>
                <w:rFonts w:ascii="Arial" w:cs="Arial" w:eastAsia="Arial" w:hAnsi="Arial"/>
                <w:sz w:val="14"/>
                <w:szCs w:val="14"/>
                <w:color w:val="auto"/>
              </w:rPr>
              <w:t>Macau Operations:</w:t>
            </w:r>
          </w:p>
        </w:tc>
        <w:tc>
          <w:tcPr>
            <w:tcW w:w="12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00" w:type="dxa"/>
            <w:vAlign w:val="bottom"/>
          </w:tcPr>
          <w:p>
            <w:pPr>
              <w:ind w:left="120"/>
              <w:spacing w:after="0"/>
              <w:rPr>
                <w:sz w:val="20"/>
                <w:szCs w:val="20"/>
                <w:color w:val="auto"/>
              </w:rPr>
            </w:pPr>
            <w:r>
              <w:rPr>
                <w:rFonts w:ascii="Arial" w:cs="Arial" w:eastAsia="Arial" w:hAnsi="Arial"/>
                <w:sz w:val="14"/>
                <w:szCs w:val="14"/>
                <w:color w:val="auto"/>
              </w:rPr>
              <w:t>Wynn Palace</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(427,481)</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993</w:t>
            </w:r>
          </w:p>
        </w:tc>
        <w:tc>
          <w:tcPr>
            <w:tcW w:w="100" w:type="dxa"/>
            <w:vAlign w:val="bottom"/>
          </w:tcPr>
          <w:p>
            <w:pPr>
              <w:spacing w:after="0"/>
              <w:rPr>
                <w:sz w:val="15"/>
                <w:szCs w:val="15"/>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201,655</w:t>
            </w:r>
          </w:p>
        </w:tc>
        <w:tc>
          <w:tcPr>
            <w:tcW w:w="26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23,794</w:t>
            </w:r>
          </w:p>
        </w:tc>
        <w:tc>
          <w:tcPr>
            <w:tcW w:w="100" w:type="dxa"/>
            <w:vAlign w:val="bottom"/>
          </w:tcPr>
          <w:p>
            <w:pPr>
              <w:spacing w:after="0"/>
              <w:rPr>
                <w:sz w:val="15"/>
                <w:szCs w:val="15"/>
                <w:color w:val="auto"/>
              </w:rPr>
            </w:pP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13,925</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3,189</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10"/>
              <w:spacing w:after="0"/>
              <w:rPr>
                <w:sz w:val="20"/>
                <w:szCs w:val="20"/>
                <w:color w:val="auto"/>
              </w:rPr>
            </w:pPr>
            <w:r>
              <w:rPr>
                <w:rFonts w:ascii="Arial" w:cs="Arial" w:eastAsia="Arial" w:hAnsi="Arial"/>
                <w:sz w:val="14"/>
                <w:szCs w:val="14"/>
                <w:color w:val="auto"/>
              </w:rPr>
              <w:t>5,546</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(178,379)</w:t>
            </w:r>
          </w:p>
        </w:tc>
        <w:tc>
          <w:tcPr>
            <w:tcW w:w="0" w:type="dxa"/>
            <w:vAlign w:val="bottom"/>
          </w:tcPr>
          <w:p>
            <w:pPr>
              <w:spacing w:after="0"/>
              <w:rPr>
                <w:sz w:val="1"/>
                <w:szCs w:val="1"/>
                <w:color w:val="auto"/>
              </w:rPr>
            </w:pPr>
          </w:p>
        </w:tc>
      </w:tr>
      <w:tr>
        <w:trPr>
          <w:trHeight w:val="187"/>
        </w:trPr>
        <w:tc>
          <w:tcPr>
            <w:tcW w:w="20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Wynn Macau</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(193,291)</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69,131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12,663</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3,620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7,110</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(97,895)</w:t>
            </w:r>
          </w:p>
        </w:tc>
        <w:tc>
          <w:tcPr>
            <w:tcW w:w="0" w:type="dxa"/>
            <w:vAlign w:val="bottom"/>
          </w:tcPr>
          <w:p>
            <w:pPr>
              <w:spacing w:after="0"/>
              <w:rPr>
                <w:sz w:val="1"/>
                <w:szCs w:val="1"/>
                <w:color w:val="auto"/>
              </w:rPr>
            </w:pPr>
          </w:p>
        </w:tc>
      </w:tr>
      <w:tr>
        <w:trPr>
          <w:trHeight w:val="182"/>
        </w:trPr>
        <w:tc>
          <w:tcPr>
            <w:tcW w:w="2000" w:type="dxa"/>
            <w:vAlign w:val="bottom"/>
          </w:tcPr>
          <w:p>
            <w:pPr>
              <w:ind w:left="120"/>
              <w:spacing w:after="0"/>
              <w:rPr>
                <w:sz w:val="20"/>
                <w:szCs w:val="20"/>
                <w:color w:val="auto"/>
              </w:rPr>
            </w:pPr>
            <w:r>
              <w:rPr>
                <w:rFonts w:ascii="Arial" w:cs="Arial" w:eastAsia="Arial" w:hAnsi="Arial"/>
                <w:sz w:val="14"/>
                <w:szCs w:val="14"/>
                <w:color w:val="auto"/>
              </w:rPr>
              <w:t>Other Macau</w:t>
            </w: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(8,888)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3,335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4,386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ind w:right="10"/>
              <w:spacing w:after="0"/>
              <w:rPr>
                <w:sz w:val="20"/>
                <w:szCs w:val="20"/>
                <w:color w:val="auto"/>
              </w:rPr>
            </w:pPr>
            <w:r>
              <w:rPr>
                <w:rFonts w:ascii="Arial" w:cs="Arial" w:eastAsia="Arial" w:hAnsi="Arial"/>
                <w:sz w:val="14"/>
                <w:szCs w:val="14"/>
                <w:color w:val="auto"/>
              </w:rPr>
              <w:t>1,162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2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Macau Operations</w:t>
            </w:r>
          </w:p>
        </w:tc>
        <w:tc>
          <w:tcPr>
            <w:tcW w:w="12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(629,660)</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993</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274,121</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26,671</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26,588</w:t>
            </w: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11,195</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13,818</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(276,274)</w:t>
            </w:r>
          </w:p>
        </w:tc>
        <w:tc>
          <w:tcPr>
            <w:tcW w:w="0" w:type="dxa"/>
            <w:vAlign w:val="bottom"/>
          </w:tcPr>
          <w:p>
            <w:pPr>
              <w:spacing w:after="0"/>
              <w:rPr>
                <w:sz w:val="1"/>
                <w:szCs w:val="1"/>
                <w:color w:val="auto"/>
              </w:rPr>
            </w:pPr>
          </w:p>
        </w:tc>
      </w:tr>
      <w:tr>
        <w:trPr>
          <w:trHeight w:val="182"/>
        </w:trPr>
        <w:tc>
          <w:tcPr>
            <w:tcW w:w="2000" w:type="dxa"/>
            <w:vAlign w:val="bottom"/>
          </w:tcPr>
          <w:p>
            <w:pPr>
              <w:ind w:left="20"/>
              <w:spacing w:after="0"/>
              <w:rPr>
                <w:sz w:val="20"/>
                <w:szCs w:val="20"/>
                <w:color w:val="auto"/>
              </w:rPr>
            </w:pPr>
            <w:r>
              <w:rPr>
                <w:rFonts w:ascii="Arial" w:cs="Arial" w:eastAsia="Arial" w:hAnsi="Arial"/>
                <w:sz w:val="14"/>
                <w:szCs w:val="14"/>
                <w:color w:val="auto"/>
              </w:rPr>
              <w:t>Las Vegas Operations</w:t>
            </w: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(277,604)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2,244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146,960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964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26,910</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17,692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ind w:right="10"/>
              <w:spacing w:after="0"/>
              <w:rPr>
                <w:sz w:val="20"/>
                <w:szCs w:val="20"/>
                <w:color w:val="auto"/>
              </w:rPr>
            </w:pPr>
            <w:r>
              <w:rPr>
                <w:rFonts w:ascii="Arial" w:cs="Arial" w:eastAsia="Arial" w:hAnsi="Arial"/>
                <w:sz w:val="14"/>
                <w:szCs w:val="14"/>
                <w:color w:val="auto"/>
              </w:rPr>
              <w:t>5,451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(77,383)</w:t>
            </w:r>
          </w:p>
        </w:tc>
        <w:tc>
          <w:tcPr>
            <w:tcW w:w="0" w:type="dxa"/>
            <w:vAlign w:val="bottom"/>
          </w:tcPr>
          <w:p>
            <w:pPr>
              <w:spacing w:after="0"/>
              <w:rPr>
                <w:sz w:val="1"/>
                <w:szCs w:val="1"/>
                <w:color w:val="auto"/>
              </w:rPr>
            </w:pPr>
          </w:p>
        </w:tc>
      </w:tr>
      <w:tr>
        <w:trPr>
          <w:trHeight w:val="187"/>
        </w:trPr>
        <w:tc>
          <w:tcPr>
            <w:tcW w:w="2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Encore Boston Harbor</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(185,142)</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111,513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10,219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12,638</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8,900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1,443</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(40,429)</w:t>
            </w:r>
          </w:p>
        </w:tc>
        <w:tc>
          <w:tcPr>
            <w:tcW w:w="0" w:type="dxa"/>
            <w:vAlign w:val="bottom"/>
          </w:tcPr>
          <w:p>
            <w:pPr>
              <w:spacing w:after="0"/>
              <w:rPr>
                <w:sz w:val="1"/>
                <w:szCs w:val="1"/>
                <w:color w:val="auto"/>
              </w:rPr>
            </w:pPr>
          </w:p>
        </w:tc>
      </w:tr>
      <w:tr>
        <w:trPr>
          <w:trHeight w:val="182"/>
        </w:trPr>
        <w:tc>
          <w:tcPr>
            <w:tcW w:w="20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Corporate and other</w:t>
            </w: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38,972</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2,377</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8,904</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5,847</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(66,136)</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(9,753)</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19,789</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5"/>
        </w:trPr>
        <w:tc>
          <w:tcPr>
            <w:tcW w:w="2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(1,053,434)</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5,614</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541,498</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43,701</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28,034</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40,501</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(394,086)</w:t>
            </w:r>
          </w:p>
        </w:tc>
        <w:tc>
          <w:tcPr>
            <w:tcW w:w="0" w:type="dxa"/>
            <w:vAlign w:val="bottom"/>
          </w:tcPr>
          <w:p>
            <w:pPr>
              <w:spacing w:after="0"/>
              <w:rPr>
                <w:sz w:val="1"/>
                <w:szCs w:val="1"/>
                <w:color w:val="auto"/>
              </w:rPr>
            </w:pPr>
          </w:p>
        </w:tc>
      </w:tr>
      <w:tr>
        <w:trPr>
          <w:trHeight w:val="20"/>
        </w:trPr>
        <w:tc>
          <w:tcPr>
            <w:tcW w:w="2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0" w:lineRule="exact"/>
        <w:rPr>
          <w:sz w:val="20"/>
          <w:szCs w:val="20"/>
          <w:color w:val="auto"/>
        </w:rPr>
      </w:pPr>
    </w:p>
    <w:p>
      <w:pPr>
        <w:spacing w:after="0"/>
        <w:rPr>
          <w:sz w:val="20"/>
          <w:szCs w:val="20"/>
          <w:color w:val="auto"/>
        </w:rPr>
      </w:pPr>
      <w:r>
        <w:rPr>
          <w:rFonts w:ascii="Arial" w:cs="Arial" w:eastAsia="Arial" w:hAnsi="Arial"/>
          <w:sz w:val="14"/>
          <w:szCs w:val="14"/>
          <w:color w:val="auto"/>
        </w:rPr>
        <w:t>(1) Corporate and other includes a $30.2 million net gain recorded in relation to a derivative litigation settlement.</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871"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NET LOSS ATTRIBUTABLE TO WYNN RESORTS, LIMITED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ADJUSTED PROPERTY EBITDA</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40" w:type="dxa"/>
            <w:vAlign w:val="bottom"/>
            <w:gridSpan w:val="5"/>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2500" w:type="dxa"/>
            <w:vAlign w:val="bottom"/>
            <w:gridSpan w:val="4"/>
          </w:tcPr>
          <w:p>
            <w:pPr>
              <w:jc w:val="right"/>
              <w:ind w:right="733"/>
              <w:spacing w:after="0"/>
              <w:rPr>
                <w:sz w:val="20"/>
                <w:szCs w:val="20"/>
                <w:color w:val="auto"/>
              </w:rPr>
            </w:pPr>
            <w:r>
              <w:rPr>
                <w:rFonts w:ascii="Arial" w:cs="Arial" w:eastAsia="Arial" w:hAnsi="Arial"/>
                <w:sz w:val="14"/>
                <w:szCs w:val="14"/>
                <w:b w:val="1"/>
                <w:bCs w:val="1"/>
                <w:color w:val="auto"/>
              </w:rPr>
              <w:t>Nine Months Ended</w:t>
            </w:r>
          </w:p>
        </w:tc>
      </w:tr>
      <w:tr>
        <w:trPr>
          <w:trHeight w:val="184"/>
        </w:trPr>
        <w:tc>
          <w:tcPr>
            <w:tcW w:w="54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5"/>
                <w:szCs w:val="15"/>
                <w:color w:val="auto"/>
              </w:rPr>
            </w:pPr>
          </w:p>
        </w:tc>
      </w:tr>
      <w:tr>
        <w:trPr>
          <w:trHeight w:val="177"/>
        </w:trPr>
        <w:tc>
          <w:tcPr>
            <w:tcW w:w="54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r>
      <w:tr>
        <w:trPr>
          <w:trHeight w:val="217"/>
        </w:trPr>
        <w:tc>
          <w:tcPr>
            <w:tcW w:w="5460" w:type="dxa"/>
            <w:vAlign w:val="bottom"/>
            <w:shd w:val="clear" w:color="auto" w:fill="CCEEFF"/>
          </w:tcPr>
          <w:p>
            <w:pPr>
              <w:ind w:left="20"/>
              <w:spacing w:after="0" w:line="204" w:lineRule="exact"/>
              <w:rPr>
                <w:sz w:val="20"/>
                <w:szCs w:val="20"/>
                <w:color w:val="auto"/>
              </w:rPr>
            </w:pPr>
            <w:r>
              <w:rPr>
                <w:rFonts w:ascii="Arial" w:cs="Arial" w:eastAsia="Arial" w:hAnsi="Arial"/>
                <w:sz w:val="18"/>
                <w:szCs w:val="18"/>
                <w:color w:val="auto"/>
              </w:rPr>
              <w:t>Net loss attributable to Wynn Resorts, Limited</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(166,249)</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(758,142)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(578,596)</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(1,797,743)</w:t>
            </w:r>
          </w:p>
        </w:tc>
      </w:tr>
      <w:tr>
        <w:trPr>
          <w:trHeight w:val="223"/>
        </w:trPr>
        <w:tc>
          <w:tcPr>
            <w:tcW w:w="5460" w:type="dxa"/>
            <w:vAlign w:val="bottom"/>
          </w:tcPr>
          <w:p>
            <w:pPr>
              <w:ind w:left="340"/>
              <w:spacing w:after="0"/>
              <w:rPr>
                <w:sz w:val="20"/>
                <w:szCs w:val="20"/>
                <w:color w:val="auto"/>
              </w:rPr>
            </w:pPr>
            <w:r>
              <w:rPr>
                <w:rFonts w:ascii="Arial" w:cs="Arial" w:eastAsia="Arial" w:hAnsi="Arial"/>
                <w:sz w:val="18"/>
                <w:szCs w:val="18"/>
                <w:color w:val="auto"/>
              </w:rPr>
              <w:t>Net loss attributable to noncontrolling interests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(79,734)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(73,391)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(176,963)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(218,912)</w:t>
            </w:r>
          </w:p>
        </w:tc>
      </w:tr>
      <w:tr>
        <w:trPr>
          <w:trHeight w:val="224"/>
        </w:trPr>
        <w:tc>
          <w:tcPr>
            <w:tcW w:w="5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Pre-opening expenses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5,614</w:t>
            </w:r>
          </w:p>
        </w:tc>
      </w:tr>
      <w:tr>
        <w:trPr>
          <w:trHeight w:val="223"/>
        </w:trPr>
        <w:tc>
          <w:tcPr>
            <w:tcW w:w="546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177,110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183,486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545,538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541,498</w:t>
            </w:r>
          </w:p>
        </w:tc>
      </w:tr>
      <w:tr>
        <w:trPr>
          <w:trHeight w:val="224"/>
        </w:trPr>
        <w:tc>
          <w:tcPr>
            <w:tcW w:w="5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Property charges and other</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26,569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43,701</w:t>
            </w:r>
          </w:p>
        </w:tc>
      </w:tr>
      <w:tr>
        <w:trPr>
          <w:trHeight w:val="223"/>
        </w:trPr>
        <w:tc>
          <w:tcPr>
            <w:tcW w:w="5460" w:type="dxa"/>
            <w:vAlign w:val="bottom"/>
          </w:tcPr>
          <w:p>
            <w:pPr>
              <w:ind w:left="340"/>
              <w:spacing w:after="0"/>
              <w:rPr>
                <w:sz w:val="20"/>
                <w:szCs w:val="20"/>
                <w:color w:val="auto"/>
              </w:rPr>
            </w:pPr>
            <w:r>
              <w:rPr>
                <w:rFonts w:ascii="Arial" w:cs="Arial" w:eastAsia="Arial" w:hAnsi="Arial"/>
                <w:sz w:val="18"/>
                <w:szCs w:val="18"/>
                <w:color w:val="auto"/>
              </w:rPr>
              <w:t>Corporate expenses and other</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18,901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12,826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56,663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28,034</w:t>
            </w:r>
          </w:p>
        </w:tc>
      </w:tr>
      <w:tr>
        <w:trPr>
          <w:trHeight w:val="224"/>
        </w:trPr>
        <w:tc>
          <w:tcPr>
            <w:tcW w:w="5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25,580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75,033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40,501</w:t>
            </w:r>
          </w:p>
        </w:tc>
      </w:tr>
      <w:tr>
        <w:trPr>
          <w:trHeight w:val="223"/>
        </w:trPr>
        <w:tc>
          <w:tcPr>
            <w:tcW w:w="546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(2,033)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(2,131)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(13,969)</w:t>
            </w:r>
          </w:p>
        </w:tc>
      </w:tr>
      <w:tr>
        <w:trPr>
          <w:trHeight w:val="224"/>
        </w:trPr>
        <w:tc>
          <w:tcPr>
            <w:tcW w:w="5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 net of amounts capitalized</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150,325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145,142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453,601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407,187</w:t>
            </w:r>
          </w:p>
        </w:tc>
      </w:tr>
      <w:tr>
        <w:trPr>
          <w:trHeight w:val="223"/>
        </w:trPr>
        <w:tc>
          <w:tcPr>
            <w:tcW w:w="5460" w:type="dxa"/>
            <w:vAlign w:val="bottom"/>
          </w:tcPr>
          <w:p>
            <w:pPr>
              <w:ind w:left="340"/>
              <w:spacing w:after="0"/>
              <w:rPr>
                <w:sz w:val="20"/>
                <w:szCs w:val="20"/>
                <w:color w:val="auto"/>
              </w:rPr>
            </w:pPr>
            <w:r>
              <w:rPr>
                <w:rFonts w:ascii="Arial" w:cs="Arial" w:eastAsia="Arial" w:hAnsi="Arial"/>
                <w:sz w:val="18"/>
                <w:szCs w:val="18"/>
                <w:color w:val="auto"/>
              </w:rPr>
              <w:t>Change in derivatives fair value</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(1,176)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(4,675)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(6,557)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14,279</w:t>
            </w:r>
          </w:p>
        </w:tc>
      </w:tr>
      <w:tr>
        <w:trPr>
          <w:trHeight w:val="224"/>
        </w:trPr>
        <w:tc>
          <w:tcPr>
            <w:tcW w:w="5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on extinguishment of debt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4,601</w:t>
            </w:r>
          </w:p>
        </w:tc>
      </w:tr>
      <w:tr>
        <w:trPr>
          <w:trHeight w:val="223"/>
        </w:trPr>
        <w:tc>
          <w:tcPr>
            <w:tcW w:w="5460" w:type="dxa"/>
            <w:vAlign w:val="bottom"/>
          </w:tcPr>
          <w:p>
            <w:pPr>
              <w:ind w:left="34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11,784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17,324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(12,980)</w:t>
            </w:r>
          </w:p>
        </w:tc>
      </w:tr>
      <w:tr>
        <w:trPr>
          <w:trHeight w:val="224"/>
        </w:trPr>
        <w:tc>
          <w:tcPr>
            <w:tcW w:w="5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Provision for income taxes</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1,155</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407,365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2,345</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564,103</w:t>
            </w:r>
          </w:p>
        </w:tc>
      </w:tr>
      <w:tr>
        <w:trPr>
          <w:trHeight w:val="217"/>
        </w:trPr>
        <w:tc>
          <w:tcPr>
            <w:tcW w:w="5460" w:type="dxa"/>
            <w:vAlign w:val="bottom"/>
          </w:tcPr>
          <w:p>
            <w:pPr>
              <w:ind w:left="20"/>
              <w:spacing w:after="0"/>
              <w:rPr>
                <w:sz w:val="20"/>
                <w:szCs w:val="20"/>
                <w:color w:val="auto"/>
              </w:rPr>
            </w:pPr>
            <w:r>
              <w:rPr>
                <w:rFonts w:ascii="Arial" w:cs="Arial" w:eastAsia="Arial" w:hAnsi="Arial"/>
                <w:sz w:val="18"/>
                <w:szCs w:val="18"/>
                <w:b w:val="1"/>
                <w:bCs w:val="1"/>
                <w:color w:val="auto"/>
              </w:rPr>
              <w:t>Adjusted Property EBITDA</w:t>
            </w:r>
          </w:p>
        </w:tc>
        <w:tc>
          <w:tcPr>
            <w:tcW w:w="3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154,561</w:t>
            </w:r>
          </w:p>
        </w:tc>
        <w:tc>
          <w:tcPr>
            <w:tcW w:w="120" w:type="dxa"/>
            <w:vAlign w:val="bottom"/>
          </w:tcPr>
          <w:p>
            <w:pPr>
              <w:spacing w:after="0"/>
              <w:rPr>
                <w:sz w:val="18"/>
                <w:szCs w:val="18"/>
                <w:color w:val="auto"/>
              </w:rPr>
            </w:pPr>
          </w:p>
        </w:tc>
        <w:tc>
          <w:tcPr>
            <w:tcW w:w="4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(65,860)</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420,341</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(394,086)</w:t>
            </w:r>
          </w:p>
        </w:tc>
      </w:tr>
      <w:tr>
        <w:trPr>
          <w:trHeight w:val="20"/>
        </w:trPr>
        <w:tc>
          <w:tcPr>
            <w:tcW w:w="5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871"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DATA SCHEDULE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win per unit per day, ADR and REVPAR)</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20" w:type="dxa"/>
            <w:vAlign w:val="bottom"/>
            <w:gridSpan w:val="5"/>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20" w:type="dxa"/>
            <w:vAlign w:val="bottom"/>
            <w:gridSpan w:val="5"/>
          </w:tcPr>
          <w:p>
            <w:pPr>
              <w:ind w:left="460"/>
              <w:spacing w:after="0"/>
              <w:rPr>
                <w:sz w:val="20"/>
                <w:szCs w:val="20"/>
                <w:color w:val="auto"/>
              </w:rPr>
            </w:pPr>
            <w:r>
              <w:rPr>
                <w:rFonts w:ascii="Arial" w:cs="Arial" w:eastAsia="Arial" w:hAnsi="Arial"/>
                <w:sz w:val="14"/>
                <w:szCs w:val="14"/>
                <w:b w:val="1"/>
                <w:bCs w:val="1"/>
                <w:color w:val="auto"/>
              </w:rPr>
              <w:t>Nine Months Ended</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0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40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vMerge w:val="restart"/>
          </w:tcPr>
          <w:p>
            <w:pPr>
              <w:jc w:val="right"/>
              <w:ind w:right="422"/>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40" w:type="dxa"/>
            <w:vAlign w:val="bottom"/>
            <w:vMerge w:val="restart"/>
          </w:tcPr>
          <w:p>
            <w:pPr>
              <w:jc w:val="right"/>
              <w:ind w:right="40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0"/>
                <w:szCs w:val="10"/>
                <w:color w:val="auto"/>
              </w:rPr>
            </w:pPr>
          </w:p>
        </w:tc>
        <w:tc>
          <w:tcPr>
            <w:tcW w:w="740" w:type="dxa"/>
            <w:vAlign w:val="bottom"/>
          </w:tcPr>
          <w:p>
            <w:pPr>
              <w:jc w:val="right"/>
              <w:ind w:right="62"/>
              <w:spacing w:after="0" w:line="125" w:lineRule="exact"/>
              <w:rPr>
                <w:sz w:val="20"/>
                <w:szCs w:val="20"/>
                <w:color w:val="auto"/>
              </w:rPr>
            </w:pPr>
            <w:r>
              <w:rPr>
                <w:rFonts w:ascii="Arial" w:cs="Arial" w:eastAsia="Arial" w:hAnsi="Arial"/>
                <w:sz w:val="14"/>
                <w:szCs w:val="14"/>
                <w:b w:val="1"/>
                <w:bCs w:val="1"/>
                <w:color w:val="auto"/>
              </w:rPr>
              <w:t>Percent</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vMerge w:val="restart"/>
          </w:tcPr>
          <w:p>
            <w:pPr>
              <w:jc w:val="right"/>
              <w:ind w:right="422"/>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60" w:type="dxa"/>
            <w:vAlign w:val="bottom"/>
            <w:vMerge w:val="restart"/>
          </w:tcPr>
          <w:p>
            <w:pPr>
              <w:jc w:val="right"/>
              <w:ind w:right="42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0"/>
                <w:szCs w:val="10"/>
                <w:color w:val="auto"/>
              </w:rPr>
            </w:pPr>
          </w:p>
        </w:tc>
        <w:tc>
          <w:tcPr>
            <w:tcW w:w="740" w:type="dxa"/>
            <w:vAlign w:val="bottom"/>
          </w:tcPr>
          <w:p>
            <w:pPr>
              <w:jc w:val="right"/>
              <w:ind w:right="62"/>
              <w:spacing w:after="0" w:line="125"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84"/>
        </w:trPr>
        <w:tc>
          <w:tcPr>
            <w:tcW w:w="4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Change</w:t>
            </w:r>
          </w:p>
        </w:tc>
        <w:tc>
          <w:tcPr>
            <w:tcW w:w="30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ind w:right="6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04"/>
        </w:trPr>
        <w:tc>
          <w:tcPr>
            <w:tcW w:w="4020" w:type="dxa"/>
            <w:vAlign w:val="bottom"/>
            <w:tcBorders>
              <w:top w:val="single" w:sz="8" w:color="CCEEFF"/>
            </w:tcBorders>
            <w:shd w:val="clear" w:color="auto" w:fill="CCEEFF"/>
          </w:tcPr>
          <w:p>
            <w:pPr>
              <w:ind w:left="20"/>
              <w:spacing w:after="0" w:line="204" w:lineRule="exact"/>
              <w:rPr>
                <w:sz w:val="20"/>
                <w:szCs w:val="20"/>
                <w:color w:val="auto"/>
              </w:rPr>
            </w:pPr>
            <w:r>
              <w:rPr>
                <w:rFonts w:ascii="Arial" w:cs="Arial" w:eastAsia="Arial" w:hAnsi="Arial"/>
                <w:sz w:val="18"/>
                <w:szCs w:val="18"/>
                <w:b w:val="1"/>
                <w:bCs w:val="1"/>
                <w:color w:val="auto"/>
              </w:rPr>
              <w:t>Wynn Palace Supplemental Information</w:t>
            </w:r>
          </w:p>
        </w:tc>
        <w:tc>
          <w:tcPr>
            <w:tcW w:w="3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020" w:type="dxa"/>
            <w:vAlign w:val="bottom"/>
          </w:tcPr>
          <w:p>
            <w:pPr>
              <w:ind w:left="220"/>
              <w:spacing w:after="0"/>
              <w:rPr>
                <w:sz w:val="20"/>
                <w:szCs w:val="20"/>
                <w:color w:val="auto"/>
              </w:rPr>
            </w:pPr>
            <w:r>
              <w:rPr>
                <w:rFonts w:ascii="Arial" w:cs="Arial" w:eastAsia="Arial" w:hAnsi="Arial"/>
                <w:sz w:val="16"/>
                <w:szCs w:val="16"/>
                <w:color w:val="auto"/>
              </w:rPr>
              <w:t>Operating revenues</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Casino</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134,064</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12,301</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989.9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532,040</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208,449</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155.2</w:t>
            </w:r>
          </w:p>
        </w:tc>
        <w:tc>
          <w:tcPr>
            <w:tcW w:w="0" w:type="dxa"/>
            <w:vAlign w:val="bottom"/>
          </w:tcPr>
          <w:p>
            <w:pPr>
              <w:spacing w:after="0"/>
              <w:rPr>
                <w:sz w:val="1"/>
                <w:szCs w:val="1"/>
                <w:color w:val="auto"/>
              </w:rPr>
            </w:pPr>
          </w:p>
        </w:tc>
      </w:tr>
      <w:tr>
        <w:trPr>
          <w:trHeight w:val="207"/>
        </w:trPr>
        <w:tc>
          <w:tcPr>
            <w:tcW w:w="4020" w:type="dxa"/>
            <w:vAlign w:val="bottom"/>
          </w:tcPr>
          <w:p>
            <w:pPr>
              <w:ind w:left="340"/>
              <w:spacing w:after="0"/>
              <w:rPr>
                <w:sz w:val="20"/>
                <w:szCs w:val="20"/>
                <w:color w:val="auto"/>
              </w:rPr>
            </w:pPr>
            <w:r>
              <w:rPr>
                <w:rFonts w:ascii="Arial" w:cs="Arial" w:eastAsia="Arial" w:hAnsi="Arial"/>
                <w:sz w:val="16"/>
                <w:szCs w:val="16"/>
                <w:color w:val="auto"/>
              </w:rPr>
              <w:t>Rooms</w:t>
            </w:r>
          </w:p>
        </w:tc>
        <w:tc>
          <w:tcPr>
            <w:tcW w:w="300" w:type="dxa"/>
            <w:vAlign w:val="bottom"/>
          </w:tcPr>
          <w:p>
            <w:pPr>
              <w:spacing w:after="0"/>
              <w:rPr>
                <w:sz w:val="18"/>
                <w:szCs w:val="18"/>
                <w:color w:val="auto"/>
              </w:rPr>
            </w:pPr>
          </w:p>
        </w:tc>
        <w:tc>
          <w:tcPr>
            <w:tcW w:w="980" w:type="dxa"/>
            <w:vAlign w:val="bottom"/>
          </w:tcPr>
          <w:p>
            <w:pPr>
              <w:jc w:val="right"/>
              <w:ind w:right="42"/>
              <w:spacing w:after="0"/>
              <w:rPr>
                <w:sz w:val="20"/>
                <w:szCs w:val="20"/>
                <w:color w:val="auto"/>
              </w:rPr>
            </w:pPr>
            <w:r>
              <w:rPr>
                <w:rFonts w:ascii="Arial" w:cs="Arial" w:eastAsia="Arial" w:hAnsi="Arial"/>
                <w:sz w:val="16"/>
                <w:szCs w:val="16"/>
                <w:color w:val="auto"/>
              </w:rPr>
              <w:t>15,639</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4,506</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247.1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42"/>
              <w:spacing w:after="0"/>
              <w:rPr>
                <w:sz w:val="20"/>
                <w:szCs w:val="20"/>
                <w:color w:val="auto"/>
              </w:rPr>
            </w:pPr>
            <w:r>
              <w:rPr>
                <w:rFonts w:ascii="Arial" w:cs="Arial" w:eastAsia="Arial" w:hAnsi="Arial"/>
                <w:sz w:val="16"/>
                <w:szCs w:val="16"/>
                <w:color w:val="auto"/>
              </w:rPr>
              <w:t>53,534</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26,647</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100.9</w:t>
            </w:r>
          </w:p>
        </w:tc>
        <w:tc>
          <w:tcPr>
            <w:tcW w:w="0" w:type="dxa"/>
            <w:vAlign w:val="bottom"/>
          </w:tcPr>
          <w:p>
            <w:pPr>
              <w:spacing w:after="0"/>
              <w:rPr>
                <w:sz w:val="1"/>
                <w:szCs w:val="1"/>
                <w:color w:val="auto"/>
              </w:rPr>
            </w:pPr>
          </w:p>
        </w:tc>
      </w:tr>
      <w:tr>
        <w:trPr>
          <w:trHeight w:val="214"/>
        </w:trPr>
        <w:tc>
          <w:tcPr>
            <w:tcW w:w="40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Food and beverage</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10,952</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6,856</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36,429</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24,385</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49.4</w:t>
            </w:r>
          </w:p>
        </w:tc>
        <w:tc>
          <w:tcPr>
            <w:tcW w:w="0" w:type="dxa"/>
            <w:vAlign w:val="bottom"/>
          </w:tcPr>
          <w:p>
            <w:pPr>
              <w:spacing w:after="0"/>
              <w:rPr>
                <w:sz w:val="1"/>
                <w:szCs w:val="1"/>
                <w:color w:val="auto"/>
              </w:rPr>
            </w:pPr>
          </w:p>
        </w:tc>
      </w:tr>
      <w:tr>
        <w:trPr>
          <w:trHeight w:val="207"/>
        </w:trPr>
        <w:tc>
          <w:tcPr>
            <w:tcW w:w="4020" w:type="dxa"/>
            <w:vAlign w:val="bottom"/>
          </w:tcPr>
          <w:p>
            <w:pPr>
              <w:ind w:left="340"/>
              <w:spacing w:after="0"/>
              <w:rPr>
                <w:sz w:val="20"/>
                <w:szCs w:val="20"/>
                <w:color w:val="auto"/>
              </w:rPr>
            </w:pPr>
            <w:r>
              <w:rPr>
                <w:rFonts w:ascii="Arial" w:cs="Arial" w:eastAsia="Arial" w:hAnsi="Arial"/>
                <w:sz w:val="16"/>
                <w:szCs w:val="16"/>
                <w:color w:val="auto"/>
              </w:rPr>
              <w:t xml:space="preserve">Entertainment, retail and other </w:t>
            </w:r>
            <w:r>
              <w:rPr>
                <w:rFonts w:ascii="Arial" w:cs="Arial" w:eastAsia="Arial" w:hAnsi="Arial"/>
                <w:sz w:val="14"/>
                <w:szCs w:val="14"/>
                <w:color w:val="auto"/>
              </w:rPr>
              <w:t>(7)</w:t>
            </w:r>
          </w:p>
        </w:tc>
        <w:tc>
          <w:tcPr>
            <w:tcW w:w="300" w:type="dxa"/>
            <w:vAlign w:val="bottom"/>
          </w:tcPr>
          <w:p>
            <w:pPr>
              <w:spacing w:after="0"/>
              <w:rPr>
                <w:sz w:val="18"/>
                <w:szCs w:val="18"/>
                <w:color w:val="auto"/>
              </w:rPr>
            </w:pPr>
          </w:p>
        </w:tc>
        <w:tc>
          <w:tcPr>
            <w:tcW w:w="980" w:type="dxa"/>
            <w:vAlign w:val="bottom"/>
          </w:tcPr>
          <w:p>
            <w:pPr>
              <w:jc w:val="right"/>
              <w:ind w:right="42"/>
              <w:spacing w:after="0"/>
              <w:rPr>
                <w:sz w:val="20"/>
                <w:szCs w:val="20"/>
                <w:color w:val="auto"/>
              </w:rPr>
            </w:pPr>
            <w:r>
              <w:rPr>
                <w:rFonts w:ascii="Arial" w:cs="Arial" w:eastAsia="Arial" w:hAnsi="Arial"/>
                <w:sz w:val="16"/>
                <w:szCs w:val="16"/>
                <w:color w:val="auto"/>
              </w:rPr>
              <w:t>20,668</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(7,962)</w:t>
            </w: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NM</w:t>
            </w:r>
          </w:p>
        </w:tc>
        <w:tc>
          <w:tcPr>
            <w:tcW w:w="300" w:type="dxa"/>
            <w:vAlign w:val="bottom"/>
          </w:tcPr>
          <w:p>
            <w:pPr>
              <w:spacing w:after="0"/>
              <w:rPr>
                <w:sz w:val="18"/>
                <w:szCs w:val="18"/>
                <w:color w:val="auto"/>
              </w:rPr>
            </w:pPr>
          </w:p>
        </w:tc>
        <w:tc>
          <w:tcPr>
            <w:tcW w:w="980" w:type="dxa"/>
            <w:vAlign w:val="bottom"/>
          </w:tcPr>
          <w:p>
            <w:pPr>
              <w:jc w:val="right"/>
              <w:ind w:right="42"/>
              <w:spacing w:after="0"/>
              <w:rPr>
                <w:sz w:val="20"/>
                <w:szCs w:val="20"/>
                <w:color w:val="auto"/>
              </w:rPr>
            </w:pPr>
            <w:r>
              <w:rPr>
                <w:rFonts w:ascii="Arial" w:cs="Arial" w:eastAsia="Arial" w:hAnsi="Arial"/>
                <w:sz w:val="16"/>
                <w:szCs w:val="16"/>
                <w:color w:val="auto"/>
              </w:rPr>
              <w:t>67,017</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24,451</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174.1</w:t>
            </w:r>
          </w:p>
        </w:tc>
        <w:tc>
          <w:tcPr>
            <w:tcW w:w="0" w:type="dxa"/>
            <w:vAlign w:val="bottom"/>
          </w:tcPr>
          <w:p>
            <w:pPr>
              <w:spacing w:after="0"/>
              <w:rPr>
                <w:sz w:val="1"/>
                <w:szCs w:val="1"/>
                <w:color w:val="auto"/>
              </w:rPr>
            </w:pPr>
          </w:p>
        </w:tc>
      </w:tr>
      <w:tr>
        <w:trPr>
          <w:trHeight w:val="207"/>
        </w:trPr>
        <w:tc>
          <w:tcPr>
            <w:tcW w:w="4020" w:type="dxa"/>
            <w:vAlign w:val="bottom"/>
            <w:tcBorders>
              <w:top w:val="single" w:sz="8" w:color="CCEEFF"/>
            </w:tcBorders>
            <w:shd w:val="clear" w:color="auto" w:fill="CCEEFF"/>
          </w:tcPr>
          <w:p>
            <w:pPr>
              <w:ind w:left="540"/>
              <w:spacing w:after="0"/>
              <w:rPr>
                <w:sz w:val="20"/>
                <w:szCs w:val="20"/>
                <w:color w:val="auto"/>
              </w:rPr>
            </w:pPr>
            <w:r>
              <w:rPr>
                <w:rFonts w:ascii="Arial" w:cs="Arial" w:eastAsia="Arial" w:hAnsi="Arial"/>
                <w:sz w:val="18"/>
                <w:szCs w:val="18"/>
                <w:b w:val="1"/>
                <w:bCs w:val="1"/>
                <w:color w:val="auto"/>
              </w:rPr>
              <w:t>Total</w:t>
            </w:r>
          </w:p>
        </w:tc>
        <w:tc>
          <w:tcPr>
            <w:tcW w:w="300" w:type="dxa"/>
            <w:vAlign w:val="bottom"/>
            <w:tcBorders>
              <w:top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b w:val="1"/>
                <w:bCs w:val="1"/>
                <w:color w:val="auto"/>
              </w:rPr>
              <w:t>181,323</w:t>
            </w: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67"/>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15,701</w:t>
            </w:r>
          </w:p>
        </w:tc>
        <w:tc>
          <w:tcPr>
            <w:tcW w:w="1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1,054.9</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b w:val="1"/>
                <w:bCs w:val="1"/>
                <w:color w:val="auto"/>
              </w:rPr>
              <w:t>689,020</w:t>
            </w: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67"/>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283,932</w:t>
            </w:r>
          </w:p>
        </w:tc>
        <w:tc>
          <w:tcPr>
            <w:tcW w:w="1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142.7</w:t>
            </w:r>
          </w:p>
        </w:tc>
        <w:tc>
          <w:tcPr>
            <w:tcW w:w="0" w:type="dxa"/>
            <w:vAlign w:val="bottom"/>
          </w:tcPr>
          <w:p>
            <w:pPr>
              <w:spacing w:after="0"/>
              <w:rPr>
                <w:sz w:val="1"/>
                <w:szCs w:val="1"/>
                <w:color w:val="auto"/>
              </w:rPr>
            </w:pPr>
          </w:p>
        </w:tc>
      </w:tr>
      <w:tr>
        <w:trPr>
          <w:trHeight w:val="250"/>
        </w:trPr>
        <w:tc>
          <w:tcPr>
            <w:tcW w:w="4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2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 xml:space="preserve">Adjusted Property EBITDA </w:t>
            </w:r>
            <w:r>
              <w:rPr>
                <w:rFonts w:ascii="Arial" w:cs="Arial" w:eastAsia="Arial" w:hAnsi="Arial"/>
                <w:sz w:val="14"/>
                <w:szCs w:val="14"/>
                <w:b w:val="1"/>
                <w:bCs w:val="1"/>
                <w:color w:val="auto"/>
              </w:rPr>
              <w:t>(6)</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b w:val="1"/>
                <w:bCs w:val="1"/>
                <w:color w:val="auto"/>
                <w:w w:val="89"/>
              </w:rPr>
              <w:t>$</w:t>
            </w: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6"/>
                <w:szCs w:val="16"/>
                <w:b w:val="1"/>
                <w:bCs w:val="1"/>
                <w:color w:val="auto"/>
              </w:rPr>
              <w:t>12,112</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67"/>
              <w:spacing w:after="0"/>
              <w:rPr>
                <w:sz w:val="20"/>
                <w:szCs w:val="20"/>
                <w:color w:val="auto"/>
              </w:rPr>
            </w:pPr>
            <w:r>
              <w:rPr>
                <w:rFonts w:ascii="Arial" w:cs="Arial" w:eastAsia="Arial" w:hAnsi="Arial"/>
                <w:sz w:val="15"/>
                <w:szCs w:val="15"/>
                <w:b w:val="1"/>
                <w:bCs w:val="1"/>
                <w:color w:val="auto"/>
                <w:w w:val="71"/>
              </w:rPr>
              <w:t>$</w:t>
            </w:r>
          </w:p>
        </w:tc>
        <w:tc>
          <w:tcPr>
            <w:tcW w:w="84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(77,647)</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b w:val="1"/>
                <w:bCs w:val="1"/>
                <w:color w:val="auto"/>
              </w:rPr>
              <w:t>NM</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b w:val="1"/>
                <w:bCs w:val="1"/>
                <w:color w:val="auto"/>
                <w:w w:val="89"/>
              </w:rPr>
              <w:t>$</w:t>
            </w: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6"/>
                <w:szCs w:val="16"/>
                <w:b w:val="1"/>
                <w:bCs w:val="1"/>
                <w:color w:val="auto"/>
              </w:rPr>
              <w:t>93,036</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67"/>
              <w:spacing w:after="0"/>
              <w:rPr>
                <w:sz w:val="20"/>
                <w:szCs w:val="20"/>
                <w:color w:val="auto"/>
              </w:rPr>
            </w:pPr>
            <w:r>
              <w:rPr>
                <w:rFonts w:ascii="Arial" w:cs="Arial" w:eastAsia="Arial" w:hAnsi="Arial"/>
                <w:sz w:val="15"/>
                <w:szCs w:val="15"/>
                <w:b w:val="1"/>
                <w:bCs w:val="1"/>
                <w:color w:val="auto"/>
                <w:w w:val="71"/>
              </w:rPr>
              <w:t>$</w:t>
            </w:r>
          </w:p>
        </w:tc>
        <w:tc>
          <w:tcPr>
            <w:tcW w:w="86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(178,379)</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NM</w:t>
            </w:r>
          </w:p>
        </w:tc>
        <w:tc>
          <w:tcPr>
            <w:tcW w:w="0" w:type="dxa"/>
            <w:vAlign w:val="bottom"/>
          </w:tcPr>
          <w:p>
            <w:pPr>
              <w:spacing w:after="0"/>
              <w:rPr>
                <w:sz w:val="1"/>
                <w:szCs w:val="1"/>
                <w:color w:val="auto"/>
              </w:rPr>
            </w:pPr>
          </w:p>
        </w:tc>
      </w:tr>
      <w:tr>
        <w:trPr>
          <w:trHeight w:val="250"/>
        </w:trPr>
        <w:tc>
          <w:tcPr>
            <w:tcW w:w="4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4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Casino Statistics: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020" w:type="dxa"/>
            <w:vAlign w:val="bottom"/>
          </w:tcPr>
          <w:p>
            <w:pPr>
              <w:ind w:left="340"/>
              <w:spacing w:after="0"/>
              <w:rPr>
                <w:sz w:val="20"/>
                <w:szCs w:val="20"/>
                <w:color w:val="auto"/>
              </w:rPr>
            </w:pPr>
            <w:r>
              <w:rPr>
                <w:rFonts w:ascii="Arial" w:cs="Arial" w:eastAsia="Arial" w:hAnsi="Arial"/>
                <w:sz w:val="16"/>
                <w:szCs w:val="16"/>
                <w:color w:val="auto"/>
              </w:rPr>
              <w:t>VIP:</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20" w:type="dxa"/>
            <w:vAlign w:val="bottom"/>
            <w:shd w:val="clear" w:color="auto" w:fill="CCEEFF"/>
          </w:tcPr>
          <w:p>
            <w:pPr>
              <w:ind w:left="540"/>
              <w:spacing w:after="0"/>
              <w:rPr>
                <w:sz w:val="20"/>
                <w:szCs w:val="20"/>
                <w:color w:val="auto"/>
              </w:rPr>
            </w:pPr>
            <w:r>
              <w:rPr>
                <w:rFonts w:ascii="Arial" w:cs="Arial" w:eastAsia="Arial" w:hAnsi="Arial"/>
                <w:sz w:val="16"/>
                <w:szCs w:val="16"/>
                <w:color w:val="auto"/>
              </w:rPr>
              <w:t>Average number of table games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89</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102</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96</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97</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7"/>
        </w:trPr>
        <w:tc>
          <w:tcPr>
            <w:tcW w:w="4020" w:type="dxa"/>
            <w:vAlign w:val="bottom"/>
          </w:tcPr>
          <w:p>
            <w:pPr>
              <w:ind w:left="540"/>
              <w:spacing w:after="0"/>
              <w:rPr>
                <w:sz w:val="20"/>
                <w:szCs w:val="20"/>
                <w:color w:val="auto"/>
              </w:rPr>
            </w:pPr>
            <w:r>
              <w:rPr>
                <w:rFonts w:ascii="Arial" w:cs="Arial" w:eastAsia="Arial" w:hAnsi="Arial"/>
                <w:sz w:val="16"/>
                <w:szCs w:val="16"/>
                <w:color w:val="auto"/>
              </w:rPr>
              <w:t>VIP turnover</w:t>
            </w: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42"/>
              <w:spacing w:after="0"/>
              <w:rPr>
                <w:sz w:val="20"/>
                <w:szCs w:val="20"/>
                <w:color w:val="auto"/>
              </w:rPr>
            </w:pPr>
            <w:r>
              <w:rPr>
                <w:rFonts w:ascii="Arial" w:cs="Arial" w:eastAsia="Arial" w:hAnsi="Arial"/>
                <w:sz w:val="16"/>
                <w:szCs w:val="16"/>
                <w:color w:val="auto"/>
              </w:rPr>
              <w:t>1,234,733</w:t>
            </w:r>
          </w:p>
        </w:tc>
        <w:tc>
          <w:tcPr>
            <w:tcW w:w="160" w:type="dxa"/>
            <w:vAlign w:val="bottom"/>
          </w:tcPr>
          <w:p>
            <w:pPr>
              <w:spacing w:after="0"/>
              <w:rPr>
                <w:sz w:val="18"/>
                <w:szCs w:val="18"/>
                <w:color w:val="auto"/>
              </w:rPr>
            </w:pPr>
          </w:p>
        </w:tc>
        <w:tc>
          <w:tcPr>
            <w:tcW w:w="420" w:type="dxa"/>
            <w:vAlign w:val="bottom"/>
          </w:tcPr>
          <w:p>
            <w:pPr>
              <w:jc w:val="right"/>
              <w:ind w:right="26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311,676</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296.2</w:t>
            </w:r>
          </w:p>
        </w:tc>
        <w:tc>
          <w:tcPr>
            <w:tcW w:w="1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42"/>
              <w:spacing w:after="0"/>
              <w:rPr>
                <w:sz w:val="20"/>
                <w:szCs w:val="20"/>
                <w:color w:val="auto"/>
              </w:rPr>
            </w:pPr>
            <w:r>
              <w:rPr>
                <w:rFonts w:ascii="Arial" w:cs="Arial" w:eastAsia="Arial" w:hAnsi="Arial"/>
                <w:sz w:val="16"/>
                <w:szCs w:val="16"/>
                <w:color w:val="auto"/>
              </w:rPr>
              <w:t>5,246,296</w:t>
            </w:r>
          </w:p>
        </w:tc>
        <w:tc>
          <w:tcPr>
            <w:tcW w:w="160" w:type="dxa"/>
            <w:vAlign w:val="bottom"/>
          </w:tcPr>
          <w:p>
            <w:pPr>
              <w:spacing w:after="0"/>
              <w:rPr>
                <w:sz w:val="18"/>
                <w:szCs w:val="18"/>
                <w:color w:val="auto"/>
              </w:rPr>
            </w:pPr>
          </w:p>
        </w:tc>
        <w:tc>
          <w:tcPr>
            <w:tcW w:w="420" w:type="dxa"/>
            <w:vAlign w:val="bottom"/>
          </w:tcPr>
          <w:p>
            <w:pPr>
              <w:jc w:val="right"/>
              <w:ind w:right="26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6,823,955</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(23.1)</w:t>
            </w:r>
          </w:p>
        </w:tc>
        <w:tc>
          <w:tcPr>
            <w:tcW w:w="0" w:type="dxa"/>
            <w:vAlign w:val="bottom"/>
          </w:tcPr>
          <w:p>
            <w:pPr>
              <w:spacing w:after="0"/>
              <w:rPr>
                <w:sz w:val="1"/>
                <w:szCs w:val="1"/>
                <w:color w:val="auto"/>
              </w:rPr>
            </w:pPr>
          </w:p>
        </w:tc>
      </w:tr>
      <w:tr>
        <w:trPr>
          <w:trHeight w:val="214"/>
        </w:trPr>
        <w:tc>
          <w:tcPr>
            <w:tcW w:w="4020" w:type="dxa"/>
            <w:vAlign w:val="bottom"/>
            <w:shd w:val="clear" w:color="auto" w:fill="CCEEFF"/>
          </w:tcPr>
          <w:p>
            <w:pPr>
              <w:ind w:left="540"/>
              <w:spacing w:after="0"/>
              <w:rPr>
                <w:sz w:val="20"/>
                <w:szCs w:val="20"/>
                <w:color w:val="auto"/>
              </w:rPr>
            </w:pPr>
            <w:r>
              <w:rPr>
                <w:rFonts w:ascii="Arial" w:cs="Arial" w:eastAsia="Arial" w:hAnsi="Arial"/>
                <w:sz w:val="16"/>
                <w:szCs w:val="16"/>
                <w:color w:val="auto"/>
              </w:rPr>
              <w:t xml:space="preserve">VIP table games win </w:t>
            </w:r>
            <w:r>
              <w:rPr>
                <w:rFonts w:ascii="Arial" w:cs="Arial" w:eastAsia="Arial" w:hAnsi="Arial"/>
                <w:sz w:val="14"/>
                <w:szCs w:val="14"/>
                <w:color w:val="auto"/>
              </w:rPr>
              <w:t>(1)</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54,943</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3,244</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1,593.7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222,968</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113,007</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97.3</w:t>
            </w:r>
          </w:p>
        </w:tc>
        <w:tc>
          <w:tcPr>
            <w:tcW w:w="0" w:type="dxa"/>
            <w:vAlign w:val="bottom"/>
          </w:tcPr>
          <w:p>
            <w:pPr>
              <w:spacing w:after="0"/>
              <w:rPr>
                <w:sz w:val="1"/>
                <w:szCs w:val="1"/>
                <w:color w:val="auto"/>
              </w:rPr>
            </w:pPr>
          </w:p>
        </w:tc>
      </w:tr>
      <w:tr>
        <w:trPr>
          <w:trHeight w:val="207"/>
        </w:trPr>
        <w:tc>
          <w:tcPr>
            <w:tcW w:w="4020" w:type="dxa"/>
            <w:vAlign w:val="bottom"/>
          </w:tcPr>
          <w:p>
            <w:pPr>
              <w:ind w:left="540"/>
              <w:spacing w:after="0"/>
              <w:rPr>
                <w:sz w:val="20"/>
                <w:szCs w:val="20"/>
                <w:color w:val="auto"/>
              </w:rPr>
            </w:pPr>
            <w:r>
              <w:rPr>
                <w:rFonts w:ascii="Arial" w:cs="Arial" w:eastAsia="Arial" w:hAnsi="Arial"/>
                <w:sz w:val="16"/>
                <w:szCs w:val="16"/>
                <w:color w:val="auto"/>
              </w:rPr>
              <w:t>VIP table games win as a % of turnover</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4.45 %</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1.04 %</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4.25 %</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1.66 %</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20" w:type="dxa"/>
            <w:vAlign w:val="bottom"/>
            <w:shd w:val="clear" w:color="auto" w:fill="CCEEFF"/>
          </w:tcPr>
          <w:p>
            <w:pPr>
              <w:ind w:left="540"/>
              <w:spacing w:after="0"/>
              <w:rPr>
                <w:sz w:val="20"/>
                <w:szCs w:val="20"/>
                <w:color w:val="auto"/>
              </w:rPr>
            </w:pPr>
            <w:r>
              <w:rPr>
                <w:rFonts w:ascii="Arial" w:cs="Arial" w:eastAsia="Arial" w:hAnsi="Arial"/>
                <w:sz w:val="16"/>
                <w:szCs w:val="16"/>
                <w:color w:val="auto"/>
              </w:rPr>
              <w:t>Table games win per unit per day</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6,691</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347</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1,828.2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8,548</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4,458</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91.7</w:t>
            </w:r>
          </w:p>
        </w:tc>
        <w:tc>
          <w:tcPr>
            <w:tcW w:w="0" w:type="dxa"/>
            <w:vAlign w:val="bottom"/>
          </w:tcPr>
          <w:p>
            <w:pPr>
              <w:spacing w:after="0"/>
              <w:rPr>
                <w:sz w:val="1"/>
                <w:szCs w:val="1"/>
                <w:color w:val="auto"/>
              </w:rPr>
            </w:pPr>
          </w:p>
        </w:tc>
      </w:tr>
      <w:tr>
        <w:trPr>
          <w:trHeight w:val="207"/>
        </w:trPr>
        <w:tc>
          <w:tcPr>
            <w:tcW w:w="4020" w:type="dxa"/>
            <w:vAlign w:val="bottom"/>
          </w:tcPr>
          <w:p>
            <w:pPr>
              <w:ind w:left="340"/>
              <w:spacing w:after="0"/>
              <w:rPr>
                <w:sz w:val="20"/>
                <w:szCs w:val="20"/>
                <w:color w:val="auto"/>
              </w:rPr>
            </w:pPr>
            <w:r>
              <w:rPr>
                <w:rFonts w:ascii="Arial" w:cs="Arial" w:eastAsia="Arial" w:hAnsi="Arial"/>
                <w:sz w:val="16"/>
                <w:szCs w:val="16"/>
                <w:color w:val="auto"/>
              </w:rPr>
              <w:t>Mass market:</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20" w:type="dxa"/>
            <w:vAlign w:val="bottom"/>
            <w:shd w:val="clear" w:color="auto" w:fill="CCEEFF"/>
          </w:tcPr>
          <w:p>
            <w:pPr>
              <w:ind w:left="540"/>
              <w:spacing w:after="0"/>
              <w:rPr>
                <w:sz w:val="20"/>
                <w:szCs w:val="20"/>
                <w:color w:val="auto"/>
              </w:rPr>
            </w:pPr>
            <w:r>
              <w:rPr>
                <w:rFonts w:ascii="Arial" w:cs="Arial" w:eastAsia="Arial" w:hAnsi="Arial"/>
                <w:sz w:val="16"/>
                <w:szCs w:val="16"/>
                <w:color w:val="auto"/>
              </w:rPr>
              <w:t>Average number of table games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231</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223</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227</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209</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207"/>
        </w:trPr>
        <w:tc>
          <w:tcPr>
            <w:tcW w:w="4020" w:type="dxa"/>
            <w:vAlign w:val="bottom"/>
          </w:tcPr>
          <w:p>
            <w:pPr>
              <w:ind w:left="540"/>
              <w:spacing w:after="0"/>
              <w:rPr>
                <w:sz w:val="20"/>
                <w:szCs w:val="20"/>
                <w:color w:val="auto"/>
              </w:rPr>
            </w:pPr>
            <w:r>
              <w:rPr>
                <w:rFonts w:ascii="Arial" w:cs="Arial" w:eastAsia="Arial" w:hAnsi="Arial"/>
                <w:sz w:val="16"/>
                <w:szCs w:val="16"/>
                <w:color w:val="auto"/>
              </w:rPr>
              <w:t xml:space="preserve">Table drop </w:t>
            </w:r>
            <w:r>
              <w:rPr>
                <w:rFonts w:ascii="Arial" w:cs="Arial" w:eastAsia="Arial" w:hAnsi="Arial"/>
                <w:sz w:val="14"/>
                <w:szCs w:val="14"/>
                <w:color w:val="auto"/>
              </w:rPr>
              <w:t>(2)</w:t>
            </w: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42"/>
              <w:spacing w:after="0"/>
              <w:rPr>
                <w:sz w:val="20"/>
                <w:szCs w:val="20"/>
                <w:color w:val="auto"/>
              </w:rPr>
            </w:pPr>
            <w:r>
              <w:rPr>
                <w:rFonts w:ascii="Arial" w:cs="Arial" w:eastAsia="Arial" w:hAnsi="Arial"/>
                <w:sz w:val="16"/>
                <w:szCs w:val="16"/>
                <w:color w:val="auto"/>
              </w:rPr>
              <w:t>508,779</w:t>
            </w:r>
          </w:p>
        </w:tc>
        <w:tc>
          <w:tcPr>
            <w:tcW w:w="160" w:type="dxa"/>
            <w:vAlign w:val="bottom"/>
          </w:tcPr>
          <w:p>
            <w:pPr>
              <w:spacing w:after="0"/>
              <w:rPr>
                <w:sz w:val="18"/>
                <w:szCs w:val="18"/>
                <w:color w:val="auto"/>
              </w:rPr>
            </w:pPr>
          </w:p>
        </w:tc>
        <w:tc>
          <w:tcPr>
            <w:tcW w:w="420" w:type="dxa"/>
            <w:vAlign w:val="bottom"/>
          </w:tcPr>
          <w:p>
            <w:pPr>
              <w:jc w:val="right"/>
              <w:ind w:right="26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86,347</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489.2</w:t>
            </w:r>
          </w:p>
        </w:tc>
        <w:tc>
          <w:tcPr>
            <w:tcW w:w="1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42"/>
              <w:spacing w:after="0"/>
              <w:rPr>
                <w:sz w:val="20"/>
                <w:szCs w:val="20"/>
                <w:color w:val="auto"/>
              </w:rPr>
            </w:pPr>
            <w:r>
              <w:rPr>
                <w:rFonts w:ascii="Arial" w:cs="Arial" w:eastAsia="Arial" w:hAnsi="Arial"/>
                <w:sz w:val="16"/>
                <w:szCs w:val="16"/>
                <w:color w:val="auto"/>
              </w:rPr>
              <w:t>1,823,792</w:t>
            </w:r>
          </w:p>
        </w:tc>
        <w:tc>
          <w:tcPr>
            <w:tcW w:w="160" w:type="dxa"/>
            <w:vAlign w:val="bottom"/>
          </w:tcPr>
          <w:p>
            <w:pPr>
              <w:spacing w:after="0"/>
              <w:rPr>
                <w:sz w:val="18"/>
                <w:szCs w:val="18"/>
                <w:color w:val="auto"/>
              </w:rPr>
            </w:pPr>
          </w:p>
        </w:tc>
        <w:tc>
          <w:tcPr>
            <w:tcW w:w="420" w:type="dxa"/>
            <w:vAlign w:val="bottom"/>
          </w:tcPr>
          <w:p>
            <w:pPr>
              <w:jc w:val="right"/>
              <w:ind w:right="26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583,599</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212.5</w:t>
            </w:r>
          </w:p>
        </w:tc>
        <w:tc>
          <w:tcPr>
            <w:tcW w:w="0" w:type="dxa"/>
            <w:vAlign w:val="bottom"/>
          </w:tcPr>
          <w:p>
            <w:pPr>
              <w:spacing w:after="0"/>
              <w:rPr>
                <w:sz w:val="1"/>
                <w:szCs w:val="1"/>
                <w:color w:val="auto"/>
              </w:rPr>
            </w:pPr>
          </w:p>
        </w:tc>
      </w:tr>
      <w:tr>
        <w:trPr>
          <w:trHeight w:val="214"/>
        </w:trPr>
        <w:tc>
          <w:tcPr>
            <w:tcW w:w="4020" w:type="dxa"/>
            <w:vAlign w:val="bottom"/>
            <w:shd w:val="clear" w:color="auto" w:fill="CCEEFF"/>
          </w:tcPr>
          <w:p>
            <w:pPr>
              <w:ind w:left="540"/>
              <w:spacing w:after="0"/>
              <w:rPr>
                <w:sz w:val="20"/>
                <w:szCs w:val="20"/>
                <w:color w:val="auto"/>
              </w:rPr>
            </w:pPr>
            <w:r>
              <w:rPr>
                <w:rFonts w:ascii="Arial" w:cs="Arial" w:eastAsia="Arial" w:hAnsi="Arial"/>
                <w:sz w:val="16"/>
                <w:szCs w:val="16"/>
                <w:color w:val="auto"/>
              </w:rPr>
              <w:t xml:space="preserve">Table games win </w:t>
            </w:r>
            <w:r>
              <w:rPr>
                <w:rFonts w:ascii="Arial" w:cs="Arial" w:eastAsia="Arial" w:hAnsi="Arial"/>
                <w:sz w:val="14"/>
                <w:szCs w:val="14"/>
                <w:color w:val="auto"/>
              </w:rPr>
              <w:t>(1)</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110,820</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19,015</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482.8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406,016</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156,897</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158.8</w:t>
            </w:r>
          </w:p>
        </w:tc>
        <w:tc>
          <w:tcPr>
            <w:tcW w:w="0" w:type="dxa"/>
            <w:vAlign w:val="bottom"/>
          </w:tcPr>
          <w:p>
            <w:pPr>
              <w:spacing w:after="0"/>
              <w:rPr>
                <w:sz w:val="1"/>
                <w:szCs w:val="1"/>
                <w:color w:val="auto"/>
              </w:rPr>
            </w:pPr>
          </w:p>
        </w:tc>
      </w:tr>
      <w:tr>
        <w:trPr>
          <w:trHeight w:val="207"/>
        </w:trPr>
        <w:tc>
          <w:tcPr>
            <w:tcW w:w="4020" w:type="dxa"/>
            <w:vAlign w:val="bottom"/>
          </w:tcPr>
          <w:p>
            <w:pPr>
              <w:ind w:left="540"/>
              <w:spacing w:after="0"/>
              <w:rPr>
                <w:sz w:val="20"/>
                <w:szCs w:val="20"/>
                <w:color w:val="auto"/>
              </w:rPr>
            </w:pPr>
            <w:r>
              <w:rPr>
                <w:rFonts w:ascii="Arial" w:cs="Arial" w:eastAsia="Arial" w:hAnsi="Arial"/>
                <w:sz w:val="16"/>
                <w:szCs w:val="16"/>
                <w:color w:val="auto"/>
              </w:rPr>
              <w:t>Table games win %</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21.8 %</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22.0 %</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22.3 %</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26.9 %</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20" w:type="dxa"/>
            <w:vAlign w:val="bottom"/>
            <w:shd w:val="clear" w:color="auto" w:fill="CCEEFF"/>
          </w:tcPr>
          <w:p>
            <w:pPr>
              <w:ind w:left="540"/>
              <w:spacing w:after="0"/>
              <w:rPr>
                <w:sz w:val="20"/>
                <w:szCs w:val="20"/>
                <w:color w:val="auto"/>
              </w:rPr>
            </w:pPr>
            <w:r>
              <w:rPr>
                <w:rFonts w:ascii="Arial" w:cs="Arial" w:eastAsia="Arial" w:hAnsi="Arial"/>
                <w:sz w:val="16"/>
                <w:szCs w:val="16"/>
                <w:color w:val="auto"/>
              </w:rPr>
              <w:t>Table games win per unit per day</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5,223</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929</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462.2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6,555</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2,889</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126.9</w:t>
            </w:r>
          </w:p>
        </w:tc>
        <w:tc>
          <w:tcPr>
            <w:tcW w:w="0" w:type="dxa"/>
            <w:vAlign w:val="bottom"/>
          </w:tcPr>
          <w:p>
            <w:pPr>
              <w:spacing w:after="0"/>
              <w:rPr>
                <w:sz w:val="1"/>
                <w:szCs w:val="1"/>
                <w:color w:val="auto"/>
              </w:rPr>
            </w:pPr>
          </w:p>
        </w:tc>
      </w:tr>
      <w:tr>
        <w:trPr>
          <w:trHeight w:val="207"/>
        </w:trPr>
        <w:tc>
          <w:tcPr>
            <w:tcW w:w="4020" w:type="dxa"/>
            <w:vAlign w:val="bottom"/>
          </w:tcPr>
          <w:p>
            <w:pPr>
              <w:ind w:left="540"/>
              <w:spacing w:after="0"/>
              <w:rPr>
                <w:sz w:val="20"/>
                <w:szCs w:val="20"/>
                <w:color w:val="auto"/>
              </w:rPr>
            </w:pPr>
            <w:r>
              <w:rPr>
                <w:rFonts w:ascii="Arial" w:cs="Arial" w:eastAsia="Arial" w:hAnsi="Arial"/>
                <w:sz w:val="16"/>
                <w:szCs w:val="16"/>
                <w:color w:val="auto"/>
              </w:rPr>
              <w:t>Average number of slot machines</w:t>
            </w:r>
          </w:p>
        </w:tc>
        <w:tc>
          <w:tcPr>
            <w:tcW w:w="300" w:type="dxa"/>
            <w:vAlign w:val="bottom"/>
          </w:tcPr>
          <w:p>
            <w:pPr>
              <w:spacing w:after="0"/>
              <w:rPr>
                <w:sz w:val="18"/>
                <w:szCs w:val="18"/>
                <w:color w:val="auto"/>
              </w:rPr>
            </w:pPr>
          </w:p>
        </w:tc>
        <w:tc>
          <w:tcPr>
            <w:tcW w:w="980" w:type="dxa"/>
            <w:vAlign w:val="bottom"/>
          </w:tcPr>
          <w:p>
            <w:pPr>
              <w:jc w:val="right"/>
              <w:ind w:right="42"/>
              <w:spacing w:after="0"/>
              <w:rPr>
                <w:sz w:val="20"/>
                <w:szCs w:val="20"/>
                <w:color w:val="auto"/>
              </w:rPr>
            </w:pPr>
            <w:r>
              <w:rPr>
                <w:rFonts w:ascii="Arial" w:cs="Arial" w:eastAsia="Arial" w:hAnsi="Arial"/>
                <w:sz w:val="16"/>
                <w:szCs w:val="16"/>
                <w:color w:val="auto"/>
              </w:rPr>
              <w:t>712</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569</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25.1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42"/>
              <w:spacing w:after="0"/>
              <w:rPr>
                <w:sz w:val="20"/>
                <w:szCs w:val="20"/>
                <w:color w:val="auto"/>
              </w:rPr>
            </w:pPr>
            <w:r>
              <w:rPr>
                <w:rFonts w:ascii="Arial" w:cs="Arial" w:eastAsia="Arial" w:hAnsi="Arial"/>
                <w:sz w:val="16"/>
                <w:szCs w:val="16"/>
                <w:color w:val="auto"/>
              </w:rPr>
              <w:t>708</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586</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20.8</w:t>
            </w:r>
          </w:p>
        </w:tc>
        <w:tc>
          <w:tcPr>
            <w:tcW w:w="0" w:type="dxa"/>
            <w:vAlign w:val="bottom"/>
          </w:tcPr>
          <w:p>
            <w:pPr>
              <w:spacing w:after="0"/>
              <w:rPr>
                <w:sz w:val="1"/>
                <w:szCs w:val="1"/>
                <w:color w:val="auto"/>
              </w:rPr>
            </w:pPr>
          </w:p>
        </w:tc>
      </w:tr>
      <w:tr>
        <w:trPr>
          <w:trHeight w:val="214"/>
        </w:trPr>
        <w:tc>
          <w:tcPr>
            <w:tcW w:w="4020" w:type="dxa"/>
            <w:vAlign w:val="bottom"/>
            <w:shd w:val="clear" w:color="auto" w:fill="CCEEFF"/>
          </w:tcPr>
          <w:p>
            <w:pPr>
              <w:ind w:left="540"/>
              <w:spacing w:after="0"/>
              <w:rPr>
                <w:sz w:val="20"/>
                <w:szCs w:val="20"/>
                <w:color w:val="auto"/>
              </w:rPr>
            </w:pPr>
            <w:r>
              <w:rPr>
                <w:rFonts w:ascii="Arial" w:cs="Arial" w:eastAsia="Arial" w:hAnsi="Arial"/>
                <w:sz w:val="16"/>
                <w:szCs w:val="16"/>
                <w:color w:val="auto"/>
              </w:rPr>
              <w:t>Slot machine handle</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327,017</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78,580</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1,107,058</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542,708</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104.0</w:t>
            </w:r>
          </w:p>
        </w:tc>
        <w:tc>
          <w:tcPr>
            <w:tcW w:w="0" w:type="dxa"/>
            <w:vAlign w:val="bottom"/>
          </w:tcPr>
          <w:p>
            <w:pPr>
              <w:spacing w:after="0"/>
              <w:rPr>
                <w:sz w:val="1"/>
                <w:szCs w:val="1"/>
                <w:color w:val="auto"/>
              </w:rPr>
            </w:pPr>
          </w:p>
        </w:tc>
      </w:tr>
      <w:tr>
        <w:trPr>
          <w:trHeight w:val="207"/>
        </w:trPr>
        <w:tc>
          <w:tcPr>
            <w:tcW w:w="4020" w:type="dxa"/>
            <w:vAlign w:val="bottom"/>
          </w:tcPr>
          <w:p>
            <w:pPr>
              <w:ind w:left="540"/>
              <w:spacing w:after="0"/>
              <w:rPr>
                <w:sz w:val="20"/>
                <w:szCs w:val="20"/>
                <w:color w:val="auto"/>
              </w:rPr>
            </w:pPr>
            <w:r>
              <w:rPr>
                <w:rFonts w:ascii="Arial" w:cs="Arial" w:eastAsia="Arial" w:hAnsi="Arial"/>
                <w:sz w:val="16"/>
                <w:szCs w:val="16"/>
                <w:color w:val="auto"/>
              </w:rPr>
              <w:t xml:space="preserve">Slot machine win </w:t>
            </w:r>
            <w:r>
              <w:rPr>
                <w:rFonts w:ascii="Arial" w:cs="Arial" w:eastAsia="Arial" w:hAnsi="Arial"/>
                <w:sz w:val="14"/>
                <w:szCs w:val="14"/>
                <w:color w:val="auto"/>
              </w:rPr>
              <w:t>(3)</w:t>
            </w: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42"/>
              <w:spacing w:after="0"/>
              <w:rPr>
                <w:sz w:val="20"/>
                <w:szCs w:val="20"/>
                <w:color w:val="auto"/>
              </w:rPr>
            </w:pPr>
            <w:r>
              <w:rPr>
                <w:rFonts w:ascii="Arial" w:cs="Arial" w:eastAsia="Arial" w:hAnsi="Arial"/>
                <w:sz w:val="16"/>
                <w:szCs w:val="16"/>
                <w:color w:val="auto"/>
              </w:rPr>
              <w:t>11,538</w:t>
            </w:r>
          </w:p>
        </w:tc>
        <w:tc>
          <w:tcPr>
            <w:tcW w:w="160" w:type="dxa"/>
            <w:vAlign w:val="bottom"/>
          </w:tcPr>
          <w:p>
            <w:pPr>
              <w:spacing w:after="0"/>
              <w:rPr>
                <w:sz w:val="18"/>
                <w:szCs w:val="18"/>
                <w:color w:val="auto"/>
              </w:rPr>
            </w:pPr>
          </w:p>
        </w:tc>
        <w:tc>
          <w:tcPr>
            <w:tcW w:w="420" w:type="dxa"/>
            <w:vAlign w:val="bottom"/>
          </w:tcPr>
          <w:p>
            <w:pPr>
              <w:jc w:val="right"/>
              <w:ind w:right="26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3,995</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188.8</w:t>
            </w:r>
          </w:p>
        </w:tc>
        <w:tc>
          <w:tcPr>
            <w:tcW w:w="1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42"/>
              <w:spacing w:after="0"/>
              <w:rPr>
                <w:sz w:val="20"/>
                <w:szCs w:val="20"/>
                <w:color w:val="auto"/>
              </w:rPr>
            </w:pPr>
            <w:r>
              <w:rPr>
                <w:rFonts w:ascii="Arial" w:cs="Arial" w:eastAsia="Arial" w:hAnsi="Arial"/>
                <w:sz w:val="16"/>
                <w:szCs w:val="16"/>
                <w:color w:val="auto"/>
              </w:rPr>
              <w:t>44,553</w:t>
            </w:r>
          </w:p>
        </w:tc>
        <w:tc>
          <w:tcPr>
            <w:tcW w:w="160" w:type="dxa"/>
            <w:vAlign w:val="bottom"/>
          </w:tcPr>
          <w:p>
            <w:pPr>
              <w:spacing w:after="0"/>
              <w:rPr>
                <w:sz w:val="18"/>
                <w:szCs w:val="18"/>
                <w:color w:val="auto"/>
              </w:rPr>
            </w:pPr>
          </w:p>
        </w:tc>
        <w:tc>
          <w:tcPr>
            <w:tcW w:w="420" w:type="dxa"/>
            <w:vAlign w:val="bottom"/>
          </w:tcPr>
          <w:p>
            <w:pPr>
              <w:jc w:val="right"/>
              <w:ind w:right="26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24,796</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79.7</w:t>
            </w:r>
          </w:p>
        </w:tc>
        <w:tc>
          <w:tcPr>
            <w:tcW w:w="0" w:type="dxa"/>
            <w:vAlign w:val="bottom"/>
          </w:tcPr>
          <w:p>
            <w:pPr>
              <w:spacing w:after="0"/>
              <w:rPr>
                <w:sz w:val="1"/>
                <w:szCs w:val="1"/>
                <w:color w:val="auto"/>
              </w:rPr>
            </w:pPr>
          </w:p>
        </w:tc>
      </w:tr>
      <w:tr>
        <w:trPr>
          <w:trHeight w:val="214"/>
        </w:trPr>
        <w:tc>
          <w:tcPr>
            <w:tcW w:w="4020" w:type="dxa"/>
            <w:vAlign w:val="bottom"/>
            <w:shd w:val="clear" w:color="auto" w:fill="CCEEFF"/>
          </w:tcPr>
          <w:p>
            <w:pPr>
              <w:ind w:left="540"/>
              <w:spacing w:after="0"/>
              <w:rPr>
                <w:sz w:val="20"/>
                <w:szCs w:val="20"/>
                <w:color w:val="auto"/>
              </w:rPr>
            </w:pPr>
            <w:r>
              <w:rPr>
                <w:rFonts w:ascii="Arial" w:cs="Arial" w:eastAsia="Arial" w:hAnsi="Arial"/>
                <w:sz w:val="16"/>
                <w:szCs w:val="16"/>
                <w:color w:val="auto"/>
              </w:rPr>
              <w:t>Slot machine win per unit per day</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176</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76</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230</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163</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w:t>
            </w:r>
          </w:p>
        </w:tc>
        <w:tc>
          <w:tcPr>
            <w:tcW w:w="0" w:type="dxa"/>
            <w:vAlign w:val="bottom"/>
          </w:tcPr>
          <w:p>
            <w:pPr>
              <w:spacing w:after="0"/>
              <w:rPr>
                <w:sz w:val="1"/>
                <w:szCs w:val="1"/>
                <w:color w:val="auto"/>
              </w:rPr>
            </w:pPr>
          </w:p>
        </w:tc>
      </w:tr>
      <w:tr>
        <w:trPr>
          <w:trHeight w:val="207"/>
        </w:trPr>
        <w:tc>
          <w:tcPr>
            <w:tcW w:w="4020" w:type="dxa"/>
            <w:vAlign w:val="bottom"/>
          </w:tcPr>
          <w:p>
            <w:pPr>
              <w:ind w:left="220"/>
              <w:spacing w:after="0"/>
              <w:rPr>
                <w:sz w:val="20"/>
                <w:szCs w:val="20"/>
                <w:color w:val="auto"/>
              </w:rPr>
            </w:pPr>
            <w:r>
              <w:rPr>
                <w:rFonts w:ascii="Arial" w:cs="Arial" w:eastAsia="Arial" w:hAnsi="Arial"/>
                <w:sz w:val="16"/>
                <w:szCs w:val="16"/>
                <w:color w:val="auto"/>
              </w:rPr>
              <w:t>Room statistics:</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20" w:type="dxa"/>
            <w:vAlign w:val="bottom"/>
            <w:shd w:val="clear" w:color="auto" w:fill="CCEEFF"/>
          </w:tcPr>
          <w:p>
            <w:pPr>
              <w:ind w:left="540"/>
              <w:spacing w:after="0"/>
              <w:rPr>
                <w:sz w:val="20"/>
                <w:szCs w:val="20"/>
                <w:color w:val="auto"/>
              </w:rPr>
            </w:pPr>
            <w:r>
              <w:rPr>
                <w:rFonts w:ascii="Arial" w:cs="Arial" w:eastAsia="Arial" w:hAnsi="Arial"/>
                <w:sz w:val="16"/>
                <w:szCs w:val="16"/>
                <w:color w:val="auto"/>
              </w:rPr>
              <w:t>Occupancy</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51.9%</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11.6%</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61.1%</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19.3%</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020" w:type="dxa"/>
            <w:vAlign w:val="bottom"/>
          </w:tcPr>
          <w:p>
            <w:pPr>
              <w:ind w:left="540"/>
              <w:spacing w:after="0"/>
              <w:rPr>
                <w:sz w:val="20"/>
                <w:szCs w:val="20"/>
                <w:color w:val="auto"/>
              </w:rPr>
            </w:pPr>
            <w:r>
              <w:rPr>
                <w:rFonts w:ascii="Arial" w:cs="Arial" w:eastAsia="Arial" w:hAnsi="Arial"/>
                <w:sz w:val="16"/>
                <w:szCs w:val="16"/>
                <w:color w:val="auto"/>
              </w:rPr>
              <w:t xml:space="preserve">ADR </w:t>
            </w:r>
            <w:r>
              <w:rPr>
                <w:rFonts w:ascii="Arial" w:cs="Arial" w:eastAsia="Arial" w:hAnsi="Arial"/>
                <w:sz w:val="14"/>
                <w:szCs w:val="14"/>
                <w:color w:val="auto"/>
              </w:rPr>
              <w:t>(4)</w:t>
            </w: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42"/>
              <w:spacing w:after="0"/>
              <w:rPr>
                <w:sz w:val="20"/>
                <w:szCs w:val="20"/>
                <w:color w:val="auto"/>
              </w:rPr>
            </w:pPr>
            <w:r>
              <w:rPr>
                <w:rFonts w:ascii="Arial" w:cs="Arial" w:eastAsia="Arial" w:hAnsi="Arial"/>
                <w:sz w:val="16"/>
                <w:szCs w:val="16"/>
                <w:color w:val="auto"/>
              </w:rPr>
              <w:t>187</w:t>
            </w:r>
          </w:p>
        </w:tc>
        <w:tc>
          <w:tcPr>
            <w:tcW w:w="160" w:type="dxa"/>
            <w:vAlign w:val="bottom"/>
          </w:tcPr>
          <w:p>
            <w:pPr>
              <w:spacing w:after="0"/>
              <w:rPr>
                <w:sz w:val="18"/>
                <w:szCs w:val="18"/>
                <w:color w:val="auto"/>
              </w:rPr>
            </w:pPr>
          </w:p>
        </w:tc>
        <w:tc>
          <w:tcPr>
            <w:tcW w:w="420" w:type="dxa"/>
            <w:vAlign w:val="bottom"/>
          </w:tcPr>
          <w:p>
            <w:pPr>
              <w:jc w:val="right"/>
              <w:ind w:right="26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225</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(16.9)</w:t>
            </w:r>
          </w:p>
        </w:tc>
        <w:tc>
          <w:tcPr>
            <w:tcW w:w="1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42"/>
              <w:spacing w:after="0"/>
              <w:rPr>
                <w:sz w:val="20"/>
                <w:szCs w:val="20"/>
                <w:color w:val="auto"/>
              </w:rPr>
            </w:pPr>
            <w:r>
              <w:rPr>
                <w:rFonts w:ascii="Arial" w:cs="Arial" w:eastAsia="Arial" w:hAnsi="Arial"/>
                <w:sz w:val="16"/>
                <w:szCs w:val="16"/>
                <w:color w:val="auto"/>
              </w:rPr>
              <w:t>181</w:t>
            </w:r>
          </w:p>
        </w:tc>
        <w:tc>
          <w:tcPr>
            <w:tcW w:w="160" w:type="dxa"/>
            <w:vAlign w:val="bottom"/>
          </w:tcPr>
          <w:p>
            <w:pPr>
              <w:spacing w:after="0"/>
              <w:rPr>
                <w:sz w:val="18"/>
                <w:szCs w:val="18"/>
                <w:color w:val="auto"/>
              </w:rPr>
            </w:pPr>
          </w:p>
        </w:tc>
        <w:tc>
          <w:tcPr>
            <w:tcW w:w="420" w:type="dxa"/>
            <w:vAlign w:val="bottom"/>
          </w:tcPr>
          <w:p>
            <w:pPr>
              <w:jc w:val="right"/>
              <w:ind w:right="26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283</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(36.0)</w:t>
            </w:r>
          </w:p>
        </w:tc>
        <w:tc>
          <w:tcPr>
            <w:tcW w:w="0" w:type="dxa"/>
            <w:vAlign w:val="bottom"/>
          </w:tcPr>
          <w:p>
            <w:pPr>
              <w:spacing w:after="0"/>
              <w:rPr>
                <w:sz w:val="1"/>
                <w:szCs w:val="1"/>
                <w:color w:val="auto"/>
              </w:rPr>
            </w:pPr>
          </w:p>
        </w:tc>
      </w:tr>
      <w:tr>
        <w:trPr>
          <w:trHeight w:val="214"/>
        </w:trPr>
        <w:tc>
          <w:tcPr>
            <w:tcW w:w="4020" w:type="dxa"/>
            <w:vAlign w:val="bottom"/>
            <w:shd w:val="clear" w:color="auto" w:fill="CCEEFF"/>
          </w:tcPr>
          <w:p>
            <w:pPr>
              <w:ind w:left="540"/>
              <w:spacing w:after="0"/>
              <w:rPr>
                <w:sz w:val="20"/>
                <w:szCs w:val="20"/>
                <w:color w:val="auto"/>
              </w:rPr>
            </w:pPr>
            <w:r>
              <w:rPr>
                <w:rFonts w:ascii="Arial" w:cs="Arial" w:eastAsia="Arial" w:hAnsi="Arial"/>
                <w:sz w:val="16"/>
                <w:szCs w:val="16"/>
                <w:color w:val="auto"/>
              </w:rPr>
              <w:t xml:space="preserve">REVPAR </w:t>
            </w:r>
            <w:r>
              <w:rPr>
                <w:rFonts w:ascii="Arial" w:cs="Arial" w:eastAsia="Arial" w:hAnsi="Arial"/>
                <w:sz w:val="14"/>
                <w:szCs w:val="14"/>
                <w:color w:val="auto"/>
              </w:rPr>
              <w:t>(5)</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97</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26</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111</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54</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105.6</w:t>
            </w:r>
          </w:p>
        </w:tc>
        <w:tc>
          <w:tcPr>
            <w:tcW w:w="0" w:type="dxa"/>
            <w:vAlign w:val="bottom"/>
          </w:tcPr>
          <w:p>
            <w:pPr>
              <w:spacing w:after="0"/>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NM - Not meaningful.</w:t>
      </w:r>
    </w:p>
    <w:p>
      <w:pPr>
        <w:spacing w:after="0" w:line="14" w:lineRule="exact"/>
        <w:rPr>
          <w:sz w:val="20"/>
          <w:szCs w:val="20"/>
          <w:color w:val="auto"/>
        </w:rPr>
      </w:pPr>
    </w:p>
    <w:p>
      <w:pPr>
        <w:jc w:val="both"/>
        <w:spacing w:after="0" w:line="287" w:lineRule="auto"/>
        <w:rPr>
          <w:sz w:val="20"/>
          <w:szCs w:val="20"/>
          <w:color w:val="auto"/>
        </w:rPr>
      </w:pPr>
      <w:r>
        <w:rPr>
          <w:rFonts w:ascii="Arial" w:cs="Arial" w:eastAsia="Arial" w:hAnsi="Arial"/>
          <w:sz w:val="14"/>
          <w:szCs w:val="14"/>
          <w:color w:val="auto"/>
        </w:rPr>
        <w:t>Note: Our casino operations in Macau were closed for a 15-day period in February 2020 and resumed operations on a reduced basis on February 20, 2020. Our casinos' operations have since been fully restored; however, certain COVID-19 specific protective measures, such as limiting the number of seats per table game, increasing the spacing between active slot machines and visitor entry checks and requirements involving temperature checkpoints, mask wearing, health declarations and proof of negative COVID-19 test results for travelers seeking entry to Macau remain in effect at the present time. We are currently unable to determine when these measures will be lifted.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871"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DATA SCHEDULE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win per unit per day, ADR and REVPAR)</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(continued)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00" w:type="dxa"/>
            <w:vAlign w:val="bottom"/>
            <w:gridSpan w:val="5"/>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00" w:type="dxa"/>
            <w:vAlign w:val="bottom"/>
            <w:gridSpan w:val="5"/>
          </w:tcPr>
          <w:p>
            <w:pPr>
              <w:ind w:left="440"/>
              <w:spacing w:after="0"/>
              <w:rPr>
                <w:sz w:val="20"/>
                <w:szCs w:val="20"/>
                <w:color w:val="auto"/>
              </w:rPr>
            </w:pPr>
            <w:r>
              <w:rPr>
                <w:rFonts w:ascii="Arial" w:cs="Arial" w:eastAsia="Arial" w:hAnsi="Arial"/>
                <w:sz w:val="14"/>
                <w:szCs w:val="14"/>
                <w:b w:val="1"/>
                <w:bCs w:val="1"/>
                <w:color w:val="auto"/>
              </w:rPr>
              <w:t>Nine Months Ended</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0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right"/>
              <w:ind w:right="1"/>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40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vMerge w:val="restart"/>
          </w:tcPr>
          <w:p>
            <w:pPr>
              <w:jc w:val="right"/>
              <w:ind w:right="422"/>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40" w:type="dxa"/>
            <w:vAlign w:val="bottom"/>
            <w:vMerge w:val="restart"/>
          </w:tcPr>
          <w:p>
            <w:pPr>
              <w:jc w:val="right"/>
              <w:ind w:right="42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0"/>
                <w:szCs w:val="10"/>
                <w:color w:val="auto"/>
              </w:rPr>
            </w:pPr>
          </w:p>
        </w:tc>
        <w:tc>
          <w:tcPr>
            <w:tcW w:w="760" w:type="dxa"/>
            <w:vAlign w:val="bottom"/>
          </w:tcPr>
          <w:p>
            <w:pPr>
              <w:jc w:val="right"/>
              <w:ind w:right="62"/>
              <w:spacing w:after="0" w:line="125" w:lineRule="exact"/>
              <w:rPr>
                <w:sz w:val="20"/>
                <w:szCs w:val="20"/>
                <w:color w:val="auto"/>
              </w:rPr>
            </w:pPr>
            <w:r>
              <w:rPr>
                <w:rFonts w:ascii="Arial" w:cs="Arial" w:eastAsia="Arial" w:hAnsi="Arial"/>
                <w:sz w:val="14"/>
                <w:szCs w:val="14"/>
                <w:b w:val="1"/>
                <w:bCs w:val="1"/>
                <w:color w:val="auto"/>
              </w:rPr>
              <w:t>Percent</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vMerge w:val="restart"/>
          </w:tcPr>
          <w:p>
            <w:pPr>
              <w:jc w:val="right"/>
              <w:ind w:right="422"/>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60" w:type="dxa"/>
            <w:vAlign w:val="bottom"/>
            <w:vMerge w:val="restart"/>
          </w:tcPr>
          <w:p>
            <w:pPr>
              <w:jc w:val="right"/>
              <w:ind w:right="42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0"/>
                <w:szCs w:val="10"/>
                <w:color w:val="auto"/>
              </w:rPr>
            </w:pPr>
          </w:p>
        </w:tc>
        <w:tc>
          <w:tcPr>
            <w:tcW w:w="740" w:type="dxa"/>
            <w:vAlign w:val="bottom"/>
          </w:tcPr>
          <w:p>
            <w:pPr>
              <w:jc w:val="right"/>
              <w:ind w:right="62"/>
              <w:spacing w:after="0" w:line="125"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84"/>
        </w:trPr>
        <w:tc>
          <w:tcPr>
            <w:tcW w:w="4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Change</w:t>
            </w:r>
          </w:p>
        </w:tc>
        <w:tc>
          <w:tcPr>
            <w:tcW w:w="3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ind w:right="6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04"/>
        </w:trPr>
        <w:tc>
          <w:tcPr>
            <w:tcW w:w="4040" w:type="dxa"/>
            <w:vAlign w:val="bottom"/>
            <w:tcBorders>
              <w:top w:val="single" w:sz="8" w:color="CCEEFF"/>
            </w:tcBorders>
            <w:shd w:val="clear" w:color="auto" w:fill="CCEEFF"/>
          </w:tcPr>
          <w:p>
            <w:pPr>
              <w:ind w:left="20"/>
              <w:spacing w:after="0" w:line="204" w:lineRule="exact"/>
              <w:rPr>
                <w:sz w:val="20"/>
                <w:szCs w:val="20"/>
                <w:color w:val="auto"/>
              </w:rPr>
            </w:pPr>
            <w:r>
              <w:rPr>
                <w:rFonts w:ascii="Arial" w:cs="Arial" w:eastAsia="Arial" w:hAnsi="Arial"/>
                <w:sz w:val="18"/>
                <w:szCs w:val="18"/>
                <w:b w:val="1"/>
                <w:bCs w:val="1"/>
                <w:color w:val="auto"/>
              </w:rPr>
              <w:t>Wynn Macau Supplemental Information</w:t>
            </w:r>
          </w:p>
        </w:tc>
        <w:tc>
          <w:tcPr>
            <w:tcW w:w="3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040" w:type="dxa"/>
            <w:vAlign w:val="bottom"/>
          </w:tcPr>
          <w:p>
            <w:pPr>
              <w:ind w:left="220"/>
              <w:spacing w:after="0"/>
              <w:rPr>
                <w:sz w:val="20"/>
                <w:szCs w:val="20"/>
                <w:color w:val="auto"/>
              </w:rPr>
            </w:pPr>
            <w:r>
              <w:rPr>
                <w:rFonts w:ascii="Arial" w:cs="Arial" w:eastAsia="Arial" w:hAnsi="Arial"/>
                <w:sz w:val="16"/>
                <w:szCs w:val="16"/>
                <w:color w:val="auto"/>
              </w:rPr>
              <w:t>Operating revenues</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Casino</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98,264</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27,154</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379,610</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213,758</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77.6</w:t>
            </w:r>
          </w:p>
        </w:tc>
        <w:tc>
          <w:tcPr>
            <w:tcW w:w="0" w:type="dxa"/>
            <w:vAlign w:val="bottom"/>
          </w:tcPr>
          <w:p>
            <w:pPr>
              <w:spacing w:after="0"/>
              <w:rPr>
                <w:sz w:val="1"/>
                <w:szCs w:val="1"/>
                <w:color w:val="auto"/>
              </w:rPr>
            </w:pPr>
          </w:p>
        </w:tc>
      </w:tr>
      <w:tr>
        <w:trPr>
          <w:trHeight w:val="207"/>
        </w:trPr>
        <w:tc>
          <w:tcPr>
            <w:tcW w:w="4040" w:type="dxa"/>
            <w:vAlign w:val="bottom"/>
          </w:tcPr>
          <w:p>
            <w:pPr>
              <w:ind w:left="340"/>
              <w:spacing w:after="0"/>
              <w:rPr>
                <w:sz w:val="20"/>
                <w:szCs w:val="20"/>
                <w:color w:val="auto"/>
              </w:rPr>
            </w:pPr>
            <w:r>
              <w:rPr>
                <w:rFonts w:ascii="Arial" w:cs="Arial" w:eastAsia="Arial" w:hAnsi="Arial"/>
                <w:sz w:val="16"/>
                <w:szCs w:val="16"/>
                <w:color w:val="auto"/>
              </w:rPr>
              <w:t>Rooms</w:t>
            </w:r>
          </w:p>
        </w:tc>
        <w:tc>
          <w:tcPr>
            <w:tcW w:w="300" w:type="dxa"/>
            <w:vAlign w:val="bottom"/>
          </w:tcPr>
          <w:p>
            <w:pPr>
              <w:spacing w:after="0"/>
              <w:rPr>
                <w:sz w:val="18"/>
                <w:szCs w:val="18"/>
                <w:color w:val="auto"/>
              </w:rPr>
            </w:pPr>
          </w:p>
        </w:tc>
        <w:tc>
          <w:tcPr>
            <w:tcW w:w="980" w:type="dxa"/>
            <w:vAlign w:val="bottom"/>
          </w:tcPr>
          <w:p>
            <w:pPr>
              <w:jc w:val="right"/>
              <w:ind w:right="42"/>
              <w:spacing w:after="0"/>
              <w:rPr>
                <w:sz w:val="20"/>
                <w:szCs w:val="20"/>
                <w:color w:val="auto"/>
              </w:rPr>
            </w:pPr>
            <w:r>
              <w:rPr>
                <w:rFonts w:ascii="Arial" w:cs="Arial" w:eastAsia="Arial" w:hAnsi="Arial"/>
                <w:sz w:val="16"/>
                <w:szCs w:val="16"/>
                <w:color w:val="auto"/>
              </w:rPr>
              <w:t>10,896</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4,938</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120.7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ind w:right="42"/>
              <w:spacing w:after="0"/>
              <w:rPr>
                <w:sz w:val="20"/>
                <w:szCs w:val="20"/>
                <w:color w:val="auto"/>
              </w:rPr>
            </w:pPr>
            <w:r>
              <w:rPr>
                <w:rFonts w:ascii="Arial" w:cs="Arial" w:eastAsia="Arial" w:hAnsi="Arial"/>
                <w:sz w:val="16"/>
                <w:szCs w:val="16"/>
                <w:color w:val="auto"/>
              </w:rPr>
              <w:t>39,025</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23,480</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66.2</w:t>
            </w:r>
          </w:p>
        </w:tc>
        <w:tc>
          <w:tcPr>
            <w:tcW w:w="0" w:type="dxa"/>
            <w:vAlign w:val="bottom"/>
          </w:tcPr>
          <w:p>
            <w:pPr>
              <w:spacing w:after="0"/>
              <w:rPr>
                <w:sz w:val="1"/>
                <w:szCs w:val="1"/>
                <w:color w:val="auto"/>
              </w:rPr>
            </w:pPr>
          </w:p>
        </w:tc>
      </w:tr>
      <w:tr>
        <w:trPr>
          <w:trHeight w:val="214"/>
        </w:trPr>
        <w:tc>
          <w:tcPr>
            <w:tcW w:w="40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Food and beverage</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7,628</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5,606</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23,620</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18,821</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0" w:type="dxa"/>
            <w:vAlign w:val="bottom"/>
          </w:tcPr>
          <w:p>
            <w:pPr>
              <w:spacing w:after="0"/>
              <w:rPr>
                <w:sz w:val="1"/>
                <w:szCs w:val="1"/>
                <w:color w:val="auto"/>
              </w:rPr>
            </w:pPr>
          </w:p>
        </w:tc>
      </w:tr>
      <w:tr>
        <w:trPr>
          <w:trHeight w:val="207"/>
        </w:trPr>
        <w:tc>
          <w:tcPr>
            <w:tcW w:w="40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 xml:space="preserve">Entertainment, retail and other </w:t>
            </w:r>
            <w:r>
              <w:rPr>
                <w:rFonts w:ascii="Arial" w:cs="Arial" w:eastAsia="Arial" w:hAnsi="Arial"/>
                <w:sz w:val="14"/>
                <w:szCs w:val="14"/>
                <w:color w:val="auto"/>
              </w:rPr>
              <w:t>(7)</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13,874</w:t>
            </w:r>
          </w:p>
        </w:tc>
        <w:tc>
          <w:tcPr>
            <w:tcW w:w="14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13,670</w:t>
            </w:r>
          </w:p>
        </w:tc>
        <w:tc>
          <w:tcPr>
            <w:tcW w:w="1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52,086</w:t>
            </w:r>
          </w:p>
        </w:tc>
        <w:tc>
          <w:tcPr>
            <w:tcW w:w="14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36,686</w:t>
            </w:r>
          </w:p>
        </w:tc>
        <w:tc>
          <w:tcPr>
            <w:tcW w:w="1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42.0</w:t>
            </w:r>
          </w:p>
        </w:tc>
        <w:tc>
          <w:tcPr>
            <w:tcW w:w="0" w:type="dxa"/>
            <w:vAlign w:val="bottom"/>
          </w:tcPr>
          <w:p>
            <w:pPr>
              <w:spacing w:after="0"/>
              <w:rPr>
                <w:sz w:val="1"/>
                <w:szCs w:val="1"/>
                <w:color w:val="auto"/>
              </w:rPr>
            </w:pPr>
          </w:p>
        </w:tc>
      </w:tr>
      <w:tr>
        <w:trPr>
          <w:trHeight w:val="207"/>
        </w:trPr>
        <w:tc>
          <w:tcPr>
            <w:tcW w:w="4040" w:type="dxa"/>
            <w:vAlign w:val="bottom"/>
            <w:shd w:val="clear" w:color="auto" w:fill="CCEEFF"/>
          </w:tcPr>
          <w:p>
            <w:pPr>
              <w:ind w:left="540"/>
              <w:spacing w:after="0"/>
              <w:rPr>
                <w:sz w:val="20"/>
                <w:szCs w:val="20"/>
                <w:color w:val="auto"/>
              </w:rPr>
            </w:pPr>
            <w:r>
              <w:rPr>
                <w:rFonts w:ascii="Arial" w:cs="Arial" w:eastAsia="Arial" w:hAnsi="Arial"/>
                <w:sz w:val="18"/>
                <w:szCs w:val="18"/>
                <w:b w:val="1"/>
                <w:bCs w:val="1"/>
                <w:color w:val="auto"/>
              </w:rPr>
              <w:t>Total</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b w:val="1"/>
                <w:bCs w:val="1"/>
                <w:color w:val="auto"/>
                <w:w w:val="89"/>
              </w:rPr>
              <w:t>$</w:t>
            </w: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6"/>
                <w:szCs w:val="16"/>
                <w:b w:val="1"/>
                <w:bCs w:val="1"/>
                <w:color w:val="auto"/>
              </w:rPr>
              <w:t>130,662</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61"/>
              <w:spacing w:after="0"/>
              <w:rPr>
                <w:sz w:val="20"/>
                <w:szCs w:val="20"/>
                <w:color w:val="auto"/>
              </w:rPr>
            </w:pPr>
            <w:r>
              <w:rPr>
                <w:rFonts w:ascii="Arial" w:cs="Arial" w:eastAsia="Arial" w:hAnsi="Arial"/>
                <w:sz w:val="16"/>
                <w:szCs w:val="16"/>
                <w:b w:val="1"/>
                <w:bCs w:val="1"/>
                <w:color w:val="auto"/>
                <w:w w:val="89"/>
              </w:rPr>
              <w:t>$</w:t>
            </w:r>
          </w:p>
        </w:tc>
        <w:tc>
          <w:tcPr>
            <w:tcW w:w="84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51,368</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154.4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b w:val="1"/>
                <w:bCs w:val="1"/>
                <w:color w:val="auto"/>
                <w:w w:val="89"/>
              </w:rPr>
              <w:t>$</w:t>
            </w: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6"/>
                <w:szCs w:val="16"/>
                <w:b w:val="1"/>
                <w:bCs w:val="1"/>
                <w:color w:val="auto"/>
              </w:rPr>
              <w:t>494,341</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1"/>
              <w:spacing w:after="0"/>
              <w:rPr>
                <w:sz w:val="20"/>
                <w:szCs w:val="20"/>
                <w:color w:val="auto"/>
              </w:rPr>
            </w:pPr>
            <w:r>
              <w:rPr>
                <w:rFonts w:ascii="Arial" w:cs="Arial" w:eastAsia="Arial" w:hAnsi="Arial"/>
                <w:sz w:val="16"/>
                <w:szCs w:val="16"/>
                <w:b w:val="1"/>
                <w:bCs w:val="1"/>
                <w:color w:val="auto"/>
                <w:w w:val="89"/>
              </w:rPr>
              <w:t>$</w:t>
            </w:r>
          </w:p>
        </w:tc>
        <w:tc>
          <w:tcPr>
            <w:tcW w:w="86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292,745</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68.9</w:t>
            </w:r>
          </w:p>
        </w:tc>
        <w:tc>
          <w:tcPr>
            <w:tcW w:w="0" w:type="dxa"/>
            <w:vAlign w:val="bottom"/>
          </w:tcPr>
          <w:p>
            <w:pPr>
              <w:spacing w:after="0"/>
              <w:rPr>
                <w:sz w:val="1"/>
                <w:szCs w:val="1"/>
                <w:color w:val="auto"/>
              </w:rPr>
            </w:pPr>
          </w:p>
        </w:tc>
      </w:tr>
      <w:tr>
        <w:trPr>
          <w:trHeight w:val="263"/>
        </w:trPr>
        <w:tc>
          <w:tcPr>
            <w:tcW w:w="4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404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 xml:space="preserve">Adjusted Property EBITDA </w:t>
            </w:r>
            <w:r>
              <w:rPr>
                <w:rFonts w:ascii="Arial" w:cs="Arial" w:eastAsia="Arial" w:hAnsi="Arial"/>
                <w:sz w:val="14"/>
                <w:szCs w:val="14"/>
                <w:b w:val="1"/>
                <w:bCs w:val="1"/>
                <w:color w:val="auto"/>
              </w:rPr>
              <w:t>(6)</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b w:val="1"/>
                <w:bCs w:val="1"/>
                <w:color w:val="auto"/>
                <w:w w:val="89"/>
              </w:rPr>
              <w:t>$</w:t>
            </w: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6"/>
                <w:szCs w:val="16"/>
                <w:b w:val="1"/>
                <w:bCs w:val="1"/>
                <w:color w:val="auto"/>
              </w:rPr>
              <w:t>(1,939)</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61"/>
              <w:spacing w:after="0"/>
              <w:rPr>
                <w:sz w:val="20"/>
                <w:szCs w:val="20"/>
                <w:color w:val="auto"/>
              </w:rPr>
            </w:pPr>
            <w:r>
              <w:rPr>
                <w:rFonts w:ascii="Arial" w:cs="Arial" w:eastAsia="Arial" w:hAnsi="Arial"/>
                <w:sz w:val="16"/>
                <w:szCs w:val="16"/>
                <w:b w:val="1"/>
                <w:bCs w:val="1"/>
                <w:color w:val="auto"/>
                <w:w w:val="89"/>
              </w:rPr>
              <w:t>$</w:t>
            </w:r>
          </w:p>
        </w:tc>
        <w:tc>
          <w:tcPr>
            <w:tcW w:w="84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(34,457)</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94.4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b w:val="1"/>
                <w:bCs w:val="1"/>
                <w:color w:val="auto"/>
                <w:w w:val="89"/>
              </w:rPr>
              <w:t>$</w:t>
            </w: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6"/>
                <w:szCs w:val="16"/>
                <w:b w:val="1"/>
                <w:bCs w:val="1"/>
                <w:color w:val="auto"/>
              </w:rPr>
              <w:t>28,703</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41"/>
              <w:spacing w:after="0"/>
              <w:rPr>
                <w:sz w:val="20"/>
                <w:szCs w:val="20"/>
                <w:color w:val="auto"/>
              </w:rPr>
            </w:pPr>
            <w:r>
              <w:rPr>
                <w:rFonts w:ascii="Arial" w:cs="Arial" w:eastAsia="Arial" w:hAnsi="Arial"/>
                <w:sz w:val="16"/>
                <w:szCs w:val="16"/>
                <w:b w:val="1"/>
                <w:bCs w:val="1"/>
                <w:color w:val="auto"/>
                <w:w w:val="89"/>
              </w:rPr>
              <w:t>$</w:t>
            </w:r>
          </w:p>
        </w:tc>
        <w:tc>
          <w:tcPr>
            <w:tcW w:w="86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(97,895)</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NM</w:t>
            </w:r>
          </w:p>
        </w:tc>
        <w:tc>
          <w:tcPr>
            <w:tcW w:w="0" w:type="dxa"/>
            <w:vAlign w:val="bottom"/>
          </w:tcPr>
          <w:p>
            <w:pPr>
              <w:spacing w:after="0"/>
              <w:rPr>
                <w:sz w:val="1"/>
                <w:szCs w:val="1"/>
                <w:color w:val="auto"/>
              </w:rPr>
            </w:pPr>
          </w:p>
        </w:tc>
      </w:tr>
      <w:tr>
        <w:trPr>
          <w:trHeight w:val="263"/>
        </w:trPr>
        <w:tc>
          <w:tcPr>
            <w:tcW w:w="4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4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Casino Statistics: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040" w:type="dxa"/>
            <w:vAlign w:val="bottom"/>
          </w:tcPr>
          <w:p>
            <w:pPr>
              <w:ind w:left="340"/>
              <w:spacing w:after="0"/>
              <w:rPr>
                <w:sz w:val="20"/>
                <w:szCs w:val="20"/>
                <w:color w:val="auto"/>
              </w:rPr>
            </w:pPr>
            <w:r>
              <w:rPr>
                <w:rFonts w:ascii="Arial" w:cs="Arial" w:eastAsia="Arial" w:hAnsi="Arial"/>
                <w:sz w:val="16"/>
                <w:szCs w:val="16"/>
                <w:color w:val="auto"/>
              </w:rPr>
              <w:t>VIP:</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Average number of table games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75</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91</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83</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88</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07"/>
        </w:trPr>
        <w:tc>
          <w:tcPr>
            <w:tcW w:w="4040" w:type="dxa"/>
            <w:vAlign w:val="bottom"/>
          </w:tcPr>
          <w:p>
            <w:pPr>
              <w:ind w:left="540"/>
              <w:spacing w:after="0"/>
              <w:rPr>
                <w:sz w:val="20"/>
                <w:szCs w:val="20"/>
                <w:color w:val="auto"/>
              </w:rPr>
            </w:pPr>
            <w:r>
              <w:rPr>
                <w:rFonts w:ascii="Arial" w:cs="Arial" w:eastAsia="Arial" w:hAnsi="Arial"/>
                <w:sz w:val="16"/>
                <w:szCs w:val="16"/>
                <w:color w:val="auto"/>
              </w:rPr>
              <w:t>VIP turnover</w:t>
            </w: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42"/>
              <w:spacing w:after="0"/>
              <w:rPr>
                <w:sz w:val="20"/>
                <w:szCs w:val="20"/>
                <w:color w:val="auto"/>
              </w:rPr>
            </w:pPr>
            <w:r>
              <w:rPr>
                <w:rFonts w:ascii="Arial" w:cs="Arial" w:eastAsia="Arial" w:hAnsi="Arial"/>
                <w:sz w:val="16"/>
                <w:szCs w:val="16"/>
                <w:color w:val="auto"/>
              </w:rPr>
              <w:t>1,335,694</w:t>
            </w:r>
          </w:p>
        </w:tc>
        <w:tc>
          <w:tcPr>
            <w:tcW w:w="140" w:type="dxa"/>
            <w:vAlign w:val="bottom"/>
          </w:tcPr>
          <w:p>
            <w:pPr>
              <w:spacing w:after="0"/>
              <w:rPr>
                <w:sz w:val="18"/>
                <w:szCs w:val="18"/>
                <w:color w:val="auto"/>
              </w:rPr>
            </w:pPr>
          </w:p>
        </w:tc>
        <w:tc>
          <w:tcPr>
            <w:tcW w:w="440" w:type="dxa"/>
            <w:vAlign w:val="bottom"/>
          </w:tcPr>
          <w:p>
            <w:pPr>
              <w:jc w:val="right"/>
              <w:ind w:right="261"/>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498,519</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167.9</w:t>
            </w:r>
          </w:p>
        </w:tc>
        <w:tc>
          <w:tcPr>
            <w:tcW w:w="80" w:type="dxa"/>
            <w:vAlign w:val="bottom"/>
          </w:tcPr>
          <w:p>
            <w:pPr>
              <w:spacing w:after="0"/>
              <w:rPr>
                <w:sz w:val="18"/>
                <w:szCs w:val="18"/>
                <w:color w:val="auto"/>
              </w:rPr>
            </w:pP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42"/>
              <w:spacing w:after="0"/>
              <w:rPr>
                <w:sz w:val="20"/>
                <w:szCs w:val="20"/>
                <w:color w:val="auto"/>
              </w:rPr>
            </w:pPr>
            <w:r>
              <w:rPr>
                <w:rFonts w:ascii="Arial" w:cs="Arial" w:eastAsia="Arial" w:hAnsi="Arial"/>
                <w:sz w:val="16"/>
                <w:szCs w:val="16"/>
                <w:color w:val="auto"/>
              </w:rPr>
              <w:t>4,629,987</w:t>
            </w:r>
          </w:p>
        </w:tc>
        <w:tc>
          <w:tcPr>
            <w:tcW w:w="140" w:type="dxa"/>
            <w:vAlign w:val="bottom"/>
          </w:tcPr>
          <w:p>
            <w:pPr>
              <w:spacing w:after="0"/>
              <w:rPr>
                <w:sz w:val="18"/>
                <w:szCs w:val="18"/>
                <w:color w:val="auto"/>
              </w:rPr>
            </w:pPr>
          </w:p>
        </w:tc>
        <w:tc>
          <w:tcPr>
            <w:tcW w:w="420" w:type="dxa"/>
            <w:vAlign w:val="bottom"/>
          </w:tcPr>
          <w:p>
            <w:pPr>
              <w:jc w:val="right"/>
              <w:ind w:right="241"/>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4,069,809</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13.8</w:t>
            </w:r>
          </w:p>
        </w:tc>
        <w:tc>
          <w:tcPr>
            <w:tcW w:w="0" w:type="dxa"/>
            <w:vAlign w:val="bottom"/>
          </w:tcPr>
          <w:p>
            <w:pPr>
              <w:spacing w:after="0"/>
              <w:rPr>
                <w:sz w:val="1"/>
                <w:szCs w:val="1"/>
                <w:color w:val="auto"/>
              </w:rPr>
            </w:pPr>
          </w:p>
        </w:tc>
      </w:tr>
      <w:tr>
        <w:trPr>
          <w:trHeight w:val="214"/>
        </w:trPr>
        <w:tc>
          <w:tcPr>
            <w:tcW w:w="40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 xml:space="preserve">VIP table games win </w:t>
            </w:r>
            <w:r>
              <w:rPr>
                <w:rFonts w:ascii="Arial" w:cs="Arial" w:eastAsia="Arial" w:hAnsi="Arial"/>
                <w:sz w:val="14"/>
                <w:szCs w:val="14"/>
                <w:color w:val="auto"/>
              </w:rPr>
              <w:t>(1)</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32,602</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19,679</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130,624</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130,143</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07"/>
        </w:trPr>
        <w:tc>
          <w:tcPr>
            <w:tcW w:w="4040" w:type="dxa"/>
            <w:vAlign w:val="bottom"/>
          </w:tcPr>
          <w:p>
            <w:pPr>
              <w:ind w:left="540"/>
              <w:spacing w:after="0"/>
              <w:rPr>
                <w:sz w:val="20"/>
                <w:szCs w:val="20"/>
                <w:color w:val="auto"/>
              </w:rPr>
            </w:pPr>
            <w:r>
              <w:rPr>
                <w:rFonts w:ascii="Arial" w:cs="Arial" w:eastAsia="Arial" w:hAnsi="Arial"/>
                <w:sz w:val="16"/>
                <w:szCs w:val="16"/>
                <w:color w:val="auto"/>
              </w:rPr>
              <w:t>VIP table games win as a % of turnover</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2.44 %</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3.95 %</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2.82 %</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3.20 %</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Table games win per unit per day</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4,704</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2,351</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5,745</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5,692</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207"/>
        </w:trPr>
        <w:tc>
          <w:tcPr>
            <w:tcW w:w="4040" w:type="dxa"/>
            <w:vAlign w:val="bottom"/>
          </w:tcPr>
          <w:p>
            <w:pPr>
              <w:ind w:left="340"/>
              <w:spacing w:after="0"/>
              <w:rPr>
                <w:sz w:val="20"/>
                <w:szCs w:val="20"/>
                <w:color w:val="auto"/>
              </w:rPr>
            </w:pPr>
            <w:r>
              <w:rPr>
                <w:rFonts w:ascii="Arial" w:cs="Arial" w:eastAsia="Arial" w:hAnsi="Arial"/>
                <w:sz w:val="16"/>
                <w:szCs w:val="16"/>
                <w:color w:val="auto"/>
              </w:rPr>
              <w:t>Mass market:</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Average number of table games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238</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240</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239</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219</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207"/>
        </w:trPr>
        <w:tc>
          <w:tcPr>
            <w:tcW w:w="4040" w:type="dxa"/>
            <w:vAlign w:val="bottom"/>
          </w:tcPr>
          <w:p>
            <w:pPr>
              <w:ind w:left="540"/>
              <w:spacing w:after="0"/>
              <w:rPr>
                <w:sz w:val="20"/>
                <w:szCs w:val="20"/>
                <w:color w:val="auto"/>
              </w:rPr>
            </w:pPr>
            <w:r>
              <w:rPr>
                <w:rFonts w:ascii="Arial" w:cs="Arial" w:eastAsia="Arial" w:hAnsi="Arial"/>
                <w:sz w:val="16"/>
                <w:szCs w:val="16"/>
                <w:color w:val="auto"/>
              </w:rPr>
              <w:t xml:space="preserve">Table drop </w:t>
            </w:r>
            <w:r>
              <w:rPr>
                <w:rFonts w:ascii="Arial" w:cs="Arial" w:eastAsia="Arial" w:hAnsi="Arial"/>
                <w:sz w:val="14"/>
                <w:szCs w:val="14"/>
                <w:color w:val="auto"/>
              </w:rPr>
              <w:t>(2)</w:t>
            </w: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42"/>
              <w:spacing w:after="0"/>
              <w:rPr>
                <w:sz w:val="20"/>
                <w:szCs w:val="20"/>
                <w:color w:val="auto"/>
              </w:rPr>
            </w:pPr>
            <w:r>
              <w:rPr>
                <w:rFonts w:ascii="Arial" w:cs="Arial" w:eastAsia="Arial" w:hAnsi="Arial"/>
                <w:sz w:val="16"/>
                <w:szCs w:val="16"/>
                <w:color w:val="auto"/>
              </w:rPr>
              <w:t>441,899</w:t>
            </w:r>
          </w:p>
        </w:tc>
        <w:tc>
          <w:tcPr>
            <w:tcW w:w="140" w:type="dxa"/>
            <w:vAlign w:val="bottom"/>
          </w:tcPr>
          <w:p>
            <w:pPr>
              <w:spacing w:after="0"/>
              <w:rPr>
                <w:sz w:val="18"/>
                <w:szCs w:val="18"/>
                <w:color w:val="auto"/>
              </w:rPr>
            </w:pPr>
          </w:p>
        </w:tc>
        <w:tc>
          <w:tcPr>
            <w:tcW w:w="440" w:type="dxa"/>
            <w:vAlign w:val="bottom"/>
          </w:tcPr>
          <w:p>
            <w:pPr>
              <w:jc w:val="right"/>
              <w:ind w:right="261"/>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133,006</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232.2</w:t>
            </w:r>
          </w:p>
        </w:tc>
        <w:tc>
          <w:tcPr>
            <w:tcW w:w="80" w:type="dxa"/>
            <w:vAlign w:val="bottom"/>
          </w:tcPr>
          <w:p>
            <w:pPr>
              <w:spacing w:after="0"/>
              <w:rPr>
                <w:sz w:val="18"/>
                <w:szCs w:val="18"/>
                <w:color w:val="auto"/>
              </w:rPr>
            </w:pP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42"/>
              <w:spacing w:after="0"/>
              <w:rPr>
                <w:sz w:val="20"/>
                <w:szCs w:val="20"/>
                <w:color w:val="auto"/>
              </w:rPr>
            </w:pPr>
            <w:r>
              <w:rPr>
                <w:rFonts w:ascii="Arial" w:cs="Arial" w:eastAsia="Arial" w:hAnsi="Arial"/>
                <w:sz w:val="16"/>
                <w:szCs w:val="16"/>
                <w:color w:val="auto"/>
              </w:rPr>
              <w:t>1,703,189</w:t>
            </w:r>
          </w:p>
        </w:tc>
        <w:tc>
          <w:tcPr>
            <w:tcW w:w="140" w:type="dxa"/>
            <w:vAlign w:val="bottom"/>
          </w:tcPr>
          <w:p>
            <w:pPr>
              <w:spacing w:after="0"/>
              <w:rPr>
                <w:sz w:val="18"/>
                <w:szCs w:val="18"/>
                <w:color w:val="auto"/>
              </w:rPr>
            </w:pPr>
          </w:p>
        </w:tc>
        <w:tc>
          <w:tcPr>
            <w:tcW w:w="420" w:type="dxa"/>
            <w:vAlign w:val="bottom"/>
          </w:tcPr>
          <w:p>
            <w:pPr>
              <w:jc w:val="right"/>
              <w:ind w:right="241"/>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752,058</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126.5</w:t>
            </w:r>
          </w:p>
        </w:tc>
        <w:tc>
          <w:tcPr>
            <w:tcW w:w="0" w:type="dxa"/>
            <w:vAlign w:val="bottom"/>
          </w:tcPr>
          <w:p>
            <w:pPr>
              <w:spacing w:after="0"/>
              <w:rPr>
                <w:sz w:val="1"/>
                <w:szCs w:val="1"/>
                <w:color w:val="auto"/>
              </w:rPr>
            </w:pPr>
          </w:p>
        </w:tc>
      </w:tr>
      <w:tr>
        <w:trPr>
          <w:trHeight w:val="214"/>
        </w:trPr>
        <w:tc>
          <w:tcPr>
            <w:tcW w:w="40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 xml:space="preserve">Table games win </w:t>
            </w:r>
            <w:r>
              <w:rPr>
                <w:rFonts w:ascii="Arial" w:cs="Arial" w:eastAsia="Arial" w:hAnsi="Arial"/>
                <w:sz w:val="14"/>
                <w:szCs w:val="14"/>
                <w:color w:val="auto"/>
              </w:rPr>
              <w:t>(1)</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87,132</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24,898</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321,236</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146,231</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119.7</w:t>
            </w:r>
          </w:p>
        </w:tc>
        <w:tc>
          <w:tcPr>
            <w:tcW w:w="0" w:type="dxa"/>
            <w:vAlign w:val="bottom"/>
          </w:tcPr>
          <w:p>
            <w:pPr>
              <w:spacing w:after="0"/>
              <w:rPr>
                <w:sz w:val="1"/>
                <w:szCs w:val="1"/>
                <w:color w:val="auto"/>
              </w:rPr>
            </w:pPr>
          </w:p>
        </w:tc>
      </w:tr>
      <w:tr>
        <w:trPr>
          <w:trHeight w:val="207"/>
        </w:trPr>
        <w:tc>
          <w:tcPr>
            <w:tcW w:w="4040" w:type="dxa"/>
            <w:vAlign w:val="bottom"/>
          </w:tcPr>
          <w:p>
            <w:pPr>
              <w:ind w:left="540"/>
              <w:spacing w:after="0"/>
              <w:rPr>
                <w:sz w:val="20"/>
                <w:szCs w:val="20"/>
                <w:color w:val="auto"/>
              </w:rPr>
            </w:pPr>
            <w:r>
              <w:rPr>
                <w:rFonts w:ascii="Arial" w:cs="Arial" w:eastAsia="Arial" w:hAnsi="Arial"/>
                <w:sz w:val="16"/>
                <w:szCs w:val="16"/>
                <w:color w:val="auto"/>
              </w:rPr>
              <w:t>Table games win %</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19.7 %</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18.7 %</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18.9 %</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19.4 %</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Table games win per unit per day</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3,972</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1,128</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4,914</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2,564</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91.7</w:t>
            </w:r>
          </w:p>
        </w:tc>
        <w:tc>
          <w:tcPr>
            <w:tcW w:w="0" w:type="dxa"/>
            <w:vAlign w:val="bottom"/>
          </w:tcPr>
          <w:p>
            <w:pPr>
              <w:spacing w:after="0"/>
              <w:rPr>
                <w:sz w:val="1"/>
                <w:szCs w:val="1"/>
                <w:color w:val="auto"/>
              </w:rPr>
            </w:pPr>
          </w:p>
        </w:tc>
      </w:tr>
      <w:tr>
        <w:trPr>
          <w:trHeight w:val="207"/>
        </w:trPr>
        <w:tc>
          <w:tcPr>
            <w:tcW w:w="4040" w:type="dxa"/>
            <w:vAlign w:val="bottom"/>
          </w:tcPr>
          <w:p>
            <w:pPr>
              <w:ind w:left="540"/>
              <w:spacing w:after="0"/>
              <w:rPr>
                <w:sz w:val="20"/>
                <w:szCs w:val="20"/>
                <w:color w:val="auto"/>
              </w:rPr>
            </w:pPr>
            <w:r>
              <w:rPr>
                <w:rFonts w:ascii="Arial" w:cs="Arial" w:eastAsia="Arial" w:hAnsi="Arial"/>
                <w:sz w:val="16"/>
                <w:szCs w:val="16"/>
                <w:color w:val="auto"/>
              </w:rPr>
              <w:t>Average number of slot machines</w:t>
            </w:r>
          </w:p>
        </w:tc>
        <w:tc>
          <w:tcPr>
            <w:tcW w:w="300" w:type="dxa"/>
            <w:vAlign w:val="bottom"/>
          </w:tcPr>
          <w:p>
            <w:pPr>
              <w:spacing w:after="0"/>
              <w:rPr>
                <w:sz w:val="18"/>
                <w:szCs w:val="18"/>
                <w:color w:val="auto"/>
              </w:rPr>
            </w:pPr>
          </w:p>
        </w:tc>
        <w:tc>
          <w:tcPr>
            <w:tcW w:w="980" w:type="dxa"/>
            <w:vAlign w:val="bottom"/>
          </w:tcPr>
          <w:p>
            <w:pPr>
              <w:jc w:val="right"/>
              <w:ind w:right="42"/>
              <w:spacing w:after="0"/>
              <w:rPr>
                <w:sz w:val="20"/>
                <w:szCs w:val="20"/>
                <w:color w:val="auto"/>
              </w:rPr>
            </w:pPr>
            <w:r>
              <w:rPr>
                <w:rFonts w:ascii="Arial" w:cs="Arial" w:eastAsia="Arial" w:hAnsi="Arial"/>
                <w:sz w:val="16"/>
                <w:szCs w:val="16"/>
                <w:color w:val="auto"/>
              </w:rPr>
              <w:t>574</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472</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21.6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ind w:right="42"/>
              <w:spacing w:after="0"/>
              <w:rPr>
                <w:sz w:val="20"/>
                <w:szCs w:val="20"/>
                <w:color w:val="auto"/>
              </w:rPr>
            </w:pPr>
            <w:r>
              <w:rPr>
                <w:rFonts w:ascii="Arial" w:cs="Arial" w:eastAsia="Arial" w:hAnsi="Arial"/>
                <w:sz w:val="16"/>
                <w:szCs w:val="16"/>
                <w:color w:val="auto"/>
              </w:rPr>
              <w:t>583</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509</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14.5</w:t>
            </w:r>
          </w:p>
        </w:tc>
        <w:tc>
          <w:tcPr>
            <w:tcW w:w="0" w:type="dxa"/>
            <w:vAlign w:val="bottom"/>
          </w:tcPr>
          <w:p>
            <w:pPr>
              <w:spacing w:after="0"/>
              <w:rPr>
                <w:sz w:val="1"/>
                <w:szCs w:val="1"/>
                <w:color w:val="auto"/>
              </w:rPr>
            </w:pPr>
          </w:p>
        </w:tc>
      </w:tr>
      <w:tr>
        <w:trPr>
          <w:trHeight w:val="214"/>
        </w:trPr>
        <w:tc>
          <w:tcPr>
            <w:tcW w:w="40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Slot machine handle</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200,543</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87,988</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802,337</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516,537</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55.3</w:t>
            </w:r>
          </w:p>
        </w:tc>
        <w:tc>
          <w:tcPr>
            <w:tcW w:w="0" w:type="dxa"/>
            <w:vAlign w:val="bottom"/>
          </w:tcPr>
          <w:p>
            <w:pPr>
              <w:spacing w:after="0"/>
              <w:rPr>
                <w:sz w:val="1"/>
                <w:szCs w:val="1"/>
                <w:color w:val="auto"/>
              </w:rPr>
            </w:pPr>
          </w:p>
        </w:tc>
      </w:tr>
      <w:tr>
        <w:trPr>
          <w:trHeight w:val="207"/>
        </w:trPr>
        <w:tc>
          <w:tcPr>
            <w:tcW w:w="4040" w:type="dxa"/>
            <w:vAlign w:val="bottom"/>
          </w:tcPr>
          <w:p>
            <w:pPr>
              <w:ind w:left="540"/>
              <w:spacing w:after="0"/>
              <w:rPr>
                <w:sz w:val="20"/>
                <w:szCs w:val="20"/>
                <w:color w:val="auto"/>
              </w:rPr>
            </w:pPr>
            <w:r>
              <w:rPr>
                <w:rFonts w:ascii="Arial" w:cs="Arial" w:eastAsia="Arial" w:hAnsi="Arial"/>
                <w:sz w:val="16"/>
                <w:szCs w:val="16"/>
                <w:color w:val="auto"/>
              </w:rPr>
              <w:t xml:space="preserve">Slot machine win </w:t>
            </w:r>
            <w:r>
              <w:rPr>
                <w:rFonts w:ascii="Arial" w:cs="Arial" w:eastAsia="Arial" w:hAnsi="Arial"/>
                <w:sz w:val="14"/>
                <w:szCs w:val="14"/>
                <w:color w:val="auto"/>
              </w:rPr>
              <w:t>(3)</w:t>
            </w: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42"/>
              <w:spacing w:after="0"/>
              <w:rPr>
                <w:sz w:val="20"/>
                <w:szCs w:val="20"/>
                <w:color w:val="auto"/>
              </w:rPr>
            </w:pPr>
            <w:r>
              <w:rPr>
                <w:rFonts w:ascii="Arial" w:cs="Arial" w:eastAsia="Arial" w:hAnsi="Arial"/>
                <w:sz w:val="16"/>
                <w:szCs w:val="16"/>
                <w:color w:val="auto"/>
              </w:rPr>
              <w:t>9,142</w:t>
            </w:r>
          </w:p>
        </w:tc>
        <w:tc>
          <w:tcPr>
            <w:tcW w:w="140" w:type="dxa"/>
            <w:vAlign w:val="bottom"/>
          </w:tcPr>
          <w:p>
            <w:pPr>
              <w:spacing w:after="0"/>
              <w:rPr>
                <w:sz w:val="18"/>
                <w:szCs w:val="18"/>
                <w:color w:val="auto"/>
              </w:rPr>
            </w:pPr>
          </w:p>
        </w:tc>
        <w:tc>
          <w:tcPr>
            <w:tcW w:w="440" w:type="dxa"/>
            <w:vAlign w:val="bottom"/>
          </w:tcPr>
          <w:p>
            <w:pPr>
              <w:jc w:val="right"/>
              <w:ind w:right="261"/>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3,072</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197.6</w:t>
            </w:r>
          </w:p>
        </w:tc>
        <w:tc>
          <w:tcPr>
            <w:tcW w:w="80" w:type="dxa"/>
            <w:vAlign w:val="bottom"/>
          </w:tcPr>
          <w:p>
            <w:pPr>
              <w:spacing w:after="0"/>
              <w:rPr>
                <w:sz w:val="18"/>
                <w:szCs w:val="18"/>
                <w:color w:val="auto"/>
              </w:rPr>
            </w:pP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42"/>
              <w:spacing w:after="0"/>
              <w:rPr>
                <w:sz w:val="20"/>
                <w:szCs w:val="20"/>
                <w:color w:val="auto"/>
              </w:rPr>
            </w:pPr>
            <w:r>
              <w:rPr>
                <w:rFonts w:ascii="Arial" w:cs="Arial" w:eastAsia="Arial" w:hAnsi="Arial"/>
                <w:sz w:val="16"/>
                <w:szCs w:val="16"/>
                <w:color w:val="auto"/>
              </w:rPr>
              <w:t>28,573</w:t>
            </w:r>
          </w:p>
        </w:tc>
        <w:tc>
          <w:tcPr>
            <w:tcW w:w="140" w:type="dxa"/>
            <w:vAlign w:val="bottom"/>
          </w:tcPr>
          <w:p>
            <w:pPr>
              <w:spacing w:after="0"/>
              <w:rPr>
                <w:sz w:val="18"/>
                <w:szCs w:val="18"/>
                <w:color w:val="auto"/>
              </w:rPr>
            </w:pPr>
          </w:p>
        </w:tc>
        <w:tc>
          <w:tcPr>
            <w:tcW w:w="420" w:type="dxa"/>
            <w:vAlign w:val="bottom"/>
          </w:tcPr>
          <w:p>
            <w:pPr>
              <w:jc w:val="right"/>
              <w:ind w:right="241"/>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18,993</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50.4</w:t>
            </w:r>
          </w:p>
        </w:tc>
        <w:tc>
          <w:tcPr>
            <w:tcW w:w="0" w:type="dxa"/>
            <w:vAlign w:val="bottom"/>
          </w:tcPr>
          <w:p>
            <w:pPr>
              <w:spacing w:after="0"/>
              <w:rPr>
                <w:sz w:val="1"/>
                <w:szCs w:val="1"/>
                <w:color w:val="auto"/>
              </w:rPr>
            </w:pPr>
          </w:p>
        </w:tc>
      </w:tr>
      <w:tr>
        <w:trPr>
          <w:trHeight w:val="214"/>
        </w:trPr>
        <w:tc>
          <w:tcPr>
            <w:tcW w:w="40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Slot machine win per unit per day</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173</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71</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179</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144</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w:t>
            </w:r>
          </w:p>
        </w:tc>
        <w:tc>
          <w:tcPr>
            <w:tcW w:w="0" w:type="dxa"/>
            <w:vAlign w:val="bottom"/>
          </w:tcPr>
          <w:p>
            <w:pPr>
              <w:spacing w:after="0"/>
              <w:rPr>
                <w:sz w:val="1"/>
                <w:szCs w:val="1"/>
                <w:color w:val="auto"/>
              </w:rPr>
            </w:pPr>
          </w:p>
        </w:tc>
      </w:tr>
      <w:tr>
        <w:trPr>
          <w:trHeight w:val="207"/>
        </w:trPr>
        <w:tc>
          <w:tcPr>
            <w:tcW w:w="4040" w:type="dxa"/>
            <w:vAlign w:val="bottom"/>
          </w:tcPr>
          <w:p>
            <w:pPr>
              <w:ind w:left="540"/>
              <w:spacing w:after="0"/>
              <w:rPr>
                <w:sz w:val="20"/>
                <w:szCs w:val="20"/>
                <w:color w:val="auto"/>
              </w:rPr>
            </w:pPr>
            <w:r>
              <w:rPr>
                <w:rFonts w:ascii="Arial" w:cs="Arial" w:eastAsia="Arial" w:hAnsi="Arial"/>
                <w:sz w:val="16"/>
                <w:szCs w:val="16"/>
                <w:color w:val="auto"/>
              </w:rPr>
              <w:t>Poker rake</w:t>
            </w: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261"/>
              <w:spacing w:after="0"/>
              <w:rPr>
                <w:sz w:val="20"/>
                <w:szCs w:val="20"/>
                <w:color w:val="auto"/>
              </w:rPr>
            </w:pPr>
            <w:r>
              <w:rPr>
                <w:rFonts w:ascii="Arial" w:cs="Arial" w:eastAsia="Arial" w:hAnsi="Arial"/>
                <w:sz w:val="16"/>
                <w:szCs w:val="16"/>
                <w:color w:val="auto"/>
                <w:w w:val="89"/>
              </w:rPr>
              <w:t>$</w:t>
            </w: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241"/>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2,083</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14"/>
        </w:trPr>
        <w:tc>
          <w:tcPr>
            <w:tcW w:w="4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Room statistics: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040" w:type="dxa"/>
            <w:vAlign w:val="bottom"/>
          </w:tcPr>
          <w:p>
            <w:pPr>
              <w:ind w:left="540"/>
              <w:spacing w:after="0"/>
              <w:rPr>
                <w:sz w:val="20"/>
                <w:szCs w:val="20"/>
                <w:color w:val="auto"/>
              </w:rPr>
            </w:pPr>
            <w:r>
              <w:rPr>
                <w:rFonts w:ascii="Arial" w:cs="Arial" w:eastAsia="Arial" w:hAnsi="Arial"/>
                <w:sz w:val="16"/>
                <w:szCs w:val="16"/>
                <w:color w:val="auto"/>
              </w:rPr>
              <w:t>Occupancy</w:t>
            </w:r>
          </w:p>
        </w:tc>
        <w:tc>
          <w:tcPr>
            <w:tcW w:w="300" w:type="dxa"/>
            <w:vAlign w:val="bottom"/>
          </w:tcPr>
          <w:p>
            <w:pPr>
              <w:spacing w:after="0"/>
              <w:rPr>
                <w:sz w:val="18"/>
                <w:szCs w:val="18"/>
                <w:color w:val="auto"/>
              </w:rPr>
            </w:pPr>
          </w:p>
        </w:tc>
        <w:tc>
          <w:tcPr>
            <w:tcW w:w="980" w:type="dxa"/>
            <w:vAlign w:val="bottom"/>
          </w:tcPr>
          <w:p>
            <w:pPr>
              <w:jc w:val="right"/>
              <w:ind w:right="42"/>
              <w:spacing w:after="0"/>
              <w:rPr>
                <w:sz w:val="20"/>
                <w:szCs w:val="20"/>
                <w:color w:val="auto"/>
              </w:rPr>
            </w:pPr>
            <w:r>
              <w:rPr>
                <w:rFonts w:ascii="Arial" w:cs="Arial" w:eastAsia="Arial" w:hAnsi="Arial"/>
                <w:sz w:val="16"/>
                <w:szCs w:val="16"/>
                <w:color w:val="auto"/>
              </w:rPr>
              <w:t>51.3%</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16.6%</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ind w:right="42"/>
              <w:spacing w:after="0"/>
              <w:rPr>
                <w:sz w:val="20"/>
                <w:szCs w:val="20"/>
                <w:color w:val="auto"/>
              </w:rPr>
            </w:pPr>
            <w:r>
              <w:rPr>
                <w:rFonts w:ascii="Arial" w:cs="Arial" w:eastAsia="Arial" w:hAnsi="Arial"/>
                <w:sz w:val="16"/>
                <w:szCs w:val="16"/>
                <w:color w:val="auto"/>
              </w:rPr>
              <w:t>60.0%</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24.4%</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 xml:space="preserve">ADR </w:t>
            </w:r>
            <w:r>
              <w:rPr>
                <w:rFonts w:ascii="Arial" w:cs="Arial" w:eastAsia="Arial" w:hAnsi="Arial"/>
                <w:sz w:val="14"/>
                <w:szCs w:val="14"/>
                <w:color w:val="auto"/>
              </w:rPr>
              <w:t>(4)</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211</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291</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217</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316</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w:t>
            </w:r>
          </w:p>
        </w:tc>
        <w:tc>
          <w:tcPr>
            <w:tcW w:w="0" w:type="dxa"/>
            <w:vAlign w:val="bottom"/>
          </w:tcPr>
          <w:p>
            <w:pPr>
              <w:spacing w:after="0"/>
              <w:rPr>
                <w:sz w:val="1"/>
                <w:szCs w:val="1"/>
                <w:color w:val="auto"/>
              </w:rPr>
            </w:pPr>
          </w:p>
        </w:tc>
      </w:tr>
      <w:tr>
        <w:trPr>
          <w:trHeight w:val="204"/>
        </w:trPr>
        <w:tc>
          <w:tcPr>
            <w:tcW w:w="4040" w:type="dxa"/>
            <w:vAlign w:val="bottom"/>
          </w:tcPr>
          <w:p>
            <w:pPr>
              <w:ind w:left="540"/>
              <w:spacing w:after="0"/>
              <w:rPr>
                <w:sz w:val="20"/>
                <w:szCs w:val="20"/>
                <w:color w:val="auto"/>
              </w:rPr>
            </w:pPr>
            <w:r>
              <w:rPr>
                <w:rFonts w:ascii="Arial" w:cs="Arial" w:eastAsia="Arial" w:hAnsi="Arial"/>
                <w:sz w:val="16"/>
                <w:szCs w:val="16"/>
                <w:color w:val="auto"/>
              </w:rPr>
              <w:t xml:space="preserve">REVPAR </w:t>
            </w:r>
            <w:r>
              <w:rPr>
                <w:rFonts w:ascii="Arial" w:cs="Arial" w:eastAsia="Arial" w:hAnsi="Arial"/>
                <w:sz w:val="14"/>
                <w:szCs w:val="14"/>
                <w:color w:val="auto"/>
              </w:rPr>
              <w:t>(5)</w:t>
            </w: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42"/>
              <w:spacing w:after="0"/>
              <w:rPr>
                <w:sz w:val="20"/>
                <w:szCs w:val="20"/>
                <w:color w:val="auto"/>
              </w:rPr>
            </w:pPr>
            <w:r>
              <w:rPr>
                <w:rFonts w:ascii="Arial" w:cs="Arial" w:eastAsia="Arial" w:hAnsi="Arial"/>
                <w:sz w:val="16"/>
                <w:szCs w:val="16"/>
                <w:color w:val="auto"/>
              </w:rPr>
              <w:t>108</w:t>
            </w:r>
          </w:p>
        </w:tc>
        <w:tc>
          <w:tcPr>
            <w:tcW w:w="140" w:type="dxa"/>
            <w:vAlign w:val="bottom"/>
          </w:tcPr>
          <w:p>
            <w:pPr>
              <w:spacing w:after="0"/>
              <w:rPr>
                <w:sz w:val="17"/>
                <w:szCs w:val="17"/>
                <w:color w:val="auto"/>
              </w:rPr>
            </w:pPr>
          </w:p>
        </w:tc>
        <w:tc>
          <w:tcPr>
            <w:tcW w:w="440" w:type="dxa"/>
            <w:vAlign w:val="bottom"/>
          </w:tcPr>
          <w:p>
            <w:pPr>
              <w:jc w:val="right"/>
              <w:ind w:right="261"/>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125.0</w:t>
            </w:r>
          </w:p>
        </w:tc>
        <w:tc>
          <w:tcPr>
            <w:tcW w:w="80" w:type="dxa"/>
            <w:vAlign w:val="bottom"/>
          </w:tcPr>
          <w:p>
            <w:pPr>
              <w:spacing w:after="0"/>
              <w:rPr>
                <w:sz w:val="17"/>
                <w:szCs w:val="17"/>
                <w:color w:val="auto"/>
              </w:rPr>
            </w:pP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42"/>
              <w:spacing w:after="0"/>
              <w:rPr>
                <w:sz w:val="20"/>
                <w:szCs w:val="20"/>
                <w:color w:val="auto"/>
              </w:rPr>
            </w:pPr>
            <w:r>
              <w:rPr>
                <w:rFonts w:ascii="Arial" w:cs="Arial" w:eastAsia="Arial" w:hAnsi="Arial"/>
                <w:sz w:val="16"/>
                <w:szCs w:val="16"/>
                <w:color w:val="auto"/>
              </w:rPr>
              <w:t>130</w:t>
            </w:r>
          </w:p>
        </w:tc>
        <w:tc>
          <w:tcPr>
            <w:tcW w:w="140" w:type="dxa"/>
            <w:vAlign w:val="bottom"/>
          </w:tcPr>
          <w:p>
            <w:pPr>
              <w:spacing w:after="0"/>
              <w:rPr>
                <w:sz w:val="17"/>
                <w:szCs w:val="17"/>
                <w:color w:val="auto"/>
              </w:rPr>
            </w:pPr>
          </w:p>
        </w:tc>
        <w:tc>
          <w:tcPr>
            <w:tcW w:w="420" w:type="dxa"/>
            <w:vAlign w:val="bottom"/>
          </w:tcPr>
          <w:p>
            <w:pPr>
              <w:jc w:val="right"/>
              <w:ind w:right="241"/>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68.8</w:t>
            </w:r>
          </w:p>
        </w:tc>
        <w:tc>
          <w:tcPr>
            <w:tcW w:w="0" w:type="dxa"/>
            <w:vAlign w:val="bottom"/>
          </w:tcPr>
          <w:p>
            <w:pPr>
              <w:spacing w:after="0"/>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6"/>
          <w:szCs w:val="16"/>
          <w:color w:val="auto"/>
        </w:rPr>
        <w:t>NM - Not meaningful.</w:t>
      </w:r>
    </w:p>
    <w:p>
      <w:pPr>
        <w:spacing w:after="0" w:line="14" w:lineRule="exact"/>
        <w:rPr>
          <w:sz w:val="20"/>
          <w:szCs w:val="20"/>
          <w:color w:val="auto"/>
        </w:rPr>
      </w:pPr>
    </w:p>
    <w:p>
      <w:pPr>
        <w:jc w:val="both"/>
        <w:spacing w:after="0" w:line="287" w:lineRule="auto"/>
        <w:rPr>
          <w:sz w:val="20"/>
          <w:szCs w:val="20"/>
          <w:color w:val="auto"/>
        </w:rPr>
      </w:pPr>
      <w:r>
        <w:rPr>
          <w:rFonts w:ascii="Arial" w:cs="Arial" w:eastAsia="Arial" w:hAnsi="Arial"/>
          <w:sz w:val="14"/>
          <w:szCs w:val="14"/>
          <w:color w:val="auto"/>
        </w:rPr>
        <w:t>Note: Our casino operations in Macau were closed for a 15-day period in February 2020 and resumed operations on a reduced basis on February 20, 2020. Our casinos' operations have since been fully restored; however, certain COVID-19 specific protective measures, such as limiting the number of seats per table game, increasing the spacing between active slot machines and visitor entry checks and requirements involving temperature checkpoints, mask wearing, health declarations and proof of negative COVID-19 test results for travelers seeking entry to Macau remain in effect at the present time. We are currently unable to determine when these measures will be lifted.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871"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DATA SCHEDULE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for win per unit per day, ADR and REVPAR)</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(continued)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6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60" w:type="dxa"/>
            <w:vAlign w:val="bottom"/>
            <w:gridSpan w:val="5"/>
          </w:tcPr>
          <w:p>
            <w:pPr>
              <w:ind w:left="400"/>
              <w:spacing w:after="0"/>
              <w:rPr>
                <w:sz w:val="20"/>
                <w:szCs w:val="20"/>
                <w:color w:val="auto"/>
              </w:rPr>
            </w:pPr>
            <w:r>
              <w:rPr>
                <w:rFonts w:ascii="Arial" w:cs="Arial" w:eastAsia="Arial" w:hAnsi="Arial"/>
                <w:sz w:val="14"/>
                <w:szCs w:val="14"/>
                <w:b w:val="1"/>
                <w:bCs w:val="1"/>
                <w:color w:val="auto"/>
              </w:rPr>
              <w:t>Nine Months Ended</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5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4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vMerge w:val="restart"/>
          </w:tcPr>
          <w:p>
            <w:pPr>
              <w:jc w:val="right"/>
              <w:ind w:right="362"/>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80" w:type="dxa"/>
            <w:vAlign w:val="bottom"/>
            <w:vMerge w:val="restart"/>
          </w:tcPr>
          <w:p>
            <w:pPr>
              <w:jc w:val="right"/>
              <w:ind w:right="381"/>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0"/>
                <w:szCs w:val="10"/>
                <w:color w:val="auto"/>
              </w:rPr>
            </w:pPr>
          </w:p>
        </w:tc>
        <w:tc>
          <w:tcPr>
            <w:tcW w:w="780" w:type="dxa"/>
            <w:vAlign w:val="bottom"/>
          </w:tcPr>
          <w:p>
            <w:pPr>
              <w:jc w:val="right"/>
              <w:ind w:right="82"/>
              <w:spacing w:after="0" w:line="125" w:lineRule="exact"/>
              <w:rPr>
                <w:sz w:val="20"/>
                <w:szCs w:val="20"/>
                <w:color w:val="auto"/>
              </w:rPr>
            </w:pPr>
            <w:r>
              <w:rPr>
                <w:rFonts w:ascii="Arial" w:cs="Arial" w:eastAsia="Arial" w:hAnsi="Arial"/>
                <w:sz w:val="14"/>
                <w:szCs w:val="14"/>
                <w:b w:val="1"/>
                <w:bCs w:val="1"/>
                <w:color w:val="auto"/>
              </w:rPr>
              <w:t>Percent</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vMerge w:val="restart"/>
          </w:tcPr>
          <w:p>
            <w:pPr>
              <w:jc w:val="right"/>
              <w:ind w:right="302"/>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60" w:type="dxa"/>
            <w:vAlign w:val="bottom"/>
            <w:vMerge w:val="restart"/>
          </w:tcPr>
          <w:p>
            <w:pPr>
              <w:jc w:val="right"/>
              <w:ind w:right="381"/>
              <w:spacing w:after="0"/>
              <w:rPr>
                <w:sz w:val="20"/>
                <w:szCs w:val="20"/>
                <w:color w:val="auto"/>
              </w:rPr>
            </w:pPr>
            <w:r>
              <w:rPr>
                <w:rFonts w:ascii="Arial" w:cs="Arial" w:eastAsia="Arial" w:hAnsi="Arial"/>
                <w:sz w:val="14"/>
                <w:szCs w:val="14"/>
                <w:b w:val="1"/>
                <w:bCs w:val="1"/>
                <w:color w:val="auto"/>
                <w:w w:val="89"/>
              </w:rPr>
              <w:t>2020</w:t>
            </w:r>
          </w:p>
        </w:tc>
        <w:tc>
          <w:tcPr>
            <w:tcW w:w="80" w:type="dxa"/>
            <w:vAlign w:val="bottom"/>
          </w:tcPr>
          <w:p>
            <w:pPr>
              <w:spacing w:after="0"/>
              <w:rPr>
                <w:sz w:val="10"/>
                <w:szCs w:val="10"/>
                <w:color w:val="auto"/>
              </w:rPr>
            </w:pPr>
          </w:p>
        </w:tc>
        <w:tc>
          <w:tcPr>
            <w:tcW w:w="780" w:type="dxa"/>
            <w:vAlign w:val="bottom"/>
          </w:tcPr>
          <w:p>
            <w:pPr>
              <w:jc w:val="right"/>
              <w:ind w:right="82"/>
              <w:spacing w:after="0" w:line="125"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84"/>
        </w:trPr>
        <w:tc>
          <w:tcPr>
            <w:tcW w:w="4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Change</w:t>
            </w:r>
          </w:p>
        </w:tc>
        <w:tc>
          <w:tcPr>
            <w:tcW w:w="20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ind w:right="8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04"/>
        </w:trPr>
        <w:tc>
          <w:tcPr>
            <w:tcW w:w="4520" w:type="dxa"/>
            <w:vAlign w:val="bottom"/>
            <w:tcBorders>
              <w:top w:val="single" w:sz="8" w:color="CCEEFF"/>
            </w:tcBorders>
            <w:shd w:val="clear" w:color="auto" w:fill="CCEEFF"/>
          </w:tcPr>
          <w:p>
            <w:pPr>
              <w:ind w:left="20"/>
              <w:spacing w:after="0" w:line="204" w:lineRule="exact"/>
              <w:rPr>
                <w:sz w:val="20"/>
                <w:szCs w:val="20"/>
                <w:color w:val="auto"/>
              </w:rPr>
            </w:pPr>
            <w:r>
              <w:rPr>
                <w:rFonts w:ascii="Arial" w:cs="Arial" w:eastAsia="Arial" w:hAnsi="Arial"/>
                <w:sz w:val="18"/>
                <w:szCs w:val="18"/>
                <w:b w:val="1"/>
                <w:bCs w:val="1"/>
                <w:color w:val="auto"/>
              </w:rPr>
              <w:t>Las Vegas Operations Supplemental Information</w:t>
            </w:r>
          </w:p>
        </w:tc>
        <w:tc>
          <w:tcPr>
            <w:tcW w:w="2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520" w:type="dxa"/>
            <w:vAlign w:val="bottom"/>
          </w:tcPr>
          <w:p>
            <w:pPr>
              <w:ind w:left="220"/>
              <w:spacing w:after="0"/>
              <w:rPr>
                <w:sz w:val="20"/>
                <w:szCs w:val="20"/>
                <w:color w:val="auto"/>
              </w:rPr>
            </w:pPr>
            <w:r>
              <w:rPr>
                <w:rFonts w:ascii="Arial" w:cs="Arial" w:eastAsia="Arial" w:hAnsi="Arial"/>
                <w:sz w:val="16"/>
                <w:szCs w:val="16"/>
                <w:color w:val="auto"/>
              </w:rPr>
              <w:t>Operating revenues</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5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Casino</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112,575</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65,694</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71.4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305,253</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161,354</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89.2</w:t>
            </w:r>
          </w:p>
        </w:tc>
        <w:tc>
          <w:tcPr>
            <w:tcW w:w="0" w:type="dxa"/>
            <w:vAlign w:val="bottom"/>
          </w:tcPr>
          <w:p>
            <w:pPr>
              <w:spacing w:after="0"/>
              <w:rPr>
                <w:sz w:val="1"/>
                <w:szCs w:val="1"/>
                <w:color w:val="auto"/>
              </w:rPr>
            </w:pPr>
          </w:p>
        </w:tc>
      </w:tr>
      <w:tr>
        <w:trPr>
          <w:trHeight w:val="207"/>
        </w:trPr>
        <w:tc>
          <w:tcPr>
            <w:tcW w:w="4520" w:type="dxa"/>
            <w:vAlign w:val="bottom"/>
          </w:tcPr>
          <w:p>
            <w:pPr>
              <w:ind w:left="340"/>
              <w:spacing w:after="0"/>
              <w:rPr>
                <w:sz w:val="20"/>
                <w:szCs w:val="20"/>
                <w:color w:val="auto"/>
              </w:rPr>
            </w:pPr>
            <w:r>
              <w:rPr>
                <w:rFonts w:ascii="Arial" w:cs="Arial" w:eastAsia="Arial" w:hAnsi="Arial"/>
                <w:sz w:val="16"/>
                <w:szCs w:val="16"/>
                <w:color w:val="auto"/>
              </w:rPr>
              <w:t>Rooms</w:t>
            </w:r>
          </w:p>
        </w:tc>
        <w:tc>
          <w:tcPr>
            <w:tcW w:w="260" w:type="dxa"/>
            <w:vAlign w:val="bottom"/>
          </w:tcPr>
          <w:p>
            <w:pPr>
              <w:spacing w:after="0"/>
              <w:rPr>
                <w:sz w:val="18"/>
                <w:szCs w:val="18"/>
                <w:color w:val="auto"/>
              </w:rPr>
            </w:pPr>
          </w:p>
        </w:tc>
        <w:tc>
          <w:tcPr>
            <w:tcW w:w="920" w:type="dxa"/>
            <w:vAlign w:val="bottom"/>
          </w:tcPr>
          <w:p>
            <w:pPr>
              <w:jc w:val="right"/>
              <w:ind w:right="42"/>
              <w:spacing w:after="0"/>
              <w:rPr>
                <w:sz w:val="20"/>
                <w:szCs w:val="20"/>
                <w:color w:val="auto"/>
              </w:rPr>
            </w:pPr>
            <w:r>
              <w:rPr>
                <w:rFonts w:ascii="Arial" w:cs="Arial" w:eastAsia="Arial" w:hAnsi="Arial"/>
                <w:sz w:val="16"/>
                <w:szCs w:val="16"/>
                <w:color w:val="auto"/>
              </w:rPr>
              <w:t>132,704</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ind w:right="61"/>
              <w:spacing w:after="0"/>
              <w:rPr>
                <w:sz w:val="20"/>
                <w:szCs w:val="20"/>
                <w:color w:val="auto"/>
              </w:rPr>
            </w:pPr>
            <w:r>
              <w:rPr>
                <w:rFonts w:ascii="Arial" w:cs="Arial" w:eastAsia="Arial" w:hAnsi="Arial"/>
                <w:sz w:val="16"/>
                <w:szCs w:val="16"/>
                <w:color w:val="auto"/>
              </w:rPr>
              <w:t>44,961</w:t>
            </w:r>
          </w:p>
        </w:tc>
        <w:tc>
          <w:tcPr>
            <w:tcW w:w="100" w:type="dxa"/>
            <w:vAlign w:val="bottom"/>
          </w:tcPr>
          <w:p>
            <w:pPr>
              <w:spacing w:after="0"/>
              <w:rPr>
                <w:sz w:val="18"/>
                <w:szCs w:val="18"/>
                <w:color w:val="auto"/>
              </w:rPr>
            </w:pPr>
          </w:p>
        </w:tc>
        <w:tc>
          <w:tcPr>
            <w:tcW w:w="780" w:type="dxa"/>
            <w:vAlign w:val="bottom"/>
          </w:tcPr>
          <w:p>
            <w:pPr>
              <w:jc w:val="right"/>
              <w:ind w:right="2"/>
              <w:spacing w:after="0"/>
              <w:rPr>
                <w:sz w:val="20"/>
                <w:szCs w:val="20"/>
                <w:color w:val="auto"/>
              </w:rPr>
            </w:pPr>
            <w:r>
              <w:rPr>
                <w:rFonts w:ascii="Arial" w:cs="Arial" w:eastAsia="Arial" w:hAnsi="Arial"/>
                <w:sz w:val="16"/>
                <w:szCs w:val="16"/>
                <w:color w:val="auto"/>
              </w:rPr>
              <w:t>195.2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266,250</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jc w:val="right"/>
              <w:ind w:right="41"/>
              <w:spacing w:after="0"/>
              <w:rPr>
                <w:sz w:val="20"/>
                <w:szCs w:val="20"/>
                <w:color w:val="auto"/>
              </w:rPr>
            </w:pPr>
            <w:r>
              <w:rPr>
                <w:rFonts w:ascii="Arial" w:cs="Arial" w:eastAsia="Arial" w:hAnsi="Arial"/>
                <w:sz w:val="16"/>
                <w:szCs w:val="16"/>
                <w:color w:val="auto"/>
              </w:rPr>
              <w:t>163,419</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62.9</w:t>
            </w:r>
          </w:p>
        </w:tc>
        <w:tc>
          <w:tcPr>
            <w:tcW w:w="0" w:type="dxa"/>
            <w:vAlign w:val="bottom"/>
          </w:tcPr>
          <w:p>
            <w:pPr>
              <w:spacing w:after="0"/>
              <w:rPr>
                <w:sz w:val="1"/>
                <w:szCs w:val="1"/>
                <w:color w:val="auto"/>
              </w:rPr>
            </w:pPr>
          </w:p>
        </w:tc>
      </w:tr>
      <w:tr>
        <w:trPr>
          <w:trHeight w:val="214"/>
        </w:trPr>
        <w:tc>
          <w:tcPr>
            <w:tcW w:w="45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Food and beverage</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180,455</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55,043</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227.8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333,390</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177,114</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88.2</w:t>
            </w:r>
          </w:p>
        </w:tc>
        <w:tc>
          <w:tcPr>
            <w:tcW w:w="0" w:type="dxa"/>
            <w:vAlign w:val="bottom"/>
          </w:tcPr>
          <w:p>
            <w:pPr>
              <w:spacing w:after="0"/>
              <w:rPr>
                <w:sz w:val="1"/>
                <w:szCs w:val="1"/>
                <w:color w:val="auto"/>
              </w:rPr>
            </w:pPr>
          </w:p>
        </w:tc>
      </w:tr>
      <w:tr>
        <w:trPr>
          <w:trHeight w:val="207"/>
        </w:trPr>
        <w:tc>
          <w:tcPr>
            <w:tcW w:w="452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Entertainment, retail and other</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50,269</w:t>
            </w:r>
          </w:p>
        </w:tc>
        <w:tc>
          <w:tcPr>
            <w:tcW w:w="14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20,999</w:t>
            </w: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139.4</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104,892</w:t>
            </w:r>
          </w:p>
        </w:tc>
        <w:tc>
          <w:tcPr>
            <w:tcW w:w="14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73,520</w:t>
            </w:r>
          </w:p>
        </w:tc>
        <w:tc>
          <w:tcPr>
            <w:tcW w:w="8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42.7</w:t>
            </w:r>
          </w:p>
        </w:tc>
        <w:tc>
          <w:tcPr>
            <w:tcW w:w="0" w:type="dxa"/>
            <w:vAlign w:val="bottom"/>
          </w:tcPr>
          <w:p>
            <w:pPr>
              <w:spacing w:after="0"/>
              <w:rPr>
                <w:sz w:val="1"/>
                <w:szCs w:val="1"/>
                <w:color w:val="auto"/>
              </w:rPr>
            </w:pPr>
          </w:p>
        </w:tc>
      </w:tr>
      <w:tr>
        <w:trPr>
          <w:trHeight w:val="207"/>
        </w:trPr>
        <w:tc>
          <w:tcPr>
            <w:tcW w:w="4520" w:type="dxa"/>
            <w:vAlign w:val="bottom"/>
            <w:shd w:val="clear" w:color="auto" w:fill="CCEEFF"/>
          </w:tcPr>
          <w:p>
            <w:pPr>
              <w:ind w:left="540"/>
              <w:spacing w:after="0"/>
              <w:rPr>
                <w:sz w:val="20"/>
                <w:szCs w:val="20"/>
                <w:color w:val="auto"/>
              </w:rPr>
            </w:pPr>
            <w:r>
              <w:rPr>
                <w:rFonts w:ascii="Arial" w:cs="Arial" w:eastAsia="Arial" w:hAnsi="Arial"/>
                <w:sz w:val="18"/>
                <w:szCs w:val="18"/>
                <w:b w:val="1"/>
                <w:bCs w:val="1"/>
                <w:color w:val="auto"/>
              </w:rPr>
              <w:t>Total</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b w:val="1"/>
                <w:bCs w:val="1"/>
                <w:color w:val="auto"/>
                <w:w w:val="89"/>
              </w:rPr>
              <w:t>$</w:t>
            </w:r>
          </w:p>
        </w:tc>
        <w:tc>
          <w:tcPr>
            <w:tcW w:w="920" w:type="dxa"/>
            <w:vAlign w:val="bottom"/>
            <w:shd w:val="clear" w:color="auto" w:fill="CCEEFF"/>
          </w:tcPr>
          <w:p>
            <w:pPr>
              <w:jc w:val="right"/>
              <w:ind w:right="42"/>
              <w:spacing w:after="0"/>
              <w:rPr>
                <w:sz w:val="20"/>
                <w:szCs w:val="20"/>
                <w:color w:val="auto"/>
              </w:rPr>
            </w:pPr>
            <w:r>
              <w:rPr>
                <w:rFonts w:ascii="Arial" w:cs="Arial" w:eastAsia="Arial" w:hAnsi="Arial"/>
                <w:sz w:val="16"/>
                <w:szCs w:val="16"/>
                <w:b w:val="1"/>
                <w:bCs w:val="1"/>
                <w:color w:val="auto"/>
              </w:rPr>
              <w:t>476,003</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1"/>
              <w:spacing w:after="0"/>
              <w:rPr>
                <w:sz w:val="20"/>
                <w:szCs w:val="20"/>
                <w:color w:val="auto"/>
              </w:rPr>
            </w:pPr>
            <w:r>
              <w:rPr>
                <w:rFonts w:ascii="Arial" w:cs="Arial" w:eastAsia="Arial" w:hAnsi="Arial"/>
                <w:sz w:val="16"/>
                <w:szCs w:val="16"/>
                <w:b w:val="1"/>
                <w:bCs w:val="1"/>
                <w:color w:val="auto"/>
                <w:w w:val="89"/>
              </w:rPr>
              <w:t>$</w:t>
            </w:r>
          </w:p>
        </w:tc>
        <w:tc>
          <w:tcPr>
            <w:tcW w:w="780" w:type="dxa"/>
            <w:vAlign w:val="bottom"/>
            <w:shd w:val="clear" w:color="auto" w:fill="CCEEFF"/>
          </w:tcPr>
          <w:p>
            <w:pPr>
              <w:jc w:val="right"/>
              <w:ind w:right="61"/>
              <w:spacing w:after="0"/>
              <w:rPr>
                <w:sz w:val="20"/>
                <w:szCs w:val="20"/>
                <w:color w:val="auto"/>
              </w:rPr>
            </w:pPr>
            <w:r>
              <w:rPr>
                <w:rFonts w:ascii="Arial" w:cs="Arial" w:eastAsia="Arial" w:hAnsi="Arial"/>
                <w:sz w:val="16"/>
                <w:szCs w:val="16"/>
                <w:b w:val="1"/>
                <w:bCs w:val="1"/>
                <w:color w:val="auto"/>
              </w:rPr>
              <w:t>186,697</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155.0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w w:val="89"/>
              </w:rPr>
              <w:t>$</w:t>
            </w:r>
          </w:p>
        </w:tc>
        <w:tc>
          <w:tcPr>
            <w:tcW w:w="860" w:type="dxa"/>
            <w:vAlign w:val="bottom"/>
            <w:shd w:val="clear" w:color="auto" w:fill="CCEEFF"/>
          </w:tcPr>
          <w:p>
            <w:pPr>
              <w:jc w:val="right"/>
              <w:ind w:right="42"/>
              <w:spacing w:after="0"/>
              <w:rPr>
                <w:sz w:val="20"/>
                <w:szCs w:val="20"/>
                <w:color w:val="auto"/>
              </w:rPr>
            </w:pPr>
            <w:r>
              <w:rPr>
                <w:rFonts w:ascii="Arial" w:cs="Arial" w:eastAsia="Arial" w:hAnsi="Arial"/>
                <w:sz w:val="16"/>
                <w:szCs w:val="16"/>
                <w:b w:val="1"/>
                <w:bCs w:val="1"/>
                <w:color w:val="auto"/>
              </w:rPr>
              <w:t>1,009,785</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1"/>
              <w:spacing w:after="0"/>
              <w:rPr>
                <w:sz w:val="20"/>
                <w:szCs w:val="20"/>
                <w:color w:val="auto"/>
              </w:rPr>
            </w:pPr>
            <w:r>
              <w:rPr>
                <w:rFonts w:ascii="Arial" w:cs="Arial" w:eastAsia="Arial" w:hAnsi="Arial"/>
                <w:sz w:val="16"/>
                <w:szCs w:val="16"/>
                <w:b w:val="1"/>
                <w:bCs w:val="1"/>
                <w:color w:val="auto"/>
                <w:w w:val="89"/>
              </w:rPr>
              <w:t>$</w:t>
            </w:r>
          </w:p>
        </w:tc>
        <w:tc>
          <w:tcPr>
            <w:tcW w:w="76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575,407</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75.5</w:t>
            </w:r>
          </w:p>
        </w:tc>
        <w:tc>
          <w:tcPr>
            <w:tcW w:w="0" w:type="dxa"/>
            <w:vAlign w:val="bottom"/>
          </w:tcPr>
          <w:p>
            <w:pPr>
              <w:spacing w:after="0"/>
              <w:rPr>
                <w:sz w:val="1"/>
                <w:szCs w:val="1"/>
                <w:color w:val="auto"/>
              </w:rPr>
            </w:pPr>
          </w:p>
        </w:tc>
      </w:tr>
      <w:tr>
        <w:trPr>
          <w:trHeight w:val="263"/>
        </w:trPr>
        <w:tc>
          <w:tcPr>
            <w:tcW w:w="45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4520" w:type="dxa"/>
            <w:vAlign w:val="bottom"/>
            <w:shd w:val="clear" w:color="auto" w:fill="CCEEFF"/>
          </w:tcPr>
          <w:p>
            <w:pPr>
              <w:ind w:left="220"/>
              <w:spacing w:after="0"/>
              <w:rPr>
                <w:sz w:val="20"/>
                <w:szCs w:val="20"/>
                <w:color w:val="auto"/>
              </w:rPr>
            </w:pPr>
            <w:r>
              <w:rPr>
                <w:rFonts w:ascii="Arial" w:cs="Arial" w:eastAsia="Arial" w:hAnsi="Arial"/>
                <w:sz w:val="16"/>
                <w:szCs w:val="16"/>
                <w:b w:val="1"/>
                <w:bCs w:val="1"/>
                <w:color w:val="auto"/>
              </w:rPr>
              <w:t xml:space="preserve">Adjusted Property EBITDA </w:t>
            </w:r>
            <w:r>
              <w:rPr>
                <w:rFonts w:ascii="Arial" w:cs="Arial" w:eastAsia="Arial" w:hAnsi="Arial"/>
                <w:sz w:val="14"/>
                <w:szCs w:val="14"/>
                <w:b w:val="1"/>
                <w:bCs w:val="1"/>
                <w:color w:val="auto"/>
              </w:rPr>
              <w:t>(6)</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b w:val="1"/>
                <w:bCs w:val="1"/>
                <w:color w:val="auto"/>
                <w:w w:val="89"/>
              </w:rPr>
              <w:t>$</w:t>
            </w:r>
          </w:p>
        </w:tc>
        <w:tc>
          <w:tcPr>
            <w:tcW w:w="920" w:type="dxa"/>
            <w:vAlign w:val="bottom"/>
            <w:shd w:val="clear" w:color="auto" w:fill="CCEEFF"/>
          </w:tcPr>
          <w:p>
            <w:pPr>
              <w:jc w:val="right"/>
              <w:ind w:right="42"/>
              <w:spacing w:after="0"/>
              <w:rPr>
                <w:sz w:val="20"/>
                <w:szCs w:val="20"/>
                <w:color w:val="auto"/>
              </w:rPr>
            </w:pPr>
            <w:r>
              <w:rPr>
                <w:rFonts w:ascii="Arial" w:cs="Arial" w:eastAsia="Arial" w:hAnsi="Arial"/>
                <w:sz w:val="16"/>
                <w:szCs w:val="16"/>
                <w:b w:val="1"/>
                <w:bCs w:val="1"/>
                <w:color w:val="auto"/>
              </w:rPr>
              <w:t>183,416</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1"/>
              <w:spacing w:after="0"/>
              <w:rPr>
                <w:sz w:val="20"/>
                <w:szCs w:val="20"/>
                <w:color w:val="auto"/>
              </w:rPr>
            </w:pPr>
            <w:r>
              <w:rPr>
                <w:rFonts w:ascii="Arial" w:cs="Arial" w:eastAsia="Arial" w:hAnsi="Arial"/>
                <w:sz w:val="16"/>
                <w:szCs w:val="16"/>
                <w:b w:val="1"/>
                <w:bCs w:val="1"/>
                <w:color w:val="auto"/>
                <w:w w:val="89"/>
              </w:rPr>
              <w:t>$</w:t>
            </w:r>
          </w:p>
        </w:tc>
        <w:tc>
          <w:tcPr>
            <w:tcW w:w="780" w:type="dxa"/>
            <w:vAlign w:val="bottom"/>
            <w:shd w:val="clear" w:color="auto" w:fill="CCEEFF"/>
          </w:tcPr>
          <w:p>
            <w:pPr>
              <w:jc w:val="right"/>
              <w:ind w:right="61"/>
              <w:spacing w:after="0"/>
              <w:rPr>
                <w:sz w:val="20"/>
                <w:szCs w:val="20"/>
                <w:color w:val="auto"/>
              </w:rPr>
            </w:pPr>
            <w:r>
              <w:rPr>
                <w:rFonts w:ascii="Arial" w:cs="Arial" w:eastAsia="Arial" w:hAnsi="Arial"/>
                <w:sz w:val="16"/>
                <w:szCs w:val="16"/>
                <w:b w:val="1"/>
                <w:bCs w:val="1"/>
                <w:color w:val="auto"/>
              </w:rPr>
              <w:t>20,258</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805.4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w w:val="89"/>
              </w:rPr>
              <w:t>$</w:t>
            </w:r>
          </w:p>
        </w:tc>
        <w:tc>
          <w:tcPr>
            <w:tcW w:w="860" w:type="dxa"/>
            <w:vAlign w:val="bottom"/>
            <w:shd w:val="clear" w:color="auto" w:fill="CCEEFF"/>
          </w:tcPr>
          <w:p>
            <w:pPr>
              <w:jc w:val="right"/>
              <w:ind w:right="42"/>
              <w:spacing w:after="0"/>
              <w:rPr>
                <w:sz w:val="20"/>
                <w:szCs w:val="20"/>
                <w:color w:val="auto"/>
              </w:rPr>
            </w:pPr>
            <w:r>
              <w:rPr>
                <w:rFonts w:ascii="Arial" w:cs="Arial" w:eastAsia="Arial" w:hAnsi="Arial"/>
                <w:sz w:val="16"/>
                <w:szCs w:val="16"/>
                <w:b w:val="1"/>
                <w:bCs w:val="1"/>
                <w:color w:val="auto"/>
              </w:rPr>
              <w:t>344,719</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1"/>
              <w:spacing w:after="0"/>
              <w:rPr>
                <w:sz w:val="20"/>
                <w:szCs w:val="20"/>
                <w:color w:val="auto"/>
              </w:rPr>
            </w:pPr>
            <w:r>
              <w:rPr>
                <w:rFonts w:ascii="Arial" w:cs="Arial" w:eastAsia="Arial" w:hAnsi="Arial"/>
                <w:sz w:val="16"/>
                <w:szCs w:val="16"/>
                <w:b w:val="1"/>
                <w:bCs w:val="1"/>
                <w:color w:val="auto"/>
                <w:w w:val="89"/>
              </w:rPr>
              <w:t>$</w:t>
            </w:r>
          </w:p>
        </w:tc>
        <w:tc>
          <w:tcPr>
            <w:tcW w:w="76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(77,383)</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NM</w:t>
            </w:r>
          </w:p>
        </w:tc>
        <w:tc>
          <w:tcPr>
            <w:tcW w:w="0" w:type="dxa"/>
            <w:vAlign w:val="bottom"/>
          </w:tcPr>
          <w:p>
            <w:pPr>
              <w:spacing w:after="0"/>
              <w:rPr>
                <w:sz w:val="1"/>
                <w:szCs w:val="1"/>
                <w:color w:val="auto"/>
              </w:rPr>
            </w:pPr>
          </w:p>
        </w:tc>
      </w:tr>
      <w:tr>
        <w:trPr>
          <w:trHeight w:val="263"/>
        </w:trPr>
        <w:tc>
          <w:tcPr>
            <w:tcW w:w="45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4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Casino Statistics: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520" w:type="dxa"/>
            <w:vAlign w:val="bottom"/>
          </w:tcPr>
          <w:p>
            <w:pPr>
              <w:ind w:left="540"/>
              <w:spacing w:after="0"/>
              <w:rPr>
                <w:sz w:val="20"/>
                <w:szCs w:val="20"/>
                <w:color w:val="auto"/>
              </w:rPr>
            </w:pPr>
            <w:r>
              <w:rPr>
                <w:rFonts w:ascii="Arial" w:cs="Arial" w:eastAsia="Arial" w:hAnsi="Arial"/>
                <w:sz w:val="16"/>
                <w:szCs w:val="16"/>
                <w:color w:val="auto"/>
              </w:rPr>
              <w:t>Average number of table games</w:t>
            </w:r>
          </w:p>
        </w:tc>
        <w:tc>
          <w:tcPr>
            <w:tcW w:w="260" w:type="dxa"/>
            <w:vAlign w:val="bottom"/>
          </w:tcPr>
          <w:p>
            <w:pPr>
              <w:spacing w:after="0"/>
              <w:rPr>
                <w:sz w:val="18"/>
                <w:szCs w:val="18"/>
                <w:color w:val="auto"/>
              </w:rPr>
            </w:pPr>
          </w:p>
        </w:tc>
        <w:tc>
          <w:tcPr>
            <w:tcW w:w="920" w:type="dxa"/>
            <w:vAlign w:val="bottom"/>
          </w:tcPr>
          <w:p>
            <w:pPr>
              <w:jc w:val="right"/>
              <w:ind w:right="42"/>
              <w:spacing w:after="0"/>
              <w:rPr>
                <w:sz w:val="20"/>
                <w:szCs w:val="20"/>
                <w:color w:val="auto"/>
              </w:rPr>
            </w:pPr>
            <w:r>
              <w:rPr>
                <w:rFonts w:ascii="Arial" w:cs="Arial" w:eastAsia="Arial" w:hAnsi="Arial"/>
                <w:sz w:val="16"/>
                <w:szCs w:val="16"/>
                <w:color w:val="auto"/>
              </w:rPr>
              <w:t>224</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ind w:right="61"/>
              <w:spacing w:after="0"/>
              <w:rPr>
                <w:sz w:val="20"/>
                <w:szCs w:val="20"/>
                <w:color w:val="auto"/>
              </w:rPr>
            </w:pPr>
            <w:r>
              <w:rPr>
                <w:rFonts w:ascii="Arial" w:cs="Arial" w:eastAsia="Arial" w:hAnsi="Arial"/>
                <w:sz w:val="16"/>
                <w:szCs w:val="16"/>
                <w:color w:val="auto"/>
              </w:rPr>
              <w:t>223</w:t>
            </w:r>
          </w:p>
        </w:tc>
        <w:tc>
          <w:tcPr>
            <w:tcW w:w="100" w:type="dxa"/>
            <w:vAlign w:val="bottom"/>
          </w:tcPr>
          <w:p>
            <w:pPr>
              <w:spacing w:after="0"/>
              <w:rPr>
                <w:sz w:val="18"/>
                <w:szCs w:val="18"/>
                <w:color w:val="auto"/>
              </w:rPr>
            </w:pPr>
          </w:p>
        </w:tc>
        <w:tc>
          <w:tcPr>
            <w:tcW w:w="780" w:type="dxa"/>
            <w:vAlign w:val="bottom"/>
          </w:tcPr>
          <w:p>
            <w:pPr>
              <w:jc w:val="right"/>
              <w:ind w:right="2"/>
              <w:spacing w:after="0"/>
              <w:rPr>
                <w:sz w:val="20"/>
                <w:szCs w:val="20"/>
                <w:color w:val="auto"/>
              </w:rPr>
            </w:pPr>
            <w:r>
              <w:rPr>
                <w:rFonts w:ascii="Arial" w:cs="Arial" w:eastAsia="Arial" w:hAnsi="Arial"/>
                <w:sz w:val="16"/>
                <w:szCs w:val="16"/>
                <w:color w:val="auto"/>
              </w:rPr>
              <w:t>0.4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205</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jc w:val="right"/>
              <w:ind w:right="41"/>
              <w:spacing w:after="0"/>
              <w:rPr>
                <w:sz w:val="20"/>
                <w:szCs w:val="20"/>
                <w:color w:val="auto"/>
              </w:rPr>
            </w:pPr>
            <w:r>
              <w:rPr>
                <w:rFonts w:ascii="Arial" w:cs="Arial" w:eastAsia="Arial" w:hAnsi="Arial"/>
                <w:sz w:val="16"/>
                <w:szCs w:val="16"/>
                <w:color w:val="auto"/>
              </w:rPr>
              <w:t>228</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214"/>
        </w:trPr>
        <w:tc>
          <w:tcPr>
            <w:tcW w:w="4520" w:type="dxa"/>
            <w:vAlign w:val="bottom"/>
            <w:shd w:val="clear" w:color="auto" w:fill="CCEEFF"/>
          </w:tcPr>
          <w:p>
            <w:pPr>
              <w:ind w:left="540"/>
              <w:spacing w:after="0"/>
              <w:rPr>
                <w:sz w:val="20"/>
                <w:szCs w:val="20"/>
                <w:color w:val="auto"/>
              </w:rPr>
            </w:pPr>
            <w:r>
              <w:rPr>
                <w:rFonts w:ascii="Arial" w:cs="Arial" w:eastAsia="Arial" w:hAnsi="Arial"/>
                <w:sz w:val="16"/>
                <w:szCs w:val="16"/>
                <w:color w:val="auto"/>
              </w:rPr>
              <w:t xml:space="preserve">Table drop </w:t>
            </w:r>
            <w:r>
              <w:rPr>
                <w:rFonts w:ascii="Arial" w:cs="Arial" w:eastAsia="Arial" w:hAnsi="Arial"/>
                <w:sz w:val="14"/>
                <w:szCs w:val="14"/>
                <w:color w:val="auto"/>
              </w:rPr>
              <w:t>(2)</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507,188</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324,939</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56.1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1,258,733</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830,745</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51.5</w:t>
            </w:r>
          </w:p>
        </w:tc>
        <w:tc>
          <w:tcPr>
            <w:tcW w:w="0" w:type="dxa"/>
            <w:vAlign w:val="bottom"/>
          </w:tcPr>
          <w:p>
            <w:pPr>
              <w:spacing w:after="0"/>
              <w:rPr>
                <w:sz w:val="1"/>
                <w:szCs w:val="1"/>
                <w:color w:val="auto"/>
              </w:rPr>
            </w:pPr>
          </w:p>
        </w:tc>
      </w:tr>
      <w:tr>
        <w:trPr>
          <w:trHeight w:val="207"/>
        </w:trPr>
        <w:tc>
          <w:tcPr>
            <w:tcW w:w="4520" w:type="dxa"/>
            <w:vAlign w:val="bottom"/>
          </w:tcPr>
          <w:p>
            <w:pPr>
              <w:ind w:left="540"/>
              <w:spacing w:after="0"/>
              <w:rPr>
                <w:sz w:val="20"/>
                <w:szCs w:val="20"/>
                <w:color w:val="auto"/>
              </w:rPr>
            </w:pPr>
            <w:r>
              <w:rPr>
                <w:rFonts w:ascii="Arial" w:cs="Arial" w:eastAsia="Arial" w:hAnsi="Arial"/>
                <w:sz w:val="16"/>
                <w:szCs w:val="16"/>
                <w:color w:val="auto"/>
              </w:rPr>
              <w:t xml:space="preserve">Table games win </w:t>
            </w:r>
            <w:r>
              <w:rPr>
                <w:rFonts w:ascii="Arial" w:cs="Arial" w:eastAsia="Arial" w:hAnsi="Arial"/>
                <w:sz w:val="14"/>
                <w:szCs w:val="14"/>
                <w:color w:val="auto"/>
              </w:rPr>
              <w:t>(1)</w:t>
            </w: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42"/>
              <w:spacing w:after="0"/>
              <w:rPr>
                <w:sz w:val="20"/>
                <w:szCs w:val="20"/>
                <w:color w:val="auto"/>
              </w:rPr>
            </w:pPr>
            <w:r>
              <w:rPr>
                <w:rFonts w:ascii="Arial" w:cs="Arial" w:eastAsia="Arial" w:hAnsi="Arial"/>
                <w:sz w:val="16"/>
                <w:szCs w:val="16"/>
                <w:color w:val="auto"/>
              </w:rPr>
              <w:t>110,265</w:t>
            </w:r>
          </w:p>
        </w:tc>
        <w:tc>
          <w:tcPr>
            <w:tcW w:w="140" w:type="dxa"/>
            <w:vAlign w:val="bottom"/>
          </w:tcPr>
          <w:p>
            <w:pPr>
              <w:spacing w:after="0"/>
              <w:rPr>
                <w:sz w:val="18"/>
                <w:szCs w:val="18"/>
                <w:color w:val="auto"/>
              </w:rPr>
            </w:pPr>
          </w:p>
        </w:tc>
        <w:tc>
          <w:tcPr>
            <w:tcW w:w="420" w:type="dxa"/>
            <w:vAlign w:val="bottom"/>
          </w:tcPr>
          <w:p>
            <w:pPr>
              <w:jc w:val="right"/>
              <w:ind w:right="241"/>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61"/>
              <w:spacing w:after="0"/>
              <w:rPr>
                <w:sz w:val="20"/>
                <w:szCs w:val="20"/>
                <w:color w:val="auto"/>
              </w:rPr>
            </w:pPr>
            <w:r>
              <w:rPr>
                <w:rFonts w:ascii="Arial" w:cs="Arial" w:eastAsia="Arial" w:hAnsi="Arial"/>
                <w:sz w:val="16"/>
                <w:szCs w:val="16"/>
                <w:color w:val="auto"/>
              </w:rPr>
              <w:t>65,611</w:t>
            </w:r>
          </w:p>
        </w:tc>
        <w:tc>
          <w:tcPr>
            <w:tcW w:w="100" w:type="dxa"/>
            <w:vAlign w:val="bottom"/>
          </w:tcPr>
          <w:p>
            <w:pPr>
              <w:spacing w:after="0"/>
              <w:rPr>
                <w:sz w:val="18"/>
                <w:szCs w:val="18"/>
                <w:color w:val="auto"/>
              </w:rPr>
            </w:pPr>
          </w:p>
        </w:tc>
        <w:tc>
          <w:tcPr>
            <w:tcW w:w="780" w:type="dxa"/>
            <w:vAlign w:val="bottom"/>
          </w:tcPr>
          <w:p>
            <w:pPr>
              <w:jc w:val="right"/>
              <w:ind w:right="2"/>
              <w:spacing w:after="0"/>
              <w:rPr>
                <w:sz w:val="20"/>
                <w:szCs w:val="20"/>
                <w:color w:val="auto"/>
              </w:rPr>
            </w:pPr>
            <w:r>
              <w:rPr>
                <w:rFonts w:ascii="Arial" w:cs="Arial" w:eastAsia="Arial" w:hAnsi="Arial"/>
                <w:sz w:val="16"/>
                <w:szCs w:val="16"/>
                <w:color w:val="auto"/>
              </w:rPr>
              <w:t>68.1</w:t>
            </w:r>
          </w:p>
        </w:tc>
        <w:tc>
          <w:tcPr>
            <w:tcW w:w="8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285,939</w:t>
            </w:r>
          </w:p>
        </w:tc>
        <w:tc>
          <w:tcPr>
            <w:tcW w:w="140" w:type="dxa"/>
            <w:vAlign w:val="bottom"/>
          </w:tcPr>
          <w:p>
            <w:pPr>
              <w:spacing w:after="0"/>
              <w:rPr>
                <w:sz w:val="18"/>
                <w:szCs w:val="18"/>
                <w:color w:val="auto"/>
              </w:rPr>
            </w:pPr>
          </w:p>
        </w:tc>
        <w:tc>
          <w:tcPr>
            <w:tcW w:w="420" w:type="dxa"/>
            <w:vAlign w:val="bottom"/>
          </w:tcPr>
          <w:p>
            <w:pPr>
              <w:jc w:val="right"/>
              <w:ind w:right="241"/>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41"/>
              <w:spacing w:after="0"/>
              <w:rPr>
                <w:sz w:val="20"/>
                <w:szCs w:val="20"/>
                <w:color w:val="auto"/>
              </w:rPr>
            </w:pPr>
            <w:r>
              <w:rPr>
                <w:rFonts w:ascii="Arial" w:cs="Arial" w:eastAsia="Arial" w:hAnsi="Arial"/>
                <w:sz w:val="16"/>
                <w:szCs w:val="16"/>
                <w:color w:val="auto"/>
              </w:rPr>
              <w:t>166,196</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72.0</w:t>
            </w:r>
          </w:p>
        </w:tc>
        <w:tc>
          <w:tcPr>
            <w:tcW w:w="0" w:type="dxa"/>
            <w:vAlign w:val="bottom"/>
          </w:tcPr>
          <w:p>
            <w:pPr>
              <w:spacing w:after="0"/>
              <w:rPr>
                <w:sz w:val="1"/>
                <w:szCs w:val="1"/>
                <w:color w:val="auto"/>
              </w:rPr>
            </w:pPr>
          </w:p>
        </w:tc>
      </w:tr>
      <w:tr>
        <w:trPr>
          <w:trHeight w:val="214"/>
        </w:trPr>
        <w:tc>
          <w:tcPr>
            <w:tcW w:w="4520" w:type="dxa"/>
            <w:vAlign w:val="bottom"/>
            <w:shd w:val="clear" w:color="auto" w:fill="CCEEFF"/>
          </w:tcPr>
          <w:p>
            <w:pPr>
              <w:ind w:left="540"/>
              <w:spacing w:after="0"/>
              <w:rPr>
                <w:sz w:val="20"/>
                <w:szCs w:val="20"/>
                <w:color w:val="auto"/>
              </w:rPr>
            </w:pPr>
            <w:r>
              <w:rPr>
                <w:rFonts w:ascii="Arial" w:cs="Arial" w:eastAsia="Arial" w:hAnsi="Arial"/>
                <w:sz w:val="16"/>
                <w:szCs w:val="16"/>
                <w:color w:val="auto"/>
              </w:rPr>
              <w:t>Table games win %</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21.7%</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20.2%</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22.7%</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20.0%</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520" w:type="dxa"/>
            <w:vAlign w:val="bottom"/>
          </w:tcPr>
          <w:p>
            <w:pPr>
              <w:ind w:left="540"/>
              <w:spacing w:after="0"/>
              <w:rPr>
                <w:sz w:val="20"/>
                <w:szCs w:val="20"/>
                <w:color w:val="auto"/>
              </w:rPr>
            </w:pPr>
            <w:r>
              <w:rPr>
                <w:rFonts w:ascii="Arial" w:cs="Arial" w:eastAsia="Arial" w:hAnsi="Arial"/>
                <w:sz w:val="16"/>
                <w:szCs w:val="16"/>
                <w:color w:val="auto"/>
              </w:rPr>
              <w:t>Table games win per unit per day</w:t>
            </w: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5,354</w:t>
            </w:r>
          </w:p>
        </w:tc>
        <w:tc>
          <w:tcPr>
            <w:tcW w:w="140" w:type="dxa"/>
            <w:vAlign w:val="bottom"/>
          </w:tcPr>
          <w:p>
            <w:pPr>
              <w:spacing w:after="0"/>
              <w:rPr>
                <w:sz w:val="18"/>
                <w:szCs w:val="18"/>
                <w:color w:val="auto"/>
              </w:rPr>
            </w:pPr>
          </w:p>
        </w:tc>
        <w:tc>
          <w:tcPr>
            <w:tcW w:w="420" w:type="dxa"/>
            <w:vAlign w:val="bottom"/>
          </w:tcPr>
          <w:p>
            <w:pPr>
              <w:jc w:val="right"/>
              <w:ind w:right="241"/>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61"/>
              <w:spacing w:after="0"/>
              <w:rPr>
                <w:sz w:val="20"/>
                <w:szCs w:val="20"/>
                <w:color w:val="auto"/>
              </w:rPr>
            </w:pPr>
            <w:r>
              <w:rPr>
                <w:rFonts w:ascii="Arial" w:cs="Arial" w:eastAsia="Arial" w:hAnsi="Arial"/>
                <w:sz w:val="16"/>
                <w:szCs w:val="16"/>
                <w:color w:val="auto"/>
              </w:rPr>
              <w:t>3,191</w:t>
            </w:r>
          </w:p>
        </w:tc>
        <w:tc>
          <w:tcPr>
            <w:tcW w:w="100" w:type="dxa"/>
            <w:vAlign w:val="bottom"/>
          </w:tcPr>
          <w:p>
            <w:pPr>
              <w:spacing w:after="0"/>
              <w:rPr>
                <w:sz w:val="18"/>
                <w:szCs w:val="18"/>
                <w:color w:val="auto"/>
              </w:rPr>
            </w:pPr>
          </w:p>
        </w:tc>
        <w:tc>
          <w:tcPr>
            <w:tcW w:w="780" w:type="dxa"/>
            <w:vAlign w:val="bottom"/>
          </w:tcPr>
          <w:p>
            <w:pPr>
              <w:jc w:val="right"/>
              <w:ind w:right="2"/>
              <w:spacing w:after="0"/>
              <w:rPr>
                <w:sz w:val="20"/>
                <w:szCs w:val="20"/>
                <w:color w:val="auto"/>
              </w:rPr>
            </w:pPr>
            <w:r>
              <w:rPr>
                <w:rFonts w:ascii="Arial" w:cs="Arial" w:eastAsia="Arial" w:hAnsi="Arial"/>
                <w:sz w:val="16"/>
                <w:szCs w:val="16"/>
                <w:color w:val="auto"/>
              </w:rPr>
              <w:t>67.8</w:t>
            </w:r>
          </w:p>
        </w:tc>
        <w:tc>
          <w:tcPr>
            <w:tcW w:w="8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5,117</w:t>
            </w:r>
          </w:p>
        </w:tc>
        <w:tc>
          <w:tcPr>
            <w:tcW w:w="140" w:type="dxa"/>
            <w:vAlign w:val="bottom"/>
          </w:tcPr>
          <w:p>
            <w:pPr>
              <w:spacing w:after="0"/>
              <w:rPr>
                <w:sz w:val="18"/>
                <w:szCs w:val="18"/>
                <w:color w:val="auto"/>
              </w:rPr>
            </w:pPr>
          </w:p>
        </w:tc>
        <w:tc>
          <w:tcPr>
            <w:tcW w:w="420" w:type="dxa"/>
            <w:vAlign w:val="bottom"/>
          </w:tcPr>
          <w:p>
            <w:pPr>
              <w:jc w:val="right"/>
              <w:ind w:right="241"/>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41"/>
              <w:spacing w:after="0"/>
              <w:rPr>
                <w:sz w:val="20"/>
                <w:szCs w:val="20"/>
                <w:color w:val="auto"/>
              </w:rPr>
            </w:pPr>
            <w:r>
              <w:rPr>
                <w:rFonts w:ascii="Arial" w:cs="Arial" w:eastAsia="Arial" w:hAnsi="Arial"/>
                <w:sz w:val="16"/>
                <w:szCs w:val="16"/>
                <w:color w:val="auto"/>
              </w:rPr>
              <w:t>3,711</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37.9</w:t>
            </w:r>
          </w:p>
        </w:tc>
        <w:tc>
          <w:tcPr>
            <w:tcW w:w="0" w:type="dxa"/>
            <w:vAlign w:val="bottom"/>
          </w:tcPr>
          <w:p>
            <w:pPr>
              <w:spacing w:after="0"/>
              <w:rPr>
                <w:sz w:val="1"/>
                <w:szCs w:val="1"/>
                <w:color w:val="auto"/>
              </w:rPr>
            </w:pPr>
          </w:p>
        </w:tc>
      </w:tr>
      <w:tr>
        <w:trPr>
          <w:trHeight w:val="214"/>
        </w:trPr>
        <w:tc>
          <w:tcPr>
            <w:tcW w:w="4520" w:type="dxa"/>
            <w:vAlign w:val="bottom"/>
            <w:shd w:val="clear" w:color="auto" w:fill="CCEEFF"/>
          </w:tcPr>
          <w:p>
            <w:pPr>
              <w:ind w:left="540"/>
              <w:spacing w:after="0"/>
              <w:rPr>
                <w:sz w:val="20"/>
                <w:szCs w:val="20"/>
                <w:color w:val="auto"/>
              </w:rPr>
            </w:pPr>
            <w:r>
              <w:rPr>
                <w:rFonts w:ascii="Arial" w:cs="Arial" w:eastAsia="Arial" w:hAnsi="Arial"/>
                <w:sz w:val="16"/>
                <w:szCs w:val="16"/>
                <w:color w:val="auto"/>
              </w:rPr>
              <w:t>Average number of slot machines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1,746</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1,738</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0.5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1,670</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1,751</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07"/>
        </w:trPr>
        <w:tc>
          <w:tcPr>
            <w:tcW w:w="4520" w:type="dxa"/>
            <w:vAlign w:val="bottom"/>
          </w:tcPr>
          <w:p>
            <w:pPr>
              <w:ind w:left="540"/>
              <w:spacing w:after="0"/>
              <w:rPr>
                <w:sz w:val="20"/>
                <w:szCs w:val="20"/>
                <w:color w:val="auto"/>
              </w:rPr>
            </w:pPr>
            <w:r>
              <w:rPr>
                <w:rFonts w:ascii="Arial" w:cs="Arial" w:eastAsia="Arial" w:hAnsi="Arial"/>
                <w:sz w:val="16"/>
                <w:szCs w:val="16"/>
                <w:color w:val="auto"/>
              </w:rPr>
              <w:t>Slot machine handle</w:t>
            </w: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42"/>
              <w:spacing w:after="0"/>
              <w:rPr>
                <w:sz w:val="20"/>
                <w:szCs w:val="20"/>
                <w:color w:val="auto"/>
              </w:rPr>
            </w:pPr>
            <w:r>
              <w:rPr>
                <w:rFonts w:ascii="Arial" w:cs="Arial" w:eastAsia="Arial" w:hAnsi="Arial"/>
                <w:sz w:val="16"/>
                <w:szCs w:val="16"/>
                <w:color w:val="auto"/>
              </w:rPr>
              <w:t>1,156,858</w:t>
            </w:r>
          </w:p>
        </w:tc>
        <w:tc>
          <w:tcPr>
            <w:tcW w:w="140" w:type="dxa"/>
            <w:vAlign w:val="bottom"/>
          </w:tcPr>
          <w:p>
            <w:pPr>
              <w:spacing w:after="0"/>
              <w:rPr>
                <w:sz w:val="18"/>
                <w:szCs w:val="18"/>
                <w:color w:val="auto"/>
              </w:rPr>
            </w:pPr>
          </w:p>
        </w:tc>
        <w:tc>
          <w:tcPr>
            <w:tcW w:w="420" w:type="dxa"/>
            <w:vAlign w:val="bottom"/>
          </w:tcPr>
          <w:p>
            <w:pPr>
              <w:jc w:val="right"/>
              <w:ind w:right="241"/>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61"/>
              <w:spacing w:after="0"/>
              <w:rPr>
                <w:sz w:val="20"/>
                <w:szCs w:val="20"/>
                <w:color w:val="auto"/>
              </w:rPr>
            </w:pPr>
            <w:r>
              <w:rPr>
                <w:rFonts w:ascii="Arial" w:cs="Arial" w:eastAsia="Arial" w:hAnsi="Arial"/>
                <w:sz w:val="16"/>
                <w:szCs w:val="16"/>
                <w:color w:val="auto"/>
              </w:rPr>
              <w:t>739,291</w:t>
            </w:r>
          </w:p>
        </w:tc>
        <w:tc>
          <w:tcPr>
            <w:tcW w:w="100" w:type="dxa"/>
            <w:vAlign w:val="bottom"/>
          </w:tcPr>
          <w:p>
            <w:pPr>
              <w:spacing w:after="0"/>
              <w:rPr>
                <w:sz w:val="18"/>
                <w:szCs w:val="18"/>
                <w:color w:val="auto"/>
              </w:rPr>
            </w:pPr>
          </w:p>
        </w:tc>
        <w:tc>
          <w:tcPr>
            <w:tcW w:w="780" w:type="dxa"/>
            <w:vAlign w:val="bottom"/>
          </w:tcPr>
          <w:p>
            <w:pPr>
              <w:jc w:val="right"/>
              <w:ind w:right="2"/>
              <w:spacing w:after="0"/>
              <w:rPr>
                <w:sz w:val="20"/>
                <w:szCs w:val="20"/>
                <w:color w:val="auto"/>
              </w:rPr>
            </w:pPr>
            <w:r>
              <w:rPr>
                <w:rFonts w:ascii="Arial" w:cs="Arial" w:eastAsia="Arial" w:hAnsi="Arial"/>
                <w:sz w:val="16"/>
                <w:szCs w:val="16"/>
                <w:color w:val="auto"/>
              </w:rPr>
              <w:t>56.5</w:t>
            </w:r>
          </w:p>
        </w:tc>
        <w:tc>
          <w:tcPr>
            <w:tcW w:w="8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3,063,267</w:t>
            </w:r>
          </w:p>
        </w:tc>
        <w:tc>
          <w:tcPr>
            <w:tcW w:w="140" w:type="dxa"/>
            <w:vAlign w:val="bottom"/>
          </w:tcPr>
          <w:p>
            <w:pPr>
              <w:spacing w:after="0"/>
              <w:rPr>
                <w:sz w:val="18"/>
                <w:szCs w:val="18"/>
                <w:color w:val="auto"/>
              </w:rPr>
            </w:pPr>
          </w:p>
        </w:tc>
        <w:tc>
          <w:tcPr>
            <w:tcW w:w="420" w:type="dxa"/>
            <w:vAlign w:val="bottom"/>
          </w:tcPr>
          <w:p>
            <w:pPr>
              <w:jc w:val="right"/>
              <w:ind w:right="241"/>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41"/>
              <w:spacing w:after="0"/>
              <w:rPr>
                <w:sz w:val="20"/>
                <w:szCs w:val="20"/>
                <w:color w:val="auto"/>
              </w:rPr>
            </w:pPr>
            <w:r>
              <w:rPr>
                <w:rFonts w:ascii="Arial" w:cs="Arial" w:eastAsia="Arial" w:hAnsi="Arial"/>
                <w:sz w:val="16"/>
                <w:szCs w:val="16"/>
                <w:color w:val="auto"/>
                <w:w w:val="87"/>
              </w:rPr>
              <w:t>1,650,517</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85.6</w:t>
            </w:r>
          </w:p>
        </w:tc>
        <w:tc>
          <w:tcPr>
            <w:tcW w:w="0" w:type="dxa"/>
            <w:vAlign w:val="bottom"/>
          </w:tcPr>
          <w:p>
            <w:pPr>
              <w:spacing w:after="0"/>
              <w:rPr>
                <w:sz w:val="1"/>
                <w:szCs w:val="1"/>
                <w:color w:val="auto"/>
              </w:rPr>
            </w:pPr>
          </w:p>
        </w:tc>
      </w:tr>
      <w:tr>
        <w:trPr>
          <w:trHeight w:val="214"/>
        </w:trPr>
        <w:tc>
          <w:tcPr>
            <w:tcW w:w="4520" w:type="dxa"/>
            <w:vAlign w:val="bottom"/>
            <w:shd w:val="clear" w:color="auto" w:fill="CCEEFF"/>
          </w:tcPr>
          <w:p>
            <w:pPr>
              <w:ind w:left="540"/>
              <w:spacing w:after="0"/>
              <w:rPr>
                <w:sz w:val="20"/>
                <w:szCs w:val="20"/>
                <w:color w:val="auto"/>
              </w:rPr>
            </w:pPr>
            <w:r>
              <w:rPr>
                <w:rFonts w:ascii="Arial" w:cs="Arial" w:eastAsia="Arial" w:hAnsi="Arial"/>
                <w:sz w:val="16"/>
                <w:szCs w:val="16"/>
                <w:color w:val="auto"/>
              </w:rPr>
              <w:t xml:space="preserve">Slot machine win </w:t>
            </w:r>
            <w:r>
              <w:rPr>
                <w:rFonts w:ascii="Arial" w:cs="Arial" w:eastAsia="Arial" w:hAnsi="Arial"/>
                <w:sz w:val="14"/>
                <w:szCs w:val="14"/>
                <w:color w:val="auto"/>
              </w:rPr>
              <w:t>(3)</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80,303</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48,267</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66.4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209,682</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112,464</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86.4</w:t>
            </w:r>
          </w:p>
        </w:tc>
        <w:tc>
          <w:tcPr>
            <w:tcW w:w="0" w:type="dxa"/>
            <w:vAlign w:val="bottom"/>
          </w:tcPr>
          <w:p>
            <w:pPr>
              <w:spacing w:after="0"/>
              <w:rPr>
                <w:sz w:val="1"/>
                <w:szCs w:val="1"/>
                <w:color w:val="auto"/>
              </w:rPr>
            </w:pPr>
          </w:p>
        </w:tc>
      </w:tr>
      <w:tr>
        <w:trPr>
          <w:trHeight w:val="207"/>
        </w:trPr>
        <w:tc>
          <w:tcPr>
            <w:tcW w:w="4520" w:type="dxa"/>
            <w:vAlign w:val="bottom"/>
          </w:tcPr>
          <w:p>
            <w:pPr>
              <w:ind w:left="540"/>
              <w:spacing w:after="0"/>
              <w:rPr>
                <w:sz w:val="20"/>
                <w:szCs w:val="20"/>
                <w:color w:val="auto"/>
              </w:rPr>
            </w:pPr>
            <w:r>
              <w:rPr>
                <w:rFonts w:ascii="Arial" w:cs="Arial" w:eastAsia="Arial" w:hAnsi="Arial"/>
                <w:sz w:val="16"/>
                <w:szCs w:val="16"/>
                <w:color w:val="auto"/>
              </w:rPr>
              <w:t>Slot machine win per unit per day</w:t>
            </w: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42"/>
              <w:spacing w:after="0"/>
              <w:rPr>
                <w:sz w:val="20"/>
                <w:szCs w:val="20"/>
                <w:color w:val="auto"/>
              </w:rPr>
            </w:pPr>
            <w:r>
              <w:rPr>
                <w:rFonts w:ascii="Arial" w:cs="Arial" w:eastAsia="Arial" w:hAnsi="Arial"/>
                <w:sz w:val="16"/>
                <w:szCs w:val="16"/>
                <w:color w:val="auto"/>
              </w:rPr>
              <w:t>500</w:t>
            </w:r>
          </w:p>
        </w:tc>
        <w:tc>
          <w:tcPr>
            <w:tcW w:w="140" w:type="dxa"/>
            <w:vAlign w:val="bottom"/>
          </w:tcPr>
          <w:p>
            <w:pPr>
              <w:spacing w:after="0"/>
              <w:rPr>
                <w:sz w:val="18"/>
                <w:szCs w:val="18"/>
                <w:color w:val="auto"/>
              </w:rPr>
            </w:pPr>
          </w:p>
        </w:tc>
        <w:tc>
          <w:tcPr>
            <w:tcW w:w="420" w:type="dxa"/>
            <w:vAlign w:val="bottom"/>
          </w:tcPr>
          <w:p>
            <w:pPr>
              <w:jc w:val="right"/>
              <w:ind w:right="241"/>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61"/>
              <w:spacing w:after="0"/>
              <w:rPr>
                <w:sz w:val="20"/>
                <w:szCs w:val="20"/>
                <w:color w:val="auto"/>
              </w:rPr>
            </w:pPr>
            <w:r>
              <w:rPr>
                <w:rFonts w:ascii="Arial" w:cs="Arial" w:eastAsia="Arial" w:hAnsi="Arial"/>
                <w:sz w:val="16"/>
                <w:szCs w:val="16"/>
                <w:color w:val="auto"/>
              </w:rPr>
              <w:t>302</w:t>
            </w:r>
          </w:p>
        </w:tc>
        <w:tc>
          <w:tcPr>
            <w:tcW w:w="100" w:type="dxa"/>
            <w:vAlign w:val="bottom"/>
          </w:tcPr>
          <w:p>
            <w:pPr>
              <w:spacing w:after="0"/>
              <w:rPr>
                <w:sz w:val="18"/>
                <w:szCs w:val="18"/>
                <w:color w:val="auto"/>
              </w:rPr>
            </w:pPr>
          </w:p>
        </w:tc>
        <w:tc>
          <w:tcPr>
            <w:tcW w:w="780" w:type="dxa"/>
            <w:vAlign w:val="bottom"/>
          </w:tcPr>
          <w:p>
            <w:pPr>
              <w:jc w:val="right"/>
              <w:ind w:right="2"/>
              <w:spacing w:after="0"/>
              <w:rPr>
                <w:sz w:val="20"/>
                <w:szCs w:val="20"/>
                <w:color w:val="auto"/>
              </w:rPr>
            </w:pPr>
            <w:r>
              <w:rPr>
                <w:rFonts w:ascii="Arial" w:cs="Arial" w:eastAsia="Arial" w:hAnsi="Arial"/>
                <w:sz w:val="16"/>
                <w:szCs w:val="16"/>
                <w:color w:val="auto"/>
              </w:rPr>
              <w:t>65.6</w:t>
            </w:r>
          </w:p>
        </w:tc>
        <w:tc>
          <w:tcPr>
            <w:tcW w:w="8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460</w:t>
            </w:r>
          </w:p>
        </w:tc>
        <w:tc>
          <w:tcPr>
            <w:tcW w:w="140" w:type="dxa"/>
            <w:vAlign w:val="bottom"/>
          </w:tcPr>
          <w:p>
            <w:pPr>
              <w:spacing w:after="0"/>
              <w:rPr>
                <w:sz w:val="18"/>
                <w:szCs w:val="18"/>
                <w:color w:val="auto"/>
              </w:rPr>
            </w:pPr>
          </w:p>
        </w:tc>
        <w:tc>
          <w:tcPr>
            <w:tcW w:w="420" w:type="dxa"/>
            <w:vAlign w:val="bottom"/>
          </w:tcPr>
          <w:p>
            <w:pPr>
              <w:jc w:val="right"/>
              <w:ind w:right="241"/>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41"/>
              <w:spacing w:after="0"/>
              <w:rPr>
                <w:sz w:val="20"/>
                <w:szCs w:val="20"/>
                <w:color w:val="auto"/>
              </w:rPr>
            </w:pPr>
            <w:r>
              <w:rPr>
                <w:rFonts w:ascii="Arial" w:cs="Arial" w:eastAsia="Arial" w:hAnsi="Arial"/>
                <w:sz w:val="16"/>
                <w:szCs w:val="16"/>
                <w:color w:val="auto"/>
              </w:rPr>
              <w:t>328</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40.2</w:t>
            </w:r>
          </w:p>
        </w:tc>
        <w:tc>
          <w:tcPr>
            <w:tcW w:w="0" w:type="dxa"/>
            <w:vAlign w:val="bottom"/>
          </w:tcPr>
          <w:p>
            <w:pPr>
              <w:spacing w:after="0"/>
              <w:rPr>
                <w:sz w:val="1"/>
                <w:szCs w:val="1"/>
                <w:color w:val="auto"/>
              </w:rPr>
            </w:pPr>
          </w:p>
        </w:tc>
      </w:tr>
      <w:tr>
        <w:trPr>
          <w:trHeight w:val="214"/>
        </w:trPr>
        <w:tc>
          <w:tcPr>
            <w:tcW w:w="4520" w:type="dxa"/>
            <w:vAlign w:val="bottom"/>
            <w:shd w:val="clear" w:color="auto" w:fill="CCEEFF"/>
          </w:tcPr>
          <w:p>
            <w:pPr>
              <w:ind w:left="540"/>
              <w:spacing w:after="0"/>
              <w:rPr>
                <w:sz w:val="20"/>
                <w:szCs w:val="20"/>
                <w:color w:val="auto"/>
              </w:rPr>
            </w:pPr>
            <w:r>
              <w:rPr>
                <w:rFonts w:ascii="Arial" w:cs="Arial" w:eastAsia="Arial" w:hAnsi="Arial"/>
                <w:sz w:val="16"/>
                <w:szCs w:val="16"/>
                <w:color w:val="auto"/>
              </w:rPr>
              <w:t>Poker rake</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2,910</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NM</w:t>
            </w: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8,704</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2,185</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298.4</w:t>
            </w:r>
          </w:p>
        </w:tc>
        <w:tc>
          <w:tcPr>
            <w:tcW w:w="0" w:type="dxa"/>
            <w:vAlign w:val="bottom"/>
          </w:tcPr>
          <w:p>
            <w:pPr>
              <w:spacing w:after="0"/>
              <w:rPr>
                <w:sz w:val="1"/>
                <w:szCs w:val="1"/>
                <w:color w:val="auto"/>
              </w:rPr>
            </w:pPr>
          </w:p>
        </w:tc>
      </w:tr>
      <w:tr>
        <w:trPr>
          <w:trHeight w:val="207"/>
        </w:trPr>
        <w:tc>
          <w:tcPr>
            <w:tcW w:w="4520" w:type="dxa"/>
            <w:vAlign w:val="bottom"/>
          </w:tcPr>
          <w:p>
            <w:pPr>
              <w:ind w:left="220"/>
              <w:spacing w:after="0"/>
              <w:rPr>
                <w:sz w:val="20"/>
                <w:szCs w:val="20"/>
                <w:color w:val="auto"/>
              </w:rPr>
            </w:pPr>
            <w:r>
              <w:rPr>
                <w:rFonts w:ascii="Arial" w:cs="Arial" w:eastAsia="Arial" w:hAnsi="Arial"/>
                <w:sz w:val="16"/>
                <w:szCs w:val="16"/>
                <w:color w:val="auto"/>
              </w:rPr>
              <w:t>Room statistics:</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520" w:type="dxa"/>
            <w:vAlign w:val="bottom"/>
            <w:shd w:val="clear" w:color="auto" w:fill="CCEEFF"/>
          </w:tcPr>
          <w:p>
            <w:pPr>
              <w:ind w:left="540"/>
              <w:spacing w:after="0"/>
              <w:rPr>
                <w:sz w:val="20"/>
                <w:szCs w:val="20"/>
                <w:color w:val="auto"/>
              </w:rPr>
            </w:pPr>
            <w:r>
              <w:rPr>
                <w:rFonts w:ascii="Arial" w:cs="Arial" w:eastAsia="Arial" w:hAnsi="Arial"/>
                <w:sz w:val="16"/>
                <w:szCs w:val="16"/>
                <w:color w:val="auto"/>
              </w:rPr>
              <w:t>Occupancy</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83.0%</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39.2%</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63.4%</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55.8%</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520" w:type="dxa"/>
            <w:vAlign w:val="bottom"/>
          </w:tcPr>
          <w:p>
            <w:pPr>
              <w:ind w:left="540"/>
              <w:spacing w:after="0"/>
              <w:rPr>
                <w:sz w:val="20"/>
                <w:szCs w:val="20"/>
                <w:color w:val="auto"/>
              </w:rPr>
            </w:pPr>
            <w:r>
              <w:rPr>
                <w:rFonts w:ascii="Arial" w:cs="Arial" w:eastAsia="Arial" w:hAnsi="Arial"/>
                <w:sz w:val="16"/>
                <w:szCs w:val="16"/>
                <w:color w:val="auto"/>
              </w:rPr>
              <w:t xml:space="preserve">ADR </w:t>
            </w:r>
            <w:r>
              <w:rPr>
                <w:rFonts w:ascii="Arial" w:cs="Arial" w:eastAsia="Arial" w:hAnsi="Arial"/>
                <w:sz w:val="14"/>
                <w:szCs w:val="14"/>
                <w:color w:val="auto"/>
              </w:rPr>
              <w:t>(4)</w:t>
            </w: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42"/>
              <w:spacing w:after="0"/>
              <w:rPr>
                <w:sz w:val="20"/>
                <w:szCs w:val="20"/>
                <w:color w:val="auto"/>
              </w:rPr>
            </w:pPr>
            <w:r>
              <w:rPr>
                <w:rFonts w:ascii="Arial" w:cs="Arial" w:eastAsia="Arial" w:hAnsi="Arial"/>
                <w:sz w:val="16"/>
                <w:szCs w:val="16"/>
                <w:color w:val="auto"/>
              </w:rPr>
              <w:t>392</w:t>
            </w:r>
          </w:p>
        </w:tc>
        <w:tc>
          <w:tcPr>
            <w:tcW w:w="140" w:type="dxa"/>
            <w:vAlign w:val="bottom"/>
          </w:tcPr>
          <w:p>
            <w:pPr>
              <w:spacing w:after="0"/>
              <w:rPr>
                <w:sz w:val="18"/>
                <w:szCs w:val="18"/>
                <w:color w:val="auto"/>
              </w:rPr>
            </w:pPr>
          </w:p>
        </w:tc>
        <w:tc>
          <w:tcPr>
            <w:tcW w:w="420" w:type="dxa"/>
            <w:vAlign w:val="bottom"/>
          </w:tcPr>
          <w:p>
            <w:pPr>
              <w:jc w:val="right"/>
              <w:ind w:right="241"/>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61"/>
              <w:spacing w:after="0"/>
              <w:rPr>
                <w:sz w:val="20"/>
                <w:szCs w:val="20"/>
                <w:color w:val="auto"/>
              </w:rPr>
            </w:pPr>
            <w:r>
              <w:rPr>
                <w:rFonts w:ascii="Arial" w:cs="Arial" w:eastAsia="Arial" w:hAnsi="Arial"/>
                <w:sz w:val="16"/>
                <w:szCs w:val="16"/>
                <w:color w:val="auto"/>
              </w:rPr>
              <w:t>269</w:t>
            </w:r>
          </w:p>
        </w:tc>
        <w:tc>
          <w:tcPr>
            <w:tcW w:w="100" w:type="dxa"/>
            <w:vAlign w:val="bottom"/>
          </w:tcPr>
          <w:p>
            <w:pPr>
              <w:spacing w:after="0"/>
              <w:rPr>
                <w:sz w:val="18"/>
                <w:szCs w:val="18"/>
                <w:color w:val="auto"/>
              </w:rPr>
            </w:pPr>
          </w:p>
        </w:tc>
        <w:tc>
          <w:tcPr>
            <w:tcW w:w="780" w:type="dxa"/>
            <w:vAlign w:val="bottom"/>
          </w:tcPr>
          <w:p>
            <w:pPr>
              <w:jc w:val="right"/>
              <w:ind w:right="2"/>
              <w:spacing w:after="0"/>
              <w:rPr>
                <w:sz w:val="20"/>
                <w:szCs w:val="20"/>
                <w:color w:val="auto"/>
              </w:rPr>
            </w:pPr>
            <w:r>
              <w:rPr>
                <w:rFonts w:ascii="Arial" w:cs="Arial" w:eastAsia="Arial" w:hAnsi="Arial"/>
                <w:sz w:val="16"/>
                <w:szCs w:val="16"/>
                <w:color w:val="auto"/>
              </w:rPr>
              <w:t>45.7</w:t>
            </w:r>
          </w:p>
        </w:tc>
        <w:tc>
          <w:tcPr>
            <w:tcW w:w="8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360</w:t>
            </w:r>
          </w:p>
        </w:tc>
        <w:tc>
          <w:tcPr>
            <w:tcW w:w="140" w:type="dxa"/>
            <w:vAlign w:val="bottom"/>
          </w:tcPr>
          <w:p>
            <w:pPr>
              <w:spacing w:after="0"/>
              <w:rPr>
                <w:sz w:val="18"/>
                <w:szCs w:val="18"/>
                <w:color w:val="auto"/>
              </w:rPr>
            </w:pPr>
          </w:p>
        </w:tc>
        <w:tc>
          <w:tcPr>
            <w:tcW w:w="420" w:type="dxa"/>
            <w:vAlign w:val="bottom"/>
          </w:tcPr>
          <w:p>
            <w:pPr>
              <w:jc w:val="right"/>
              <w:ind w:right="241"/>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41"/>
              <w:spacing w:after="0"/>
              <w:rPr>
                <w:sz w:val="20"/>
                <w:szCs w:val="20"/>
                <w:color w:val="auto"/>
              </w:rPr>
            </w:pPr>
            <w:r>
              <w:rPr>
                <w:rFonts w:ascii="Arial" w:cs="Arial" w:eastAsia="Arial" w:hAnsi="Arial"/>
                <w:sz w:val="16"/>
                <w:szCs w:val="16"/>
                <w:color w:val="auto"/>
              </w:rPr>
              <w:t>323</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214"/>
        </w:trPr>
        <w:tc>
          <w:tcPr>
            <w:tcW w:w="4520" w:type="dxa"/>
            <w:vAlign w:val="bottom"/>
            <w:shd w:val="clear" w:color="auto" w:fill="CCEEFF"/>
          </w:tcPr>
          <w:p>
            <w:pPr>
              <w:ind w:left="540"/>
              <w:spacing w:after="0"/>
              <w:rPr>
                <w:sz w:val="20"/>
                <w:szCs w:val="20"/>
                <w:color w:val="auto"/>
              </w:rPr>
            </w:pPr>
            <w:r>
              <w:rPr>
                <w:rFonts w:ascii="Arial" w:cs="Arial" w:eastAsia="Arial" w:hAnsi="Arial"/>
                <w:sz w:val="16"/>
                <w:szCs w:val="16"/>
                <w:color w:val="auto"/>
              </w:rPr>
              <w:t xml:space="preserve">REVPAR </w:t>
            </w:r>
            <w:r>
              <w:rPr>
                <w:rFonts w:ascii="Arial" w:cs="Arial" w:eastAsia="Arial" w:hAnsi="Arial"/>
                <w:sz w:val="14"/>
                <w:szCs w:val="14"/>
                <w:color w:val="auto"/>
              </w:rPr>
              <w:t>(5)</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326</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105</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210.5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228</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180</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w:t>
            </w:r>
          </w:p>
        </w:tc>
        <w:tc>
          <w:tcPr>
            <w:tcW w:w="0" w:type="dxa"/>
            <w:vAlign w:val="bottom"/>
          </w:tcPr>
          <w:p>
            <w:pPr>
              <w:spacing w:after="0"/>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NM - Not meaningful.</w:t>
      </w:r>
    </w:p>
    <w:p>
      <w:pPr>
        <w:spacing w:after="0" w:line="14"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Note: Wynn Las Vegas ceased all operations and closed to the public on March 17, 2020 and reopened on June 4, 2020 with certain COVID-19 specific protective measures in place, such as limiting the number of seats per table game, slot machine spacing, temperature checks, mask protection, and suspension of certain entertainment and nightlife offerings. On October 19, 2020, Encore at Wynn Las Vegas adjusted its operating schedule to five days/four nights each week due to reduced customer demand levels. This adjusted operating schedule remained in effect through the first quarter of 2021, and on April 8, 2021, Encore at Wynn Las Vegas resumed full operations. On May 3, 2021, all industry restrictions were lifted and capacity limits increased to 100%.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871" w:right="339" w:bottom="1440" w:gutter="0" w:footer="0" w:header="0"/>
        </w:sectPr>
      </w:pPr>
    </w:p>
    <w:bookmarkStart w:id="14" w:name="page15"/>
    <w:bookmarkEnd w:id="14"/>
    <w:p>
      <w:pPr>
        <w:jc w:val="center"/>
        <w:ind w:left="340" w:right="2800"/>
        <w:spacing w:after="0" w:line="253" w:lineRule="auto"/>
        <w:rPr>
          <w:sz w:val="20"/>
          <w:szCs w:val="20"/>
          <w:color w:val="auto"/>
        </w:rPr>
      </w:pPr>
      <w:r>
        <w:rPr>
          <w:rFonts w:ascii="Arial" w:cs="Arial" w:eastAsia="Arial" w:hAnsi="Arial"/>
          <w:sz w:val="18"/>
          <w:szCs w:val="18"/>
          <w:b w:val="1"/>
          <w:bCs w:val="1"/>
          <w:color w:val="auto"/>
        </w:rPr>
        <w:t>WYNN RESORTS, LIMITED AND SUBSIDIARIES SUPPLEMENTAL DATA SCHEDULE (dollars in thousands, except for win per unit per day, ADR, and REVPAR) (unaudited) (continued)</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6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40" w:type="dxa"/>
            <w:vAlign w:val="bottom"/>
            <w:gridSpan w:val="5"/>
          </w:tcPr>
          <w:p>
            <w:pPr>
              <w:ind w:left="400"/>
              <w:spacing w:after="0"/>
              <w:rPr>
                <w:sz w:val="20"/>
                <w:szCs w:val="20"/>
                <w:color w:val="auto"/>
              </w:rPr>
            </w:pPr>
            <w:r>
              <w:rPr>
                <w:rFonts w:ascii="Arial" w:cs="Arial" w:eastAsia="Arial" w:hAnsi="Arial"/>
                <w:sz w:val="14"/>
                <w:szCs w:val="14"/>
                <w:b w:val="1"/>
                <w:bCs w:val="1"/>
                <w:color w:val="auto"/>
              </w:rPr>
              <w:t>Nine Months Ended</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3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4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vMerge w:val="restart"/>
          </w:tcPr>
          <w:p>
            <w:pPr>
              <w:jc w:val="right"/>
              <w:ind w:right="382"/>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vMerge w:val="restart"/>
          </w:tcPr>
          <w:p>
            <w:pPr>
              <w:jc w:val="right"/>
              <w:ind w:right="36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0"/>
                <w:szCs w:val="10"/>
                <w:color w:val="auto"/>
              </w:rPr>
            </w:pPr>
          </w:p>
        </w:tc>
        <w:tc>
          <w:tcPr>
            <w:tcW w:w="760" w:type="dxa"/>
            <w:vAlign w:val="bottom"/>
          </w:tcPr>
          <w:p>
            <w:pPr>
              <w:jc w:val="right"/>
              <w:ind w:right="82"/>
              <w:spacing w:after="0" w:line="125" w:lineRule="exact"/>
              <w:rPr>
                <w:sz w:val="20"/>
                <w:szCs w:val="20"/>
                <w:color w:val="auto"/>
              </w:rPr>
            </w:pPr>
            <w:r>
              <w:rPr>
                <w:rFonts w:ascii="Arial" w:cs="Arial" w:eastAsia="Arial" w:hAnsi="Arial"/>
                <w:sz w:val="14"/>
                <w:szCs w:val="14"/>
                <w:b w:val="1"/>
                <w:bCs w:val="1"/>
                <w:color w:val="auto"/>
              </w:rPr>
              <w:t>Percent</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vMerge w:val="restart"/>
          </w:tcPr>
          <w:p>
            <w:pPr>
              <w:jc w:val="right"/>
              <w:ind w:right="362"/>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0" w:type="dxa"/>
            <w:vAlign w:val="bottom"/>
            <w:vMerge w:val="restart"/>
          </w:tcPr>
          <w:p>
            <w:pPr>
              <w:jc w:val="right"/>
              <w:ind w:right="381"/>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0"/>
                <w:szCs w:val="10"/>
                <w:color w:val="auto"/>
              </w:rPr>
            </w:pPr>
          </w:p>
        </w:tc>
        <w:tc>
          <w:tcPr>
            <w:tcW w:w="780" w:type="dxa"/>
            <w:vAlign w:val="bottom"/>
          </w:tcPr>
          <w:p>
            <w:pPr>
              <w:jc w:val="right"/>
              <w:ind w:right="82"/>
              <w:spacing w:after="0" w:line="125"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84"/>
        </w:trPr>
        <w:tc>
          <w:tcPr>
            <w:tcW w:w="4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Change</w:t>
            </w:r>
          </w:p>
        </w:tc>
        <w:tc>
          <w:tcPr>
            <w:tcW w:w="26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ind w:right="8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1"/>
        </w:trPr>
        <w:tc>
          <w:tcPr>
            <w:tcW w:w="4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Encore Boston Harbor Supplemental Information</w:t>
            </w:r>
          </w:p>
        </w:tc>
        <w:tc>
          <w:tcPr>
            <w:tcW w:w="26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380" w:type="dxa"/>
            <w:vAlign w:val="bottom"/>
          </w:tcPr>
          <w:p>
            <w:pPr>
              <w:ind w:left="220"/>
              <w:spacing w:after="0"/>
              <w:rPr>
                <w:sz w:val="20"/>
                <w:szCs w:val="20"/>
                <w:color w:val="auto"/>
              </w:rPr>
            </w:pPr>
            <w:r>
              <w:rPr>
                <w:rFonts w:ascii="Arial" w:cs="Arial" w:eastAsia="Arial" w:hAnsi="Arial"/>
                <w:sz w:val="16"/>
                <w:szCs w:val="16"/>
                <w:color w:val="auto"/>
              </w:rPr>
              <w:t>Operating revenues</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3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Casino</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151,361</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96,723</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398,325</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198,513</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100.7</w:t>
            </w:r>
          </w:p>
        </w:tc>
        <w:tc>
          <w:tcPr>
            <w:tcW w:w="0" w:type="dxa"/>
            <w:vAlign w:val="bottom"/>
          </w:tcPr>
          <w:p>
            <w:pPr>
              <w:spacing w:after="0"/>
              <w:rPr>
                <w:sz w:val="1"/>
                <w:szCs w:val="1"/>
                <w:color w:val="auto"/>
              </w:rPr>
            </w:pPr>
          </w:p>
        </w:tc>
      </w:tr>
      <w:tr>
        <w:trPr>
          <w:trHeight w:val="207"/>
        </w:trPr>
        <w:tc>
          <w:tcPr>
            <w:tcW w:w="4380" w:type="dxa"/>
            <w:vAlign w:val="bottom"/>
          </w:tcPr>
          <w:p>
            <w:pPr>
              <w:ind w:left="340"/>
              <w:spacing w:after="0"/>
              <w:rPr>
                <w:sz w:val="20"/>
                <w:szCs w:val="20"/>
                <w:color w:val="auto"/>
              </w:rPr>
            </w:pPr>
            <w:r>
              <w:rPr>
                <w:rFonts w:ascii="Arial" w:cs="Arial" w:eastAsia="Arial" w:hAnsi="Arial"/>
                <w:sz w:val="16"/>
                <w:szCs w:val="16"/>
                <w:color w:val="auto"/>
              </w:rPr>
              <w:t>Rooms</w:t>
            </w:r>
          </w:p>
        </w:tc>
        <w:tc>
          <w:tcPr>
            <w:tcW w:w="260" w:type="dxa"/>
            <w:vAlign w:val="bottom"/>
          </w:tcPr>
          <w:p>
            <w:pPr>
              <w:spacing w:after="0"/>
              <w:rPr>
                <w:sz w:val="18"/>
                <w:szCs w:val="18"/>
                <w:color w:val="auto"/>
              </w:rPr>
            </w:pPr>
          </w:p>
        </w:tc>
        <w:tc>
          <w:tcPr>
            <w:tcW w:w="920" w:type="dxa"/>
            <w:vAlign w:val="bottom"/>
          </w:tcPr>
          <w:p>
            <w:pPr>
              <w:jc w:val="right"/>
              <w:ind w:right="42"/>
              <w:spacing w:after="0"/>
              <w:rPr>
                <w:sz w:val="20"/>
                <w:szCs w:val="20"/>
                <w:color w:val="auto"/>
              </w:rPr>
            </w:pPr>
            <w:r>
              <w:rPr>
                <w:rFonts w:ascii="Arial" w:cs="Arial" w:eastAsia="Arial" w:hAnsi="Arial"/>
                <w:sz w:val="16"/>
                <w:szCs w:val="16"/>
                <w:color w:val="auto"/>
              </w:rPr>
              <w:t>14,578</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ind w:right="41"/>
              <w:spacing w:after="0"/>
              <w:rPr>
                <w:sz w:val="20"/>
                <w:szCs w:val="20"/>
                <w:color w:val="auto"/>
              </w:rPr>
            </w:pPr>
            <w:r>
              <w:rPr>
                <w:rFonts w:ascii="Arial" w:cs="Arial" w:eastAsia="Arial" w:hAnsi="Arial"/>
                <w:sz w:val="16"/>
                <w:szCs w:val="16"/>
                <w:color w:val="auto"/>
              </w:rPr>
              <w:t>6,739</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116.3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42"/>
              <w:spacing w:after="0"/>
              <w:rPr>
                <w:sz w:val="20"/>
                <w:szCs w:val="20"/>
                <w:color w:val="auto"/>
              </w:rPr>
            </w:pPr>
            <w:r>
              <w:rPr>
                <w:rFonts w:ascii="Arial" w:cs="Arial" w:eastAsia="Arial" w:hAnsi="Arial"/>
                <w:sz w:val="16"/>
                <w:szCs w:val="16"/>
                <w:color w:val="auto"/>
              </w:rPr>
              <w:t>28,963</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17,694</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63.7</w:t>
            </w:r>
          </w:p>
        </w:tc>
        <w:tc>
          <w:tcPr>
            <w:tcW w:w="0" w:type="dxa"/>
            <w:vAlign w:val="bottom"/>
          </w:tcPr>
          <w:p>
            <w:pPr>
              <w:spacing w:after="0"/>
              <w:rPr>
                <w:sz w:val="1"/>
                <w:szCs w:val="1"/>
                <w:color w:val="auto"/>
              </w:rPr>
            </w:pPr>
          </w:p>
        </w:tc>
      </w:tr>
      <w:tr>
        <w:trPr>
          <w:trHeight w:val="214"/>
        </w:trPr>
        <w:tc>
          <w:tcPr>
            <w:tcW w:w="43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Food and beverage</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18,466</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9,081</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41,713</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29,687</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w:t>
            </w:r>
          </w:p>
        </w:tc>
        <w:tc>
          <w:tcPr>
            <w:tcW w:w="0" w:type="dxa"/>
            <w:vAlign w:val="bottom"/>
          </w:tcPr>
          <w:p>
            <w:pPr>
              <w:spacing w:after="0"/>
              <w:rPr>
                <w:sz w:val="1"/>
                <w:szCs w:val="1"/>
                <w:color w:val="auto"/>
              </w:rPr>
            </w:pPr>
          </w:p>
        </w:tc>
      </w:tr>
      <w:tr>
        <w:trPr>
          <w:trHeight w:val="207"/>
        </w:trPr>
        <w:tc>
          <w:tcPr>
            <w:tcW w:w="438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Entertainment, retail and other</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7,809</w:t>
            </w:r>
          </w:p>
        </w:tc>
        <w:tc>
          <w:tcPr>
            <w:tcW w:w="14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4,143</w:t>
            </w:r>
          </w:p>
        </w:tc>
        <w:tc>
          <w:tcPr>
            <w:tcW w:w="12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18,544</w:t>
            </w:r>
          </w:p>
        </w:tc>
        <w:tc>
          <w:tcPr>
            <w:tcW w:w="14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11,888</w:t>
            </w:r>
          </w:p>
        </w:tc>
        <w:tc>
          <w:tcPr>
            <w:tcW w:w="8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56.0</w:t>
            </w:r>
          </w:p>
        </w:tc>
        <w:tc>
          <w:tcPr>
            <w:tcW w:w="0" w:type="dxa"/>
            <w:vAlign w:val="bottom"/>
          </w:tcPr>
          <w:p>
            <w:pPr>
              <w:spacing w:after="0"/>
              <w:rPr>
                <w:sz w:val="1"/>
                <w:szCs w:val="1"/>
                <w:color w:val="auto"/>
              </w:rPr>
            </w:pPr>
          </w:p>
        </w:tc>
      </w:tr>
      <w:tr>
        <w:trPr>
          <w:trHeight w:val="207"/>
        </w:trPr>
        <w:tc>
          <w:tcPr>
            <w:tcW w:w="4380" w:type="dxa"/>
            <w:vAlign w:val="bottom"/>
            <w:shd w:val="clear" w:color="auto" w:fill="CCEEFF"/>
          </w:tcPr>
          <w:p>
            <w:pPr>
              <w:ind w:left="540"/>
              <w:spacing w:after="0"/>
              <w:rPr>
                <w:sz w:val="20"/>
                <w:szCs w:val="20"/>
                <w:color w:val="auto"/>
              </w:rPr>
            </w:pPr>
            <w:r>
              <w:rPr>
                <w:rFonts w:ascii="Arial" w:cs="Arial" w:eastAsia="Arial" w:hAnsi="Arial"/>
                <w:sz w:val="18"/>
                <w:szCs w:val="18"/>
                <w:b w:val="1"/>
                <w:bCs w:val="1"/>
                <w:color w:val="auto"/>
              </w:rPr>
              <w:t>Total</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b w:val="1"/>
                <w:bCs w:val="1"/>
                <w:color w:val="auto"/>
                <w:w w:val="89"/>
              </w:rPr>
              <w:t>$</w:t>
            </w:r>
          </w:p>
        </w:tc>
        <w:tc>
          <w:tcPr>
            <w:tcW w:w="920" w:type="dxa"/>
            <w:vAlign w:val="bottom"/>
            <w:shd w:val="clear" w:color="auto" w:fill="CCEEFF"/>
          </w:tcPr>
          <w:p>
            <w:pPr>
              <w:jc w:val="right"/>
              <w:ind w:right="42"/>
              <w:spacing w:after="0"/>
              <w:rPr>
                <w:sz w:val="20"/>
                <w:szCs w:val="20"/>
                <w:color w:val="auto"/>
              </w:rPr>
            </w:pPr>
            <w:r>
              <w:rPr>
                <w:rFonts w:ascii="Arial" w:cs="Arial" w:eastAsia="Arial" w:hAnsi="Arial"/>
                <w:sz w:val="16"/>
                <w:szCs w:val="16"/>
                <w:b w:val="1"/>
                <w:bCs w:val="1"/>
                <w:color w:val="auto"/>
              </w:rPr>
              <w:t>192,214</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1"/>
              <w:spacing w:after="0"/>
              <w:rPr>
                <w:sz w:val="20"/>
                <w:szCs w:val="20"/>
                <w:color w:val="auto"/>
              </w:rPr>
            </w:pPr>
            <w:r>
              <w:rPr>
                <w:rFonts w:ascii="Arial" w:cs="Arial" w:eastAsia="Arial" w:hAnsi="Arial"/>
                <w:sz w:val="16"/>
                <w:szCs w:val="16"/>
                <w:b w:val="1"/>
                <w:bCs w:val="1"/>
                <w:color w:val="auto"/>
                <w:w w:val="89"/>
              </w:rPr>
              <w:t>$</w:t>
            </w:r>
          </w:p>
        </w:tc>
        <w:tc>
          <w:tcPr>
            <w:tcW w:w="78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116,686</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64.7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b w:val="1"/>
                <w:bCs w:val="1"/>
                <w:color w:val="auto"/>
                <w:w w:val="89"/>
              </w:rPr>
              <w:t>$</w:t>
            </w:r>
          </w:p>
        </w:tc>
        <w:tc>
          <w:tcPr>
            <w:tcW w:w="920" w:type="dxa"/>
            <w:vAlign w:val="bottom"/>
            <w:shd w:val="clear" w:color="auto" w:fill="CCEEFF"/>
          </w:tcPr>
          <w:p>
            <w:pPr>
              <w:jc w:val="right"/>
              <w:ind w:right="42"/>
              <w:spacing w:after="0"/>
              <w:rPr>
                <w:sz w:val="20"/>
                <w:szCs w:val="20"/>
                <w:color w:val="auto"/>
              </w:rPr>
            </w:pPr>
            <w:r>
              <w:rPr>
                <w:rFonts w:ascii="Arial" w:cs="Arial" w:eastAsia="Arial" w:hAnsi="Arial"/>
                <w:sz w:val="16"/>
                <w:szCs w:val="16"/>
                <w:b w:val="1"/>
                <w:bCs w:val="1"/>
                <w:color w:val="auto"/>
              </w:rPr>
              <w:t>487,545</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1"/>
              <w:spacing w:after="0"/>
              <w:rPr>
                <w:sz w:val="20"/>
                <w:szCs w:val="20"/>
                <w:color w:val="auto"/>
              </w:rPr>
            </w:pPr>
            <w:r>
              <w:rPr>
                <w:rFonts w:ascii="Arial" w:cs="Arial" w:eastAsia="Arial" w:hAnsi="Arial"/>
                <w:sz w:val="16"/>
                <w:szCs w:val="16"/>
                <w:b w:val="1"/>
                <w:bCs w:val="1"/>
                <w:color w:val="auto"/>
                <w:w w:val="89"/>
              </w:rPr>
              <w:t>$</w:t>
            </w:r>
          </w:p>
        </w:tc>
        <w:tc>
          <w:tcPr>
            <w:tcW w:w="80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257,782</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89.1</w:t>
            </w:r>
          </w:p>
        </w:tc>
        <w:tc>
          <w:tcPr>
            <w:tcW w:w="0" w:type="dxa"/>
            <w:vAlign w:val="bottom"/>
          </w:tcPr>
          <w:p>
            <w:pPr>
              <w:spacing w:after="0"/>
              <w:rPr>
                <w:sz w:val="1"/>
                <w:szCs w:val="1"/>
                <w:color w:val="auto"/>
              </w:rPr>
            </w:pPr>
          </w:p>
        </w:tc>
      </w:tr>
      <w:tr>
        <w:trPr>
          <w:trHeight w:val="158"/>
        </w:trPr>
        <w:tc>
          <w:tcPr>
            <w:tcW w:w="4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4380" w:type="dxa"/>
            <w:vAlign w:val="bottom"/>
            <w:shd w:val="clear" w:color="auto" w:fill="CCEEFF"/>
          </w:tcPr>
          <w:p>
            <w:pPr>
              <w:ind w:left="220"/>
              <w:spacing w:after="0"/>
              <w:rPr>
                <w:sz w:val="20"/>
                <w:szCs w:val="20"/>
                <w:color w:val="auto"/>
              </w:rPr>
            </w:pPr>
            <w:r>
              <w:rPr>
                <w:rFonts w:ascii="Arial" w:cs="Arial" w:eastAsia="Arial" w:hAnsi="Arial"/>
                <w:sz w:val="16"/>
                <w:szCs w:val="16"/>
                <w:b w:val="1"/>
                <w:bCs w:val="1"/>
                <w:color w:val="auto"/>
              </w:rPr>
              <w:t xml:space="preserve">Adjusted Property EBITDA </w:t>
            </w:r>
            <w:r>
              <w:rPr>
                <w:rFonts w:ascii="Arial" w:cs="Arial" w:eastAsia="Arial" w:hAnsi="Arial"/>
                <w:sz w:val="14"/>
                <w:szCs w:val="14"/>
                <w:b w:val="1"/>
                <w:bCs w:val="1"/>
                <w:color w:val="auto"/>
              </w:rPr>
              <w:t>(6)</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b w:val="1"/>
                <w:bCs w:val="1"/>
                <w:color w:val="auto"/>
                <w:w w:val="89"/>
              </w:rPr>
              <w:t>$</w:t>
            </w:r>
          </w:p>
        </w:tc>
        <w:tc>
          <w:tcPr>
            <w:tcW w:w="920" w:type="dxa"/>
            <w:vAlign w:val="bottom"/>
            <w:shd w:val="clear" w:color="auto" w:fill="CCEEFF"/>
          </w:tcPr>
          <w:p>
            <w:pPr>
              <w:jc w:val="right"/>
              <w:ind w:right="42"/>
              <w:spacing w:after="0"/>
              <w:rPr>
                <w:sz w:val="20"/>
                <w:szCs w:val="20"/>
                <w:color w:val="auto"/>
              </w:rPr>
            </w:pPr>
            <w:r>
              <w:rPr>
                <w:rFonts w:ascii="Arial" w:cs="Arial" w:eastAsia="Arial" w:hAnsi="Arial"/>
                <w:sz w:val="16"/>
                <w:szCs w:val="16"/>
                <w:b w:val="1"/>
                <w:bCs w:val="1"/>
                <w:color w:val="auto"/>
              </w:rPr>
              <w:t>64,565</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1"/>
              <w:spacing w:after="0"/>
              <w:rPr>
                <w:sz w:val="20"/>
                <w:szCs w:val="20"/>
                <w:color w:val="auto"/>
              </w:rPr>
            </w:pPr>
            <w:r>
              <w:rPr>
                <w:rFonts w:ascii="Arial" w:cs="Arial" w:eastAsia="Arial" w:hAnsi="Arial"/>
                <w:sz w:val="16"/>
                <w:szCs w:val="16"/>
                <w:b w:val="1"/>
                <w:bCs w:val="1"/>
                <w:color w:val="auto"/>
                <w:w w:val="89"/>
              </w:rPr>
              <w:t>$</w:t>
            </w:r>
          </w:p>
        </w:tc>
        <w:tc>
          <w:tcPr>
            <w:tcW w:w="78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25,986</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148.5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b w:val="1"/>
                <w:bCs w:val="1"/>
                <w:color w:val="auto"/>
                <w:w w:val="89"/>
              </w:rPr>
              <w:t>$</w:t>
            </w:r>
          </w:p>
        </w:tc>
        <w:tc>
          <w:tcPr>
            <w:tcW w:w="920" w:type="dxa"/>
            <w:vAlign w:val="bottom"/>
            <w:shd w:val="clear" w:color="auto" w:fill="CCEEFF"/>
          </w:tcPr>
          <w:p>
            <w:pPr>
              <w:jc w:val="right"/>
              <w:ind w:right="42"/>
              <w:spacing w:after="0"/>
              <w:rPr>
                <w:sz w:val="20"/>
                <w:szCs w:val="20"/>
                <w:color w:val="auto"/>
              </w:rPr>
            </w:pPr>
            <w:r>
              <w:rPr>
                <w:rFonts w:ascii="Arial" w:cs="Arial" w:eastAsia="Arial" w:hAnsi="Arial"/>
                <w:sz w:val="16"/>
                <w:szCs w:val="16"/>
                <w:b w:val="1"/>
                <w:bCs w:val="1"/>
                <w:color w:val="auto"/>
              </w:rPr>
              <w:t>141,844</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1"/>
              <w:spacing w:after="0"/>
              <w:rPr>
                <w:sz w:val="20"/>
                <w:szCs w:val="20"/>
                <w:color w:val="auto"/>
              </w:rPr>
            </w:pPr>
            <w:r>
              <w:rPr>
                <w:rFonts w:ascii="Arial" w:cs="Arial" w:eastAsia="Arial" w:hAnsi="Arial"/>
                <w:sz w:val="16"/>
                <w:szCs w:val="16"/>
                <w:b w:val="1"/>
                <w:bCs w:val="1"/>
                <w:color w:val="auto"/>
                <w:w w:val="89"/>
              </w:rPr>
              <w:t>$</w:t>
            </w:r>
          </w:p>
        </w:tc>
        <w:tc>
          <w:tcPr>
            <w:tcW w:w="80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(40,429)</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NM</w:t>
            </w:r>
          </w:p>
        </w:tc>
        <w:tc>
          <w:tcPr>
            <w:tcW w:w="0" w:type="dxa"/>
            <w:vAlign w:val="bottom"/>
          </w:tcPr>
          <w:p>
            <w:pPr>
              <w:spacing w:after="0"/>
              <w:rPr>
                <w:sz w:val="1"/>
                <w:szCs w:val="1"/>
                <w:color w:val="auto"/>
              </w:rPr>
            </w:pPr>
          </w:p>
        </w:tc>
      </w:tr>
      <w:tr>
        <w:trPr>
          <w:trHeight w:val="158"/>
        </w:trPr>
        <w:tc>
          <w:tcPr>
            <w:tcW w:w="4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43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Casino Statistics: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380" w:type="dxa"/>
            <w:vAlign w:val="bottom"/>
          </w:tcPr>
          <w:p>
            <w:pPr>
              <w:ind w:left="540"/>
              <w:spacing w:after="0"/>
              <w:rPr>
                <w:sz w:val="20"/>
                <w:szCs w:val="20"/>
                <w:color w:val="auto"/>
              </w:rPr>
            </w:pPr>
            <w:r>
              <w:rPr>
                <w:rFonts w:ascii="Arial" w:cs="Arial" w:eastAsia="Arial" w:hAnsi="Arial"/>
                <w:sz w:val="16"/>
                <w:szCs w:val="16"/>
                <w:color w:val="auto"/>
              </w:rPr>
              <w:t>Average number of table games</w:t>
            </w:r>
          </w:p>
        </w:tc>
        <w:tc>
          <w:tcPr>
            <w:tcW w:w="260" w:type="dxa"/>
            <w:vAlign w:val="bottom"/>
          </w:tcPr>
          <w:p>
            <w:pPr>
              <w:spacing w:after="0"/>
              <w:rPr>
                <w:sz w:val="18"/>
                <w:szCs w:val="18"/>
                <w:color w:val="auto"/>
              </w:rPr>
            </w:pPr>
          </w:p>
        </w:tc>
        <w:tc>
          <w:tcPr>
            <w:tcW w:w="920" w:type="dxa"/>
            <w:vAlign w:val="bottom"/>
          </w:tcPr>
          <w:p>
            <w:pPr>
              <w:jc w:val="right"/>
              <w:ind w:right="42"/>
              <w:spacing w:after="0"/>
              <w:rPr>
                <w:sz w:val="20"/>
                <w:szCs w:val="20"/>
                <w:color w:val="auto"/>
              </w:rPr>
            </w:pPr>
            <w:r>
              <w:rPr>
                <w:rFonts w:ascii="Arial" w:cs="Arial" w:eastAsia="Arial" w:hAnsi="Arial"/>
                <w:sz w:val="16"/>
                <w:szCs w:val="16"/>
                <w:color w:val="auto"/>
              </w:rPr>
              <w:t>181</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ind w:right="41"/>
              <w:spacing w:after="0"/>
              <w:rPr>
                <w:sz w:val="20"/>
                <w:szCs w:val="20"/>
                <w:color w:val="auto"/>
              </w:rPr>
            </w:pPr>
            <w:r>
              <w:rPr>
                <w:rFonts w:ascii="Arial" w:cs="Arial" w:eastAsia="Arial" w:hAnsi="Arial"/>
                <w:sz w:val="16"/>
                <w:szCs w:val="16"/>
                <w:color w:val="auto"/>
              </w:rPr>
              <w:t>186</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42"/>
              <w:spacing w:after="0"/>
              <w:rPr>
                <w:sz w:val="20"/>
                <w:szCs w:val="20"/>
                <w:color w:val="auto"/>
              </w:rPr>
            </w:pPr>
            <w:r>
              <w:rPr>
                <w:rFonts w:ascii="Arial" w:cs="Arial" w:eastAsia="Arial" w:hAnsi="Arial"/>
                <w:sz w:val="16"/>
                <w:szCs w:val="16"/>
                <w:color w:val="auto"/>
              </w:rPr>
              <w:t>192</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174</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214"/>
        </w:trPr>
        <w:tc>
          <w:tcPr>
            <w:tcW w:w="4380" w:type="dxa"/>
            <w:vAlign w:val="bottom"/>
            <w:shd w:val="clear" w:color="auto" w:fill="CCEEFF"/>
          </w:tcPr>
          <w:p>
            <w:pPr>
              <w:ind w:left="540"/>
              <w:spacing w:after="0"/>
              <w:rPr>
                <w:sz w:val="20"/>
                <w:szCs w:val="20"/>
                <w:color w:val="auto"/>
              </w:rPr>
            </w:pPr>
            <w:r>
              <w:rPr>
                <w:rFonts w:ascii="Arial" w:cs="Arial" w:eastAsia="Arial" w:hAnsi="Arial"/>
                <w:sz w:val="16"/>
                <w:szCs w:val="16"/>
                <w:color w:val="auto"/>
              </w:rPr>
              <w:t xml:space="preserve">Table drop </w:t>
            </w:r>
            <w:r>
              <w:rPr>
                <w:rFonts w:ascii="Arial" w:cs="Arial" w:eastAsia="Arial" w:hAnsi="Arial"/>
                <w:sz w:val="14"/>
                <w:szCs w:val="14"/>
                <w:color w:val="auto"/>
              </w:rPr>
              <w:t>(2)</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350,145</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217,797</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890,777</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493,428</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80.5</w:t>
            </w:r>
          </w:p>
        </w:tc>
        <w:tc>
          <w:tcPr>
            <w:tcW w:w="0" w:type="dxa"/>
            <w:vAlign w:val="bottom"/>
          </w:tcPr>
          <w:p>
            <w:pPr>
              <w:spacing w:after="0"/>
              <w:rPr>
                <w:sz w:val="1"/>
                <w:szCs w:val="1"/>
                <w:color w:val="auto"/>
              </w:rPr>
            </w:pPr>
          </w:p>
        </w:tc>
      </w:tr>
      <w:tr>
        <w:trPr>
          <w:trHeight w:val="207"/>
        </w:trPr>
        <w:tc>
          <w:tcPr>
            <w:tcW w:w="4380" w:type="dxa"/>
            <w:vAlign w:val="bottom"/>
          </w:tcPr>
          <w:p>
            <w:pPr>
              <w:ind w:left="540"/>
              <w:spacing w:after="0"/>
              <w:rPr>
                <w:sz w:val="20"/>
                <w:szCs w:val="20"/>
                <w:color w:val="auto"/>
              </w:rPr>
            </w:pPr>
            <w:r>
              <w:rPr>
                <w:rFonts w:ascii="Arial" w:cs="Arial" w:eastAsia="Arial" w:hAnsi="Arial"/>
                <w:sz w:val="16"/>
                <w:szCs w:val="16"/>
                <w:color w:val="auto"/>
              </w:rPr>
              <w:t xml:space="preserve">Table games win </w:t>
            </w:r>
            <w:r>
              <w:rPr>
                <w:rFonts w:ascii="Arial" w:cs="Arial" w:eastAsia="Arial" w:hAnsi="Arial"/>
                <w:sz w:val="14"/>
                <w:szCs w:val="14"/>
                <w:color w:val="auto"/>
              </w:rPr>
              <w:t>(1)</w:t>
            </w: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42"/>
              <w:spacing w:after="0"/>
              <w:rPr>
                <w:sz w:val="20"/>
                <w:szCs w:val="20"/>
                <w:color w:val="auto"/>
              </w:rPr>
            </w:pPr>
            <w:r>
              <w:rPr>
                <w:rFonts w:ascii="Arial" w:cs="Arial" w:eastAsia="Arial" w:hAnsi="Arial"/>
                <w:sz w:val="16"/>
                <w:szCs w:val="16"/>
                <w:color w:val="auto"/>
              </w:rPr>
              <w:t>74,818</w:t>
            </w:r>
          </w:p>
        </w:tc>
        <w:tc>
          <w:tcPr>
            <w:tcW w:w="140" w:type="dxa"/>
            <w:vAlign w:val="bottom"/>
          </w:tcPr>
          <w:p>
            <w:pPr>
              <w:spacing w:after="0"/>
              <w:rPr>
                <w:sz w:val="18"/>
                <w:szCs w:val="18"/>
                <w:color w:val="auto"/>
              </w:rPr>
            </w:pPr>
          </w:p>
        </w:tc>
        <w:tc>
          <w:tcPr>
            <w:tcW w:w="400" w:type="dxa"/>
            <w:vAlign w:val="bottom"/>
          </w:tcPr>
          <w:p>
            <w:pPr>
              <w:jc w:val="right"/>
              <w:ind w:right="221"/>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41"/>
              <w:spacing w:after="0"/>
              <w:rPr>
                <w:sz w:val="20"/>
                <w:szCs w:val="20"/>
                <w:color w:val="auto"/>
              </w:rPr>
            </w:pPr>
            <w:r>
              <w:rPr>
                <w:rFonts w:ascii="Arial" w:cs="Arial" w:eastAsia="Arial" w:hAnsi="Arial"/>
                <w:sz w:val="16"/>
                <w:szCs w:val="16"/>
                <w:color w:val="auto"/>
              </w:rPr>
              <w:t>47,528</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57.4</w:t>
            </w:r>
          </w:p>
        </w:tc>
        <w:tc>
          <w:tcPr>
            <w:tcW w:w="10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42"/>
              <w:spacing w:after="0"/>
              <w:rPr>
                <w:sz w:val="20"/>
                <w:szCs w:val="20"/>
                <w:color w:val="auto"/>
              </w:rPr>
            </w:pPr>
            <w:r>
              <w:rPr>
                <w:rFonts w:ascii="Arial" w:cs="Arial" w:eastAsia="Arial" w:hAnsi="Arial"/>
                <w:sz w:val="16"/>
                <w:szCs w:val="16"/>
                <w:color w:val="auto"/>
              </w:rPr>
              <w:t>189,070</w:t>
            </w:r>
          </w:p>
        </w:tc>
        <w:tc>
          <w:tcPr>
            <w:tcW w:w="140" w:type="dxa"/>
            <w:vAlign w:val="bottom"/>
          </w:tcPr>
          <w:p>
            <w:pPr>
              <w:spacing w:after="0"/>
              <w:rPr>
                <w:sz w:val="18"/>
                <w:szCs w:val="18"/>
                <w:color w:val="auto"/>
              </w:rPr>
            </w:pPr>
          </w:p>
        </w:tc>
        <w:tc>
          <w:tcPr>
            <w:tcW w:w="400" w:type="dxa"/>
            <w:vAlign w:val="bottom"/>
          </w:tcPr>
          <w:p>
            <w:pPr>
              <w:jc w:val="right"/>
              <w:ind w:right="221"/>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104,814</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80.4</w:t>
            </w:r>
          </w:p>
        </w:tc>
        <w:tc>
          <w:tcPr>
            <w:tcW w:w="0" w:type="dxa"/>
            <w:vAlign w:val="bottom"/>
          </w:tcPr>
          <w:p>
            <w:pPr>
              <w:spacing w:after="0"/>
              <w:rPr>
                <w:sz w:val="1"/>
                <w:szCs w:val="1"/>
                <w:color w:val="auto"/>
              </w:rPr>
            </w:pPr>
          </w:p>
        </w:tc>
      </w:tr>
      <w:tr>
        <w:trPr>
          <w:trHeight w:val="214"/>
        </w:trPr>
        <w:tc>
          <w:tcPr>
            <w:tcW w:w="4380" w:type="dxa"/>
            <w:vAlign w:val="bottom"/>
            <w:shd w:val="clear" w:color="auto" w:fill="CCEEFF"/>
          </w:tcPr>
          <w:p>
            <w:pPr>
              <w:ind w:left="540"/>
              <w:spacing w:after="0"/>
              <w:rPr>
                <w:sz w:val="20"/>
                <w:szCs w:val="20"/>
                <w:color w:val="auto"/>
              </w:rPr>
            </w:pPr>
            <w:r>
              <w:rPr>
                <w:rFonts w:ascii="Arial" w:cs="Arial" w:eastAsia="Arial" w:hAnsi="Arial"/>
                <w:sz w:val="16"/>
                <w:szCs w:val="16"/>
                <w:color w:val="auto"/>
              </w:rPr>
              <w:t>Table games win %</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21.4%</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21.8%</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21.2%</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21.2%</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380" w:type="dxa"/>
            <w:vAlign w:val="bottom"/>
          </w:tcPr>
          <w:p>
            <w:pPr>
              <w:ind w:left="540"/>
              <w:spacing w:after="0"/>
              <w:rPr>
                <w:sz w:val="20"/>
                <w:szCs w:val="20"/>
                <w:color w:val="auto"/>
              </w:rPr>
            </w:pPr>
            <w:r>
              <w:rPr>
                <w:rFonts w:ascii="Arial" w:cs="Arial" w:eastAsia="Arial" w:hAnsi="Arial"/>
                <w:sz w:val="16"/>
                <w:szCs w:val="16"/>
                <w:color w:val="auto"/>
              </w:rPr>
              <w:t>Table games win per unit per day</w:t>
            </w: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42"/>
              <w:spacing w:after="0"/>
              <w:rPr>
                <w:sz w:val="20"/>
                <w:szCs w:val="20"/>
                <w:color w:val="auto"/>
              </w:rPr>
            </w:pPr>
            <w:r>
              <w:rPr>
                <w:rFonts w:ascii="Arial" w:cs="Arial" w:eastAsia="Arial" w:hAnsi="Arial"/>
                <w:sz w:val="16"/>
                <w:szCs w:val="16"/>
                <w:color w:val="auto"/>
              </w:rPr>
              <w:t>4,498</w:t>
            </w:r>
          </w:p>
        </w:tc>
        <w:tc>
          <w:tcPr>
            <w:tcW w:w="140" w:type="dxa"/>
            <w:vAlign w:val="bottom"/>
          </w:tcPr>
          <w:p>
            <w:pPr>
              <w:spacing w:after="0"/>
              <w:rPr>
                <w:sz w:val="18"/>
                <w:szCs w:val="18"/>
                <w:color w:val="auto"/>
              </w:rPr>
            </w:pPr>
          </w:p>
        </w:tc>
        <w:tc>
          <w:tcPr>
            <w:tcW w:w="400" w:type="dxa"/>
            <w:vAlign w:val="bottom"/>
          </w:tcPr>
          <w:p>
            <w:pPr>
              <w:jc w:val="right"/>
              <w:ind w:right="221"/>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41"/>
              <w:spacing w:after="0"/>
              <w:rPr>
                <w:sz w:val="20"/>
                <w:szCs w:val="20"/>
                <w:color w:val="auto"/>
              </w:rPr>
            </w:pPr>
            <w:r>
              <w:rPr>
                <w:rFonts w:ascii="Arial" w:cs="Arial" w:eastAsia="Arial" w:hAnsi="Arial"/>
                <w:sz w:val="16"/>
                <w:szCs w:val="16"/>
                <w:color w:val="auto"/>
              </w:rPr>
              <w:t>3,079</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46.1</w:t>
            </w:r>
          </w:p>
        </w:tc>
        <w:tc>
          <w:tcPr>
            <w:tcW w:w="10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42"/>
              <w:spacing w:after="0"/>
              <w:rPr>
                <w:sz w:val="20"/>
                <w:szCs w:val="20"/>
                <w:color w:val="auto"/>
              </w:rPr>
            </w:pPr>
            <w:r>
              <w:rPr>
                <w:rFonts w:ascii="Arial" w:cs="Arial" w:eastAsia="Arial" w:hAnsi="Arial"/>
                <w:sz w:val="16"/>
                <w:szCs w:val="16"/>
                <w:color w:val="auto"/>
              </w:rPr>
              <w:t>3,613</w:t>
            </w:r>
          </w:p>
        </w:tc>
        <w:tc>
          <w:tcPr>
            <w:tcW w:w="140" w:type="dxa"/>
            <w:vAlign w:val="bottom"/>
          </w:tcPr>
          <w:p>
            <w:pPr>
              <w:spacing w:after="0"/>
              <w:rPr>
                <w:sz w:val="18"/>
                <w:szCs w:val="18"/>
                <w:color w:val="auto"/>
              </w:rPr>
            </w:pPr>
          </w:p>
        </w:tc>
        <w:tc>
          <w:tcPr>
            <w:tcW w:w="400" w:type="dxa"/>
            <w:vAlign w:val="bottom"/>
          </w:tcPr>
          <w:p>
            <w:pPr>
              <w:jc w:val="right"/>
              <w:ind w:right="221"/>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3,839</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14"/>
        </w:trPr>
        <w:tc>
          <w:tcPr>
            <w:tcW w:w="4380" w:type="dxa"/>
            <w:vAlign w:val="bottom"/>
            <w:shd w:val="clear" w:color="auto" w:fill="CCEEFF"/>
          </w:tcPr>
          <w:p>
            <w:pPr>
              <w:ind w:left="540"/>
              <w:spacing w:after="0"/>
              <w:rPr>
                <w:sz w:val="20"/>
                <w:szCs w:val="20"/>
                <w:color w:val="auto"/>
              </w:rPr>
            </w:pPr>
            <w:r>
              <w:rPr>
                <w:rFonts w:ascii="Arial" w:cs="Arial" w:eastAsia="Arial" w:hAnsi="Arial"/>
                <w:sz w:val="16"/>
                <w:szCs w:val="16"/>
                <w:color w:val="auto"/>
              </w:rPr>
              <w:t>Average number of slot machines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2,734</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1,877</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2,268</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2,330</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07"/>
        </w:trPr>
        <w:tc>
          <w:tcPr>
            <w:tcW w:w="4380" w:type="dxa"/>
            <w:vAlign w:val="bottom"/>
          </w:tcPr>
          <w:p>
            <w:pPr>
              <w:ind w:left="540"/>
              <w:spacing w:after="0"/>
              <w:rPr>
                <w:sz w:val="20"/>
                <w:szCs w:val="20"/>
                <w:color w:val="auto"/>
              </w:rPr>
            </w:pPr>
            <w:r>
              <w:rPr>
                <w:rFonts w:ascii="Arial" w:cs="Arial" w:eastAsia="Arial" w:hAnsi="Arial"/>
                <w:sz w:val="16"/>
                <w:szCs w:val="16"/>
                <w:color w:val="auto"/>
              </w:rPr>
              <w:t>Slot machine handle</w:t>
            </w: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42"/>
              <w:spacing w:after="0"/>
              <w:rPr>
                <w:sz w:val="20"/>
                <w:szCs w:val="20"/>
                <w:color w:val="auto"/>
              </w:rPr>
            </w:pPr>
            <w:r>
              <w:rPr>
                <w:rFonts w:ascii="Arial" w:cs="Arial" w:eastAsia="Arial" w:hAnsi="Arial"/>
                <w:sz w:val="16"/>
                <w:szCs w:val="16"/>
                <w:color w:val="auto"/>
              </w:rPr>
              <w:t>1,196,299</w:t>
            </w:r>
          </w:p>
        </w:tc>
        <w:tc>
          <w:tcPr>
            <w:tcW w:w="140" w:type="dxa"/>
            <w:vAlign w:val="bottom"/>
          </w:tcPr>
          <w:p>
            <w:pPr>
              <w:spacing w:after="0"/>
              <w:rPr>
                <w:sz w:val="18"/>
                <w:szCs w:val="18"/>
                <w:color w:val="auto"/>
              </w:rPr>
            </w:pPr>
          </w:p>
        </w:tc>
        <w:tc>
          <w:tcPr>
            <w:tcW w:w="400" w:type="dxa"/>
            <w:vAlign w:val="bottom"/>
          </w:tcPr>
          <w:p>
            <w:pPr>
              <w:jc w:val="right"/>
              <w:ind w:right="221"/>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41"/>
              <w:spacing w:after="0"/>
              <w:rPr>
                <w:sz w:val="20"/>
                <w:szCs w:val="20"/>
                <w:color w:val="auto"/>
              </w:rPr>
            </w:pPr>
            <w:r>
              <w:rPr>
                <w:rFonts w:ascii="Arial" w:cs="Arial" w:eastAsia="Arial" w:hAnsi="Arial"/>
                <w:sz w:val="16"/>
                <w:szCs w:val="16"/>
                <w:color w:val="auto"/>
              </w:rPr>
              <w:t>813,435</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47.1</w:t>
            </w:r>
          </w:p>
        </w:tc>
        <w:tc>
          <w:tcPr>
            <w:tcW w:w="10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42"/>
              <w:spacing w:after="0"/>
              <w:rPr>
                <w:sz w:val="20"/>
                <w:szCs w:val="20"/>
                <w:color w:val="auto"/>
              </w:rPr>
            </w:pPr>
            <w:r>
              <w:rPr>
                <w:rFonts w:ascii="Arial" w:cs="Arial" w:eastAsia="Arial" w:hAnsi="Arial"/>
                <w:sz w:val="16"/>
                <w:szCs w:val="16"/>
                <w:color w:val="auto"/>
              </w:rPr>
              <w:t>3,204,272</w:t>
            </w:r>
          </w:p>
        </w:tc>
        <w:tc>
          <w:tcPr>
            <w:tcW w:w="140" w:type="dxa"/>
            <w:vAlign w:val="bottom"/>
          </w:tcPr>
          <w:p>
            <w:pPr>
              <w:spacing w:after="0"/>
              <w:rPr>
                <w:sz w:val="18"/>
                <w:szCs w:val="18"/>
                <w:color w:val="auto"/>
              </w:rPr>
            </w:pPr>
          </w:p>
        </w:tc>
        <w:tc>
          <w:tcPr>
            <w:tcW w:w="400" w:type="dxa"/>
            <w:vAlign w:val="bottom"/>
          </w:tcPr>
          <w:p>
            <w:pPr>
              <w:jc w:val="right"/>
              <w:ind w:right="221"/>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41"/>
              <w:spacing w:after="0"/>
              <w:rPr>
                <w:sz w:val="20"/>
                <w:szCs w:val="20"/>
                <w:color w:val="auto"/>
              </w:rPr>
            </w:pPr>
            <w:r>
              <w:rPr>
                <w:rFonts w:ascii="Arial" w:cs="Arial" w:eastAsia="Arial" w:hAnsi="Arial"/>
                <w:sz w:val="16"/>
                <w:szCs w:val="16"/>
                <w:color w:val="auto"/>
                <w:w w:val="92"/>
              </w:rPr>
              <w:t>1,581,174</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102.7</w:t>
            </w:r>
          </w:p>
        </w:tc>
        <w:tc>
          <w:tcPr>
            <w:tcW w:w="0" w:type="dxa"/>
            <w:vAlign w:val="bottom"/>
          </w:tcPr>
          <w:p>
            <w:pPr>
              <w:spacing w:after="0"/>
              <w:rPr>
                <w:sz w:val="1"/>
                <w:szCs w:val="1"/>
                <w:color w:val="auto"/>
              </w:rPr>
            </w:pPr>
          </w:p>
        </w:tc>
      </w:tr>
      <w:tr>
        <w:trPr>
          <w:trHeight w:val="214"/>
        </w:trPr>
        <w:tc>
          <w:tcPr>
            <w:tcW w:w="4380" w:type="dxa"/>
            <w:vAlign w:val="bottom"/>
            <w:shd w:val="clear" w:color="auto" w:fill="CCEEFF"/>
          </w:tcPr>
          <w:p>
            <w:pPr>
              <w:ind w:left="540"/>
              <w:spacing w:after="0"/>
              <w:rPr>
                <w:sz w:val="20"/>
                <w:szCs w:val="20"/>
                <w:color w:val="auto"/>
              </w:rPr>
            </w:pPr>
            <w:r>
              <w:rPr>
                <w:rFonts w:ascii="Arial" w:cs="Arial" w:eastAsia="Arial" w:hAnsi="Arial"/>
                <w:sz w:val="16"/>
                <w:szCs w:val="16"/>
                <w:color w:val="auto"/>
              </w:rPr>
              <w:t xml:space="preserve">Slot machine win </w:t>
            </w:r>
            <w:r>
              <w:rPr>
                <w:rFonts w:ascii="Arial" w:cs="Arial" w:eastAsia="Arial" w:hAnsi="Arial"/>
                <w:sz w:val="14"/>
                <w:szCs w:val="14"/>
                <w:color w:val="auto"/>
              </w:rPr>
              <w:t>(3)</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98,816</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63,458</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263,197</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122,906</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114.1</w:t>
            </w:r>
          </w:p>
        </w:tc>
        <w:tc>
          <w:tcPr>
            <w:tcW w:w="0" w:type="dxa"/>
            <w:vAlign w:val="bottom"/>
          </w:tcPr>
          <w:p>
            <w:pPr>
              <w:spacing w:after="0"/>
              <w:rPr>
                <w:sz w:val="1"/>
                <w:szCs w:val="1"/>
                <w:color w:val="auto"/>
              </w:rPr>
            </w:pPr>
          </w:p>
        </w:tc>
      </w:tr>
      <w:tr>
        <w:trPr>
          <w:trHeight w:val="207"/>
        </w:trPr>
        <w:tc>
          <w:tcPr>
            <w:tcW w:w="4380" w:type="dxa"/>
            <w:vAlign w:val="bottom"/>
          </w:tcPr>
          <w:p>
            <w:pPr>
              <w:ind w:left="540"/>
              <w:spacing w:after="0"/>
              <w:rPr>
                <w:sz w:val="20"/>
                <w:szCs w:val="20"/>
                <w:color w:val="auto"/>
              </w:rPr>
            </w:pPr>
            <w:r>
              <w:rPr>
                <w:rFonts w:ascii="Arial" w:cs="Arial" w:eastAsia="Arial" w:hAnsi="Arial"/>
                <w:sz w:val="16"/>
                <w:szCs w:val="16"/>
                <w:color w:val="auto"/>
              </w:rPr>
              <w:t>Slot machine win per unit per day</w:t>
            </w: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42"/>
              <w:spacing w:after="0"/>
              <w:rPr>
                <w:sz w:val="20"/>
                <w:szCs w:val="20"/>
                <w:color w:val="auto"/>
              </w:rPr>
            </w:pPr>
            <w:r>
              <w:rPr>
                <w:rFonts w:ascii="Arial" w:cs="Arial" w:eastAsia="Arial" w:hAnsi="Arial"/>
                <w:sz w:val="16"/>
                <w:szCs w:val="16"/>
                <w:color w:val="auto"/>
              </w:rPr>
              <w:t>393</w:t>
            </w:r>
          </w:p>
        </w:tc>
        <w:tc>
          <w:tcPr>
            <w:tcW w:w="140" w:type="dxa"/>
            <w:vAlign w:val="bottom"/>
          </w:tcPr>
          <w:p>
            <w:pPr>
              <w:spacing w:after="0"/>
              <w:rPr>
                <w:sz w:val="18"/>
                <w:szCs w:val="18"/>
                <w:color w:val="auto"/>
              </w:rPr>
            </w:pPr>
          </w:p>
        </w:tc>
        <w:tc>
          <w:tcPr>
            <w:tcW w:w="400" w:type="dxa"/>
            <w:vAlign w:val="bottom"/>
          </w:tcPr>
          <w:p>
            <w:pPr>
              <w:jc w:val="right"/>
              <w:ind w:right="221"/>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41"/>
              <w:spacing w:after="0"/>
              <w:rPr>
                <w:sz w:val="20"/>
                <w:szCs w:val="20"/>
                <w:color w:val="auto"/>
              </w:rPr>
            </w:pPr>
            <w:r>
              <w:rPr>
                <w:rFonts w:ascii="Arial" w:cs="Arial" w:eastAsia="Arial" w:hAnsi="Arial"/>
                <w:sz w:val="16"/>
                <w:szCs w:val="16"/>
                <w:color w:val="auto"/>
              </w:rPr>
              <w:t>407</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42"/>
              <w:spacing w:after="0"/>
              <w:rPr>
                <w:sz w:val="20"/>
                <w:szCs w:val="20"/>
                <w:color w:val="auto"/>
              </w:rPr>
            </w:pPr>
            <w:r>
              <w:rPr>
                <w:rFonts w:ascii="Arial" w:cs="Arial" w:eastAsia="Arial" w:hAnsi="Arial"/>
                <w:sz w:val="16"/>
                <w:szCs w:val="16"/>
                <w:color w:val="auto"/>
              </w:rPr>
              <w:t>425</w:t>
            </w:r>
          </w:p>
        </w:tc>
        <w:tc>
          <w:tcPr>
            <w:tcW w:w="140" w:type="dxa"/>
            <w:vAlign w:val="bottom"/>
          </w:tcPr>
          <w:p>
            <w:pPr>
              <w:spacing w:after="0"/>
              <w:rPr>
                <w:sz w:val="18"/>
                <w:szCs w:val="18"/>
                <w:color w:val="auto"/>
              </w:rPr>
            </w:pPr>
          </w:p>
        </w:tc>
        <w:tc>
          <w:tcPr>
            <w:tcW w:w="400" w:type="dxa"/>
            <w:vAlign w:val="bottom"/>
          </w:tcPr>
          <w:p>
            <w:pPr>
              <w:jc w:val="right"/>
              <w:ind w:right="221"/>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336</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26.5</w:t>
            </w:r>
          </w:p>
        </w:tc>
        <w:tc>
          <w:tcPr>
            <w:tcW w:w="0" w:type="dxa"/>
            <w:vAlign w:val="bottom"/>
          </w:tcPr>
          <w:p>
            <w:pPr>
              <w:spacing w:after="0"/>
              <w:rPr>
                <w:sz w:val="1"/>
                <w:szCs w:val="1"/>
                <w:color w:val="auto"/>
              </w:rPr>
            </w:pPr>
          </w:p>
        </w:tc>
      </w:tr>
      <w:tr>
        <w:trPr>
          <w:trHeight w:val="214"/>
        </w:trPr>
        <w:tc>
          <w:tcPr>
            <w:tcW w:w="4380" w:type="dxa"/>
            <w:vAlign w:val="bottom"/>
            <w:shd w:val="clear" w:color="auto" w:fill="CCEEFF"/>
          </w:tcPr>
          <w:p>
            <w:pPr>
              <w:ind w:left="540"/>
              <w:spacing w:after="0"/>
              <w:rPr>
                <w:sz w:val="20"/>
                <w:szCs w:val="20"/>
                <w:color w:val="auto"/>
              </w:rPr>
            </w:pPr>
            <w:r>
              <w:rPr>
                <w:rFonts w:ascii="Arial" w:cs="Arial" w:eastAsia="Arial" w:hAnsi="Arial"/>
                <w:sz w:val="16"/>
                <w:szCs w:val="16"/>
                <w:color w:val="auto"/>
              </w:rPr>
              <w:t>Poker rake</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w w:val="89"/>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5,105</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07"/>
        </w:trPr>
        <w:tc>
          <w:tcPr>
            <w:tcW w:w="4380" w:type="dxa"/>
            <w:vAlign w:val="bottom"/>
          </w:tcPr>
          <w:p>
            <w:pPr>
              <w:ind w:left="340"/>
              <w:spacing w:after="0"/>
              <w:rPr>
                <w:sz w:val="20"/>
                <w:szCs w:val="20"/>
                <w:color w:val="auto"/>
              </w:rPr>
            </w:pPr>
            <w:r>
              <w:rPr>
                <w:rFonts w:ascii="Arial" w:cs="Arial" w:eastAsia="Arial" w:hAnsi="Arial"/>
                <w:sz w:val="16"/>
                <w:szCs w:val="16"/>
                <w:color w:val="auto"/>
              </w:rPr>
              <w:t>Room statistics:</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380" w:type="dxa"/>
            <w:vAlign w:val="bottom"/>
            <w:shd w:val="clear" w:color="auto" w:fill="CCEEFF"/>
          </w:tcPr>
          <w:p>
            <w:pPr>
              <w:ind w:left="540"/>
              <w:spacing w:after="0"/>
              <w:rPr>
                <w:sz w:val="20"/>
                <w:szCs w:val="20"/>
                <w:color w:val="auto"/>
              </w:rPr>
            </w:pPr>
            <w:r>
              <w:rPr>
                <w:rFonts w:ascii="Arial" w:cs="Arial" w:eastAsia="Arial" w:hAnsi="Arial"/>
                <w:sz w:val="16"/>
                <w:szCs w:val="16"/>
                <w:color w:val="auto"/>
              </w:rPr>
              <w:t>Occupancy</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87.8%</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72.7%</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84.1%</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74.6%</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380" w:type="dxa"/>
            <w:vAlign w:val="bottom"/>
          </w:tcPr>
          <w:p>
            <w:pPr>
              <w:ind w:left="540"/>
              <w:spacing w:after="0"/>
              <w:rPr>
                <w:sz w:val="20"/>
                <w:szCs w:val="20"/>
                <w:color w:val="auto"/>
              </w:rPr>
            </w:pPr>
            <w:r>
              <w:rPr>
                <w:rFonts w:ascii="Arial" w:cs="Arial" w:eastAsia="Arial" w:hAnsi="Arial"/>
                <w:sz w:val="16"/>
                <w:szCs w:val="16"/>
                <w:color w:val="auto"/>
              </w:rPr>
              <w:t xml:space="preserve">ADR </w:t>
            </w:r>
            <w:r>
              <w:rPr>
                <w:rFonts w:ascii="Arial" w:cs="Arial" w:eastAsia="Arial" w:hAnsi="Arial"/>
                <w:sz w:val="14"/>
                <w:szCs w:val="14"/>
                <w:color w:val="auto"/>
              </w:rPr>
              <w:t>(4)</w:t>
            </w: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42"/>
              <w:spacing w:after="0"/>
              <w:rPr>
                <w:sz w:val="20"/>
                <w:szCs w:val="20"/>
                <w:color w:val="auto"/>
              </w:rPr>
            </w:pPr>
            <w:r>
              <w:rPr>
                <w:rFonts w:ascii="Arial" w:cs="Arial" w:eastAsia="Arial" w:hAnsi="Arial"/>
                <w:sz w:val="16"/>
                <w:szCs w:val="16"/>
                <w:color w:val="auto"/>
              </w:rPr>
              <w:t>351</w:t>
            </w:r>
          </w:p>
        </w:tc>
        <w:tc>
          <w:tcPr>
            <w:tcW w:w="140" w:type="dxa"/>
            <w:vAlign w:val="bottom"/>
          </w:tcPr>
          <w:p>
            <w:pPr>
              <w:spacing w:after="0"/>
              <w:rPr>
                <w:sz w:val="18"/>
                <w:szCs w:val="18"/>
                <w:color w:val="auto"/>
              </w:rPr>
            </w:pPr>
          </w:p>
        </w:tc>
        <w:tc>
          <w:tcPr>
            <w:tcW w:w="400" w:type="dxa"/>
            <w:vAlign w:val="bottom"/>
          </w:tcPr>
          <w:p>
            <w:pPr>
              <w:jc w:val="right"/>
              <w:ind w:right="221"/>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41"/>
              <w:spacing w:after="0"/>
              <w:rPr>
                <w:sz w:val="20"/>
                <w:szCs w:val="20"/>
                <w:color w:val="auto"/>
              </w:rPr>
            </w:pPr>
            <w:r>
              <w:rPr>
                <w:rFonts w:ascii="Arial" w:cs="Arial" w:eastAsia="Arial" w:hAnsi="Arial"/>
                <w:sz w:val="16"/>
                <w:szCs w:val="16"/>
                <w:color w:val="auto"/>
              </w:rPr>
              <w:t>294</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19.4</w:t>
            </w:r>
          </w:p>
        </w:tc>
        <w:tc>
          <w:tcPr>
            <w:tcW w:w="10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42"/>
              <w:spacing w:after="0"/>
              <w:rPr>
                <w:sz w:val="20"/>
                <w:szCs w:val="20"/>
                <w:color w:val="auto"/>
              </w:rPr>
            </w:pPr>
            <w:r>
              <w:rPr>
                <w:rFonts w:ascii="Arial" w:cs="Arial" w:eastAsia="Arial" w:hAnsi="Arial"/>
                <w:sz w:val="16"/>
                <w:szCs w:val="16"/>
                <w:color w:val="auto"/>
              </w:rPr>
              <w:t>320</w:t>
            </w:r>
          </w:p>
        </w:tc>
        <w:tc>
          <w:tcPr>
            <w:tcW w:w="140" w:type="dxa"/>
            <w:vAlign w:val="bottom"/>
          </w:tcPr>
          <w:p>
            <w:pPr>
              <w:spacing w:after="0"/>
              <w:rPr>
                <w:sz w:val="18"/>
                <w:szCs w:val="18"/>
                <w:color w:val="auto"/>
              </w:rPr>
            </w:pPr>
          </w:p>
        </w:tc>
        <w:tc>
          <w:tcPr>
            <w:tcW w:w="400" w:type="dxa"/>
            <w:vAlign w:val="bottom"/>
          </w:tcPr>
          <w:p>
            <w:pPr>
              <w:jc w:val="right"/>
              <w:ind w:right="221"/>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293</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214"/>
        </w:trPr>
        <w:tc>
          <w:tcPr>
            <w:tcW w:w="4380" w:type="dxa"/>
            <w:vAlign w:val="bottom"/>
            <w:shd w:val="clear" w:color="auto" w:fill="CCEEFF"/>
          </w:tcPr>
          <w:p>
            <w:pPr>
              <w:ind w:left="540"/>
              <w:spacing w:after="0"/>
              <w:rPr>
                <w:sz w:val="20"/>
                <w:szCs w:val="20"/>
                <w:color w:val="auto"/>
              </w:rPr>
            </w:pPr>
            <w:r>
              <w:rPr>
                <w:rFonts w:ascii="Arial" w:cs="Arial" w:eastAsia="Arial" w:hAnsi="Arial"/>
                <w:sz w:val="16"/>
                <w:szCs w:val="16"/>
                <w:color w:val="auto"/>
              </w:rPr>
              <w:t xml:space="preserve">REVPAR </w:t>
            </w:r>
            <w:r>
              <w:rPr>
                <w:rFonts w:ascii="Arial" w:cs="Arial" w:eastAsia="Arial" w:hAnsi="Arial"/>
                <w:sz w:val="14"/>
                <w:szCs w:val="14"/>
                <w:color w:val="auto"/>
              </w:rPr>
              <w:t>(5)</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308</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214</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269</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218</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w:t>
            </w:r>
          </w:p>
        </w:tc>
        <w:tc>
          <w:tcPr>
            <w:tcW w:w="0" w:type="dxa"/>
            <w:vAlign w:val="bottom"/>
          </w:tcPr>
          <w:p>
            <w:pPr>
              <w:spacing w:after="0"/>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NM - Not meaningful.</w:t>
      </w:r>
    </w:p>
    <w:p>
      <w:pPr>
        <w:spacing w:after="0" w:line="14"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Note: Encore Boston Harbor ceased all operations and closed to the public on March 15, 2020, for the remainder of the first and second quarters of 2020. On July 10, 2020, Encore Boston Harbor reopened with certain COVID-19 specific protective measures in place, such as limiting the number of seats per table game, slot machine spacing, temperature checks, mask protection. In addition, certain food and beverage outlets remain closed, and hotel reservations were limited to Thursday through Sunday through the third quarter of 2020. Accordingly, Encore Boston Harbor's room statistics have been computed based on 47 and 121 days of operation for the three and nine months ended September 30, 2020, respectively. On January 25, 2021, the limitations on operating hours were lifted, and Encore Boston Harbor restored 24-hour casino operations and reopened its hotel tower on a Thursday through Sunday schedule. On April 27, 2021, the Governor of Massachusetts announced a phased plan for further reopening and on May 28, 2021 signed an executive order rescinding the COVID-related restrictions and limitations on businesses as of May 29, 2021. On September 1, 2021, Encore Boston Harbor reopened its hotel tower to seven days per week. Accordingly, Encore Boston Harbor's room statistics have been computed based on 69 and 158 days of operations for the three and nine months ended September 30, 2021, respectively.</w:t>
      </w:r>
    </w:p>
    <w:p>
      <w:pPr>
        <w:spacing w:after="0" w:line="4" w:lineRule="exact"/>
        <w:rPr>
          <w:sz w:val="20"/>
          <w:szCs w:val="20"/>
          <w:color w:val="auto"/>
        </w:rPr>
      </w:pPr>
    </w:p>
    <w:p>
      <w:pPr>
        <w:ind w:left="240" w:hanging="235"/>
        <w:spacing w:after="0" w:line="235" w:lineRule="auto"/>
        <w:tabs>
          <w:tab w:leader="none" w:pos="212" w:val="left"/>
        </w:tabs>
        <w:numPr>
          <w:ilvl w:val="0"/>
          <w:numId w:val="3"/>
        </w:numPr>
        <w:rPr>
          <w:rFonts w:ascii="Arial" w:cs="Arial" w:eastAsia="Arial" w:hAnsi="Arial"/>
          <w:sz w:val="14"/>
          <w:szCs w:val="14"/>
          <w:color w:val="auto"/>
        </w:rPr>
      </w:pPr>
      <w:r>
        <w:rPr>
          <w:rFonts w:ascii="Arial" w:cs="Arial" w:eastAsia="Arial" w:hAnsi="Arial"/>
          <w:sz w:val="14"/>
          <w:szCs w:val="14"/>
          <w:color w:val="auto"/>
        </w:rPr>
        <w:t>Table games win is shown before discounts, commissions and the allocation of casino revenues to rooms, food and beverage and other revenues for services provided to casino customers on a complimentary basis.</w:t>
      </w:r>
    </w:p>
    <w:p>
      <w:pPr>
        <w:ind w:left="240" w:hanging="235"/>
        <w:spacing w:after="0" w:line="253" w:lineRule="auto"/>
        <w:tabs>
          <w:tab w:leader="none" w:pos="201" w:val="left"/>
        </w:tabs>
        <w:numPr>
          <w:ilvl w:val="0"/>
          <w:numId w:val="3"/>
        </w:numPr>
        <w:rPr>
          <w:rFonts w:ascii="Arial" w:cs="Arial" w:eastAsia="Arial" w:hAnsi="Arial"/>
          <w:sz w:val="13"/>
          <w:szCs w:val="13"/>
          <w:color w:val="auto"/>
        </w:rPr>
      </w:pPr>
      <w:r>
        <w:rPr>
          <w:rFonts w:ascii="Arial" w:cs="Arial" w:eastAsia="Arial" w:hAnsi="Arial"/>
          <w:sz w:val="13"/>
          <w:szCs w:val="13"/>
          <w:color w:val="auto"/>
        </w:rPr>
        <w:t>In Macau, table drop is the amount of cash that is deposited in a gaming table's drop box plus cash chips purchased at the casino cage. In Las Vegas, table drop is the amount of cash and net markers issued that are deposited in a gaming table's drop box. At Encore Boston Harbor, table drop is the amount of cash and gross markers that are deposited in a gaming table's drop box.</w:t>
      </w:r>
    </w:p>
    <w:p>
      <w:pPr>
        <w:ind w:left="200" w:hanging="195"/>
        <w:spacing w:after="0" w:line="235" w:lineRule="auto"/>
        <w:tabs>
          <w:tab w:leader="none" w:pos="200" w:val="left"/>
        </w:tabs>
        <w:numPr>
          <w:ilvl w:val="0"/>
          <w:numId w:val="3"/>
        </w:numPr>
        <w:rPr>
          <w:rFonts w:ascii="Arial" w:cs="Arial" w:eastAsia="Arial" w:hAnsi="Arial"/>
          <w:sz w:val="14"/>
          <w:szCs w:val="14"/>
          <w:color w:val="auto"/>
        </w:rPr>
      </w:pPr>
      <w:r>
        <w:rPr>
          <w:rFonts w:ascii="Arial" w:cs="Arial" w:eastAsia="Arial" w:hAnsi="Arial"/>
          <w:sz w:val="14"/>
          <w:szCs w:val="14"/>
          <w:color w:val="auto"/>
        </w:rPr>
        <w:t>Slot machine win is calculated as gross slot machine win minus progressive accruals and free play.</w:t>
      </w:r>
    </w:p>
    <w:p>
      <w:pPr>
        <w:ind w:left="200" w:hanging="195"/>
        <w:spacing w:after="0" w:line="235" w:lineRule="auto"/>
        <w:tabs>
          <w:tab w:leader="none" w:pos="200" w:val="left"/>
        </w:tabs>
        <w:numPr>
          <w:ilvl w:val="0"/>
          <w:numId w:val="3"/>
        </w:numPr>
        <w:rPr>
          <w:rFonts w:ascii="Arial" w:cs="Arial" w:eastAsia="Arial" w:hAnsi="Arial"/>
          <w:sz w:val="14"/>
          <w:szCs w:val="14"/>
          <w:color w:val="auto"/>
        </w:rPr>
      </w:pPr>
      <w:r>
        <w:rPr>
          <w:rFonts w:ascii="Arial" w:cs="Arial" w:eastAsia="Arial" w:hAnsi="Arial"/>
          <w:sz w:val="14"/>
          <w:szCs w:val="14"/>
          <w:color w:val="auto"/>
        </w:rPr>
        <w:t>ADR is average daily rate and is calculated by dividing total room revenues including complimentaries (less service charges, if any) by total rooms occupied.</w:t>
      </w:r>
    </w:p>
    <w:p>
      <w:pPr>
        <w:ind w:left="200" w:hanging="195"/>
        <w:spacing w:after="0" w:line="235" w:lineRule="auto"/>
        <w:tabs>
          <w:tab w:leader="none" w:pos="200" w:val="left"/>
        </w:tabs>
        <w:numPr>
          <w:ilvl w:val="0"/>
          <w:numId w:val="3"/>
        </w:numPr>
        <w:rPr>
          <w:rFonts w:ascii="Arial" w:cs="Arial" w:eastAsia="Arial" w:hAnsi="Arial"/>
          <w:sz w:val="14"/>
          <w:szCs w:val="14"/>
          <w:color w:val="auto"/>
        </w:rPr>
      </w:pPr>
      <w:r>
        <w:rPr>
          <w:rFonts w:ascii="Arial" w:cs="Arial" w:eastAsia="Arial" w:hAnsi="Arial"/>
          <w:sz w:val="14"/>
          <w:szCs w:val="14"/>
          <w:color w:val="auto"/>
        </w:rPr>
        <w:t>REVPAR is revenue per available room and is calculated by dividing total room revenues including complimentaries (less service charges, if any) by total rooms available.</w:t>
      </w:r>
    </w:p>
    <w:p>
      <w:pPr>
        <w:ind w:left="200" w:hanging="195"/>
        <w:spacing w:after="0"/>
        <w:tabs>
          <w:tab w:leader="none" w:pos="200" w:val="left"/>
        </w:tabs>
        <w:numPr>
          <w:ilvl w:val="0"/>
          <w:numId w:val="3"/>
        </w:numPr>
        <w:rPr>
          <w:rFonts w:ascii="Arial" w:cs="Arial" w:eastAsia="Arial" w:hAnsi="Arial"/>
          <w:sz w:val="13"/>
          <w:szCs w:val="13"/>
          <w:color w:val="auto"/>
        </w:rPr>
      </w:pPr>
      <w:r>
        <w:rPr>
          <w:rFonts w:ascii="Arial" w:cs="Arial" w:eastAsia="Arial" w:hAnsi="Arial"/>
          <w:sz w:val="13"/>
          <w:szCs w:val="13"/>
          <w:color w:val="auto"/>
        </w:rPr>
        <w:t>Refer to accompanying reconciliations of Operating Income (Loss) to Adjusted Property EBITDA and Net Loss Attributable to Wynn Resorts, Limited to Adjusted Property EBITDA.</w:t>
      </w:r>
    </w:p>
    <w:p>
      <w:pPr>
        <w:spacing w:after="0" w:line="8" w:lineRule="exact"/>
        <w:rPr>
          <w:rFonts w:ascii="Arial" w:cs="Arial" w:eastAsia="Arial" w:hAnsi="Arial"/>
          <w:sz w:val="13"/>
          <w:szCs w:val="13"/>
          <w:color w:val="auto"/>
        </w:rPr>
      </w:pPr>
    </w:p>
    <w:p>
      <w:pPr>
        <w:ind w:left="200" w:hanging="195"/>
        <w:spacing w:after="0"/>
        <w:tabs>
          <w:tab w:leader="none" w:pos="200" w:val="left"/>
        </w:tabs>
        <w:numPr>
          <w:ilvl w:val="0"/>
          <w:numId w:val="3"/>
        </w:numPr>
        <w:rPr>
          <w:rFonts w:ascii="Arial" w:cs="Arial" w:eastAsia="Arial" w:hAnsi="Arial"/>
          <w:sz w:val="14"/>
          <w:szCs w:val="14"/>
          <w:color w:val="auto"/>
        </w:rPr>
      </w:pPr>
      <w:r>
        <w:rPr>
          <w:rFonts w:ascii="Arial" w:cs="Arial" w:eastAsia="Arial" w:hAnsi="Arial"/>
          <w:sz w:val="14"/>
          <w:szCs w:val="14"/>
          <w:color w:val="auto"/>
        </w:rPr>
        <w:t>For the three and nine months ended September 30, 2020, reflects the impact of rent concessions provided to tenants.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871"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SOURCE: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Wynn Resorts, Limited</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Vincent Zahn</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702-770-7555</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investorrelations@wynnresorts.com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13</w:t>
      </w:r>
    </w:p>
    <w:sectPr>
      <w:pgSz w:w="11900" w:h="16838" w:orient="portrait"/>
      <w:cols w:equalWidth="0" w:num="1">
        <w:col w:w="10139"/>
      </w:cols>
      <w:pgMar w:left="320" w:top="108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2021-11-09T15:31:40Z</dcterms:created>
  <dcterms:modified xsi:type="dcterms:W3CDTF">2021-11-09T15:31:40Z</dcterms:modified>
</cp:coreProperties>
</file>