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994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9944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SCHORR MARC D</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WYNN RESORTS, LIMITED</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3131 LAS VEGAS BOULEVARD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WYNN RESORTS LTD</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WYNN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8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09/11/2008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03"/>
        <w:spacing w:after="0"/>
        <w:rPr>
          <w:sz w:val="20"/>
          <w:szCs w:val="20"/>
          <w:color w:val="auto"/>
        </w:rPr>
      </w:pPr>
      <w:r>
        <w:rPr>
          <w:rFonts w:ascii="Arial" w:cs="Arial" w:eastAsia="Arial" w:hAnsi="Arial"/>
          <w:sz w:val="18"/>
          <w:szCs w:val="18"/>
          <w:color w:val="0000FF"/>
        </w:rPr>
        <w:t>Chief Operating Officer</w:t>
      </w:r>
    </w:p>
    <w:p>
      <w:pPr>
        <w:spacing w:after="0" w:line="390"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Borders>
              <w:bottom w:val="single" w:sz="8" w:color="9A9A9A"/>
            </w:tcBorders>
          </w:tcPr>
          <w:p>
            <w:pPr>
              <w:spacing w:after="0"/>
              <w:rPr>
                <w:sz w:val="16"/>
                <w:szCs w:val="16"/>
                <w:color w:val="auto"/>
              </w:rPr>
            </w:pPr>
          </w:p>
        </w:tc>
        <w:tc>
          <w:tcPr>
            <w:tcW w:w="1140" w:type="dxa"/>
            <w:vAlign w:val="bottom"/>
            <w:tcBorders>
              <w:bottom w:val="single" w:sz="8" w:color="9A9A9A"/>
            </w:tcBorders>
          </w:tcPr>
          <w:p>
            <w:pPr>
              <w:spacing w:after="0"/>
              <w:rPr>
                <w:sz w:val="16"/>
                <w:szCs w:val="16"/>
                <w:color w:val="auto"/>
              </w:rPr>
            </w:pPr>
          </w:p>
        </w:tc>
        <w:tc>
          <w:tcPr>
            <w:tcW w:w="1540" w:type="dxa"/>
            <w:vAlign w:val="bottom"/>
            <w:tcBorders>
              <w:bottom w:val="single" w:sz="8" w:color="9A9A9A"/>
            </w:tcBorders>
          </w:tcPr>
          <w:p>
            <w:pPr>
              <w:spacing w:after="0"/>
              <w:rPr>
                <w:sz w:val="16"/>
                <w:szCs w:val="16"/>
                <w:color w:val="auto"/>
              </w:rPr>
            </w:pPr>
          </w:p>
        </w:tc>
        <w:tc>
          <w:tcPr>
            <w:tcW w:w="3840" w:type="dxa"/>
            <w:vAlign w:val="bottom"/>
            <w:gridSpan w:val="5"/>
          </w:tcPr>
          <w:p>
            <w:pPr>
              <w:ind w:left="160"/>
              <w:spacing w:after="0"/>
              <w:rPr>
                <w:sz w:val="20"/>
                <w:szCs w:val="20"/>
                <w:color w:val="auto"/>
              </w:rPr>
            </w:pPr>
            <w:r>
              <w:rPr>
                <w:rFonts w:ascii="Arial" w:cs="Arial" w:eastAsia="Arial" w:hAnsi="Arial"/>
                <w:sz w:val="14"/>
                <w:szCs w:val="14"/>
                <w:color w:val="auto"/>
              </w:rPr>
              <w:t>4. If Amendment, Date of Original Filed (Month/Day/Year)</w:t>
            </w:r>
          </w:p>
        </w:tc>
        <w:tc>
          <w:tcPr>
            <w:tcW w:w="3660" w:type="dxa"/>
            <w:vAlign w:val="bottom"/>
            <w:gridSpan w:val="5"/>
          </w:tcPr>
          <w:p>
            <w:pPr>
              <w:ind w:left="30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11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ind w:left="300"/>
              <w:spacing w:after="0"/>
              <w:rPr>
                <w:sz w:val="20"/>
                <w:szCs w:val="20"/>
                <w:color w:val="auto"/>
              </w:rPr>
            </w:pPr>
            <w:r>
              <w:rPr>
                <w:rFonts w:ascii="Arial" w:cs="Arial" w:eastAsia="Arial" w:hAnsi="Arial"/>
                <w:sz w:val="14"/>
                <w:szCs w:val="14"/>
                <w:color w:val="auto"/>
              </w:rPr>
              <w:t>Line)</w:t>
            </w:r>
          </w:p>
        </w:tc>
        <w:tc>
          <w:tcPr>
            <w:tcW w:w="1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5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820" w:type="dxa"/>
            <w:vAlign w:val="bottom"/>
          </w:tcPr>
          <w:p>
            <w:pPr>
              <w:spacing w:after="0"/>
              <w:rPr>
                <w:sz w:val="9"/>
                <w:szCs w:val="9"/>
                <w:color w:val="auto"/>
              </w:rPr>
            </w:pPr>
          </w:p>
        </w:tc>
        <w:tc>
          <w:tcPr>
            <w:tcW w:w="520" w:type="dxa"/>
            <w:vAlign w:val="bottom"/>
          </w:tcPr>
          <w:p>
            <w:pPr>
              <w:spacing w:after="0"/>
              <w:rPr>
                <w:sz w:val="9"/>
                <w:szCs w:val="9"/>
                <w:color w:val="auto"/>
              </w:rPr>
            </w:pPr>
          </w:p>
        </w:tc>
        <w:tc>
          <w:tcPr>
            <w:tcW w:w="3660" w:type="dxa"/>
            <w:vAlign w:val="bottom"/>
            <w:gridSpan w:val="5"/>
            <w:vMerge w:val="restart"/>
          </w:tcPr>
          <w:p>
            <w:pPr>
              <w:ind w:left="5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vMerge w:val="restart"/>
          </w:tcPr>
          <w:p>
            <w:pPr>
              <w:spacing w:after="0"/>
              <w:rPr>
                <w:sz w:val="20"/>
                <w:szCs w:val="20"/>
                <w:color w:val="auto"/>
              </w:rPr>
            </w:pPr>
            <w:r>
              <w:rPr>
                <w:rFonts w:ascii="Arial" w:cs="Arial" w:eastAsia="Arial" w:hAnsi="Arial"/>
                <w:sz w:val="18"/>
                <w:szCs w:val="18"/>
                <w:color w:val="0000FF"/>
              </w:rPr>
              <w:t>LAS VEGAS</w:t>
            </w:r>
          </w:p>
        </w:tc>
        <w:tc>
          <w:tcPr>
            <w:tcW w:w="1140" w:type="dxa"/>
            <w:vAlign w:val="bottom"/>
            <w:vMerge w:val="restart"/>
          </w:tcPr>
          <w:p>
            <w:pPr>
              <w:ind w:left="160"/>
              <w:spacing w:after="0"/>
              <w:rPr>
                <w:sz w:val="20"/>
                <w:szCs w:val="20"/>
                <w:color w:val="auto"/>
              </w:rPr>
            </w:pPr>
            <w:r>
              <w:rPr>
                <w:rFonts w:ascii="Arial" w:cs="Arial" w:eastAsia="Arial" w:hAnsi="Arial"/>
                <w:sz w:val="18"/>
                <w:szCs w:val="18"/>
                <w:color w:val="0000FF"/>
              </w:rPr>
              <w:t>NV</w:t>
            </w:r>
          </w:p>
        </w:tc>
        <w:tc>
          <w:tcPr>
            <w:tcW w:w="1540" w:type="dxa"/>
            <w:vAlign w:val="bottom"/>
            <w:vMerge w:val="restart"/>
          </w:tcPr>
          <w:p>
            <w:pPr>
              <w:ind w:left="280"/>
              <w:spacing w:after="0"/>
              <w:rPr>
                <w:sz w:val="20"/>
                <w:szCs w:val="20"/>
                <w:color w:val="auto"/>
              </w:rPr>
            </w:pPr>
            <w:r>
              <w:rPr>
                <w:rFonts w:ascii="Arial" w:cs="Arial" w:eastAsia="Arial" w:hAnsi="Arial"/>
                <w:sz w:val="18"/>
                <w:szCs w:val="18"/>
                <w:color w:val="0000FF"/>
              </w:rPr>
              <w:t>89109</w:t>
            </w:r>
          </w:p>
        </w:tc>
        <w:tc>
          <w:tcPr>
            <w:tcW w:w="5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660" w:type="dxa"/>
            <w:vAlign w:val="bottom"/>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54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82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960" w:type="dxa"/>
            <w:vAlign w:val="bottom"/>
            <w:gridSpan w:val="4"/>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82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9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2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540" w:type="dxa"/>
            <w:vAlign w:val="bottom"/>
            <w:tcBorders>
              <w:bottom w:val="single" w:sz="8" w:color="9A9A9A"/>
            </w:tcBorders>
          </w:tcPr>
          <w:p>
            <w:pPr>
              <w:spacing w:after="0"/>
              <w:rPr>
                <w:sz w:val="5"/>
                <w:szCs w:val="5"/>
                <w:color w:val="auto"/>
              </w:rPr>
            </w:pPr>
          </w:p>
        </w:tc>
        <w:tc>
          <w:tcPr>
            <w:tcW w:w="5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82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160" w:type="dxa"/>
            <w:vAlign w:val="bottom"/>
            <w:vMerge w:val="restart"/>
          </w:tcPr>
          <w:p>
            <w:pPr>
              <w:ind w:left="160"/>
              <w:spacing w:after="0"/>
              <w:rPr>
                <w:sz w:val="20"/>
                <w:szCs w:val="20"/>
                <w:color w:val="auto"/>
              </w:rPr>
            </w:pPr>
            <w:r>
              <w:rPr>
                <w:rFonts w:ascii="Arial" w:cs="Arial" w:eastAsia="Arial" w:hAnsi="Arial"/>
                <w:sz w:val="14"/>
                <w:szCs w:val="14"/>
                <w:color w:val="auto"/>
              </w:rPr>
              <w:t>Person</w:t>
            </w:r>
          </w:p>
        </w:tc>
        <w:tc>
          <w:tcPr>
            <w:tcW w:w="98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140" w:type="dxa"/>
            <w:vAlign w:val="bottom"/>
            <w:vMerge w:val="restart"/>
          </w:tcPr>
          <w:p>
            <w:pPr>
              <w:ind w:left="160"/>
              <w:spacing w:after="0"/>
              <w:rPr>
                <w:sz w:val="20"/>
                <w:szCs w:val="20"/>
                <w:color w:val="auto"/>
              </w:rPr>
            </w:pPr>
            <w:r>
              <w:rPr>
                <w:rFonts w:ascii="Arial" w:cs="Arial" w:eastAsia="Arial" w:hAnsi="Arial"/>
                <w:sz w:val="14"/>
                <w:szCs w:val="14"/>
                <w:color w:val="auto"/>
              </w:rPr>
              <w:t>(State)</w:t>
            </w:r>
          </w:p>
        </w:tc>
        <w:tc>
          <w:tcPr>
            <w:tcW w:w="2080" w:type="dxa"/>
            <w:vAlign w:val="bottom"/>
            <w:gridSpan w:val="2"/>
            <w:vMerge w:val="restart"/>
          </w:tcPr>
          <w:p>
            <w:pPr>
              <w:ind w:left="280"/>
              <w:spacing w:after="0"/>
              <w:rPr>
                <w:sz w:val="20"/>
                <w:szCs w:val="20"/>
                <w:color w:val="auto"/>
              </w:rPr>
            </w:pPr>
            <w:r>
              <w:rPr>
                <w:rFonts w:ascii="Arial" w:cs="Arial" w:eastAsia="Arial" w:hAnsi="Arial"/>
                <w:sz w:val="14"/>
                <w:szCs w:val="14"/>
                <w:color w:val="auto"/>
              </w:rPr>
              <w:t>(Zip)</w:t>
            </w: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82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160" w:type="dxa"/>
            <w:vAlign w:val="bottom"/>
            <w:vMerge w:val="continue"/>
          </w:tcPr>
          <w:p>
            <w:pPr>
              <w:spacing w:after="0"/>
              <w:rPr>
                <w:sz w:val="7"/>
                <w:szCs w:val="7"/>
                <w:color w:val="auto"/>
              </w:rPr>
            </w:pPr>
          </w:p>
        </w:tc>
        <w:tc>
          <w:tcPr>
            <w:tcW w:w="98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2080" w:type="dxa"/>
            <w:vAlign w:val="bottom"/>
            <w:gridSpan w:val="2"/>
            <w:vMerge w:val="continue"/>
          </w:tcPr>
          <w:p>
            <w:pPr>
              <w:spacing w:after="0"/>
              <w:rPr>
                <w:sz w:val="19"/>
                <w:szCs w:val="19"/>
                <w:color w:val="auto"/>
              </w:rPr>
            </w:pPr>
          </w:p>
        </w:tc>
        <w:tc>
          <w:tcPr>
            <w:tcW w:w="1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120" w:type="dxa"/>
            <w:vAlign w:val="bottom"/>
            <w:tcBorders>
              <w:bottom w:val="single" w:sz="8" w:color="2C2C2C"/>
            </w:tcBorders>
          </w:tcPr>
          <w:p>
            <w:pPr>
              <w:spacing w:after="0"/>
              <w:rPr>
                <w:sz w:val="11"/>
                <w:szCs w:val="11"/>
                <w:color w:val="auto"/>
              </w:rPr>
            </w:pPr>
          </w:p>
        </w:tc>
        <w:tc>
          <w:tcPr>
            <w:tcW w:w="114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tcPr>
          <w:p>
            <w:pPr>
              <w:spacing w:after="0"/>
              <w:rPr>
                <w:sz w:val="11"/>
                <w:szCs w:val="11"/>
                <w:color w:val="auto"/>
              </w:rPr>
            </w:pPr>
          </w:p>
        </w:tc>
        <w:tc>
          <w:tcPr>
            <w:tcW w:w="5700" w:type="dxa"/>
            <w:vAlign w:val="bottom"/>
            <w:tcBorders>
              <w:bottom w:val="single" w:sz="8" w:color="2C2C2C"/>
            </w:tcBorders>
            <w:gridSpan w:val="7"/>
          </w:tcPr>
          <w:p>
            <w:pPr>
              <w:spacing w:after="0"/>
              <w:rPr>
                <w:sz w:val="11"/>
                <w:szCs w:val="11"/>
                <w:color w:val="auto"/>
              </w:rPr>
            </w:pPr>
          </w:p>
        </w:tc>
        <w:tc>
          <w:tcPr>
            <w:tcW w:w="9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2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8"/>
          </w:tcPr>
          <w:p>
            <w:pP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98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360" w:type="dxa"/>
            <w:vAlign w:val="bottom"/>
            <w:tcBorders>
              <w:bottom w:val="single" w:sz="8" w:color="2C2C2C"/>
            </w:tcBorders>
            <w:gridSpan w:val="3"/>
          </w:tcPr>
          <w:p>
            <w:pPr>
              <w:spacing w:after="0"/>
              <w:rPr>
                <w:sz w:val="4"/>
                <w:szCs w:val="4"/>
                <w:color w:val="auto"/>
              </w:rPr>
            </w:pPr>
          </w:p>
        </w:tc>
        <w:tc>
          <w:tcPr>
            <w:tcW w:w="208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40" w:type="dxa"/>
            <w:vAlign w:val="bottom"/>
            <w:tcBorders>
              <w:bottom w:val="single" w:sz="8" w:color="2C2C2C"/>
            </w:tcBorders>
            <w:gridSpan w:val="3"/>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3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2080" w:type="dxa"/>
            <w:vAlign w:val="bottom"/>
            <w:gridSpan w:val="2"/>
          </w:tcPr>
          <w:p>
            <w:pPr>
              <w:ind w:left="10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80" w:type="dxa"/>
            <w:vAlign w:val="bottom"/>
            <w:gridSpan w:val="2"/>
          </w:tcPr>
          <w:p>
            <w:pPr>
              <w:ind w:left="10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80" w:type="dxa"/>
            <w:vAlign w:val="bottom"/>
            <w:gridSpan w:val="2"/>
          </w:tcPr>
          <w:p>
            <w:pPr>
              <w:ind w:left="10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8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5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2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5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2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 or</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5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70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5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8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360" w:type="dxa"/>
            <w:vAlign w:val="bottom"/>
            <w:tcBorders>
              <w:bottom w:val="single" w:sz="8" w:color="2C2C2C"/>
            </w:tcBorders>
            <w:gridSpan w:val="3"/>
          </w:tcPr>
          <w:p>
            <w:pPr>
              <w:spacing w:after="0"/>
              <w:rPr>
                <w:sz w:val="4"/>
                <w:szCs w:val="4"/>
                <w:color w:val="auto"/>
              </w:rPr>
            </w:pPr>
          </w:p>
        </w:tc>
        <w:tc>
          <w:tcPr>
            <w:tcW w:w="208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36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88"/>
              </w:rPr>
              <w:t>Common Stock, par value $0.01</w:t>
            </w:r>
          </w:p>
        </w:tc>
        <w:tc>
          <w:tcPr>
            <w:tcW w:w="2080" w:type="dxa"/>
            <w:vAlign w:val="bottom"/>
            <w:tcBorders>
              <w:bottom w:val="single" w:sz="8" w:color="2C2C2C"/>
            </w:tcBorders>
            <w:gridSpan w:val="2"/>
          </w:tcPr>
          <w:p>
            <w:pPr>
              <w:ind w:left="1120"/>
              <w:spacing w:after="0"/>
              <w:rPr>
                <w:sz w:val="20"/>
                <w:szCs w:val="20"/>
                <w:color w:val="auto"/>
              </w:rPr>
            </w:pPr>
            <w:r>
              <w:rPr>
                <w:rFonts w:ascii="Arial" w:cs="Arial" w:eastAsia="Arial" w:hAnsi="Arial"/>
                <w:sz w:val="18"/>
                <w:szCs w:val="18"/>
                <w:color w:val="0000FF"/>
              </w:rPr>
              <w:t>09/11/2008</w:t>
            </w: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820" w:type="dxa"/>
            <w:vAlign w:val="bottom"/>
            <w:tcBorders>
              <w:bottom w:val="single" w:sz="8" w:color="2C2C2C"/>
            </w:tcBorders>
          </w:tcPr>
          <w:p>
            <w:pPr>
              <w:jc w:val="right"/>
              <w:ind w:right="52"/>
              <w:spacing w:after="0"/>
              <w:rPr>
                <w:sz w:val="20"/>
                <w:szCs w:val="20"/>
                <w:color w:val="auto"/>
              </w:rPr>
            </w:pPr>
            <w:r>
              <w:rPr>
                <w:rFonts w:ascii="Arial" w:cs="Arial" w:eastAsia="Arial" w:hAnsi="Arial"/>
                <w:sz w:val="18"/>
                <w:szCs w:val="18"/>
                <w:color w:val="0000FF"/>
              </w:rPr>
              <w:t>250,000</w:t>
            </w:r>
          </w:p>
        </w:tc>
        <w:tc>
          <w:tcPr>
            <w:tcW w:w="52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A</w:t>
            </w: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color w:val="0000FF"/>
                <w:w w:val="92"/>
              </w:rPr>
              <w:t>0.00</w:t>
            </w:r>
            <w:r>
              <w:rPr>
                <w:rFonts w:ascii="Arial" w:cs="Arial" w:eastAsia="Arial" w:hAnsi="Arial"/>
                <w:sz w:val="22"/>
                <w:szCs w:val="22"/>
                <w:color w:val="008000"/>
                <w:w w:val="92"/>
                <w:vertAlign w:val="superscript"/>
              </w:rPr>
              <w:t>(1)</w:t>
            </w:r>
          </w:p>
        </w:tc>
        <w:tc>
          <w:tcPr>
            <w:tcW w:w="116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400,000</w:t>
            </w:r>
          </w:p>
        </w:tc>
        <w:tc>
          <w:tcPr>
            <w:tcW w:w="9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20" w:type="dxa"/>
            <w:vAlign w:val="bottom"/>
            <w:gridSpan w:val="2"/>
          </w:tcPr>
          <w:p>
            <w:pPr>
              <w:ind w:left="80"/>
              <w:spacing w:after="0"/>
              <w:rPr>
                <w:sz w:val="20"/>
                <w:szCs w:val="20"/>
                <w:color w:val="auto"/>
              </w:rPr>
            </w:pPr>
            <w:r>
              <w:rPr>
                <w:rFonts w:ascii="Arial" w:cs="Arial" w:eastAsia="Arial" w:hAnsi="Arial"/>
                <w:sz w:val="18"/>
                <w:szCs w:val="18"/>
                <w:color w:val="0000FF"/>
              </w:rPr>
              <w:t>By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20" w:type="dxa"/>
            <w:vAlign w:val="bottom"/>
            <w:gridSpan w:val="2"/>
          </w:tcPr>
          <w:p>
            <w:pPr>
              <w:ind w:left="80"/>
              <w:spacing w:after="0"/>
              <w:rPr>
                <w:sz w:val="20"/>
                <w:szCs w:val="20"/>
                <w:color w:val="auto"/>
              </w:rPr>
            </w:pPr>
            <w:r>
              <w:rPr>
                <w:rFonts w:ascii="Arial" w:cs="Arial" w:eastAsia="Arial" w:hAnsi="Arial"/>
                <w:sz w:val="18"/>
                <w:szCs w:val="18"/>
                <w:color w:val="0000FF"/>
              </w:rPr>
              <w:t>Marc 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20" w:type="dxa"/>
            <w:vAlign w:val="bottom"/>
            <w:gridSpan w:val="2"/>
          </w:tcPr>
          <w:p>
            <w:pPr>
              <w:ind w:left="80"/>
              <w:spacing w:after="0"/>
              <w:rPr>
                <w:sz w:val="20"/>
                <w:szCs w:val="20"/>
                <w:color w:val="auto"/>
              </w:rPr>
            </w:pPr>
            <w:r>
              <w:rPr>
                <w:rFonts w:ascii="Arial" w:cs="Arial" w:eastAsia="Arial" w:hAnsi="Arial"/>
                <w:sz w:val="18"/>
                <w:szCs w:val="18"/>
                <w:color w:val="0000FF"/>
              </w:rPr>
              <w:t>Schorr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60" w:type="dxa"/>
            <w:vAlign w:val="bottom"/>
            <w:gridSpan w:val="3"/>
          </w:tcPr>
          <w:p>
            <w:pPr>
              <w:ind w:left="60"/>
              <w:spacing w:after="0"/>
              <w:rPr>
                <w:sz w:val="20"/>
                <w:szCs w:val="20"/>
                <w:color w:val="auto"/>
              </w:rPr>
            </w:pPr>
            <w:r>
              <w:rPr>
                <w:rFonts w:ascii="Arial" w:cs="Arial" w:eastAsia="Arial" w:hAnsi="Arial"/>
                <w:sz w:val="18"/>
                <w:szCs w:val="18"/>
                <w:color w:val="0000FF"/>
                <w:w w:val="88"/>
              </w:rPr>
              <w:t>Common Stock, par value $0.01</w:t>
            </w:r>
          </w:p>
        </w:tc>
        <w:tc>
          <w:tcPr>
            <w:tcW w:w="15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160" w:type="dxa"/>
            <w:vAlign w:val="bottom"/>
          </w:tcPr>
          <w:p>
            <w:pPr>
              <w:ind w:left="320"/>
              <w:spacing w:after="0"/>
              <w:rPr>
                <w:sz w:val="20"/>
                <w:szCs w:val="20"/>
                <w:color w:val="auto"/>
              </w:rPr>
            </w:pPr>
            <w:r>
              <w:rPr>
                <w:rFonts w:ascii="Arial" w:cs="Arial" w:eastAsia="Arial" w:hAnsi="Arial"/>
                <w:sz w:val="18"/>
                <w:szCs w:val="18"/>
                <w:color w:val="0000FF"/>
              </w:rPr>
              <w:t>332,923</w:t>
            </w:r>
          </w:p>
        </w:tc>
        <w:tc>
          <w:tcPr>
            <w:tcW w:w="980" w:type="dxa"/>
            <w:vAlign w:val="bottom"/>
          </w:tcPr>
          <w:p>
            <w:pPr>
              <w:ind w:left="480"/>
              <w:spacing w:after="0"/>
              <w:rPr>
                <w:sz w:val="20"/>
                <w:szCs w:val="20"/>
                <w:color w:val="auto"/>
              </w:rPr>
            </w:pPr>
            <w:r>
              <w:rPr>
                <w:rFonts w:ascii="Arial" w:cs="Arial" w:eastAsia="Arial" w:hAnsi="Arial"/>
                <w:sz w:val="18"/>
                <w:szCs w:val="18"/>
                <w:color w:val="0000FF"/>
              </w:rPr>
              <w:t>I</w:t>
            </w:r>
          </w:p>
        </w:tc>
        <w:tc>
          <w:tcPr>
            <w:tcW w:w="820" w:type="dxa"/>
            <w:vAlign w:val="bottom"/>
            <w:gridSpan w:val="2"/>
          </w:tcPr>
          <w:p>
            <w:pPr>
              <w:ind w:left="80"/>
              <w:spacing w:after="0"/>
              <w:rPr>
                <w:sz w:val="20"/>
                <w:szCs w:val="20"/>
                <w:color w:val="auto"/>
              </w:rPr>
            </w:pPr>
            <w:r>
              <w:rPr>
                <w:rFonts w:ascii="Arial" w:cs="Arial" w:eastAsia="Arial" w:hAnsi="Arial"/>
                <w:sz w:val="18"/>
                <w:szCs w:val="18"/>
                <w:color w:val="0000FF"/>
                <w:w w:val="97"/>
              </w:rPr>
              <w:t>and Jane</w:t>
            </w:r>
          </w:p>
        </w:tc>
        <w:tc>
          <w:tcPr>
            <w:tcW w:w="0" w:type="dxa"/>
            <w:vAlign w:val="bottom"/>
          </w:tcPr>
          <w:p>
            <w:pPr>
              <w:spacing w:after="0"/>
              <w:rPr>
                <w:sz w:val="1"/>
                <w:szCs w:val="1"/>
                <w:color w:val="auto"/>
              </w:rPr>
            </w:pPr>
          </w:p>
        </w:tc>
      </w:tr>
    </w:tbl>
    <w:p>
      <w:pPr>
        <w:ind w:left="10680"/>
        <w:spacing w:after="0"/>
        <w:rPr>
          <w:sz w:val="20"/>
          <w:szCs w:val="20"/>
          <w:color w:val="auto"/>
        </w:rPr>
      </w:pPr>
      <w:r>
        <w:rPr>
          <w:rFonts w:ascii="Arial" w:cs="Arial" w:eastAsia="Arial" w:hAnsi="Arial"/>
          <w:sz w:val="18"/>
          <w:szCs w:val="18"/>
          <w:color w:val="0000FF"/>
        </w:rPr>
        <w:t>R.</w:t>
      </w:r>
    </w:p>
    <w:p>
      <w:pPr>
        <w:spacing w:after="0" w:line="1" w:lineRule="exact"/>
        <w:rPr>
          <w:sz w:val="24"/>
          <w:szCs w:val="24"/>
          <w:color w:val="auto"/>
        </w:rPr>
      </w:pPr>
    </w:p>
    <w:p>
      <w:pPr>
        <w:ind w:left="10680"/>
        <w:spacing w:after="0"/>
        <w:rPr>
          <w:sz w:val="20"/>
          <w:szCs w:val="20"/>
          <w:color w:val="auto"/>
        </w:rPr>
      </w:pPr>
      <w:r>
        <w:rPr>
          <w:rFonts w:ascii="Arial" w:cs="Arial" w:eastAsia="Arial" w:hAnsi="Arial"/>
          <w:sz w:val="18"/>
          <w:szCs w:val="18"/>
          <w:color w:val="0000FF"/>
        </w:rPr>
        <w:t>Schorr</w:t>
      </w:r>
    </w:p>
    <w:p>
      <w:pPr>
        <w:spacing w:after="0" w:line="9" w:lineRule="exact"/>
        <w:rPr>
          <w:sz w:val="24"/>
          <w:szCs w:val="24"/>
          <w:color w:val="auto"/>
        </w:rPr>
      </w:pPr>
    </w:p>
    <w:p>
      <w:pPr>
        <w:ind w:left="10680"/>
        <w:spacing w:after="0"/>
        <w:rPr>
          <w:sz w:val="20"/>
          <w:szCs w:val="20"/>
          <w:color w:val="auto"/>
        </w:rPr>
      </w:pPr>
      <w:r>
        <w:rPr>
          <w:rFonts w:ascii="Arial" w:cs="Arial" w:eastAsia="Arial" w:hAnsi="Arial"/>
          <w:sz w:val="18"/>
          <w:szCs w:val="18"/>
          <w:color w:val="0000FF"/>
        </w:rPr>
        <w:t>Living</w:t>
      </w:r>
    </w:p>
    <w:p>
      <w:pPr>
        <w:spacing w:after="0" w:line="9" w:lineRule="exact"/>
        <w:rPr>
          <w:sz w:val="24"/>
          <w:szCs w:val="24"/>
          <w:color w:val="auto"/>
        </w:rPr>
      </w:pPr>
    </w:p>
    <w:p>
      <w:pPr>
        <w:ind w:left="10680"/>
        <w:spacing w:after="0"/>
        <w:rPr>
          <w:sz w:val="20"/>
          <w:szCs w:val="20"/>
          <w:color w:val="auto"/>
        </w:rPr>
      </w:pPr>
      <w:r>
        <w:rPr>
          <w:rFonts w:ascii="Arial" w:cs="Arial" w:eastAsia="Arial" w:hAnsi="Arial"/>
          <w:sz w:val="18"/>
          <w:szCs w:val="18"/>
          <w:color w:val="0000FF"/>
        </w:rPr>
        <w:t>Trust</w:t>
      </w:r>
    </w:p>
    <w:p>
      <w:pPr>
        <w:spacing w:after="0" w:line="1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2"/>
        </w:trPr>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3"/>
        </w:trPr>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2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Restricted shares of common stock, par value $0.01 per share, of Wynn Resorts, Limited (the "Company") granted pursuant to the Company's 2002 Stock Incentive Plan. Shares vest on December 5, 2016, provided that if the reporting person is party to an employment agreement with the Company and the Company terminates the reporting person without cause, the shares vest pro rata on a monthly basis for the time served from grant to termination.</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3"/>
          </w:tcPr>
          <w:p>
            <w:pPr>
              <w:spacing w:after="0"/>
              <w:rPr>
                <w:sz w:val="20"/>
                <w:szCs w:val="20"/>
                <w:color w:val="auto"/>
              </w:rPr>
            </w:pPr>
            <w:r>
              <w:rPr>
                <w:rFonts w:ascii="Arial" w:cs="Arial" w:eastAsia="Arial" w:hAnsi="Arial"/>
                <w:sz w:val="18"/>
                <w:szCs w:val="18"/>
                <w:color w:val="0000FF"/>
              </w:rPr>
              <w:t>/s/ Kimmarie Sinatra, as</w:t>
            </w: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09/12/2008</w:t>
            </w:r>
          </w:p>
        </w:tc>
        <w:tc>
          <w:tcPr>
            <w:tcW w:w="0" w:type="dxa"/>
            <w:vAlign w:val="bottom"/>
          </w:tcPr>
          <w:p>
            <w:pPr>
              <w:spacing w:after="0"/>
              <w:rPr>
                <w:sz w:val="1"/>
                <w:szCs w:val="1"/>
                <w:color w:val="auto"/>
              </w:rPr>
            </w:pPr>
          </w:p>
        </w:tc>
      </w:tr>
      <w:tr>
        <w:trPr>
          <w:trHeight w:val="88"/>
        </w:trPr>
        <w:tc>
          <w:tcPr>
            <w:tcW w:w="1700" w:type="dxa"/>
            <w:vAlign w:val="bottom"/>
            <w:tcBorders>
              <w:top w:val="single" w:sz="8" w:color="auto"/>
            </w:tcBorders>
            <w:gridSpan w:val="2"/>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420" w:type="dxa"/>
            <w:vAlign w:val="bottom"/>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700" w:type="dxa"/>
            <w:vAlign w:val="bottom"/>
            <w:tcBorders>
              <w:top w:val="single" w:sz="8" w:color="auto"/>
            </w:tcBorders>
            <w:gridSpan w:val="2"/>
            <w:vMerge w:val="continue"/>
          </w:tcPr>
          <w:p>
            <w:pPr>
              <w:spacing w:after="0"/>
              <w:rPr>
                <w:sz w:val="7"/>
                <w:szCs w:val="7"/>
                <w:color w:val="auto"/>
              </w:rPr>
            </w:pPr>
          </w:p>
        </w:tc>
        <w:tc>
          <w:tcPr>
            <w:tcW w:w="42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00" w:type="dxa"/>
            <w:vAlign w:val="bottom"/>
            <w:shd w:val="clear" w:color="auto" w:fill="000000"/>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6419" TargetMode="External"/><Relationship Id="rId13" Type="http://schemas.openxmlformats.org/officeDocument/2006/relationships/hyperlink" Target="http://www.sec.gov/cgi-bin/browse-edgar?action=getcompany&amp;CIK=00011749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2019-12-24T02:29:19Z</dcterms:created>
  <dcterms:modified xsi:type="dcterms:W3CDTF">2019-12-24T02:29:19Z</dcterms:modified>
</cp:coreProperties>
</file>