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526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5262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Whittemore Ellen F</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WYNN RESORTS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4"/>
          <w:szCs w:val="24"/>
          <w:color w:val="auto"/>
        </w:rPr>
      </w:pPr>
      <w:r>
        <w:rPr>
          <w:sz w:val="24"/>
          <w:szCs w:val="24"/>
          <w:color w:val="auto"/>
        </w:rPr>
        <w:br w:type="column"/>
      </w: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93"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13"/>
        <w:spacing w:after="0"/>
        <w:rPr>
          <w:sz w:val="20"/>
          <w:szCs w:val="20"/>
          <w:color w:val="auto"/>
        </w:rPr>
      </w:pPr>
      <w:r>
        <w:rPr>
          <w:rFonts w:ascii="Times New Roman" w:cs="Times New Roman" w:eastAsia="Times New Roman" w:hAnsi="Times New Roman"/>
          <w:sz w:val="17"/>
          <w:szCs w:val="17"/>
          <w:color w:val="0000FF"/>
        </w:rPr>
        <w:t>EVP and General Counsel</w:t>
      </w:r>
    </w:p>
    <w:p>
      <w:pPr>
        <w:spacing w:after="0" w:line="373"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74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0" w:type="dxa"/>
            <w:vAlign w:val="bottom"/>
            <w:gridSpan w:val="10"/>
            <w:vMerge w:val="restart"/>
          </w:tcPr>
          <w:p>
            <w:pPr>
              <w:ind w:left="4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NV</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89109</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7"/>
          </w:tcPr>
          <w:p>
            <w:pPr>
              <w:spacing w:after="0"/>
              <w:rPr>
                <w:sz w:val="6"/>
                <w:szCs w:val="6"/>
                <w:color w:val="auto"/>
              </w:rPr>
            </w:pPr>
          </w:p>
        </w:tc>
        <w:tc>
          <w:tcPr>
            <w:tcW w:w="258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3"/>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3"/>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3"/>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3"/>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3"/>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62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58.85</w:t>
            </w:r>
          </w:p>
        </w:tc>
        <w:tc>
          <w:tcPr>
            <w:tcW w:w="140" w:type="dxa"/>
            <w:vAlign w:val="bottom"/>
          </w:tcPr>
          <w:p>
            <w:pPr>
              <w:spacing w:after="0"/>
              <w:rPr>
                <w:sz w:val="12"/>
                <w:szCs w:val="12"/>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05/11/2022</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4"/>
              </w:rPr>
              <w:t>10,383</w:t>
            </w: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008000"/>
                <w:w w:val="77"/>
              </w:rPr>
              <w:t>(1)</w:t>
            </w:r>
          </w:p>
        </w:tc>
        <w:tc>
          <w:tcPr>
            <w:tcW w:w="28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12/31/2022</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05/11/2025</w:t>
            </w: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10,383</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10,383</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-1914525</wp:posOffset>
            </wp:positionV>
            <wp:extent cx="28575" cy="1919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196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80"/>
        <w:spacing w:after="0" w:line="25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11, 2022, the Company initiated a voluntary program for certain employees of Wynn Macau, Limited to decrease cash expenditures by reducing the cash amounts of their base salaries for the remainder of 2022 in exchange for grants of an equivalent value of Wynn Macau, Limited restricted stock. In recognition of the significant portion of Wynn Resorts' NEOs' roles related to the oversight and supervision of our Macau Operations, Ms. Whittemore voluntarily reduced the cash amount of her base salary for the remainder of 2022 by 33% in exchange for a grant of an equivalent value of options to acquire Wynn Resorts, Limited common stock. Such options shall vest in full on December 31, 2022. Should Ms. Whittemore leave her employment prior to December 31, 2022 for any reason, the options shall vest on a pro-rata basis.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Nicholas Pannucci, attorney- </w:t>
      </w:r>
      <w:r>
        <w:rPr>
          <w:rFonts w:ascii="Times New Roman" w:cs="Times New Roman" w:eastAsia="Times New Roman" w:hAnsi="Times New Roman"/>
          <w:sz w:val="33"/>
          <w:szCs w:val="33"/>
          <w:color w:val="0000FF"/>
          <w:vertAlign w:val="subscript"/>
        </w:rPr>
        <w:t>05/13/2022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Ellen F. Whittemore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1303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365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7594"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2022-05-13T18:23:28Z</dcterms:created>
  <dcterms:modified xsi:type="dcterms:W3CDTF">2022-05-13T18:23:28Z</dcterms:modified>
</cp:coreProperties>
</file>