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14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As previously disclosed, Wynn America, LLC (“Wynn America”), an indirect wholly owned subsidiary of Wynn Resorts, Limited, and certain subsidiaries of Wynn America are parties to a Credit Agreement, dated as of November 20, 2014 (as amended, the “Credit Agreement”). The Credit Agreement is comprised of (i) a $375 million senior secured revolving credit facility (“Revolving Loan”), (ii) an $875 million fully funded senior secured term loan facility (“Term Loan I”), and (iii) a $125 million fully funded senior secured term loan facility (“Term Loan II”). Borrowings under the Credit Agreement are used to fund the development, construction and pre-opening expenses of Wynn Boston Harbor and for general corporate purposes.</w:t>
      </w:r>
    </w:p>
    <w:p>
      <w:pPr>
        <w:spacing w:after="0" w:line="15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April 24, 2017, Wynn America, certain subsidiaries of Wynn America, Deutsche Bank AG New York Branch, as administrative agent and collateral agent, and certain of the lenders thereunder entered into the Fifth Amendment to the Credit Agreement (the “Fifth Amendment”) that, among other things, extended the maturity dates of portions of the credit facilities in order to improve operational flexibility during the construction of Wynn Boston Harbor, which is expected to open mid-2019.</w:t>
      </w:r>
    </w:p>
    <w:p>
      <w:pPr>
        <w:spacing w:after="0" w:line="18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Pursuant to the Fifth Amendment, (i) the maturity date with respect to $333.0 million in aggregate principal amount of the Revolving Loan was extended from November 20, 2019 to December 31, 2021; (ii) the maturity date with respect to $805.4 million in aggregate principal amount of Term Loan I was extended from November 20, 2020 to December 31, 2021, with repayment in quarterly installments of $20.1 million commencing on March 31, 2020 and a final installment of $664.5 million on December 31, 2021; and (iii) the maturity date with respect to $125 million in aggregate principal amount of Term Loan II was extended from November 20, 2020 to December 31, 2021, with no required scheduled repayments until maturity on December 31, 2021.</w:t>
      </w:r>
    </w:p>
    <w:p>
      <w:pPr>
        <w:spacing w:after="0" w:line="158"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Wynn America paid customary fees and expenses in connection with the Fifth Amendment. Some of the lenders, agents and arrangers under the Credit Agreement and their respective affiliates have provided, and may provide in the future, investment banking, commercial banking and other financial services to Wynn Resorts, Limited and its affiliates in the ordinary course of business, for which they have received and will receive customary compensation.</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foregoing description does not purport to be complete and is qualified in its entirety by reference to the full text of the Fifth Amendment, which will be filed as an exhibit to the Quarterly Report on Form 10-Q for the quarter ended March 31, 2017.</w:t>
      </w:r>
    </w:p>
    <w:p>
      <w:pPr>
        <w:spacing w:after="0" w:line="11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On April 25, 2017, Wynn Resorts, Limited issued a press release announcing its results of operations for the first quarter ended March 31, 2017. Financial information presented in the press release for the Las Vegas Operations of Wynn Resorts, Limited, including Adjusted Property EBITDA, consists of the financial results of Wynn Las Vegas, LLC and Wynn Retail, LLC. Financial information for Wynn Las Vegas, LLC will be set forth in the Form 10-Q that it files for the quarter ended March 31, 2017.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set forth under Item 1.01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25, 2017, the Company announced a cash dividend of $0.50 per share, payable on May 23, 2017 to stockholders of record as of May 11, 2017.</w:t>
      </w:r>
    </w:p>
    <w:p>
      <w:pPr>
        <w:sectPr>
          <w:pgSz w:w="11900" w:h="16838" w:orient="portrait"/>
          <w:cols w:equalWidth="0" w:num="1">
            <w:col w:w="11420"/>
          </w:cols>
          <w:pgMar w:left="240" w:top="95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0"/>
              </w:rPr>
              <w:t>Press release, dated April 25, 2017, of Wynn Resorts, Limited.</w:t>
            </w:r>
          </w:p>
        </w:tc>
      </w:tr>
    </w:tbl>
    <w:p>
      <w:pPr>
        <w:sectPr>
          <w:pgSz w:w="11900" w:h="16838" w:orient="portrait"/>
          <w:cols w:equalWidth="0" w:num="1">
            <w:col w:w="10179"/>
          </w:cols>
          <w:pgMar w:left="280" w:top="742" w:right="1440"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April 25,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180" w:type="dxa"/>
            <w:vAlign w:val="bottom"/>
          </w:tcPr>
          <w:p>
            <w:pPr>
              <w:spacing w:after="0"/>
              <w:rPr>
                <w:sz w:val="20"/>
                <w:szCs w:val="20"/>
                <w:color w:val="auto"/>
              </w:rPr>
            </w:pPr>
            <w:r>
              <w:rPr>
                <w:rFonts w:ascii="Arial" w:cs="Arial" w:eastAsia="Arial" w:hAnsi="Arial"/>
                <w:sz w:val="18"/>
                <w:szCs w:val="18"/>
                <w:color w:val="auto"/>
              </w:rPr>
              <w:t>Dated: April 25, 2017</w:t>
            </w:r>
          </w:p>
        </w:tc>
        <w:tc>
          <w:tcPr>
            <w:tcW w:w="3100" w:type="dxa"/>
            <w:vAlign w:val="bottom"/>
          </w:tcPr>
          <w:p>
            <w:pPr>
              <w:ind w:left="26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180" w:type="dxa"/>
            <w:vAlign w:val="bottom"/>
          </w:tcPr>
          <w:p>
            <w:pPr>
              <w:spacing w:after="0"/>
              <w:rPr>
                <w:sz w:val="24"/>
                <w:szCs w:val="24"/>
                <w:color w:val="auto"/>
              </w:rPr>
            </w:pPr>
          </w:p>
        </w:tc>
        <w:tc>
          <w:tcPr>
            <w:tcW w:w="3100" w:type="dxa"/>
            <w:vAlign w:val="bottom"/>
          </w:tcPr>
          <w:p>
            <w:pPr>
              <w:ind w:left="26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80" w:type="dxa"/>
            <w:vAlign w:val="bottom"/>
          </w:tcPr>
          <w:p>
            <w:pPr>
              <w:spacing w:after="0"/>
              <w:rPr>
                <w:sz w:val="24"/>
                <w:szCs w:val="24"/>
                <w:color w:val="auto"/>
              </w:rPr>
            </w:pPr>
          </w:p>
        </w:tc>
        <w:tc>
          <w:tcPr>
            <w:tcW w:w="3100" w:type="dxa"/>
            <w:vAlign w:val="bottom"/>
          </w:tcPr>
          <w:p>
            <w:pPr>
              <w:ind w:left="26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26"/>
        </w:trPr>
        <w:tc>
          <w:tcPr>
            <w:tcW w:w="4180" w:type="dxa"/>
            <w:vAlign w:val="bottom"/>
          </w:tcPr>
          <w:p>
            <w:pPr>
              <w:spacing w:after="0"/>
              <w:rPr>
                <w:sz w:val="24"/>
                <w:szCs w:val="24"/>
                <w:color w:val="auto"/>
              </w:rPr>
            </w:pPr>
          </w:p>
        </w:tc>
        <w:tc>
          <w:tcPr>
            <w:tcW w:w="3100" w:type="dxa"/>
            <w:vAlign w:val="bottom"/>
          </w:tcPr>
          <w:p>
            <w:pPr>
              <w:ind w:left="26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180" w:type="dxa"/>
            <w:vAlign w:val="bottom"/>
          </w:tcPr>
          <w:p>
            <w:pPr>
              <w:spacing w:after="0"/>
              <w:rPr>
                <w:sz w:val="24"/>
                <w:szCs w:val="24"/>
                <w:color w:val="auto"/>
              </w:rPr>
            </w:pPr>
          </w:p>
        </w:tc>
        <w:tc>
          <w:tcPr>
            <w:tcW w:w="3100" w:type="dxa"/>
            <w:vAlign w:val="bottom"/>
          </w:tcPr>
          <w:p>
            <w:pPr>
              <w:ind w:left="260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Craig S. Billings</w:t>
            </w: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4"/>
        </w:trPr>
        <w:tc>
          <w:tcPr>
            <w:tcW w:w="4180" w:type="dxa"/>
            <w:vAlign w:val="bottom"/>
          </w:tcPr>
          <w:p>
            <w:pPr>
              <w:spacing w:after="0"/>
              <w:rPr>
                <w:sz w:val="19"/>
                <w:szCs w:val="19"/>
                <w:color w:val="auto"/>
              </w:rPr>
            </w:pPr>
          </w:p>
        </w:tc>
        <w:tc>
          <w:tcPr>
            <w:tcW w:w="6860" w:type="dxa"/>
            <w:vAlign w:val="bottom"/>
            <w:gridSpan w:val="2"/>
          </w:tcPr>
          <w:p>
            <w:pPr>
              <w:ind w:left="2600"/>
              <w:spacing w:after="0"/>
              <w:rPr>
                <w:sz w:val="20"/>
                <w:szCs w:val="20"/>
                <w:color w:val="auto"/>
              </w:rPr>
            </w:pPr>
            <w:r>
              <w:rPr>
                <w:rFonts w:ascii="Arial" w:cs="Arial" w:eastAsia="Arial" w:hAnsi="Arial"/>
                <w:sz w:val="18"/>
                <w:szCs w:val="18"/>
                <w:color w:val="auto"/>
              </w:rPr>
              <w:t>Craig S. Billings</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April 25, 2017, of Wynn Resorts, Limited.</w:t>
            </w:r>
          </w:p>
        </w:tc>
      </w:tr>
    </w:tbl>
    <w:p>
      <w:pPr>
        <w:sectPr>
          <w:pgSz w:w="11900" w:h="16838" w:orient="portrait"/>
          <w:cols w:equalWidth="0" w:num="1">
            <w:col w:w="10179"/>
          </w:cols>
          <w:pgMar w:left="280" w:top="79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2017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April 25, 2017 — Wynn Resorts, Limited (Nasdaq: WYNN) today reported financial results for the first quarter ended March 31, 2017.</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revenues were $1.48 billion for the first quarter of 2017, an increase of 47.9%, or $478.0 million, from $997.7 million for the same period of 2016. The increase was the result of $475.8 million from Wynn Palace and an increase of $23.4 million from our Las Vegas Operations, partially offset by a decrease of $21.2 million from Wynn Macau.</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 U.S. generally accepted accounting principles ("GAAP") basis, net income attributable to Wynn Resorts, Limited was $100.8 million, or $0.99 per diluted share, for the first quarter of 2017, an increase of 34.0%, or $25.6 million, from $75.2 million, or $0.74 per diluted share, for the same period of 2016. The increase in net income attributable to Wynn Resorts, Limited was primarily the result of income from Wynn Palace, which opened in the third quarter of 2016, and from increased income from our Las Vegas Operations, partially offset by increased interest expense. The increase in interest expense was partially the result of a $25.6 million out-of-period adjustment recorded in the first quarter of 2016 related to capitalized interest that reduced interest expense. Adjusted net income attributable to Wynn Resorts, Limited (1) was $126.5 million, or $1.24 per diluted share, for the first quarter of 2017, compared to $108.8 million, or $1.07 per diluted share, for the same period of 2016.</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Adjusted Property EBITDA (2) was $427.5 million for the first quarter of 2017, an increase of 42.4%, or $127.3 million, from $300.3 million for the same period of 2016, primarily as a result of $111.9 million from Wynn Palace and an increase of $25.6 million from our Las Vegas Operations, partially offset by a decrease of $10.1 million from Wynn Macau.</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May 23, 2017 to stockholders of record as of May 11,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Net revenues from Wynn Macau were $587.0 million for the first quarter of 2017, a 3.5% decrease from $608.2 million for the same period of 2016. Adjusted Property EBITDA from Wynn Macau was $181.1 million for the first quarter of 2017, a 5.3% decrease from $191.2 million for the same period of 2016.</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Casino revenues from Wynn Macau were $554.9 million for the first quarter of 2017, a 2.9% decrease from $571.8 million for the same period of 2016. Table games turnover in VIP operations was $13.28 billion, a 1.4% decrease from $13.47 billion for the first quarter of 2016. VIP table games win as a percentage of turnover (calculated before commissions) was 3.30%, above the expected range of 2.7% to 3.0% and the 2.81% experienced in the first quarter of 2016. Table drop in mass market operations was $1.14 billion, a 6.0% decrease from $1.21 billion for the first quarter of 2016. Table games win in mass market operations was $212.9 million, a 14.0% decrease from $247.5 million for the first quarter of 2016. Table games win percentage in mass market operations was 18.7%, below the 20.5% experienced in the first quarter of 2016. Slot machine handle was $856.7 million, a 21.9% decrease from $1.10 billion for the first quarter of 2016, while slot machine win decreased 23.6% to $38.6 million.</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Non-casino revenues before promotional allowances from Wynn Macau were $64.9 million for the first quarter of 2017, a 15.5% decrease from $76.7 million for the same period of 2016. Room revenues decreased 16.1%, to $25.5 million for the first quarter of 2017, from $30.5 million for the same period of 2016. Average daily rate ("ADR") was $265, an 18.2% decrease from $324 for the first quarter of 2016. Occupancy increased to 95.7% for the first quarter of 2017, from 94.8% for the same period of 2016. Revenue per available room ("REVPAR") was $254, a 17.3% decrease from $307 for the first quarter of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opened Wynn Palace on August 22, 2016, with the first quarter of 2017 representing the second full quarter of operations for the resort.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Net revenues and Adjusted Property EBITDA from Wynn Palace were $475.8 million and $111.9 million, respectively, for the first quarter of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ind w:right="160"/>
        <w:spacing w:after="0" w:line="279" w:lineRule="auto"/>
        <w:rPr>
          <w:sz w:val="20"/>
          <w:szCs w:val="20"/>
          <w:color w:val="auto"/>
        </w:rPr>
      </w:pPr>
      <w:r>
        <w:rPr>
          <w:rFonts w:ascii="Arial" w:cs="Arial" w:eastAsia="Arial" w:hAnsi="Arial"/>
          <w:sz w:val="17"/>
          <w:szCs w:val="17"/>
          <w:color w:val="auto"/>
        </w:rPr>
        <w:t>Casino revenues from Wynn Palace were $430.0 million for the first quarter of 2017. Table games turnover in VIP operations was $11.04 billion and table games win as a percentage of turnover (calculated before commissions) was 3.03%, slightly outside the expected range of 2.7% to 3.0%. Table drop in mass market operations was $770.0 million, table games win in mass market operations was $167.6 million and table games win percentage was 21.8%. Slot machine handle was $657.6 million and slot machine win was $33.9 million for the first quarter of 2017.</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Non-casino revenues before promotional allowances from Wynn Palace were $85.6 million for the first quarter of 2017. Room revenues were $39.8 million with an ADR of $258, occupancy of 95.6% and REVPAR of $246.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Net revenues from our Las Vegas Operations were $412.9 million for the first quarter of 2017, a 6.0% increase from $389.4 million for the same period of 2016. Adjusted Property EBITDA from our Las Vegas Operations was $134.6 million, a 23.4% increase from $109.0 million for the first quarter of 2016.</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Casino revenues from our Las Vegas Operations were $166.3 million for the first quarter of 2017, a 3.3% increase from $161.0 million for the same period of 2016. Table games drop was $458.6 million, a 3.5% decrease from $475.2 million for the first quarter of 2016. Table games win was $130.8 million, a 4.6% increase from $125.0 million for the first quarter of 2016. Table games win percentage was 28.5%, above the property’s expected range of 21% to 25% and above the 26.3% experienced in the first quarter of 2016. Slot machine handle was $765.9 million, a 6.8% increase from $717.5 million for the first quarter of 2016, while slot machine win was relatively flat at $49.7 million.</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$285.5 million for the first quarter of 2017, a 5.2% increase from $271.3 million for the same period of 2016. Room revenues increased 9.3%, to $115.0 million for the first quarter of 2017, from $105.1 million for the same period of 2016. ADR was $315, a 5.7% increase from $298 for the first quarter of 2016. Occupancy increased to 85.5% for the first quarter of 2017, from the 81.7% experienced in the same period of 2016. REVPAR was $269, a 10.7% increase from $243 for the first quarter of 2016. Food and beverage revenues increased 5.9%, to $117.4 million for the first quarter of 2017, compared to the same period of 2016. Entertainment, retail and other revenues decreased 3.8%, to $53.1 million for the first quarter of 2017, compared to the same period of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March 31, 2017, we have incurred $606.9 million in total project costs. We expect to open Wynn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at March 31, 2017 were $2.84 billion.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debt outstanding at the end of the quarter was $9.81 billion, including $3.82 billion of Macau related debt, $3.17 billion of Wynn Las Vegas debt and $2.82 billion at the parent company and other.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24, 2017, the Company amended the Wynn America credit facilities to, among other things, extend the maturity of portions of the credit facilities. Pursuant to the amendment, (i) the maturity date with respect to $333.0 million in aggregate principal amount of the $375 million senior secured revolving credit facility was extended from November 20, 2019 to December 31, 2021; (ii) the maturity date with respect to $805.4 million in aggregate principal amount of the $875 million senior secured term loan I facility was extended from November 20, 2020 to December 31, 2021, with repayment in quarterly installments of $20.1 million commencing on March 31, 2020 and a final installment of $664.5 million on December 31, 2021; and (iii) the maturity date with respect to the $125 million senior secured term loan II was extended from November 20, 2020 to December 31, 2021, with no required scheduled repayments until maturity on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hold a conference call to discuss its results on April 25, 2017 at 1:30 p.m. PT (4:30 p.m. ET). Interested parties are invited to join the call by accessing a live audio webcast at http://www.wynnresorts.com.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2016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9"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attributable to Wynn Resorts, Limited before pre-opening expenses, property charges and other, change in interest rate swap fair value, change in Redemption Note fair value, loss on extinguishment of debt, net of noncontrolling interests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12" w:lineRule="exact"/>
        <w:rPr>
          <w:rFonts w:ascii="Arial" w:cs="Arial" w:eastAsia="Arial" w:hAnsi="Arial"/>
          <w:sz w:val="16"/>
          <w:szCs w:val="16"/>
          <w:color w:val="auto"/>
        </w:rPr>
      </w:pPr>
    </w:p>
    <w:p>
      <w:pPr>
        <w:ind w:right="20"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(loss) to Adjusted Property EBITDA, and (iii) net income attributable to Wynn Resorts, Limited to Adjusted Property EBITDA.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96"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1,151,224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732,730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135,592</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130,444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81,995</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1,587,236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1,080,761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1,475,680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997,678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452,540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38,299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117,445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33,769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77,971</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1,225,750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839,380</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158,298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(44,772)</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105,792</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75,221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101,686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600" w:type="dxa"/>
            <w:vAlign w:val="bottom"/>
            <w:tcBorders>
              <w:bottom w:val="single" w:sz="8" w:color="CCEEFF"/>
            </w:tcBorders>
          </w:tcPr>
          <w:p>
            <w:pPr>
              <w:spacing w:after="0"/>
              <w:rPr>
                <w:sz w:val="22"/>
                <w:szCs w:val="22"/>
                <w:color w:val="auto"/>
              </w:rPr>
            </w:pPr>
          </w:p>
        </w:tc>
        <w:tc>
          <w:tcPr>
            <w:tcW w:w="2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75,221</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33,769</w:t>
            </w: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1,825</w:t>
            </w: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5,003</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2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29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126,476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108,760</w:t>
            </w:r>
          </w:p>
        </w:tc>
      </w:tr>
      <w:tr>
        <w:trPr>
          <w:trHeight w:val="67"/>
        </w:trPr>
        <w:tc>
          <w:tcPr>
            <w:tcW w:w="5600" w:type="dxa"/>
            <w:vAlign w:val="bottom"/>
            <w:tcBorders>
              <w:bottom w:val="single" w:sz="8" w:color="CCEEFF"/>
            </w:tcBorders>
          </w:tcPr>
          <w:p>
            <w:pPr>
              <w:spacing w:after="0"/>
              <w:rPr>
                <w:sz w:val="5"/>
                <w:szCs w:val="5"/>
                <w:color w:val="auto"/>
              </w:rPr>
            </w:pPr>
          </w:p>
        </w:tc>
        <w:tc>
          <w:tcPr>
            <w:tcW w:w="2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32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101,686</w:t>
            </w:r>
          </w:p>
        </w:tc>
      </w:tr>
      <w:tr>
        <w:trPr>
          <w:trHeight w:val="675"/>
        </w:trPr>
        <w:tc>
          <w:tcPr>
            <w:tcW w:w="5600" w:type="dxa"/>
            <w:vAlign w:val="bottom"/>
          </w:tcPr>
          <w:p>
            <w:pPr>
              <w:spacing w:after="0"/>
              <w:rPr>
                <w:sz w:val="24"/>
                <w:szCs w:val="24"/>
                <w:color w:val="auto"/>
              </w:rPr>
            </w:pPr>
          </w:p>
        </w:tc>
        <w:tc>
          <w:tcPr>
            <w:tcW w:w="2980" w:type="dxa"/>
            <w:vAlign w:val="bottom"/>
          </w:tcPr>
          <w:p>
            <w:pPr>
              <w:jc w:val="right"/>
              <w:ind w:right="273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128,141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24,709</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22,810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181,106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111,856</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292,962</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67,466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46,857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134,577</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249,930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139,820</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427,539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March 31,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136,182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24,774</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22,763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191,245</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100,552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26,258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22,763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191,245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45,194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109,024</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(35,088)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158,298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33,769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77,971</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10,511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300,269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from unconsolidated affiliates have been combined with property charges and other to be consistent with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8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75,221</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33,769</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139,820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77,971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44,772</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Other expenses</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35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427,539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300,269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vMerge w:val="restart"/>
          </w:tcPr>
          <w:p>
            <w:pPr>
              <w:jc w:val="right"/>
              <w:ind w:right="249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189</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13,284,764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13,469,939</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438,912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378,652</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56,041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21,967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245</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1,136,896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1,210,100</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212,905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247,500</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11,092</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781</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856,683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1,096,337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50,440</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710</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8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(6)</w:t>
            </w: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11,041,682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334,742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40,797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167,627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8,840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657,579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458,596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475,162</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130,846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125,046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5,792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1,889</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765,914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717,460</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49,584</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243</w:t>
            </w:r>
          </w:p>
        </w:tc>
      </w:tr>
    </w:tbl>
    <w:p>
      <w:pPr>
        <w:spacing w:after="0" w:line="265" w:lineRule="exact"/>
        <w:rPr>
          <w:sz w:val="20"/>
          <w:szCs w:val="20"/>
          <w:color w:val="auto"/>
        </w:rPr>
      </w:pP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2019-12-06T17:56:23Z</dcterms:created>
  <dcterms:modified xsi:type="dcterms:W3CDTF">2019-12-06T17:56:23Z</dcterms:modified>
</cp:coreProperties>
</file>