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340995</wp:posOffset>
            </wp:positionV>
            <wp:extent cx="6877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255270</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158750</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00" w:hanging="665"/>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w:t>
      </w:r>
    </w:p>
    <w:p>
      <w:pPr>
        <w:spacing w:after="0" w:line="14" w:lineRule="exact"/>
        <w:rPr>
          <w:sz w:val="24"/>
          <w:szCs w:val="24"/>
          <w:color w:val="auto"/>
        </w:rPr>
      </w:pPr>
    </w:p>
    <w:p>
      <w:pPr>
        <w:ind w:left="700"/>
        <w:spacing w:after="0"/>
        <w:rPr>
          <w:sz w:val="20"/>
          <w:szCs w:val="20"/>
          <w:color w:val="auto"/>
        </w:rPr>
      </w:pPr>
      <w:r>
        <w:rPr>
          <w:rFonts w:ascii="Arial" w:cs="Arial" w:eastAsia="Arial" w:hAnsi="Arial"/>
          <w:sz w:val="22"/>
          <w:szCs w:val="22"/>
          <w:b w:val="1"/>
          <w:bCs w:val="1"/>
          <w:color w:val="auto"/>
        </w:rPr>
        <w:t>ACT OF 1934</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6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1040" w:hanging="665"/>
        <w:spacing w:after="0" w:line="254"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180340</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720" w:type="dxa"/>
        <w:tblCellMar>
          <w:top w:w="0" w:type="dxa"/>
          <w:left w:w="0" w:type="dxa"/>
          <w:bottom w:w="0" w:type="dxa"/>
          <w:right w:w="0" w:type="dxa"/>
        </w:tblCellMar>
      </w:tblPr>
      <w:tr>
        <w:trPr>
          <w:trHeight w:val="234"/>
        </w:trPr>
        <w:tc>
          <w:tcPr>
            <w:tcW w:w="3940" w:type="dxa"/>
            <w:vAlign w:val="bottom"/>
          </w:tcPr>
          <w:p>
            <w:pPr>
              <w:jc w:val="center"/>
              <w:ind w:right="1962"/>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3200" w:type="dxa"/>
            <w:vAlign w:val="bottom"/>
          </w:tcPr>
          <w:p>
            <w:pPr>
              <w:jc w:val="center"/>
              <w:ind w:left="1982"/>
              <w:spacing w:after="0"/>
              <w:rPr>
                <w:sz w:val="20"/>
                <w:szCs w:val="20"/>
                <w:color w:val="auto"/>
              </w:rPr>
            </w:pPr>
            <w:r>
              <w:rPr>
                <w:rFonts w:ascii="Arial" w:cs="Arial" w:eastAsia="Arial" w:hAnsi="Arial"/>
                <w:sz w:val="18"/>
                <w:szCs w:val="18"/>
                <w:b w:val="1"/>
                <w:bCs w:val="1"/>
                <w:color w:val="auto"/>
                <w:w w:val="89"/>
              </w:rPr>
              <w:t>88-0494875</w:t>
            </w:r>
          </w:p>
        </w:tc>
      </w:tr>
      <w:tr>
        <w:trPr>
          <w:trHeight w:val="180"/>
        </w:trPr>
        <w:tc>
          <w:tcPr>
            <w:tcW w:w="3940" w:type="dxa"/>
            <w:vAlign w:val="bottom"/>
          </w:tcPr>
          <w:p>
            <w:pPr>
              <w:jc w:val="center"/>
              <w:ind w:right="1982"/>
              <w:spacing w:after="0"/>
              <w:rPr>
                <w:sz w:val="20"/>
                <w:szCs w:val="20"/>
                <w:color w:val="auto"/>
              </w:rPr>
            </w:pPr>
            <w:r>
              <w:rPr>
                <w:rFonts w:ascii="Arial" w:cs="Arial" w:eastAsia="Arial" w:hAnsi="Arial"/>
                <w:sz w:val="14"/>
                <w:szCs w:val="14"/>
                <w:b w:val="1"/>
                <w:bCs w:val="1"/>
                <w:color w:val="auto"/>
                <w:w w:val="93"/>
              </w:rPr>
              <w:t>(State or other jurisdiction of</w:t>
            </w:r>
          </w:p>
        </w:tc>
        <w:tc>
          <w:tcPr>
            <w:tcW w:w="3200" w:type="dxa"/>
            <w:vAlign w:val="bottom"/>
          </w:tcPr>
          <w:p>
            <w:pPr>
              <w:jc w:val="center"/>
              <w:ind w:left="19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right="1982"/>
              <w:spacing w:after="0"/>
              <w:rPr>
                <w:sz w:val="20"/>
                <w:szCs w:val="20"/>
                <w:color w:val="auto"/>
              </w:rPr>
            </w:pPr>
            <w:r>
              <w:rPr>
                <w:rFonts w:ascii="Arial" w:cs="Arial" w:eastAsia="Arial" w:hAnsi="Arial"/>
                <w:sz w:val="14"/>
                <w:szCs w:val="14"/>
                <w:b w:val="1"/>
                <w:bCs w:val="1"/>
                <w:color w:val="auto"/>
                <w:w w:val="94"/>
              </w:rPr>
              <w:t>incorporation or organization)</w:t>
            </w:r>
          </w:p>
        </w:tc>
        <w:tc>
          <w:tcPr>
            <w:tcW w:w="3200" w:type="dxa"/>
            <w:vAlign w:val="bottom"/>
          </w:tcPr>
          <w:p>
            <w:pPr>
              <w:jc w:val="center"/>
              <w:ind w:left="1982"/>
              <w:spacing w:after="0"/>
              <w:rPr>
                <w:sz w:val="20"/>
                <w:szCs w:val="20"/>
                <w:color w:val="auto"/>
              </w:rPr>
            </w:pPr>
            <w:r>
              <w:rPr>
                <w:rFonts w:ascii="Arial" w:cs="Arial" w:eastAsia="Arial" w:hAnsi="Arial"/>
                <w:sz w:val="14"/>
                <w:szCs w:val="14"/>
                <w:b w:val="1"/>
                <w:bCs w:val="1"/>
                <w:color w:val="auto"/>
                <w:w w:val="96"/>
              </w:rPr>
              <w:t>Identification No.)</w:t>
            </w:r>
          </w:p>
        </w:tc>
      </w:tr>
    </w:tbl>
    <w:p>
      <w:pPr>
        <w:jc w:val="center"/>
        <w:ind w:right="-39"/>
        <w:spacing w:after="0"/>
        <w:rPr>
          <w:sz w:val="20"/>
          <w:szCs w:val="20"/>
          <w:color w:val="auto"/>
        </w:rPr>
      </w:pPr>
      <w:r>
        <w:rPr>
          <w:rFonts w:ascii="Arial" w:cs="Arial" w:eastAsia="Arial" w:hAnsi="Arial"/>
          <w:sz w:val="18"/>
          <w:szCs w:val="18"/>
          <w:b w:val="1"/>
          <w:bCs w:val="1"/>
          <w:color w:val="auto"/>
        </w:rPr>
        <w:t>3131 Las Vegas Boulevard South - Las Vegas, Nevada 89109</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(702) 770-7555</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2"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2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387" w:right="27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2480" w:space="720"/>
            <w:col w:w="2840" w:space="720"/>
            <w:col w:w="3060" w:space="720"/>
            <w:col w:w="840"/>
          </w:cols>
          <w:pgMar w:left="240" w:top="387"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4">
            <w:col w:w="2480" w:space="720"/>
            <w:col w:w="2840" w:space="720"/>
            <w:col w:w="3060" w:space="720"/>
            <w:col w:w="840"/>
          </w:cols>
          <w:pgMar w:left="240" w:top="387" w:right="279" w:bottom="1440" w:gutter="0" w:footer="0" w:header="0"/>
          <w:type w:val="continuous"/>
        </w:sectPr>
      </w:pPr>
    </w:p>
    <w:p>
      <w:pPr>
        <w:ind w:left="4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96"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6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Wynn Las Vegas Holdings, LLC owns all of the membership interests of the Registrant as of November 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177800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right="320" w:firstLine="432"/>
        <w:spacing w:after="0" w:line="282" w:lineRule="auto"/>
        <w:rPr>
          <w:sz w:val="20"/>
          <w:szCs w:val="20"/>
          <w:color w:val="auto"/>
        </w:rPr>
      </w:pPr>
      <w:r>
        <w:rPr>
          <w:rFonts w:ascii="Arial" w:cs="Arial" w:eastAsia="Arial" w:hAnsi="Arial"/>
          <w:sz w:val="18"/>
          <w:szCs w:val="18"/>
          <w:b w:val="1"/>
          <w:bCs w:val="1"/>
          <w:color w:val="auto"/>
        </w:rPr>
        <w:t>The Registrant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148590</wp:posOffset>
            </wp:positionV>
            <wp:extent cx="68776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62865</wp:posOffset>
            </wp:positionV>
            <wp:extent cx="6877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380"/>
          </w:cols>
          <w:pgMar w:left="240" w:top="387" w:right="27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40" w:type="dxa"/>
            <w:vAlign w:val="bottom"/>
            <w:gridSpan w:val="4"/>
          </w:tcPr>
          <w:p>
            <w:pPr>
              <w:spacing w:after="0"/>
              <w:rPr>
                <w:sz w:val="20"/>
                <w:szCs w:val="20"/>
                <w:color w:val="auto"/>
              </w:rPr>
            </w:pPr>
            <w:r>
              <w:rPr>
                <w:rFonts w:ascii="Arial" w:cs="Arial" w:eastAsia="Arial" w:hAnsi="Arial"/>
                <w:sz w:val="18"/>
                <w:szCs w:val="18"/>
                <w:b w:val="1"/>
                <w:bCs w:val="1"/>
                <w:color w:val="auto"/>
              </w:rPr>
              <w:t>Part I.</w:t>
            </w:r>
          </w:p>
        </w:tc>
        <w:tc>
          <w:tcPr>
            <w:tcW w:w="10140" w:type="dxa"/>
            <w:vAlign w:val="bottom"/>
            <w:gridSpan w:val="16"/>
          </w:tcPr>
          <w:p>
            <w:pPr>
              <w:ind w:left="440"/>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1"/>
        </w:trPr>
        <w:tc>
          <w:tcPr>
            <w:tcW w:w="34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18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September 30, 2016 (unaudited) and December 31, 2015</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 (Loss) (unaudited) – Three and Nine Months Ended</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September 30, 2016 and 2015</w:t>
              </w:r>
            </w:hyperlink>
          </w:p>
        </w:tc>
        <w:tc>
          <w:tcPr>
            <w:tcW w:w="6200" w:type="dxa"/>
            <w:vAlign w:val="bottom"/>
            <w:tcBorders>
              <w:top w:val="single" w:sz="8" w:color="0000EE"/>
            </w:tcBorders>
            <w:gridSpan w:val="6"/>
          </w:tcPr>
          <w:p>
            <w:pPr>
              <w:spacing w:after="0"/>
              <w:rPr>
                <w:sz w:val="17"/>
                <w:szCs w:val="17"/>
                <w:color w:val="auto"/>
              </w:rPr>
            </w:pPr>
          </w:p>
        </w:tc>
        <w:tc>
          <w:tcPr>
            <w:tcW w:w="1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372"/>
        </w:trPr>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(unaudited) – Nine Months Ended September 30, 2016 and 2015</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Condensed Consolidated Financial Statements (unaudited)</w:t>
              </w:r>
            </w:hyperlink>
          </w:p>
        </w:tc>
        <w:tc>
          <w:tcPr>
            <w:tcW w:w="460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372"/>
        </w:trPr>
        <w:tc>
          <w:tcPr>
            <w:tcW w:w="34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18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gridSpan w:val="1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17</w:t>
              </w:r>
            </w:hyperlink>
          </w:p>
        </w:tc>
      </w:tr>
      <w:tr>
        <w:trPr>
          <w:trHeight w:val="372"/>
        </w:trPr>
        <w:tc>
          <w:tcPr>
            <w:tcW w:w="34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18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43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26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372"/>
        </w:trPr>
        <w:tc>
          <w:tcPr>
            <w:tcW w:w="34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18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7920" w:type="dxa"/>
            <w:vAlign w:val="bottom"/>
            <w:gridSpan w:val="9"/>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412"/>
        </w:trPr>
        <w:tc>
          <w:tcPr>
            <w:tcW w:w="1040" w:type="dxa"/>
            <w:vAlign w:val="bottom"/>
            <w:gridSpan w:val="4"/>
          </w:tcPr>
          <w:p>
            <w:pPr>
              <w:spacing w:after="0"/>
              <w:rPr>
                <w:sz w:val="20"/>
                <w:szCs w:val="20"/>
                <w:color w:val="auto"/>
              </w:rPr>
            </w:pPr>
            <w:r>
              <w:rPr>
                <w:rFonts w:ascii="Arial" w:cs="Arial" w:eastAsia="Arial" w:hAnsi="Arial"/>
                <w:sz w:val="18"/>
                <w:szCs w:val="18"/>
                <w:b w:val="1"/>
                <w:bCs w:val="1"/>
                <w:color w:val="auto"/>
              </w:rPr>
              <w:t>Part II.</w:t>
            </w:r>
          </w:p>
        </w:tc>
        <w:tc>
          <w:tcPr>
            <w:tcW w:w="10140" w:type="dxa"/>
            <w:vAlign w:val="bottom"/>
            <w:gridSpan w:val="16"/>
          </w:tcPr>
          <w:p>
            <w:pPr>
              <w:ind w:left="440"/>
              <w:spacing w:after="0"/>
              <w:rPr>
                <w:sz w:val="20"/>
                <w:szCs w:val="20"/>
                <w:color w:val="auto"/>
              </w:rPr>
            </w:pPr>
            <w:r>
              <w:rPr>
                <w:rFonts w:ascii="Arial" w:cs="Arial" w:eastAsia="Arial" w:hAnsi="Arial"/>
                <w:sz w:val="18"/>
                <w:szCs w:val="18"/>
                <w:b w:val="1"/>
                <w:bCs w:val="1"/>
                <w:color w:val="auto"/>
              </w:rPr>
              <w:t>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340" w:type="dxa"/>
            <w:vAlign w:val="bottom"/>
          </w:tcPr>
          <w:p>
            <w:pPr>
              <w:spacing w:after="0"/>
              <w:rPr>
                <w:sz w:val="24"/>
                <w:szCs w:val="24"/>
                <w:color w:val="auto"/>
              </w:rPr>
            </w:pPr>
          </w:p>
        </w:tc>
        <w:tc>
          <w:tcPr>
            <w:tcW w:w="700" w:type="dxa"/>
            <w:vAlign w:val="bottom"/>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1A.</w:t>
              </w:r>
            </w:hyperlink>
          </w:p>
        </w:tc>
        <w:tc>
          <w:tcPr>
            <w:tcW w:w="10140" w:type="dxa"/>
            <w:vAlign w:val="bottom"/>
            <w:gridSpan w:val="16"/>
          </w:tcPr>
          <w:p>
            <w:pPr>
              <w:ind w:left="440"/>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20"/>
        </w:trPr>
        <w:tc>
          <w:tcPr>
            <w:tcW w:w="3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gridSpan w:val="1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372"/>
        </w:trPr>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6.</w:t>
              </w:r>
            </w:hyperlink>
          </w:p>
        </w:tc>
        <w:tc>
          <w:tcPr>
            <w:tcW w:w="18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4340" w:type="dxa"/>
            <w:vAlign w:val="bottom"/>
            <w:tcBorders>
              <w:top w:val="single" w:sz="8" w:color="0000EE"/>
            </w:tcBorders>
            <w:gridSpan w:val="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5360" w:type="dxa"/>
            <w:vAlign w:val="bottom"/>
            <w:gridSpan w:val="7"/>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20"/>
        </w:trPr>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Signature</w:t>
              </w:r>
            </w:hyperlink>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669"/>
        </w:trPr>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80" w:type="dxa"/>
            <w:vAlign w:val="bottom"/>
            <w:gridSpan w:val="9"/>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-2923540</wp:posOffset>
            </wp:positionV>
            <wp:extent cx="28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00"/>
          </w:cols>
          <w:pgMar w:left="240" w:top="279" w:right="2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3"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CONDENSED CONSOLIDATED BALANCE SHEETS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18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(unaudited)</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5060" w:type="dxa"/>
            <w:vAlign w:val="bottom"/>
            <w:gridSpan w:val="2"/>
          </w:tcPr>
          <w:p>
            <w:pPr>
              <w:jc w:val="center"/>
              <w:ind w:right="910"/>
              <w:spacing w:after="0"/>
              <w:rPr>
                <w:sz w:val="20"/>
                <w:szCs w:val="20"/>
                <w:color w:val="auto"/>
              </w:rPr>
            </w:pPr>
            <w:r>
              <w:rPr>
                <w:rFonts w:ascii="Arial" w:cs="Arial" w:eastAsia="Arial" w:hAnsi="Arial"/>
                <w:sz w:val="18"/>
                <w:szCs w:val="18"/>
                <w:b w:val="1"/>
                <w:bCs w:val="1"/>
                <w:color w:val="auto"/>
                <w:w w:val="91"/>
              </w:rPr>
              <w:t>ASSETS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5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168,804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77,062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Receivables, net</w:t>
            </w: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95,075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119,356</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4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45,462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51,293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w:t>
            </w:r>
          </w:p>
        </w:tc>
        <w:tc>
          <w:tcPr>
            <w:tcW w:w="49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29,162</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4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343,496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276,873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2,754,772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2,825,239</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4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41,487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4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5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3,139,847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3,145,713</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bottom w:val="single" w:sz="8" w:color="CCEEFF"/>
            </w:tcBorders>
            <w:vMerge w:val="restart"/>
          </w:tcPr>
          <w:p>
            <w:pPr>
              <w:jc w:val="center"/>
              <w:ind w:right="730"/>
              <w:spacing w:after="0"/>
              <w:rPr>
                <w:sz w:val="20"/>
                <w:szCs w:val="20"/>
                <w:color w:val="auto"/>
              </w:rPr>
            </w:pPr>
            <w:r>
              <w:rPr>
                <w:rFonts w:ascii="Arial" w:cs="Arial" w:eastAsia="Arial" w:hAnsi="Arial"/>
                <w:sz w:val="18"/>
                <w:szCs w:val="18"/>
                <w:b w:val="1"/>
                <w:bCs w:val="1"/>
                <w:color w:val="auto"/>
              </w:rPr>
              <w:t>LIABILITIES AND MEMBER'S 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80" w:type="dxa"/>
            <w:vAlign w:val="bottom"/>
          </w:tcPr>
          <w:p>
            <w:pPr>
              <w:spacing w:after="0"/>
              <w:rPr>
                <w:sz w:val="17"/>
                <w:szCs w:val="17"/>
                <w:color w:val="auto"/>
              </w:rPr>
            </w:pPr>
          </w:p>
        </w:tc>
        <w:tc>
          <w:tcPr>
            <w:tcW w:w="4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5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35,378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42,992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deposits</w:t>
            </w: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84,094</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Gaming taxes payable</w:t>
            </w:r>
          </w:p>
        </w:tc>
        <w:tc>
          <w:tcPr>
            <w:tcW w:w="4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10,578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11,610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benefits</w:t>
            </w: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52,312</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Accrued interest</w:t>
            </w:r>
          </w:p>
        </w:tc>
        <w:tc>
          <w:tcPr>
            <w:tcW w:w="4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17,408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48,939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23,290</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Due to affiliates, net</w:t>
            </w:r>
          </w:p>
        </w:tc>
        <w:tc>
          <w:tcPr>
            <w:tcW w:w="4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251,722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270,568</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4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3,168,077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3,165,499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9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4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3,422,143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3,438,493</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7)</w:t>
            </w: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Member's deficit:</w:t>
            </w:r>
          </w:p>
        </w:tc>
        <w:tc>
          <w:tcPr>
            <w:tcW w:w="4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Contributed capital</w:t>
            </w:r>
          </w:p>
        </w:tc>
        <w:tc>
          <w:tcPr>
            <w:tcW w:w="4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957,138</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4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(1,240,511)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(1,249,918)</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member's deficit</w:t>
            </w:r>
          </w:p>
        </w:tc>
        <w:tc>
          <w:tcPr>
            <w:tcW w:w="4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(282,296)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(292,780)</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 and member's deficit</w:t>
            </w:r>
          </w:p>
        </w:tc>
        <w:tc>
          <w:tcPr>
            <w:tcW w:w="49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3,139,847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3,145,713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9"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Casino</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153,166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152,149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447,030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448,617</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102,786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330,893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311,260</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145,166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142,580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409,975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419,082</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58,273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174,038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173,672</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469,422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455,788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1,361,936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1,352,631</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(42,319)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(126,349)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(131,005)</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427,103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411,160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1,235,587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1,221,626</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Casino</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69,732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71,244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210,731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217,326</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111,256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108,043</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96,438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95,527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271,186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272,695</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102,248</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65,340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62,482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190,625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184,785</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5,353</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Management and license fees</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13,441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13,004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38,963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34,458</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 costs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46,403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45,215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137,349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136,704</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16,748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26,973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380,143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358,468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1,097,254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1,062,832</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138,333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158,794</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5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(42,988)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(43,779)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(129,007)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(136,973)</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(126,276)</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Equity in income (loss) from unconsolidated affiliates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(42,923)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(263,250)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4,037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4,989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9,407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(104,456)</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4,037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4,989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9,407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(104,456)</w:t>
            </w: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9"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8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9,407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(104,456)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137,349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136,704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of deferred financing costs and other</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2,292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126,276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6,074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5,353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cash from changes in: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18,207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52,551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 and prepaid expenses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5,527</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(60,428)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Due to affiliates,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(204,154)</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179,914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(36,563)</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Capital expenditures, net of construction payables and retention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(81,658)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(82,255)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of investment in unconsolidated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other assets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Due to affiliates,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sale of assets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2,976</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(72,959)</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parent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(170,000)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1,800,000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Repurchase of first mortgage notes</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(1,603,610)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financing costs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(132,401)</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(106,011)</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91,742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(215,533)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266,360</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Balance,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168,804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50,827</w:t>
            </w:r>
          </w:p>
        </w:tc>
      </w:tr>
      <w:tr>
        <w:trPr>
          <w:trHeight w:val="27"/>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9"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left="280" w:right="2360"/>
        <w:spacing w:after="0" w:line="255"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Wynn Las Vegas, LLC, a Nevada limited liability company, was organized primarily to construct and operate Wynn Las Vegas | Encore ("Wynn Las Vegas"), an integrated destination casino resort on the "Strip" in Las Vegas, Nevada. Unless the context otherwise requires, all references herein to the "Company" refer to Wynn Las Vegas, LLC and its consolidated subsidiaries.</w:t>
      </w:r>
    </w:p>
    <w:p>
      <w:pPr>
        <w:spacing w:after="0" w:line="18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is a direct wholly owned subsidiary of Wynn Las Vegas Holdings, LLC ("WLVH"). WLVH is a direct wholly owned subsidiary of Wynn America, LLC ("Wynn America"). Wynn America is a direct wholly owned subsidiary of Wynn Resorts Holdings, LLC ("Holdings"). Holdings is a direct wholly owned subsidiary of Wynn Resorts, Limited ("Wynn Resorts").</w:t>
      </w:r>
    </w:p>
    <w:p>
      <w:pPr>
        <w:spacing w:after="0" w:line="18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Wynn Las Vegas Capital Corp. ("Wynn Capital") is a wholly owned subsidiary of the Company organized solely for the purpose of obtaining financing for Wynn Las Vegas. Wynn Capital is authorized to issue 2,000 shares of common stock, par value $0.01. As of September 30, 2016, the Company owned the one share that was issued and outstanding. Wynn Capital has no significant net assets and has had no operating activity. Its sole function is to serve as the co-issuer of the mortgage and senior notes. Wynn Las Vegas, LLC and Wynn Capital together are hereinafter referred to as the "Issuers".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200" w:firstLine="432"/>
        <w:spacing w:after="0" w:line="271" w:lineRule="auto"/>
        <w:rPr>
          <w:sz w:val="20"/>
          <w:szCs w:val="20"/>
          <w:color w:val="auto"/>
        </w:rPr>
      </w:pPr>
      <w:r>
        <w:rPr>
          <w:rFonts w:ascii="Arial" w:cs="Arial" w:eastAsia="Arial" w:hAnsi="Arial"/>
          <w:sz w:val="17"/>
          <w:szCs w:val="17"/>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nine months ended September 30, 2016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wholly owned subsidiaries. In April 2016, the Company dissolved its 50%-owned joint venture operating the Ferrari and Maserati automobile dealership inside Wynn Las Vegas, which was closed in October 2015 and was accounted for under the equity method. All significant intercompany accounts and transactions have been eliminated.</w:t>
      </w:r>
    </w:p>
    <w:p>
      <w:pPr>
        <w:spacing w:after="0" w:line="147"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Certain amounts in the Condensed Consolidated Statements of Cash Flows for the previous year have been reclassified to be consistent with the current year presentation. The payment of deposits on property and equipment, previously presented in purchase of other assets in investing activities, is now presented in capital expenditures in investing activities. The amount of deposits on property and equipment that have been reclassified for the nine months ended September 30, 2015 was $14.4 million. The reclassification had no effect on the previously reported net cash used in investing activities.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Cash and cash equivalents are comprised of highly liquid investments with original maturities of three months or less. Cash equivalents are carried at cost, which approximates fair value.</w:t>
      </w: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18" w:right="27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225"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September 30, 2016 and December 31, 2015, approximately 79.9% and 80.1%,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5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specific review of customer accounts as well as management's experience with historical and current collection trends and current economic and business conditions. Accounts are written off when management deems them to be uncollectible. Recoveries of accounts previously written off are recorded when received.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225"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Direct and incremental costs incurred and original issue discounts and premiums in connection with the issuance of long-term debt are deferred and amortized to interest expense using the effective interest method or, if the amounts approximate the effective interest method, on a straight-line basis. Deferred financing costs incurred in connection with the issuance of long-term debt are presented as a direct reduction of long-term debt on the Condensed Consolidated Balance Sheets. See the Recently Issued and Adopted Accounting Standards section below for details on the presentation change of deferred financing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22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7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Cash discounts, other cash incentives and points earned by customers from the Company's loyalty programs are recorded as a reduction to casino revenues. Rooms,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65"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The retail value of accommodations, food and beverage, and other services furnished to guests without charge is included in gross revenues. Such amounts are then deducted as promotional allowances. The estimated retail value of providing such promotional allowances are as follows (in thousands):</w:t>
      </w:r>
    </w:p>
    <w:p>
      <w:pPr>
        <w:sectPr>
          <w:pgSz w:w="11900" w:h="16838" w:orient="portrait"/>
          <w:cols w:equalWidth="0" w:num="1">
            <w:col w:w="11380"/>
          </w:cols>
          <w:pgMar w:left="240" w:top="118" w:right="279" w:bottom="1440" w:gutter="0" w:footer="0" w:header="0"/>
        </w:sectPr>
      </w:pPr>
    </w:p>
    <w:p>
      <w:pPr>
        <w:spacing w:after="0" w:line="345"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31115</wp:posOffset>
            </wp:positionV>
            <wp:extent cx="1869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14" w:lineRule="exact"/>
        <w:rPr>
          <w:sz w:val="20"/>
          <w:szCs w:val="20"/>
          <w:color w:val="auto"/>
        </w:rPr>
      </w:pPr>
    </w:p>
    <w:p>
      <w:pPr>
        <w:ind w:left="5440"/>
        <w:spacing w:after="0"/>
        <w:tabs>
          <w:tab w:leader="none" w:pos="696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jc w:val="center"/>
        <w:ind w:right="88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31115</wp:posOffset>
            </wp:positionV>
            <wp:extent cx="1869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14" w:lineRule="exact"/>
        <w:rPr>
          <w:sz w:val="20"/>
          <w:szCs w:val="20"/>
          <w:color w:val="auto"/>
        </w:rPr>
      </w:pPr>
    </w:p>
    <w:p>
      <w:pPr>
        <w:ind w:left="160"/>
        <w:spacing w:after="0"/>
        <w:tabs>
          <w:tab w:leader="none" w:pos="166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5" w:lineRule="exact"/>
        <w:rPr>
          <w:sz w:val="20"/>
          <w:szCs w:val="20"/>
          <w:color w:val="auto"/>
        </w:rPr>
      </w:pPr>
    </w:p>
    <w:p>
      <w:pPr>
        <w:sectPr>
          <w:pgSz w:w="11900" w:h="16838" w:orient="portrait"/>
          <w:cols w:equalWidth="0" w:num="2">
            <w:col w:w="7620" w:space="720"/>
            <w:col w:w="3040"/>
          </w:cols>
          <w:pgMar w:left="240" w:top="118" w:right="27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4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20,082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19,616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57,242</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55,695</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4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18,597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20,936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56,272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61,813</w:t>
            </w:r>
          </w:p>
        </w:tc>
      </w:tr>
      <w:tr>
        <w:trPr>
          <w:trHeight w:val="27"/>
        </w:trPr>
        <w:tc>
          <w:tcPr>
            <w:tcW w:w="4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13,497</w:t>
            </w:r>
          </w:p>
        </w:tc>
      </w:tr>
      <w:tr>
        <w:trPr>
          <w:trHeight w:val="237"/>
        </w:trPr>
        <w:tc>
          <w:tcPr>
            <w:tcW w:w="488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42,319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44,628</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126,349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131,005</w:t>
            </w:r>
          </w:p>
        </w:tc>
      </w:tr>
      <w:tr>
        <w:trPr>
          <w:trHeight w:val="27"/>
        </w:trPr>
        <w:tc>
          <w:tcPr>
            <w:tcW w:w="48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18"/>
        </w:trPr>
        <w:tc>
          <w:tcPr>
            <w:tcW w:w="4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380"/>
          </w:cols>
          <w:pgMar w:left="240" w:top="118" w:right="279" w:bottom="1440" w:gutter="0" w:footer="0" w:header="0"/>
          <w:type w:val="continuous"/>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estimated cost of providing such promotional allowances, which is included primarily in casino expenses,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48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24,589</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24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14,357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16,121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44,162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47,503</w:t>
            </w:r>
          </w:p>
        </w:tc>
      </w:tr>
      <w:tr>
        <w:trPr>
          <w:trHeight w:val="27"/>
        </w:trPr>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8,050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8,354</w:t>
            </w:r>
          </w:p>
        </w:tc>
      </w:tr>
      <w:tr>
        <w:trPr>
          <w:trHeight w:val="237"/>
        </w:trPr>
        <w:tc>
          <w:tcPr>
            <w:tcW w:w="48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25,091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27,282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76,365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80,446</w:t>
            </w:r>
          </w:p>
        </w:tc>
      </w:tr>
      <w:tr>
        <w:trPr>
          <w:trHeight w:val="27"/>
        </w:trPr>
        <w:tc>
          <w:tcPr>
            <w:tcW w:w="4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ind w:right="480" w:firstLine="432"/>
        <w:spacing w:after="0" w:line="257" w:lineRule="auto"/>
        <w:rPr>
          <w:sz w:val="20"/>
          <w:szCs w:val="20"/>
          <w:color w:val="auto"/>
        </w:rPr>
      </w:pPr>
      <w:r>
        <w:rPr>
          <w:rFonts w:ascii="Arial" w:cs="Arial" w:eastAsia="Arial" w:hAnsi="Arial"/>
          <w:sz w:val="18"/>
          <w:szCs w:val="18"/>
          <w:color w:val="auto"/>
        </w:rPr>
        <w:t>The Company is subject to taxes based on gross gaming revenues in the jurisdiction in which it operates, subject to applicable jurisdictional adjustments. These gaming taxes are an assessment on the Company's gross gaming revenues and are recorded as casino expenses in the accompanying Condensed Consolidated Statements of Comprehensive Income (Loss). These taxes totaled $11.2 million and $11.0 million for the three months ended September 30, 2016 and 2015, respectively, and totaled $32.2 million and $32.0 million for the nine months ended September 30, 2016 and 2015,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The Company accounts for stock-based compensation related to equity shares of Wynn Resorts granted to its employees in accordance with accounting standards, which require the compensation cost relating to share-based payment transactions be recognized in the Company's Condensed Consolidated Statements of Comprehensive Income (Loss). The cost is measured at the grant date, based on the estimated fair value of the award using the Black-Scholes option pricing model for stock options, and based on the closing share price of the Company's stock on the grant date for nonvested share awards. The cost is recognized as an expense on a straight-line basis over the employee's requisite service period (the vesting period of the award), net of estimated forfeitures. For both the three months ended September 30, 2016 and 2015, the Company recorded $0.6 million of stock-based compensation costs. For the nine months ended September 30, 2016 and 2015, the Company recorded $2.0 million and $2.1 million, respectively, in stock-based compensation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and Adopted Accounting Standards</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August 2016, the Financial Accounting Standards Board ("FASB") issued an accounting standards update that clarifies the classification of certain cash receipts and cash payments on the statement of cash flows. In particular, the new guidance clarifies the classification related to several types of cash flows; including items such as debt extinguishment costs and distributions received from equity method investees. The new guidance also provides a three-step approach for classifying cash receipts and payments that have aspects of more than one class of cash flows. The effective date for this guidance is for financial statements for fiscal years beginning after December 15, 2017, and interim periods within those fiscal periods and early application is permitted. The Company is currently assessing the impact the adoption of this guidance will have on its consolidated financial statements.</w:t>
      </w:r>
    </w:p>
    <w:p>
      <w:pPr>
        <w:spacing w:after="0" w:line="178"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 March 2016, the FASB issued an accounting standards update that involves several aspects of the accounting for share-based payment transactions, including the income tax consequences, classification of awards as either equity or liabilities, and classification on the statement of cash flows. Under the new guidance, income tax benefits and deficiencies are to be recognized as income tax expense or benefit in the income statement and the tax effects of exercised or vested awards should be treated as discrete items in the reporting period in which they occur. An entity should also recognize excess tax benefits regardless of whether the benefit reduces taxes payable in the current period. Excess tax benefits should be classified along with other income tax cash flows as an operating activity. In regards to forfeitures, the entity may make an entity-wide accounting policy election to either estimate the number of awards that are expected to vest or account for forfeitures when they occur. The effective date for this guidance is for financial statements for fiscal years beginning after December 15, 2016, and interim periods within those fiscal periods and early application is permitted. The Company is currently assessing the impact the adoption of this guidance will have on its consolidated financial statements.</w:t>
      </w:r>
    </w:p>
    <w:p>
      <w:pPr>
        <w:spacing w:after="0" w:line="3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18" w:right="25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In February 2016, the FASB issued an accounting standards update that changes the accounting for leases and requires expanded disclosures about leasing activities. Under the new guidance, lessees will be required to recognize a right-of-use asset and lease liability, measured on a discounted basis, at the commencement date for all leases with terms greater than 12 months. Lessor accounting will remain largely unchanged, other than certain targeted improvements intended to align lessor accounting with the lessee accounting model and with the updated revenue recognition guidance issued in 2014. Lessees and lessors are required to apply a modified retrospective transition approach for leases existing at the beginning of the earliest comparative period presented in the adoption-period financial statements. The new standard is effective for fiscal years beginning after December 15, 2018, including interim periods within those fiscal years and early adoption is permitted. The Company is currently assessing the impact the adoption of this standard will have on its consolidated financial statements.</w:t>
      </w:r>
    </w:p>
    <w:p>
      <w:pPr>
        <w:spacing w:after="0" w:line="179" w:lineRule="exact"/>
        <w:rPr>
          <w:sz w:val="20"/>
          <w:szCs w:val="20"/>
          <w:color w:val="auto"/>
        </w:rPr>
      </w:pPr>
    </w:p>
    <w:p>
      <w:pPr>
        <w:ind w:right="220" w:firstLine="432"/>
        <w:spacing w:after="0" w:line="289" w:lineRule="auto"/>
        <w:rPr>
          <w:sz w:val="20"/>
          <w:szCs w:val="20"/>
          <w:color w:val="auto"/>
        </w:rPr>
      </w:pPr>
      <w:r>
        <w:rPr>
          <w:rFonts w:ascii="Arial" w:cs="Arial" w:eastAsia="Arial" w:hAnsi="Arial"/>
          <w:sz w:val="16"/>
          <w:szCs w:val="16"/>
          <w:color w:val="auto"/>
        </w:rPr>
        <w:t>In April 2015, the FASB issued an accounting standards update that requires deferred financing costs related to a recognized debt liability to be presented on the balance sheet as a direct reduction from the carrying amount of that debt liability, consistent with debt discounts. The recognition and measurement guidance for deferred financing costs are not affected by the amendments in this update. In August 2015, the FASB issued an accounting standards update that clarifies that the guidance issued in April 2015 does not apply to line-of-credit arrangements. According to the additional guidance, deferred financing costs related to line-of-credit arrangements will continue to be presented as an asset and subsequently amortized ratably over the term of the arrangement. The effective date for this guidance is for financial statements for fiscal years beginning after December 15, 2015, and interim periods within those fiscal years. The Company adopted the guidance on January 1, 2016, with retrospective application in the accompanying Condensed Consolidated Balance Sheet at December 31, 2015. This change in accounting principle resulted in net deferred financing costs of $34.5 million incurred in connection with the issuance of the Company's long-term debt being reclassified from noncurrent assets to a direct reduction of the long-term debt balance.</w:t>
      </w:r>
    </w:p>
    <w:p>
      <w:pPr>
        <w:spacing w:after="0" w:line="167"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GAAP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In August 2015, the FASB issued an accounting standards update that defers the effective date of the new revenue recognition accounting guidance by one year, to annual and interim periods beginning after December 15, 2017. Early application is permitted for annual and interim periods beginning after December 15, 2016. The Company will adopt this standard effective January 1, 2018. The Company is currently assessing the impact the adoption of this standard will have on its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Receivables,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Receivables, net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260" w:type="dxa"/>
            <w:vAlign w:val="bottom"/>
            <w:tcBorders>
              <w:bottom w:val="single" w:sz="8" w:color="CCEEFF"/>
            </w:tcBorders>
          </w:tcPr>
          <w:p>
            <w:pPr>
              <w:spacing w:after="0"/>
              <w:rPr>
                <w:sz w:val="16"/>
                <w:szCs w:val="16"/>
                <w:color w:val="auto"/>
              </w:rPr>
            </w:pPr>
          </w:p>
        </w:tc>
        <w:tc>
          <w:tcPr>
            <w:tcW w:w="40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4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116,723</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Hotel</w:t>
            </w:r>
          </w:p>
        </w:tc>
        <w:tc>
          <w:tcPr>
            <w:tcW w:w="4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19,119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20,014</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leases and other</w:t>
            </w:r>
          </w:p>
        </w:tc>
        <w:tc>
          <w:tcPr>
            <w:tcW w:w="40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21,288</w:t>
            </w: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125,618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158,025</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40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(38,669)</w:t>
            </w: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95,075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119,356</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4080" w:type="dxa"/>
            <w:vAlign w:val="bottom"/>
            <w:vMerge w:val="restart"/>
          </w:tcPr>
          <w:p>
            <w:pPr>
              <w:jc w:val="right"/>
              <w:ind w:right="243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08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26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and Equipment,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623,578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623,866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2,641,063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2,630,788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1,423,084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1,419,018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28,746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12,294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4,716,471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4,685,966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(1,961,699)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(1,860,727)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2,754,772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2,825,239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 Long-Term Debt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40"/>
              <w:spacing w:after="0"/>
              <w:rPr>
                <w:sz w:val="20"/>
                <w:szCs w:val="20"/>
                <w:color w:val="auto"/>
              </w:rPr>
            </w:pPr>
            <w:r>
              <w:rPr>
                <w:rFonts w:ascii="Arial" w:cs="Arial" w:eastAsia="Arial" w:hAnsi="Arial"/>
                <w:sz w:val="18"/>
                <w:szCs w:val="18"/>
                <w:color w:val="auto"/>
              </w:rPr>
              <w:t>Long-term debt consisted of the following (in thousands):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1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5 3/8% First Mortgage Notes, due March 15, 2022, net of debt issuance costs of $6,985 at September 30, 2016 and</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$7,791 at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893,015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892,209</w:t>
            </w:r>
          </w:p>
        </w:tc>
        <w:tc>
          <w:tcPr>
            <w:tcW w:w="0" w:type="dxa"/>
            <w:vAlign w:val="bottom"/>
          </w:tcPr>
          <w:p>
            <w:pPr>
              <w:spacing w:after="0"/>
              <w:rPr>
                <w:sz w:val="1"/>
                <w:szCs w:val="1"/>
                <w:color w:val="auto"/>
              </w:rPr>
            </w:pP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89"/>
              </w:rPr>
              <w:t>4 1/4% Senior Notes, due May 30, 2023, net of debt issuance costs of $2,911 at September 30, 2016 and $3,183 at</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December 31, 2015</w:t>
            </w:r>
          </w:p>
        </w:tc>
        <w:tc>
          <w:tcPr>
            <w:tcW w:w="20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497,089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496,817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5 1/2% Senior Notes, due March 1, 2025, net of debt issuance costs of $22,027 at September 30, 2016 and</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$23,527 at December 31, 2015</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1,777,973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1,776,473</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3,168,077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3,165,499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3,168,077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3,165,499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Mortgage Notes due 2020</w:t>
      </w:r>
    </w:p>
    <w:p>
      <w:pPr>
        <w:spacing w:after="0" w:line="225" w:lineRule="exact"/>
        <w:rPr>
          <w:sz w:val="20"/>
          <w:szCs w:val="20"/>
          <w:color w:val="auto"/>
        </w:rPr>
      </w:pPr>
    </w:p>
    <w:p>
      <w:pPr>
        <w:ind w:right="20" w:firstLine="392"/>
        <w:spacing w:after="0" w:line="255" w:lineRule="auto"/>
        <w:rPr>
          <w:sz w:val="20"/>
          <w:szCs w:val="20"/>
          <w:color w:val="auto"/>
        </w:rPr>
      </w:pPr>
      <w:r>
        <w:rPr>
          <w:rFonts w:ascii="Arial" w:cs="Arial" w:eastAsia="Arial" w:hAnsi="Arial"/>
          <w:sz w:val="18"/>
          <w:szCs w:val="18"/>
          <w:color w:val="auto"/>
        </w:rPr>
        <w:t>On February 10, 2015, the Issuers commenced a cash tender offer for any and all of the outstanding aggregate principal amounts of the 7 7/8% First Mortgage Notes due May 1, 2020 and the 7 3/4% First Mortgage Notes due August 15, 2020 (the "2020 Notes"). The premium portion of the aggregate total consideration was $101.2 million and was recorded as a loss on extinguishment of debt in the accompanying Condensed Consolidated Statements of Comprehensive Income (Loss). In connection with the cash tender, the Company expensed $17.3 million of unamortized deferred financing costs and original issue discount related to the 2020 Notes and incurred other fees of $0.1 million that are included in loss on extinguishment of debt in the accompanying Condensed Consolidated Statements of Comprehensive Income (Loss).</w:t>
      </w:r>
    </w:p>
    <w:p>
      <w:pPr>
        <w:spacing w:after="0" w:line="193" w:lineRule="exact"/>
        <w:rPr>
          <w:sz w:val="20"/>
          <w:szCs w:val="20"/>
          <w:color w:val="auto"/>
        </w:rPr>
      </w:pPr>
    </w:p>
    <w:p>
      <w:pPr>
        <w:ind w:right="400" w:firstLine="392"/>
        <w:spacing w:after="0" w:line="259" w:lineRule="auto"/>
        <w:rPr>
          <w:sz w:val="20"/>
          <w:szCs w:val="20"/>
          <w:color w:val="auto"/>
        </w:rPr>
      </w:pPr>
      <w:r>
        <w:rPr>
          <w:rFonts w:ascii="Arial" w:cs="Arial" w:eastAsia="Arial" w:hAnsi="Arial"/>
          <w:sz w:val="18"/>
          <w:szCs w:val="18"/>
          <w:color w:val="auto"/>
        </w:rPr>
        <w:t>On May 1, 2015, the Company redeemed the remaining $71.1 million principal amount of the untendered 7 7/8% First Mortgage Notes due May 1, 2020. The Company recorded a loss for the premium portion of the consideration of $2.8 million and expensed $1.0 million of unamortized deferred financing costs and original discount that are included in loss on extinguishment of debt in the accompanying Condensed Consolidated Statements of Comprehensive Income (Loss).</w:t>
      </w:r>
    </w:p>
    <w:p>
      <w:pPr>
        <w:spacing w:after="0" w:line="187" w:lineRule="exact"/>
        <w:rPr>
          <w:sz w:val="20"/>
          <w:szCs w:val="20"/>
          <w:color w:val="auto"/>
        </w:rPr>
      </w:pPr>
    </w:p>
    <w:p>
      <w:pPr>
        <w:ind w:right="120" w:firstLine="392"/>
        <w:spacing w:after="0" w:line="312" w:lineRule="auto"/>
        <w:rPr>
          <w:sz w:val="20"/>
          <w:szCs w:val="20"/>
          <w:color w:val="auto"/>
        </w:rPr>
      </w:pPr>
      <w:r>
        <w:rPr>
          <w:rFonts w:ascii="Arial" w:cs="Arial" w:eastAsia="Arial" w:hAnsi="Arial"/>
          <w:sz w:val="16"/>
          <w:szCs w:val="16"/>
          <w:color w:val="auto"/>
        </w:rPr>
        <w:t>On August 15, 2015, the Company redeemed the remaining $80.1 million principal amount of the untendered 7 3/4% First Mortgage Notes due August 15, 2020. The Company recorded a loss for the premium portion of the consideration of $3.1 million and expensed $0.8 million of unamortized deferred financing costs that are included in loss on extinguishment of debt in the accompanying Consolidated Statements of Comprehensive Income (Loss).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2016, management believes the Company was in compliance with all debt covenants.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18" w:right="239" w:bottom="1440" w:gutter="0" w:footer="0" w:header="0"/>
          <w:type w:val="continuous"/>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 Term Debt</w:t>
      </w:r>
    </w:p>
    <w:p>
      <w:pPr>
        <w:spacing w:after="0" w:line="225"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The estimated fair value of the Company's long-term debt as of September 30, 2016 and December 31, 2015 was $3.22 billion and $2.93 billion, respectively, compared to its carrying value, excluding debt issuance costs, of $3.20 billion. The estimated fair value of the Company's long-term debt is based on recent trades, if available, and indicative pricing from market information (Level 2 inputs).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to Affiliates, net</w:t>
      </w:r>
    </w:p>
    <w:p>
      <w:pPr>
        <w:spacing w:after="0" w:line="225"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The Company periodically settles net amounts due to affiliates with cash payments. Amounts are primarily comprised of management and license fees, construction related payables and corporate allocations. As of September 30, 2016 and December 31, 2015, the Company's net current due to affiliates were $2.3 million and $7.3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 and corporate allocations</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In February 2015, the Company entered into a new corporate support services agreement with Wynn Resorts and terminated the prior agreement. Wynn Resorts provides the Company legal, accounting, human resources, information services, real estate, and other corporate support services. Under the agreement,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and aircraft operated by Wynn Resorts are available for use by the Company. In addition, the Company pays a management fee of 1.5% of net revenues. For the three months ended September 30, 2016 and 2015, $9.8 million and $10.6 million, respectively, were charged to the Company under the corporate support services agreement. For the nine months ended September 30, 2016 and 2015, $29.2 million and $32.2 million, respectively, were charged to the Company under the corporate support services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Under an agreement with Wynn Resorts and a wholly owned subsidiary of Wynn Resorts, the Company licenses certain intellectual property, including certain trademarks, domain names, copyrights and service marks in connection with a variety of goods and services. The Company currently has two agreements in effect. Under the agreement, dated December 14, 2004 ("2004 IP Agreement"), which relates to intellectual property existing on or before December 14, 2004, the Company is not charged a licensing fee. Under the agreement, dated February 26, 2015, which relates to intellectual property existing after December 14, 2004, the monthly license fee payable is 1.5% of gross monthly revenues until the 2004 IP Agreement is terminated and 3% of gross monthly revenues once the 2004 IP Agreement is terminated. For the three months ended September 30, 2016 and 2015, $7.0 million and $6.8 million, respectively, of licensing fees were charged to the Company. For the nine months ended September 30, 2016 and 2015, $20.4 million and $16.1 million, respectively, of licensing fees were charged to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to Officers</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Company periodically provides services to Stephen A. Wynn, Chairman of the Board of Directors and Chief Executive Officer of Wynn Resorts ("Mr. Wynn"), and certain other executive officers and directors of Wynn Resorts, including the personal use of employees, construction work and other personal services, for which the officers and directors reimburse the Company. The cost of these services is transferred to Wynn Resorts on a periodic basis. Mr. Wynn and these other officers and directors have amounts on deposit with Wynn Resorts to prepay any such items, which are replenished on an ongoing basis as needed.</w:t>
      </w:r>
    </w:p>
    <w:p>
      <w:pPr>
        <w:spacing w:after="0" w:line="200" w:lineRule="exact"/>
        <w:rPr>
          <w:sz w:val="20"/>
          <w:szCs w:val="20"/>
          <w:color w:val="auto"/>
        </w:rPr>
      </w:pPr>
    </w:p>
    <w:p>
      <w:pPr>
        <w:spacing w:after="0" w:line="3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18" w:right="2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or cash flows.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On February 18, 2012, Wynn Resorts' Gaming Compliance Committee received an independent report by Freeh, Sporkin &amp; Sullivan, LLP (the "Freeh Report") detailing a pattern of misconduct by Aruze USA, Inc. ("Aruze") (at the time a stockholder of Wynn Resorts), Universal Entertainment Corporation (Aruze's parent company), and Kazuo Okada (the majority shareholder of Universal Entertainment Corporation and a former member of the Board of Directors of Wynn Resorts and Wynn Macau, Limited) (collectively,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Wynn Resorts' directors, Mr. Okada refused to acknowledge or abide by Wynn Resorts' anti-bribery policies and refused to participate in the training all other directors received concerning these policies.</w:t>
      </w:r>
    </w:p>
    <w:p>
      <w:pPr>
        <w:spacing w:after="0" w:line="179"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Based on the Freeh Report, the Board of Directors of Wynn Resorts determined that the Okada Parties are "unsuitable persons" under Article VII of Wynn Resorts' articles of incorporation. The Board of Directors was unanimous (other than Mr. Okada) in its determination. After authorizing the redemption of Aruze's shares, as discussed below, the Board of Directors took certain actions to protect Wynn Resorts and its operations from any influence of an unsuitable person, including placing limitations on the provision of certain operating information to unsuitable persons and formation of an Executive Committee of the Board to manage the business and affairs of Wynn Resorts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Capital. On February 24, 2012, Mr. Okada was removed from the Board of Directors of Wynn Macau, Limited and on February 22, 2013, he was removed from the Board of Directors of Wynn Resorts by a stockholder vote in which 99.6% of the over 86 million shares voted were cast in favor of removal. Mr. Okada resigned from the Board of Directors of Wynn Resorts on February 21, 2013. Although Wynn Resorts has retained the structure of the Executive Committee, the Board has resumed its past role in managing the business and affairs of Wynn Resorts.</w:t>
      </w:r>
    </w:p>
    <w:p>
      <w:pPr>
        <w:spacing w:after="0" w:line="188"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Wynn Resorts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 2% per annum, payable annually in arrears on each anniversary of the date of the Redemption Note. Wynn Resorts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8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Wynn Resorts provided the Freeh Report to appropriate regulators and law enforcement agencies and has been cooperating with related investigations that such regulators and agencies have undertaken. The conduct of the Okada Parties</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Wynn Resorts property and/or otherwise involved Wynn Resorts in criminal or civil violations could result in actions by regulatory authorities against Wynn Resorts and its subsidiaries.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Redemption Action and Counterclaim</w:t>
      </w:r>
    </w:p>
    <w:p>
      <w:pPr>
        <w:spacing w:after="0" w:line="225" w:lineRule="exact"/>
        <w:rPr>
          <w:sz w:val="20"/>
          <w:szCs w:val="20"/>
          <w:color w:val="auto"/>
        </w:rPr>
      </w:pPr>
    </w:p>
    <w:p>
      <w:pPr>
        <w:ind w:right="400" w:firstLine="432"/>
        <w:spacing w:after="0" w:line="279" w:lineRule="auto"/>
        <w:rPr>
          <w:sz w:val="20"/>
          <w:szCs w:val="20"/>
          <w:color w:val="auto"/>
        </w:rPr>
      </w:pPr>
      <w:r>
        <w:rPr>
          <w:rFonts w:ascii="Arial" w:cs="Arial" w:eastAsia="Arial" w:hAnsi="Arial"/>
          <w:sz w:val="17"/>
          <w:szCs w:val="17"/>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Wynn Resorts is seeking compensatory and special damages as well as a declaration that it acted lawfully and in full compliance with its articles of incorporation, bylaws and other governing documents in redeeming and canceling the shares of Aruze.</w:t>
      </w:r>
    </w:p>
    <w:p>
      <w:pPr>
        <w:spacing w:after="0" w:line="171"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Wynn Resorts, each of the members of Wynn Resorts'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Mr.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Mr. Wynn, and Elaine Wynn (the "Stockholders Agreement").</w:t>
      </w:r>
    </w:p>
    <w:p>
      <w:pPr>
        <w:spacing w:after="0" w:line="169"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On June 19, 2012, Elaine Wynn asserted a cross claim against Mr.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On March 28, 2016, Elaine Wynn filed an amended cross claim which added Wynn Resorts and Wynn Resorts' General Counsel (together with Mr. Wynn, the "Wynn Cross Defendants") as cross defendants. The amended cross claim substantially repeats its earlier allegations and further alleges that Mr. Wynn engaged in acts of misconduct that, with the Wynn Cross Defendants, resulted in Mr. Wynn allegedly breaching the Stockholders Agreement and violating alleged duties under the Stockholders Agreement by preventing Elaine Wynn from being nominated and elected to serve as one of Wynn Resorts' directors. In addition to continuing to seek the declarations asserted under the original cross claim, the amended cross claim seeks an order compelling Mr. Wynn to comply with the Stockholders Agreement by assuring the nomination and election of Elaine Wynn to the Board of Directors and seeks unspecified monetary damages from Mr. Wynn and the Wynn Cross Defendants. The Wynn Cross Defendants filed motions to dismiss and a motion to sever in April 2016 and will vigorously defend against the claims asserted against them. On May 5, 2016, the court granted Wynn Resorts' and Wynn Resorts' General Counsel's motions to dismiss and denied Mr. Wynn's motion to dismiss. On May 26, 2016, the court denied the Wynn Cross Defendants' motion to sever. Mr. Wynn is continuing to oppose Elaine Wynn's cross claim.</w:t>
      </w:r>
    </w:p>
    <w:p>
      <w:pPr>
        <w:spacing w:after="0" w:line="188"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The indenture for Wynn Las Vegas, LLC's 4 1/4% Senior Notes due 2023 (the "2023 Indenture") provides that if Mr. Wynn, together with certain related parties, in the aggregate beneficially owns a lesser percentage of the voting power of the outstanding common stock of Wynn Resorts than is beneficially owned by any other person, a change of control will have occurred. The indenture for Wynn Las Vegas, LLC's 5 1/2% Senior Notes due 2025 (the "2025 Indenture") provides that if any event constitutes a "change of control" under the 2023 Indenture, it will constitute a change of control under the 2025 Indenture. If the Stockholders Agreement is determined not to be enforceable pursuant to Elaine Wynn's cross claim, Mr. Wynn would not beneficially own or control Elaine Wynn's shares, which could increase the likelihood that a change in control may occur under the Wynn Las Vegas debt documents. Under the 2023 Indenture and the 2025 Indenture, if (1) a change of control occurs and (2) at any time within 60 days after that occurrence, the 4 1/4% Senior Notes due 2023 or the 5 1/2% Senior Notes</w:t>
      </w:r>
    </w:p>
    <w:p>
      <w:pPr>
        <w:spacing w:after="0" w:line="3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due 2025, as applicable, are rated below investment grade by both rating agencies that rate such notes, Wynn Resorts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w:t>
      </w:r>
    </w:p>
    <w:p>
      <w:pPr>
        <w:spacing w:after="0" w:line="147"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Wynn Resorts'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Wynn Resorts executives but otherwise denied the motion. At a hearing held on January 15, 2013, the court denied the Okada Parties' motion to dismiss Wynn Resorts' Complaint. On April 22, 2013, Wynn Resorts filed a second amended complaint. On August 30, 2013, the Okada Parties filed their third amended Counterclaim. On September 18, 2013, Wynn Resorts filed a Partial Motion to Dismiss related to a claim in the third amended Counterclaim alleging civil extortion by Mr. Wynn and Wynn Resorts' General Counsel. On October 29, 2013, the court granted the motion and dismissed the claim. On November 26, 2013, the Okada Parties filed their fourth amended Counterclaim, and Wynn Resorts filed an answer to that pleading on December 16, 2013. On September 16, 2014, Aruze filed a motion for partial summary judgment related to its counterclaim alleging Wynn Resorts' directors violated the terms of the Articles by failing to pay Aruze fair value for the redeemed shares. At a hearing held on October 21, 2014, the court denied Aruze's motion. On October 10, 2014, the Okada Parties filed a motion for partial judgment on the pleadings principally to seek dismissal of certain breach of fiduciary claims against Mr. Okada included in Wynn Resorts' Complaint. On November 13, 2014, the court denied the motion.</w:t>
      </w:r>
    </w:p>
    <w:p>
      <w:pPr>
        <w:spacing w:after="0" w:line="18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On each of February 14, 2013 and February 13, 2014, Wynn Resorts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Wynn Resorts for reissue in the same amounts, payable to the clerk of the court for deposit into the clerk's trust account. Pursuant to the stipulation, on March 20, 2014, Wynn Resorts delivered to the clerk of the court the reissued checks that were deposited into the clerk's trust account and filed a notice with the court with respect to the same. On each of February 13, 2015 and February 12, 2016, Wynn Resorts issued a check for the interest payment due at those times to the clerk of the court for deposit into the clerk's trust account.</w:t>
      </w:r>
    </w:p>
    <w:p>
      <w:pPr>
        <w:spacing w:after="0" w:line="167"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Wynn Resorts'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w:t>
      </w:r>
    </w:p>
    <w:p>
      <w:pPr>
        <w:spacing w:after="0" w:line="169"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In May 2016, Wynn Resorts filed a motion to disqualify one of Ms. Wynn's law firms and sought an injunction related to Ms. Wynn providing her attorneys with confidential and privileged information that belongs to Wynn Resorts. On June 23, 2016, the court stayed discovery as to both Ms. Wynn and the Okada Parties, pending an evidentiary hearing to be set by the court. New discovery deadlines and trial-related dates will be set after the stay is lifted. Wynn Resorts will continue to vigorously pursue its claims against the Okada Parties, and Wynn Resorts and the Wynn Parties will continue to vigorously</w:t>
      </w:r>
    </w:p>
    <w:p>
      <w:pPr>
        <w:spacing w:after="0" w:line="3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defend against the counterclaims asserted against them.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Wynn Resorts' financial condition.</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 Commenced by Kazuo Okada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Japan Action:</w:t>
      </w:r>
    </w:p>
    <w:p>
      <w:pPr>
        <w:spacing w:after="0" w:line="22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August 28, 2012, Mr. Okada, Universal Entertainment Corporation and Okada Holdings ("Okada Japan Parties") filed a complaint in Tokyo District Court against the Wynn Parties, alleging that the press release issued by Wynn Resorts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June 11, 2014, the Tokyo High Court ruled in favor of the Wynn Parties and upheld the motion for dismissal. On June 25, 2014, the Okada Japan Parties filed a notice of appeal to the Supreme Court of Japan. The Supreme Court of Japan dismissed the appeal as to all of the individuals (including Wynn Resorts directors) in February 2016 and as to Wynn Resorts in March 2016, thus upholding the motion for dismissal of the Okada Japan Parties' defamation action against the Wynn Parties.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Indemnification Action:</w:t>
      </w:r>
    </w:p>
    <w:p>
      <w:pPr>
        <w:spacing w:after="0" w:line="225" w:lineRule="exact"/>
        <w:rPr>
          <w:sz w:val="20"/>
          <w:szCs w:val="20"/>
          <w:color w:val="auto"/>
        </w:rPr>
      </w:pPr>
    </w:p>
    <w:p>
      <w:pPr>
        <w:ind w:right="20" w:firstLine="432"/>
        <w:spacing w:after="0" w:line="284" w:lineRule="auto"/>
        <w:rPr>
          <w:sz w:val="20"/>
          <w:szCs w:val="20"/>
          <w:color w:val="auto"/>
        </w:rPr>
      </w:pPr>
      <w:r>
        <w:rPr>
          <w:rFonts w:ascii="Arial" w:cs="Arial" w:eastAsia="Arial" w:hAnsi="Arial"/>
          <w:sz w:val="16"/>
          <w:szCs w:val="16"/>
          <w:color w:val="auto"/>
        </w:rPr>
        <w:t>On March 20, 2013, Mr. Okada filed a complaint against Wynn Resorts in Nevada state court for indemnification under Wynn Resorts' Articles, bylaws and agreements with its directors. The complaint sought advancement of Mr. Okada's costs and expenses (including attorney's fees) incurred pursuant to the various legal proceedings and related regulatory investigations described above. Wynn Resorts' answer and counterclaim was filed on April 15, 2013. The counterclaim named each of the Okada Parties as defendants and sought indemnification under Wynn Resorts'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Wynn Resorts; (2) reserved Mr. Okada's right to assert, in the future, any claims for indemnity following the resolution of the Redemption Action; and</w:t>
      </w:r>
    </w:p>
    <w:p>
      <w:pPr>
        <w:spacing w:after="0" w:line="3" w:lineRule="exact"/>
        <w:rPr>
          <w:sz w:val="20"/>
          <w:szCs w:val="20"/>
          <w:color w:val="auto"/>
        </w:rPr>
      </w:pPr>
    </w:p>
    <w:p>
      <w:pPr>
        <w:ind w:left="420" w:right="3020" w:hanging="412"/>
        <w:spacing w:after="0" w:line="492"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stayed the claims asserted by Wynn Resorts against Mr. Okada pending the resolution of the Redemption Action. </w:t>
      </w:r>
      <w:r>
        <w:rPr>
          <w:rFonts w:ascii="Arial" w:cs="Arial" w:eastAsia="Arial" w:hAnsi="Arial"/>
          <w:sz w:val="18"/>
          <w:szCs w:val="18"/>
          <w:u w:val="single" w:color="auto"/>
          <w:color w:val="auto"/>
        </w:rPr>
        <w:t>Macau Action:</w:t>
      </w:r>
    </w:p>
    <w:p>
      <w:pPr>
        <w:spacing w:after="0" w:line="1"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On July 3, 2015, Wynn Macau, Limited announced that the Okada Parties filed a complaint in the Court of First Instance of Macau ("Macau Court") against Wynn Macau SA and certain individuals who are or were directors of Wynn Macau SA and or Wynn Macau, Limited (collectively, the "Wynn Macau Parties"). The principal allegations in the lawsuit are that the redemption of the Okada Parties' shares in Wynn Resorts was improper and undervalued, that the previously disclosed payment by Wynn Macau SA to an unrelated third party in consideration of relinquishment by that party of certain rights in and to any future development on the land in Cotai where Wynn Palace is located was unlawful and that the previously disclosed donation by Wynn Resorts to the University of Macau Development Foundation was unlawful. The plaintiffs seek dissolution of Wynn Macau SA and compensatory damages. The Okada Parties recently released one of the defendants from the lawsuit. The Macau Court has served the complaint on all of the remaining defendants and the Wynn Macau Parties filed their response on May 17, 2016.</w:t>
      </w:r>
    </w:p>
    <w:p>
      <w:pPr>
        <w:spacing w:after="0" w:line="179"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Wynn Resorts believes these actions commenced by Okada Parties discussed above are without merit and will vigorously defend the Wynn Macau Parties against them. Management has determined that based on proceedings to date, it is currently unable to determine the probability of the outcome of these actions or the range of reasonably possible loss, if any.</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Related Investigations and Derivative Litigation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Investigations:</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 the U.S. Department of Justice's Motion to Intervene and for Temporary and Partial Stay of Discovery in the Redemption Action, the Department of Justice states in a footnote that the government also has been conducting a criminal investigation into Wynn Resorts' previously disclosed donation to the University of Macau Development Foundation. Wynn Resorts has not received any target letter or subpoena in connection with such an investigation. Wynn Resorts intends to cooperate fully with the government in response to any inquiry related to the donation to the University of Macau Development Foundation.</w:t>
      </w:r>
    </w:p>
    <w:p>
      <w:pPr>
        <w:spacing w:after="0" w:line="188"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Other regulators may pursue separate investigations into Wynn Resorts' compliance with applicable laws arising from the allegations in the matters described above and in response to the Counterclaim and other litigation filed by Mr. Okada suggesting improprieties in connection with Wynn Resorts' donation to the University of Macau Development Foundation. While Wynn Resorts believes that it is in full compliance with all applicable laws, any such investigations could result in actions by regulators against Wynn Resorts. Prior investigations by the Nevada Gaming Control Board and SEC were closed with no actions taken.</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Derivative Claims:</w:t>
      </w:r>
    </w:p>
    <w:p>
      <w:pPr>
        <w:spacing w:after="0" w:line="22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Six derivative actions were commenced against Wynn Resorts and all members of its Board of Directors: four in the United States District Court, District of Nevada, and two in the Eighth Judicial District Court of Clark County, Nevada.</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46" w:lineRule="exact"/>
        <w:rPr>
          <w:sz w:val="20"/>
          <w:szCs w:val="20"/>
          <w:color w:val="auto"/>
        </w:rPr>
      </w:pPr>
    </w:p>
    <w:p>
      <w:pPr>
        <w:ind w:firstLine="8"/>
        <w:spacing w:after="0" w:line="285"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injunctive relief; and (4) unjust enrichment. The claims were against Wynn Resorts and all of Wynn Resorts'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Wynn Resorts' officers and directors complied with federal and state laws and Wynn Resorts' Code of Conduct; (b) voting to allow Wynn Resorts' subsidiary to make the donation to the University of Macau Development Foundation; and (c) redeeming Aruze's stock such that Wynn Resorts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Wynn Resorts and the directors filed their motion to dismiss the amended complaint on May 23, 2013. On March 13, 2014, the federal court granted the motion to dismiss and entered judgment in favor of Wynn Resorts and directors and against the Federal Plaintiffs without prejudice. On April 10, 2014, the Federal Plaintiffs filed a notice of appeal to the United States Court of Appeals for the Ninth Circuit. On July 18, 2016, the Ninth Circuit affirmed the federal court's dismissal.</w:t>
      </w:r>
    </w:p>
    <w:p>
      <w:pPr>
        <w:spacing w:after="0" w:line="171"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The two state court actions brought by the following plaintiffs also have been consolidated: (1) IBEW Local 98 Pension Fund and (2) Danny Hinson (collectively, the "State Plaintiffs"). Through a coordination of efforts by all parties, the directors and Wynn Resorts (a nominal defendant) have been served in all of the actions. The State Plaintiffs filed a consolidated complaint on July 20, 2012 asserting claims for (1) breach of fiduciary duty; (2) abuse of control;</w:t>
      </w:r>
    </w:p>
    <w:p>
      <w:pPr>
        <w:ind w:firstLine="8"/>
        <w:spacing w:after="0" w:line="253"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mismanagement; and (4) unjust enrichment. The claims are against Wynn Resorts and all of Wynn Resorts' directors during the applicable period, including Mr. Okada, as well as Wynn Resorts' Chief Financial Officer who signed financial disclosures filed with the SEC during the applicable periods. The State Plaintiffs claim that the individual defendants failed to disclose to Wynn Resorts' stockholders the investigation into, and the dispute with director Okada as well as the alleged potential violations of the FCPA related to, the University of Macau Development Foundation donation. The State Plaintiffs seek unspecified monetary damages</w:t>
      </w: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(compensatory and punitive), disgorgement, reformation of corporate governance procedures, an order directing Wynn Resorts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were not required to respond to the consolidated complaint while the stay remained in effect. Following the expiration of the stay, the State Plaintiffs advised Wynn Resorts and the individual defendants that they intended to resume the action by filing an amended complaint, which they did, on April 26, 2013. Wynn Resorts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83"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The individual defendants are vigorously defending against the claims pleaded against them. Management has determined that based on proceedings to date, it is currently unable to determine the probability of the outcome of these actions or the range of reasonably possible loss, if 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in conjunction with our condensed consolidated financial statements and related notes included elsewhere in this Form 10-Q and our consolidated financial statements appearing in our annual report on Form 10-K for the year ended December 31, 2015. Unless the context otherwise requires, all references herein to the "Company," "we," "us," or "our," or similar terms, refer to Wynn Las Vegas, LLC, a Nevada limited liability company and its consolidated subsidiaries. This discussion and analysis contains forward-looking statements. Please refer to the section below entitled "Special Note Regarding Forward-Looking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We are a developer, owner and operator of destination casino resorts (integrated resorts). We currently own and operate Wynn Las Vegas | Encore ("Wynn Las Vegas"), an integrated destination casino resort in Las Vegas, Nevada. Wynn Las Vegas | Encore is located at the intersection of the Las Vegas Strip and Sands Avenue and occupies approximately 215 acres of land fronting the Las Vegas Strip. We own approximately 18 acres across Sands Avenue, a portion of which is utilized for employee parking and an office building. We also utilize approximately five acres adjacent to the golf course on which an office building is located. We lease approximately 140 acres where the golf course is located, along with related water rights, from Wynn Resorts.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Las Vegas | Encore features the following as of October 15, 2016:</w:t>
      </w:r>
    </w:p>
    <w:p>
      <w:pPr>
        <w:spacing w:after="0" w:line="279" w:lineRule="exact"/>
        <w:rPr>
          <w:sz w:val="20"/>
          <w:szCs w:val="20"/>
          <w:color w:val="auto"/>
        </w:rPr>
      </w:pPr>
    </w:p>
    <w:p>
      <w:pPr>
        <w:ind w:left="900" w:right="42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194,000 square feet of casino space, offering 24-hour gaming and a full range of games with 235 table games and 1,901 slot machines, private gaming salons, a sky casino, a poker room, and a race and sports book;</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Two luxury hotel towers with a total of 4,748 guest rooms, suites and villas;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33 food and beverage outlets;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99,000 square feet of high-end, brand-name retail shopping;</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290,000 square feet of meeting and convention space;</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117"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specially designed theater presenting "Le Rêve-The Dream," a water-based theatrical production and a theater presenting "Steve Wynn's ShowStoppers," a Broadway-style entertainment production; and</w:t>
      </w:r>
    </w:p>
    <w:p>
      <w:pPr>
        <w:spacing w:after="0" w:line="62"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Recreation and leisure facilities, including an 18-hole golf course, swimming pools, private cabanas, two full service spas and salons, and a wedding chapel.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18" w:right="27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Construction and Future Development</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response to our evaluation of our property and our commitment to creating a unique customer experience, we have made and expect to continue to make enhancements and refinements to this resort. In October 2015, we closed the Ferrari and Maserati automobile dealership inside Wynn Las Vegas. We are in the process of replacing the dealership and adjacent space with more than 75,000 square feet of additional high-end, brand-name retail space, which we expect to open in the fourth quarter of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Certain key operating measures specific to the gaming industry are included in our discussion of our operational performance for the periods for which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Condensed Consolidated Statements of Comprehensive Income (Loss) are presented. Below are definitions of these key operating measures discussed:</w:t>
      </w:r>
    </w:p>
    <w:p>
      <w:pPr>
        <w:spacing w:after="0" w:line="315"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Table 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Table games win is the amount of table drop that is retained and recorded as casino revenues.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us and is recorded as casino revenues.</w:t>
      </w:r>
    </w:p>
    <w:p>
      <w:pPr>
        <w:spacing w:after="0" w:line="9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the retail value of promotional allowances (less service charges, if any), by total rooms occupied, including complimentary rooms.</w:t>
      </w:r>
    </w:p>
    <w:p>
      <w:pPr>
        <w:spacing w:after="0" w:line="3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the retail value of promotional allowances (less service charges, if any), by total rooms available.</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Summary third quarter 2016 results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560" w:type="dxa"/>
            <w:vAlign w:val="bottom"/>
            <w:vMerge w:val="restart"/>
          </w:tcPr>
          <w:p>
            <w:pPr>
              <w:spacing w:after="0"/>
              <w:rPr>
                <w:sz w:val="20"/>
                <w:szCs w:val="20"/>
                <w:color w:val="auto"/>
              </w:rPr>
            </w:pPr>
            <w:r>
              <w:rPr>
                <w:rFonts w:ascii="Arial" w:cs="Arial" w:eastAsia="Arial" w:hAnsi="Arial"/>
                <w:sz w:val="18"/>
                <w:szCs w:val="18"/>
                <w:color w:val="auto"/>
                <w:w w:val="89"/>
              </w:rPr>
              <w:t>(dollars in thousands)</w:t>
            </w:r>
          </w:p>
        </w:tc>
        <w:tc>
          <w:tcPr>
            <w:tcW w:w="19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220"/>
              <w:spacing w:after="0" w:line="139" w:lineRule="exact"/>
              <w:rPr>
                <w:sz w:val="20"/>
                <w:szCs w:val="20"/>
                <w:color w:val="auto"/>
              </w:rPr>
            </w:pPr>
            <w:r>
              <w:rPr>
                <w:rFonts w:ascii="Arial" w:cs="Arial" w:eastAsia="Arial" w:hAnsi="Arial"/>
                <w:sz w:val="14"/>
                <w:szCs w:val="14"/>
                <w:b w:val="1"/>
                <w:bCs w:val="1"/>
                <w:color w:val="auto"/>
              </w:rPr>
              <w:t>Percent</w:t>
            </w: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137"/>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560" w:type="dxa"/>
            <w:vAlign w:val="bottom"/>
            <w:tcBorders>
              <w:bottom w:val="single" w:sz="8" w:color="auto"/>
            </w:tcBorders>
            <w:vMerge w:val="continue"/>
          </w:tcPr>
          <w:p>
            <w:pPr>
              <w:spacing w:after="0"/>
              <w:rPr>
                <w:sz w:val="11"/>
                <w:szCs w:val="11"/>
                <w:color w:val="auto"/>
              </w:rPr>
            </w:pPr>
          </w:p>
        </w:tc>
        <w:tc>
          <w:tcPr>
            <w:tcW w:w="1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ind w:right="477"/>
              <w:spacing w:after="0" w:line="12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474"/>
              <w:spacing w:after="0" w:line="12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c>
          <w:tcPr>
            <w:tcW w:w="1020" w:type="dxa"/>
            <w:vAlign w:val="bottom"/>
            <w:gridSpan w:val="2"/>
          </w:tcPr>
          <w:p>
            <w:pPr>
              <w:ind w:left="220"/>
              <w:spacing w:after="0" w:line="125"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1"/>
                <w:szCs w:val="11"/>
                <w:color w:val="auto"/>
              </w:rPr>
            </w:pPr>
          </w:p>
        </w:tc>
        <w:tc>
          <w:tcPr>
            <w:tcW w:w="1140" w:type="dxa"/>
            <w:vAlign w:val="bottom"/>
          </w:tcPr>
          <w:p>
            <w:pPr>
              <w:jc w:val="right"/>
              <w:ind w:right="457"/>
              <w:spacing w:after="0" w:line="12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54"/>
              <w:spacing w:after="0" w:line="12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1"/>
                <w:szCs w:val="11"/>
                <w:color w:val="auto"/>
              </w:rPr>
            </w:pPr>
          </w:p>
        </w:tc>
        <w:tc>
          <w:tcPr>
            <w:tcW w:w="900" w:type="dxa"/>
            <w:vAlign w:val="bottom"/>
          </w:tcPr>
          <w:p>
            <w:pPr>
              <w:jc w:val="right"/>
              <w:ind w:right="137"/>
              <w:spacing w:after="0" w:line="12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427,103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411,160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1,235,587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1,221,626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4,037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4,989</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9,407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(104,456)</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128,879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117,069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360,193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349,783</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firstLine="432"/>
        <w:spacing w:after="0" w:line="259" w:lineRule="auto"/>
        <w:rPr>
          <w:sz w:val="20"/>
          <w:szCs w:val="20"/>
          <w:color w:val="auto"/>
        </w:rPr>
      </w:pPr>
      <w:r>
        <w:rPr>
          <w:rFonts w:ascii="Arial" w:cs="Arial" w:eastAsia="Arial" w:hAnsi="Arial"/>
          <w:sz w:val="18"/>
          <w:szCs w:val="18"/>
          <w:color w:val="auto"/>
        </w:rPr>
        <w:t>Our net income was relatively flat for the three months ended September 30, 2016 when compared to the same period of 2015, due to a $15.3 million exit fee incurred for the right to procure energy from the wholesale energy markets instead of from the local public electricity utility, which offset our room revenue performance. Adjusted Property EBITDA increased 10.1%, or $11.8 million, for the three months ended September 30, 2016 when compared to the same period of 2015, largely due to the 9.1% year-over-year increase in room revenues.</w:t>
      </w:r>
    </w:p>
    <w:p>
      <w:pPr>
        <w:spacing w:after="0" w:line="18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During the nine months ended September 30, 2016, net income was $9.4 million, compared to a net loss of $104.5 million for the same period of 2015. During the nine months ended September 30, 2015, we experienced a net loss primarily due to $126.3 million in losses from the extinguishment of debt related to the purchase of the 7 7/8% First Mortgage Notes due May 1, 2020 (the "7 7/8% 2020 Notes") and the 7 3/4% First Mortgage Notes due August 15, 2020 (the "7 3/4% 2020 Notes" and together with the 7 7/8% 2020 Notes, the "2020 Notes") pursuant to a cash tender offer and subsequent redemption of the untendered 2020 Notes.</w:t>
      </w:r>
    </w:p>
    <w:p>
      <w:pPr>
        <w:spacing w:after="0" w:line="18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our resort. We currently rely solely upon the operations of Wynn Las Vegas for our operating cash flow. Concentration of our cash flows from Wynn Las Vegas exposes us to certain risks that competitors, whose operations are more diversified, may be better able to control. In addition to the concentration of operations in Wynn Las Vegas, many of our customers are premium</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9"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gaming customers who wager on credit, thus exposing us to increased credit risk. High-end gaming also increases the potential for variability in our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September 30, 2016 compared to the three months ended September 30, 2015.</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Non-casino revenues consist of operating revenues from rooms, food and beverage, entertainment, retail and other, less promotional allowances. The following table presents net revenues from our casino and non-casino revenues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w w:val="99"/>
              </w:rPr>
              <w:t>Three Months Ended September 30,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restart"/>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1020" w:type="dxa"/>
            <w:vAlign w:val="bottom"/>
          </w:tcPr>
          <w:p>
            <w:pPr>
              <w:jc w:val="right"/>
              <w:ind w:right="20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153,166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152,149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273,937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259,011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7"/>
        </w:trPr>
        <w:tc>
          <w:tcPr>
            <w:tcW w:w="72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427,103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411,160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432"/>
        <w:spacing w:after="0" w:line="308" w:lineRule="auto"/>
        <w:rPr>
          <w:sz w:val="20"/>
          <w:szCs w:val="20"/>
          <w:color w:val="auto"/>
        </w:rPr>
      </w:pPr>
      <w:r>
        <w:rPr>
          <w:rFonts w:ascii="Arial" w:cs="Arial" w:eastAsia="Arial" w:hAnsi="Arial"/>
          <w:sz w:val="17"/>
          <w:szCs w:val="17"/>
          <w:color w:val="auto"/>
        </w:rPr>
        <w:t>Casino revenues were 35.9% of total net revenues for the three months ended September 30, 2016, compared to 37.0% of total net revenues for the same period of 2015, while non-casino revenues were 64.1% of total revenues, compared to 63.0% for the same period of 2015.</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Casino revenues were relatively flat with $153.2 million for the three months ended September 30, 2016, compared to $152.1 million for the same period of 2015.</w:t>
      </w:r>
    </w:p>
    <w:p>
      <w:pPr>
        <w:spacing w:after="0" w:line="17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related to our operations (dollars in thousands, except for win per unit per day):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vMerge w:val="restart"/>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Increase/(Decrease)</w:t>
            </w:r>
          </w:p>
        </w:tc>
        <w:tc>
          <w:tcPr>
            <w:tcW w:w="1480" w:type="dxa"/>
            <w:vAlign w:val="bottom"/>
          </w:tcPr>
          <w:p>
            <w:pPr>
              <w:jc w:val="right"/>
              <w:ind w:right="41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80" w:type="dxa"/>
            <w:vAlign w:val="bottom"/>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casino revenues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153,166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152,149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Average number of table games</w:t>
            </w:r>
          </w:p>
        </w:tc>
        <w:tc>
          <w:tcPr>
            <w:tcW w:w="32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Table drop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483,382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491,616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Table games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119,388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116,655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Table games win %</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5,552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5,505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Slot machine handle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818,719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764,263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54,456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Slot machine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52,460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54,614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Non-casino revenues increased 5.8%, or $14.9 million to $273.9 million for the three months ended September 30, 2016, compared to $259.0 million for the same period of 2015, primarily due to an increase of 9.1% in room revenues and a 1.8% increase in food and beverage revenues.</w:t>
      </w:r>
    </w:p>
    <w:p>
      <w:pPr>
        <w:spacing w:after="0" w:line="14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Room revenues increased 9.1%, or $9.4 million for the three months ended September 30, 2016 when compared to the same period of 2015. The increase is primarily attributable to a 4.7% increase in ADR to $288 for the three months ended September 30, 2016, compared to $275 for the same period of 2015 and a 1.7 percentage point increase in occupancy.</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9"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room revenues and associated key operating measures related to our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240" w:type="dxa"/>
            <w:vAlign w:val="bottom"/>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Percent Change (a)</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room revenues (dollars in thousands)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112,185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102,786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REVPAR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6"/>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(a) Except occupancy, which is presented as a percentage point change.</w:t>
      </w:r>
    </w:p>
    <w:p>
      <w:pPr>
        <w:spacing w:after="0" w:line="22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Food and beverage revenues increased 1.8%, or $2.6 million, to $145.2 million for the three months ended September 30, 2016, from $142.6 million for the same period of 2015, mainly due to an increase in revenues at our casual dining restaurants.</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Promotional allowances decreased 5.2%, or $2.3 million, to $42.3 million for the three months ended September 30, 2016, from $44.6 million for the same period of 2015, primarily as a result of less complimentaries on the decrease in table drop.</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Operating costs and expenses increased 6.0%, or $21.7 million, to $380.1 million for the three months ended September 30, 2016, from $358.5 million for the same period of 2015, primarily due to a $16.6 million increase in property charges and other.</w:t>
      </w:r>
    </w:p>
    <w:p>
      <w:pPr>
        <w:spacing w:after="0" w:line="170"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Casino expenses decreased 2.1%, or $1.5 million, to $69.7 million for the three months ended September 30, 2016, from $71.2 million for the same period of 2015, mainly due to a reduction in the cost of complimentaries and other casino expenses.</w:t>
      </w:r>
    </w:p>
    <w:p>
      <w:pPr>
        <w:spacing w:after="0" w:line="170"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Room expenses increased 4.3%, or $1.6 million, to $37.7 million for the three months ended September 30, 2016, from $36.2 million for the same period of 2015, primarily attributable to expenses associated with the increase in occupancy over the prior year.</w:t>
      </w:r>
    </w:p>
    <w:p>
      <w:pPr>
        <w:spacing w:after="0" w:line="17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Food and beverage expenses were relatively flat with $96.4 million for the three months ended September 30, 2016 when compared to $95.5 million for the same period of 2015.</w:t>
      </w:r>
    </w:p>
    <w:p>
      <w:pPr>
        <w:spacing w:after="0" w:line="170" w:lineRule="exact"/>
        <w:rPr>
          <w:sz w:val="20"/>
          <w:szCs w:val="20"/>
          <w:color w:val="auto"/>
        </w:rPr>
      </w:pPr>
    </w:p>
    <w:p>
      <w:pPr>
        <w:ind w:right="420" w:firstLine="432"/>
        <w:spacing w:after="0" w:line="308" w:lineRule="auto"/>
        <w:rPr>
          <w:sz w:val="20"/>
          <w:szCs w:val="20"/>
          <w:color w:val="auto"/>
        </w:rPr>
      </w:pPr>
      <w:r>
        <w:rPr>
          <w:rFonts w:ascii="Arial" w:cs="Arial" w:eastAsia="Arial" w:hAnsi="Arial"/>
          <w:sz w:val="17"/>
          <w:szCs w:val="17"/>
          <w:color w:val="auto"/>
        </w:rPr>
        <w:t>General and administrative expenses increased 4.6%, or $2.9 million, to $65.3 million for the three months ended September 30, 2016, from $62.5 million for the same period of 2015. The increase was primarily due to increased payroll and advertising related expenses.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Property charges and other expense was $16.7 million for the three months ended September 30, 2016, compared to $0.1 million for the same period of</w:t>
      </w:r>
    </w:p>
    <w:p>
      <w:pPr>
        <w:spacing w:after="0" w:line="4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2015. During the three months ended September 30, 2016, we incurred an expense of $15.3 million for an exit fee for the right to procure energy from the wholesale energy markets instead of from the local public electric utility.</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Non-operating income and 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expense was relatively flat with $43.0 million for the three months ended September 30, 2016, compared to $43.8 million for the same period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We incurred a loss of $3.9 million on the extinguishment of debt for the three months ended September 30, 2015. In connection with the August 2015 redemption of the remaining $80.1 million principal amount of the untendered 7 3/4% 2020 Notes, we recorded a loss for the premium portion of the consideration of $3.1 million and expensed $0.8 million of unamortized deferred financing costs and original discount. We incurred no loss on extinguishment of debt for the three months ended September 30, 2016.</w:t>
      </w: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9"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nine months ended September 30, 2016 compared to the nine months ended September 30, 2015.</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Non-casino revenues consist of operating revenues from rooms, food and beverage, entertainment, retail and other, less promotional allowances. The following table presents net revenues from our casino and non-casino revenues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020" w:type="dxa"/>
            <w:vAlign w:val="bottom"/>
          </w:tcPr>
          <w:p>
            <w:pPr>
              <w:jc w:val="right"/>
              <w:ind w:right="20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447,030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448,617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788,557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773,009</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7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1,235,587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1,221,626</w:t>
            </w: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percentage of our net revenues from non-casino revenues was 63.8% for the nine months ended September 30, 2016, compared to 63.3% for the same period of 2015. Casino revenues were 36.2% of total net revenues for the nine months ended September 30, 2016, compared to 36.7% of total net revenues for the same period of 2015.</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Casino revenues were relatively flat with $447.0 million for the nine months ended September 30, 2016 when compared to $448.6 million for the same period of 2015. We experienced a 12.0% year-over-year decrease in table drop, primarily from international customers, largely offset by an increase in table games win percentage of 2.3 percentage points.</w:t>
      </w:r>
    </w:p>
    <w:p>
      <w:pPr>
        <w:spacing w:after="0" w:line="18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related to our operations (dollars in thousands, except for win per unit per day):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6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w w:val="92"/>
              </w:rPr>
              <w:t>Increase/(Decrease)</w:t>
            </w:r>
          </w:p>
        </w:tc>
        <w:tc>
          <w:tcPr>
            <w:tcW w:w="1280" w:type="dxa"/>
            <w:vAlign w:val="bottom"/>
          </w:tcPr>
          <w:p>
            <w:pPr>
              <w:jc w:val="right"/>
              <w:ind w:right="41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447,030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448,617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(1,587)</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color w:val="auto"/>
              </w:rPr>
              <w:t>Average number of table games</w:t>
            </w:r>
          </w:p>
        </w:tc>
        <w:tc>
          <w:tcPr>
            <w:tcW w:w="34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ind w:right="392"/>
              <w:spacing w:after="0"/>
              <w:rPr>
                <w:sz w:val="20"/>
                <w:szCs w:val="20"/>
                <w:color w:val="auto"/>
              </w:rPr>
            </w:pPr>
            <w:r>
              <w:rPr>
                <w:rFonts w:ascii="Arial" w:cs="Arial" w:eastAsia="Arial" w:hAnsi="Arial"/>
                <w:sz w:val="18"/>
                <w:szCs w:val="18"/>
                <w:color w:val="auto"/>
              </w:rPr>
              <w:t>2</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Table drop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1,385,963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1,574,537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(188,574)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color w:val="auto"/>
              </w:rPr>
              <w:t>Table games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340,572</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351,647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32"/>
              <w:spacing w:after="0"/>
              <w:rPr>
                <w:sz w:val="20"/>
                <w:szCs w:val="20"/>
                <w:color w:val="auto"/>
              </w:rPr>
            </w:pPr>
            <w:r>
              <w:rPr>
                <w:rFonts w:ascii="Arial" w:cs="Arial" w:eastAsia="Arial" w:hAnsi="Arial"/>
                <w:sz w:val="18"/>
                <w:szCs w:val="18"/>
                <w:color w:val="auto"/>
              </w:rPr>
              <w:t>(11,075)</w:t>
            </w: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Table games win %</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2.3%</w:t>
            </w: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5,264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5,502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32"/>
              <w:spacing w:after="0"/>
              <w:rPr>
                <w:sz w:val="20"/>
                <w:szCs w:val="20"/>
                <w:color w:val="auto"/>
              </w:rPr>
            </w:pPr>
            <w:r>
              <w:rPr>
                <w:rFonts w:ascii="Arial" w:cs="Arial" w:eastAsia="Arial" w:hAnsi="Arial"/>
                <w:sz w:val="18"/>
                <w:szCs w:val="18"/>
                <w:color w:val="auto"/>
              </w:rPr>
              <w:t>(238)</w:t>
            </w: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rPr>
              <w:t>27</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color w:val="auto"/>
              </w:rPr>
              <w:t>Slot machine handle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2,286,559</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2,238,594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92"/>
              <w:spacing w:after="0"/>
              <w:rPr>
                <w:sz w:val="20"/>
                <w:szCs w:val="20"/>
                <w:color w:val="auto"/>
              </w:rPr>
            </w:pPr>
            <w:r>
              <w:rPr>
                <w:rFonts w:ascii="Arial" w:cs="Arial" w:eastAsia="Arial" w:hAnsi="Arial"/>
                <w:sz w:val="18"/>
                <w:szCs w:val="18"/>
                <w:color w:val="auto"/>
              </w:rPr>
              <w:t>47,965</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Slot machine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150,786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154,041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(3,255)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32"/>
              <w:spacing w:after="0"/>
              <w:rPr>
                <w:sz w:val="20"/>
                <w:szCs w:val="20"/>
                <w:color w:val="auto"/>
              </w:rPr>
            </w:pPr>
            <w:r>
              <w:rPr>
                <w:rFonts w:ascii="Arial" w:cs="Arial" w:eastAsia="Arial" w:hAnsi="Arial"/>
                <w:sz w:val="18"/>
                <w:szCs w:val="18"/>
                <w:color w:val="auto"/>
              </w:rPr>
              <w:t>(12)</w:t>
            </w:r>
          </w:p>
        </w:tc>
        <w:tc>
          <w:tcPr>
            <w:tcW w:w="1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Non-casino revenues increased 2.0%, or $15.5 million, to $788.6 million for the nine months ended September 30, 2016, from $773.0 million for the same period of 2015. The increase was primarily due to an increase of 6.3% in room revenues, partially offset by a decrease of 2.2% in food and beverage revenues.</w:t>
      </w:r>
    </w:p>
    <w:p>
      <w:pPr>
        <w:spacing w:after="0" w:line="18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Room revenues increased 6.3%, or $19.6 million for the nine months ended September 30, 2016 when compared to the same period of 2015. The increase is primarily attributable to a 5.7% increase in ADR to $298 for the nine months ended September 30, 2016, compared to $282 for the same period of 2015, partially offset by a 0.9 percentage point decrease in occupancy.</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9"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room revenues and associated key operating measures related to our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1240" w:type="dxa"/>
            <w:vAlign w:val="bottom"/>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Percent Change (a)</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room revenues (dollars in thousands)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330,893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311,260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REVPAR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6"/>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4.5</w:t>
            </w:r>
          </w:p>
        </w:tc>
      </w:tr>
      <w:tr>
        <w:trPr>
          <w:trHeight w:val="191"/>
        </w:trPr>
        <w:tc>
          <w:tcPr>
            <w:tcW w:w="6860" w:type="dxa"/>
            <w:vAlign w:val="bottom"/>
          </w:tcPr>
          <w:p>
            <w:pPr>
              <w:spacing w:after="0"/>
              <w:rPr>
                <w:sz w:val="20"/>
                <w:szCs w:val="20"/>
                <w:color w:val="auto"/>
              </w:rPr>
            </w:pPr>
            <w:r>
              <w:rPr>
                <w:rFonts w:ascii="Arial" w:cs="Arial" w:eastAsia="Arial" w:hAnsi="Arial"/>
                <w:sz w:val="14"/>
                <w:szCs w:val="14"/>
                <w:color w:val="auto"/>
              </w:rPr>
              <w:t>(a) Except occupancy, which is presented as a percentage point change</w:t>
            </w: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200"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color w:val="auto"/>
        </w:rPr>
        <w:t>Food and beverage revenues decreased 2.2%, or $9.1 million, to $410.0 million for the nine months ended September 30, 2016, from $419.1 million for the same period of 2015, mainly due to a decline in revenues from our nightclubs.</w:t>
      </w:r>
    </w:p>
    <w:p>
      <w:pPr>
        <w:spacing w:after="0" w:line="17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Promotional allowances decreased 3.6%, or $4.7 million, to $126.3 million for the nine months ended September 30, 2016, from $131.0 million for the same period of 2015, primarily as a result of less complimentaries on the decrease in table drop.</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Operating costs and expenses increased 3.2%, or $34.4 million, to $1.10 billion for the nine months ended September 30, 2016, from $1.06 billion for the same period of 2015, primarily due to a $25.8 million increase in property charges and other.</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Casino expenses decreased 3.0%, or $6.6 million, to $210.7 million for the nine months ended September 30, 2016, from $217.3 million for the same period of 2015, mainly due to a reduction in the cost of complimentaries and other casino expenses.</w:t>
      </w:r>
    </w:p>
    <w:p>
      <w:pPr>
        <w:spacing w:after="0" w:line="17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Room expenses increased 3.0%, or $3.2 million, to $111.3 million for the nine months ended September 30, 2016, from $108.0 million for the same period of 2015, primarily due to an increase in payroll related expenses.</w:t>
      </w:r>
    </w:p>
    <w:p>
      <w:pPr>
        <w:spacing w:after="0" w:line="17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Food and beverage expenses were relatively flat with $271.2 million for the nine months ended September 30, 2016 when compared to $272.7 million for the same period of 2015.</w:t>
      </w:r>
    </w:p>
    <w:p>
      <w:pPr>
        <w:spacing w:after="0" w:line="170"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General and administrative expenses increased 3.2%, or $5.8 million, to $190.6 million for the nine months ended September 30, 2016, from $184.8 million for the same period of 2015. The increase is primarily due to an increase in payroll related expenses, partially offset by a decrease in corporate allocations.</w:t>
      </w:r>
    </w:p>
    <w:p>
      <w:pPr>
        <w:spacing w:after="0" w:line="181"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Management and license fees increased 13.1%, or $4.5 million, to $39.0 million for the nine months ended September 30, 2016, from $34.5 million for the same period of 2015. In February 2015, we began incurring fees associated with our license agreement with Wynn Resorts and a wholly owned subsidiary of Wynn Resorts for use of certain intellectual property. The license agreement resulted in fees of $20.4 million during the nine months ended September 30, 2016, compared to $16.1 million for the same period of 2015.</w:t>
      </w:r>
    </w:p>
    <w:p>
      <w:pPr>
        <w:spacing w:after="0" w:line="187"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We incurred pre-opening costs of $2.2 million for the nine months ended September 30, 2016 in connection with the re-branding of one of our nightclubs.</w:t>
      </w:r>
    </w:p>
    <w:p>
      <w:pPr>
        <w:spacing w:after="0" w:line="170"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Property charges and other expense was $27.0 million for the nine months ended September 30, 2016, compared to $1.2 million for the same period of 2015. During the nine months ended September 30, 2016, we incurred expenses of $15.3 million for an exit fee for the right to procure energy from the wholesale energy markets instead of from the local public electric utility, $9.0 million in asset abandonment charges primarily associated with the current construction of more than 75,000 square feet of additional high-end, brand-name retail space to the resort, and $2.7 million of losses from the sale of assets.</w:t>
      </w:r>
    </w:p>
    <w:p>
      <w:pPr>
        <w:spacing w:after="0" w:line="200" w:lineRule="exact"/>
        <w:rPr>
          <w:sz w:val="20"/>
          <w:szCs w:val="20"/>
          <w:color w:val="auto"/>
        </w:rPr>
      </w:pP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9"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Non-operating income and expenses</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Interest expense decreased 5.8%, or $8.0 million, to $129.0 million for the nine months ended September 30, 2016, from $137.0 million for the same period of 2015. In February 2015, we issued $1.8 billion of 5 1/2% Senior Notes due 2025 ("2025 Notes") and used the proceeds for the purchase of $305.8 million of 7 7/8% 2020 Notes and $1.15 billion of 7 3/4% 2020 Notes pursuant to a cash tender offer. In May 2015, we redeemed the remaining $71.1 million principal amount of the untendered 7 7/8% 2020 Notes, and in August 2015, we redeemed the remaining $80.1 million principal amount of the untendered 7 3/4% 2020 Notes. As a result of these financing activities, our weighted average interest rate was lower for the nine months ended September 30, 2016, compared to the same period of 2015.</w:t>
      </w:r>
    </w:p>
    <w:p>
      <w:pPr>
        <w:spacing w:after="0" w:line="193"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We incurred a loss of $126.3 million on the extinguishment of debt for the nine months ended September 30, 2015, in connection with the cash tender offer for the 2020 Notes and the subsequent redemption of the untendered 2020 Notes. We expensed $101.2 million for the consideration to holders who tendered, $17.3 million of unamortized deferred financing costs and original issue discount, and $0.1 million in other fees incurred. In connection with the redemption of the remaining $71.1 million principal amount of the untendered 7 7/8% 2020 Notes, we recorded a loss for the premium portion of the consideration of $2.8 million and expensed $1.0 million of unamortized deferred financing costs and original discount. In connection with the redemption of the remaining $80.1 million principal amount of the untendered 7 3/4% 2020 Notes, we recorded a loss for the premium portion of the consideration of $3.1 million and expensed $0.8 million of unamortized deferred financing costs and original discount. We incurred no loss on extinguishment of debt for the nine months ended September 30,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We use Adjusted Property EBITDA to manage the operating results of our resort. Adjusted Property EBITDA is net income (loss) before interest, taxes, depreciation and amortization, pre-opening costs, property charges and other, management and license fees, corporate expenses and other (including intercompany golf course and water rights leases), stock-based compensation, loss on extinguishment of debt, and other non-operating income and expenses and includes equity in income (loss)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resort and comparison with competitors, as well as a basis for determining certain incentive compensation.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200" w:lineRule="exact"/>
        <w:rPr>
          <w:sz w:val="20"/>
          <w:szCs w:val="20"/>
          <w:color w:val="auto"/>
        </w:rPr>
      </w:pPr>
    </w:p>
    <w:p>
      <w:pPr>
        <w:spacing w:after="0" w:line="3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9"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reconciliation of Adjusted Property EBITDA to net income (loss)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5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7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Property EBITDA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128,879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117,069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360,193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349,783</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Other operating costs and expenses</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5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46,403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45,215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137,349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136,704</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1,220</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color w:val="auto"/>
              </w:rPr>
              <w:t>Management and license fees</w:t>
            </w: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13,441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13,004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38,963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34,458</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16,547</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2,072</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(loss) from unconsolidated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5220" w:type="dxa"/>
            <w:vAlign w:val="bottom"/>
          </w:tcPr>
          <w:p>
            <w:pPr>
              <w:ind w:left="70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81,919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64,377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221,860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190,989</w:t>
            </w:r>
          </w:p>
        </w:tc>
      </w:tr>
      <w:tr>
        <w:trPr>
          <w:trHeight w:val="27"/>
        </w:trPr>
        <w:tc>
          <w:tcPr>
            <w:tcW w:w="5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46,960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138,333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158,794</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and expenses</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5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(42,988)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(43,779)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(129,007)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(136,973)</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(126,276)</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color w:val="auto"/>
              </w:rPr>
              <w:t>Equity in income (loss) from unconsolidated affiliates</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2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(263,250)</w:t>
            </w: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4,037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4,989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9,407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(104,456)</w:t>
            </w:r>
          </w:p>
        </w:tc>
      </w:tr>
      <w:tr>
        <w:trPr>
          <w:trHeight w:val="27"/>
        </w:trPr>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operating cash flows primarily consist of our operating income generated by our resort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89"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Net cash provided by operations for the nine months ended September 30, 2016 was $179.9 million, compared to net cash used in operations of $36.6 million for the same period of 2015. The change was primarily due to $192.8 million in accrued management fees paid to Wynn Resorts during the nine months ended September 30, 2015, as we were no longer subject to certain restrictive covenants under the indentures governing the 2020 Notes.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Net cash used in investing activities for the nine months ended September 30, 2016 was $88.2 million, compared to $73.0 million for the same period of 2015, primarily consisting of capital expenditures. Capital expenditures for the nine months ended September 30, 2016 were primarily for the re-branding of one of our nightclubs, the development of more than 75,000 square feet of additional high-end brand-name retail space, and general property maintenance. Capital expenditures for the nine months ended September 30, 2015 were primarily for the remodel of guest rooms in the Encore hotel tower and general property maintenance.</w:t>
      </w:r>
    </w:p>
    <w:p>
      <w:pPr>
        <w:spacing w:after="0" w:line="200" w:lineRule="exact"/>
        <w:rPr>
          <w:sz w:val="20"/>
          <w:szCs w:val="20"/>
          <w:color w:val="auto"/>
        </w:rPr>
      </w:pPr>
    </w:p>
    <w:p>
      <w:pPr>
        <w:spacing w:after="0" w:line="3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9"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had no financing activities for the nine months ended September 30, 2016. Net cash provided by financing activities for the nine months ended September 30, 2015 was $106.0 million. During the nine months ended September 30, 2015, we issued $1.8 billion of 2025 Notes with proceeds used for the purchase of $1.60 billion of our 2020 Notes pursuant to a cash tender offer and subsequent redemption of the untendered 2020 Notes. During the nine months ended September 30, 2015, the proceeds from the issuance were also offset by payments of financing costs of $132.4 million and distributions to Wynn Resorts of $170.0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As of September 30, 2016, we had $168.8 million of cash and cash equivalents available for use without restriction, including for operations, debt service and extinguishment, new development activities, enhancements to our property and general corporate purposes. We require a certain amount of cash on hand for operations. We expect to meet our cash needs including our contractual obligations with future anticipated cash flow from operations and our existing cash balances.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We have not entered into any transactions with special purpose entities nor do we engage in any derivatives. We do not have any retained or contingent interest in assets transferred to an unconsolidated entity. As of September 30, 2016, we had outstanding letters of credit totaling $10.6 million.</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There have been no material changes outside the ordinary course of our business during the nine months ended September 30, 2016 to our contractual obligations or off balance sheet arrangements as disclosed in our Annual Report on Form 10-K for the year ended December 31, 2015.</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Factors Affecting Liquidity</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are restricted under the indentures governing the first mortgage notes from making certain "restricted payments" as defined in the indentures. These restricted payments include the payments of dividends or distributions to any direct or indirect holders of equity interests of Wynn Las Vegas, LLC. These restricted payments are limited by certain financial and non-financial criteria have been satisfied.</w:t>
      </w:r>
    </w:p>
    <w:p>
      <w:pPr>
        <w:spacing w:after="0" w:line="181"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We intend to fund our operations and capital requirements from cash on hand and operating cash flow. We cannot be sure that we will generate sufficient cash flow from operations or that future borrowings that are available to us, if any, will be sufficient to enable us to service and repay our indebtedness and to fund our other liquidity needs. We cannot be sure that we will be able to refinance any of our indebtedness on acceptable terms or at all.</w:t>
      </w:r>
    </w:p>
    <w:p>
      <w:pPr>
        <w:spacing w:after="0" w:line="147"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Legal proceedings in which Wynn Resorts is involved also may impact our liquidity. No assurance can be provided as to the outcome of such proceedings. In addition, litigation inherently involves significant costs. For information regarding legal proceedings, see Item 1—"Notes to Condensed Consolidated Financial Statements," Note 7 "Commitments and Contingencies."</w:t>
      </w:r>
    </w:p>
    <w:p>
      <w:pPr>
        <w:spacing w:after="0" w:line="18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Wynn America, LLC ("Wynn America"), an indirect wholly owned subsidiary of Wynn Resorts, Limited, was created in September 2014 in connection with a senior secured credit facility. Wynn America caused a series of corporate restructurings and related transactions, including receipt of gaming approvals from relevant gaming authorities, pursuant to which Wynn Las Vegas, LLC and its subsidiaries became subsidiaries of Wynn Las Vegas Holdings, LLC, a direct subsidiary of Wynn America (the "Reorganization"). On September 1, 2015, Wynn Resorts Holdings, LLC transferred its equity interest in Wynn Las Vegas, LLC and effectuated the Reorganization. Upon the consummation of the Reorganization, Wynn Las Vegas, LLC and its subsidiaries became restricted subsidiaries under Wynn America's credit facilities and became obligated to guarantee the obligations of Wynn America to such extent as may be permitted by any of our existing senior secured notes.</w:t>
      </w:r>
    </w:p>
    <w:p>
      <w:pPr>
        <w:spacing w:after="0" w:line="178"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200" w:lineRule="exact"/>
        <w:rPr>
          <w:sz w:val="20"/>
          <w:szCs w:val="20"/>
          <w:color w:val="auto"/>
        </w:rPr>
      </w:pPr>
    </w:p>
    <w:p>
      <w:pPr>
        <w:spacing w:after="0" w:line="3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79" w:right="29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New business developments or other unforeseen events may occur, resulting in the need to raise additional funds. We continue to explore opportunities to develop additional gaming or related businesses in the United States. There can be no assurances regarding the business prospects with respect to any other opportunity. Any other development would require us to obtain additional financing.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2015. There have been no significant changes to these policies for the nine months ended September 30, 2016.</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related disclosure at Item 1—"Notes to Condensed Consolidated Financial Statements," Note 2 "Summary of Significant Accounting Policies."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8"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Forward-looking statements are subject to a number of risks and uncertainties that could cause actual results to differ materially from those we express in these forward-looking statements, including the risks and uncertainties in Item 1A—"Risk Factors" of our Annual Report on Form 10-K for the year ended December 31, 2015 and other factors we describe from time to time in our periodic filings with the Securities and Exchange Commission ("SEC"), such as:</w:t>
      </w:r>
    </w:p>
    <w:p>
      <w:pPr>
        <w:spacing w:after="0" w:line="147"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 particularly from our international customers;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shareholder of Wynn Resorts;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Wynn Las Vegas for all of our cash flow;</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900" w:right="580" w:hanging="325"/>
        <w:spacing w:after="0" w:line="250"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that terrorism, regional political events, outbreak of an infectious disease or natural disaster may have on the travel and leisure industry;</w:t>
      </w: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or enforcement actions;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leverage and debt service;</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environmental regulation; and</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consequences of military conflicts and any future security alerts and/or terrorist attacks.</w:t>
      </w:r>
    </w:p>
    <w:p>
      <w:pPr>
        <w:spacing w:after="0" w:line="21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w:t>
      </w: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9" w:right="27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Risks</w:t>
      </w:r>
    </w:p>
    <w:p>
      <w:pPr>
        <w:spacing w:after="0" w:line="225"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We had $3.20 billion of fixed-rate debt outstanding as of September 30, 2016. As a result of our outstanding debt being based on fixed rates, we currently do not have exposure to adverse changes in market rates.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2016, our long-term debt was based on fixed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firstLine="413"/>
        <w:spacing w:after="0" w:line="340" w:lineRule="auto"/>
        <w:tabs>
          <w:tab w:leader="none" w:pos="848"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principal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principal executive officer and principal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principal executive officer and principal financial officer, as appropriate to allow timely decisions regarding required disclosure.</w:t>
      </w:r>
    </w:p>
    <w:p>
      <w:pPr>
        <w:spacing w:after="0" w:line="171" w:lineRule="exact"/>
        <w:rPr>
          <w:rFonts w:ascii="Arial" w:cs="Arial" w:eastAsia="Arial" w:hAnsi="Arial"/>
          <w:sz w:val="16"/>
          <w:szCs w:val="16"/>
          <w:color w:val="auto"/>
        </w:rPr>
      </w:pPr>
    </w:p>
    <w:p>
      <w:pPr>
        <w:jc w:val="both"/>
        <w:ind w:right="240" w:firstLine="413"/>
        <w:spacing w:after="0" w:line="311" w:lineRule="auto"/>
        <w:tabs>
          <w:tab w:leader="none" w:pos="858"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were no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quarter to which this report relates that materially affected, or are reasonably likely to materially affect, the Company's internal control over financial reporting.</w:t>
      </w:r>
    </w:p>
    <w:p>
      <w:pPr>
        <w:spacing w:after="0" w:line="3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9" w:right="27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 description of our risk factors can be found in Item 1A of our Annual Report on Form 10-K for the year ended December 31, 2015. There were no material changes to those risk factors during the nine months ended September 30,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Restrictions imposed by our debt instruments significantly restrict us, subject to certain exceptions for payment of allocable corporate overhead, from declaring or paying dividends or distributions. Specifically, we are restricted under the indentures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financial and non-financial criteria have been satisfied.</w:t>
      </w:r>
    </w:p>
    <w:p>
      <w:pPr>
        <w:spacing w:after="0" w:line="3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279" w:right="4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114"/>
              <w:spacing w:after="0"/>
              <w:rPr>
                <w:sz w:val="20"/>
                <w:szCs w:val="20"/>
                <w:color w:val="auto"/>
              </w:rPr>
            </w:pPr>
            <w:r>
              <w:rPr>
                <w:rFonts w:ascii="Arial" w:cs="Arial" w:eastAsia="Arial" w:hAnsi="Arial"/>
                <w:sz w:val="18"/>
                <w:szCs w:val="18"/>
                <w:color w:val="auto"/>
              </w:rPr>
              <w:t>(a)</w:t>
            </w: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554"/>
        </w:trPr>
        <w:tc>
          <w:tcPr>
            <w:tcW w:w="8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940" w:type="dxa"/>
            <w:vAlign w:val="bottom"/>
            <w:gridSpan w:val="2"/>
          </w:tcPr>
          <w:p>
            <w:pPr>
              <w:ind w:left="5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12"/>
        </w:trPr>
        <w:tc>
          <w:tcPr>
            <w:tcW w:w="820" w:type="dxa"/>
            <w:vAlign w:val="bottom"/>
          </w:tcPr>
          <w:p>
            <w:pPr>
              <w:jc w:val="right"/>
              <w:ind w:right="94"/>
              <w:spacing w:after="0"/>
              <w:rPr>
                <w:sz w:val="20"/>
                <w:szCs w:val="20"/>
                <w:color w:val="auto"/>
              </w:rPr>
            </w:pPr>
            <w:r>
              <w:rPr>
                <w:rFonts w:ascii="Arial" w:cs="Arial" w:eastAsia="Arial" w:hAnsi="Arial"/>
                <w:sz w:val="14"/>
                <w:szCs w:val="14"/>
                <w:b w:val="1"/>
                <w:bCs w:val="1"/>
                <w:color w:val="auto"/>
              </w:rPr>
              <w:t>Exhibit</w:t>
            </w:r>
          </w:p>
        </w:tc>
        <w:tc>
          <w:tcPr>
            <w:tcW w:w="3620" w:type="dxa"/>
            <w:vAlign w:val="bottom"/>
          </w:tcPr>
          <w:p>
            <w:pPr>
              <w:spacing w:after="0"/>
              <w:rPr>
                <w:sz w:val="24"/>
                <w:szCs w:val="24"/>
                <w:color w:val="auto"/>
              </w:rPr>
            </w:pPr>
          </w:p>
        </w:tc>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820" w:type="dxa"/>
            <w:vAlign w:val="bottom"/>
          </w:tcPr>
          <w:p>
            <w:pPr>
              <w:jc w:val="right"/>
              <w:ind w:right="214"/>
              <w:spacing w:after="0" w:line="158" w:lineRule="exact"/>
              <w:rPr>
                <w:sz w:val="20"/>
                <w:szCs w:val="20"/>
                <w:color w:val="auto"/>
              </w:rPr>
            </w:pPr>
            <w:r>
              <w:rPr>
                <w:rFonts w:ascii="Arial" w:cs="Arial" w:eastAsia="Arial" w:hAnsi="Arial"/>
                <w:sz w:val="14"/>
                <w:szCs w:val="14"/>
                <w:b w:val="1"/>
                <w:bCs w:val="1"/>
                <w:color w:val="auto"/>
              </w:rPr>
              <w:t>No.</w:t>
            </w:r>
          </w:p>
        </w:tc>
        <w:tc>
          <w:tcPr>
            <w:tcW w:w="3620" w:type="dxa"/>
            <w:vAlign w:val="bottom"/>
          </w:tcPr>
          <w:p>
            <w:pPr>
              <w:spacing w:after="0"/>
              <w:rPr>
                <w:sz w:val="13"/>
                <w:szCs w:val="13"/>
                <w:color w:val="auto"/>
              </w:rPr>
            </w:pPr>
          </w:p>
        </w:tc>
        <w:tc>
          <w:tcPr>
            <w:tcW w:w="6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10560" w:type="dxa"/>
            <w:vAlign w:val="bottom"/>
            <w:gridSpan w:val="3"/>
            <w:vMerge w:val="restart"/>
          </w:tcPr>
          <w:p>
            <w:pPr>
              <w:ind w:left="940"/>
              <w:spacing w:after="0"/>
              <w:rPr>
                <w:sz w:val="20"/>
                <w:szCs w:val="20"/>
                <w:color w:val="auto"/>
              </w:rPr>
            </w:pPr>
            <w:r>
              <w:rPr>
                <w:rFonts w:ascii="Arial" w:cs="Arial" w:eastAsia="Arial" w:hAnsi="Arial"/>
                <w:sz w:val="18"/>
                <w:szCs w:val="18"/>
                <w:color w:val="auto"/>
                <w:w w:val="91"/>
              </w:rPr>
              <w:t>Fourth Restated Articles of Organization of Wynn Las Vegas, LLC. (Incorporated by reference from the Current Report on Form 8-K</w:t>
            </w: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105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rPr>
              <w:t>filed by the Registrant on September 3, 2015.)</w:t>
            </w:r>
          </w:p>
        </w:tc>
        <w:tc>
          <w:tcPr>
            <w:tcW w:w="0" w:type="dxa"/>
            <w:vAlign w:val="bottom"/>
          </w:tcPr>
          <w:p>
            <w:pPr>
              <w:spacing w:after="0"/>
              <w:rPr>
                <w:sz w:val="1"/>
                <w:szCs w:val="1"/>
                <w:color w:val="auto"/>
              </w:rPr>
            </w:pPr>
          </w:p>
        </w:tc>
      </w:tr>
      <w:tr>
        <w:trPr>
          <w:trHeight w:val="256"/>
        </w:trPr>
        <w:tc>
          <w:tcPr>
            <w:tcW w:w="820" w:type="dxa"/>
            <w:vAlign w:val="bottom"/>
          </w:tcPr>
          <w:p>
            <w:pPr>
              <w:spacing w:after="0"/>
              <w:rPr>
                <w:sz w:val="22"/>
                <w:szCs w:val="22"/>
                <w:color w:val="auto"/>
              </w:rPr>
            </w:pP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0"/>
              </w:rPr>
              <w:t>Third Amended and Restated Operating Agreement of Wynn Las Vegas, LLC. (Incorporated by reference from the Current Report on</w:t>
            </w:r>
          </w:p>
        </w:tc>
        <w:tc>
          <w:tcPr>
            <w:tcW w:w="0" w:type="dxa"/>
            <w:vAlign w:val="bottom"/>
          </w:tcPr>
          <w:p>
            <w:pPr>
              <w:spacing w:after="0"/>
              <w:rPr>
                <w:sz w:val="1"/>
                <w:szCs w:val="1"/>
                <w:color w:val="auto"/>
              </w:rPr>
            </w:pPr>
          </w:p>
        </w:tc>
      </w:tr>
      <w:tr>
        <w:trPr>
          <w:trHeight w:val="230"/>
        </w:trPr>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rPr>
              <w:t>Form 8-K filed by the Registrant on September 3, 2015.)</w:t>
            </w:r>
          </w:p>
        </w:tc>
        <w:tc>
          <w:tcPr>
            <w:tcW w:w="0" w:type="dxa"/>
            <w:vAlign w:val="bottom"/>
          </w:tcPr>
          <w:p>
            <w:pPr>
              <w:spacing w:after="0"/>
              <w:rPr>
                <w:sz w:val="1"/>
                <w:szCs w:val="1"/>
                <w:color w:val="auto"/>
              </w:rPr>
            </w:pPr>
          </w:p>
        </w:tc>
      </w:tr>
      <w:tr>
        <w:trPr>
          <w:trHeight w:val="256"/>
        </w:trPr>
        <w:tc>
          <w:tcPr>
            <w:tcW w:w="820" w:type="dxa"/>
            <w:vAlign w:val="bottom"/>
          </w:tcPr>
          <w:p>
            <w:pPr>
              <w:spacing w:after="0"/>
              <w:rPr>
                <w:sz w:val="22"/>
                <w:szCs w:val="22"/>
                <w:color w:val="auto"/>
              </w:rPr>
            </w:pP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2"/>
              </w:rPr>
              <w:t>Fourth Amendment to Credit Agreement, dated as of July 1, 2016, by and among Wynn America LLC, as borrower, the Guarantors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4"/>
              </w:rPr>
              <w:t>named therein, Deutsche Bank AG New York Branch, as administrative agent on behalf of the several banks and other financial</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9"/>
              </w:rPr>
              <w:t>institutions or entities from time to time party to Wynn America, LLC's Credit Agreement, dated as of November 20, 2014.</w:t>
            </w:r>
          </w:p>
        </w:tc>
        <w:tc>
          <w:tcPr>
            <w:tcW w:w="0" w:type="dxa"/>
            <w:vAlign w:val="bottom"/>
          </w:tcPr>
          <w:p>
            <w:pPr>
              <w:spacing w:after="0"/>
              <w:rPr>
                <w:sz w:val="1"/>
                <w:szCs w:val="1"/>
                <w:color w:val="auto"/>
              </w:rPr>
            </w:pPr>
          </w:p>
        </w:tc>
      </w:tr>
      <w:tr>
        <w:trPr>
          <w:trHeight w:val="230"/>
        </w:trPr>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rPr>
              <w:t>(Incorporated by reference from the Quarterly Report on Form 10-Q filed by the Registrant on August 9, 2016.)</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*31.1</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rPr>
              <w:t>Certification of Principal Executive Officer of Periodic Report Pursuant to Rule 13a – 14(a) and Rule 15d – 14(a).</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*31.2</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rPr>
              <w:t>Certification of Principal Financial Officer of Periodic Report Pursuant to Rule 13a – 14(a) and Rule 15d – 14(a).</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rPr>
              <w:t>Certification of CEO and CFO Pursuant to 18 U.S.C. Section 1350.</w:t>
            </w:r>
          </w:p>
        </w:tc>
        <w:tc>
          <w:tcPr>
            <w:tcW w:w="0" w:type="dxa"/>
            <w:vAlign w:val="bottom"/>
          </w:tcPr>
          <w:p>
            <w:pPr>
              <w:spacing w:after="0"/>
              <w:rPr>
                <w:sz w:val="1"/>
                <w:szCs w:val="1"/>
                <w:color w:val="auto"/>
              </w:rPr>
            </w:pPr>
          </w:p>
        </w:tc>
      </w:tr>
      <w:tr>
        <w:trPr>
          <w:trHeight w:val="256"/>
        </w:trPr>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2"/>
              </w:rPr>
              <w:t>The following financial information from the Company's Quarterly Report on Form 10-Q for the quarter ended September 30, 2016,</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8"/>
              </w:rPr>
              <w:t>filed with the SEC on November 4, 2016 formatted in Extensible Business Reporting Language (XBRL): (i) the Condensed</w:t>
            </w:r>
          </w:p>
        </w:tc>
        <w:tc>
          <w:tcPr>
            <w:tcW w:w="0" w:type="dxa"/>
            <w:vAlign w:val="bottom"/>
          </w:tcPr>
          <w:p>
            <w:pPr>
              <w:spacing w:after="0"/>
              <w:rPr>
                <w:sz w:val="1"/>
                <w:szCs w:val="1"/>
                <w:color w:val="auto"/>
              </w:rPr>
            </w:pPr>
          </w:p>
        </w:tc>
      </w:tr>
    </w:tbl>
    <w:p>
      <w:pPr>
        <w:ind w:left="1760" w:right="120"/>
        <w:spacing w:after="0" w:line="254" w:lineRule="auto"/>
        <w:rPr>
          <w:sz w:val="20"/>
          <w:szCs w:val="20"/>
          <w:color w:val="auto"/>
        </w:rPr>
      </w:pPr>
      <w:r>
        <w:rPr>
          <w:rFonts w:ascii="Arial" w:cs="Arial" w:eastAsia="Arial" w:hAnsi="Arial"/>
          <w:sz w:val="18"/>
          <w:szCs w:val="18"/>
          <w:color w:val="auto"/>
        </w:rPr>
        <w:t>Consolidated Balance Sheets at September 30, 2016 and December 31, 2015, (ii) the Condensed Consolidated Statements of Comprehensive Income (Loss) for the three and nine months ended September 30, 2016 and 2015, (iii) the Condensed Consolidated Statements of Cash Flows for the nine months ended September 30, 2016 and 2015,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543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7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9" w:right="27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WYNN LAS VEGAS, LLC</w:t>
      </w:r>
    </w:p>
    <w:p>
      <w:pPr>
        <w:spacing w:after="0" w:line="391" w:lineRule="exact"/>
        <w:rPr>
          <w:sz w:val="20"/>
          <w:szCs w:val="20"/>
          <w:color w:val="auto"/>
        </w:rPr>
      </w:pPr>
    </w:p>
    <w:p>
      <w:pPr>
        <w:ind w:left="40"/>
        <w:spacing w:after="0"/>
        <w:tabs>
          <w:tab w:leader="none" w:pos="6080" w:val="left"/>
          <w:tab w:leader="none" w:pos="6640" w:val="left"/>
        </w:tabs>
        <w:rPr>
          <w:sz w:val="20"/>
          <w:szCs w:val="20"/>
          <w:color w:val="auto"/>
        </w:rPr>
      </w:pPr>
      <w:r>
        <w:rPr>
          <w:rFonts w:ascii="Arial" w:cs="Arial" w:eastAsia="Arial" w:hAnsi="Arial"/>
          <w:sz w:val="18"/>
          <w:szCs w:val="18"/>
          <w:color w:val="auto"/>
        </w:rPr>
        <w:t>Dated: November 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Dean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Dean Lawrence</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80"/>
          </w:cols>
          <w:pgMar w:left="240" w:top="279" w:right="87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Rule 15d-14(a)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Maurice Wooden, certify that:</w:t>
      </w:r>
    </w:p>
    <w:p>
      <w:pPr>
        <w:spacing w:after="0" w:line="17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460" w:right="140" w:hanging="480"/>
        <w:spacing w:after="0" w:line="264"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460" w:right="60" w:hanging="480"/>
        <w:spacing w:after="0" w:line="264"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460" w:right="220" w:hanging="480"/>
        <w:spacing w:after="0" w:line="342" w:lineRule="auto"/>
        <w:tabs>
          <w:tab w:leader="none" w:pos="14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460" w:right="220" w:hanging="480"/>
        <w:spacing w:after="0" w:line="264"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460" w:right="460" w:hanging="480"/>
        <w:spacing w:after="0" w:line="342" w:lineRule="auto"/>
        <w:tabs>
          <w:tab w:leader="none" w:pos="14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460" w:right="160" w:hanging="480"/>
        <w:spacing w:after="0" w:line="277"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2016</w:t>
      </w:r>
    </w:p>
    <w:p>
      <w:pPr>
        <w:spacing w:after="0" w:line="1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Maurice Wooden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Rule 15d-14(a)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Dean Lawrence, certify that:</w:t>
      </w:r>
    </w:p>
    <w:p>
      <w:pPr>
        <w:spacing w:after="0" w:line="171"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460" w:right="140" w:hanging="480"/>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460" w:right="60" w:hanging="480"/>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460" w:right="220" w:hanging="480"/>
        <w:spacing w:after="0" w:line="342" w:lineRule="auto"/>
        <w:tabs>
          <w:tab w:leader="none" w:pos="14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460" w:right="220" w:hanging="480"/>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460" w:right="460" w:hanging="480"/>
        <w:spacing w:after="0" w:line="342" w:lineRule="auto"/>
        <w:tabs>
          <w:tab w:leader="none" w:pos="14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460" w:right="160" w:hanging="480"/>
        <w:spacing w:after="0" w:line="277"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2016</w:t>
      </w:r>
    </w:p>
    <w:p>
      <w:pPr>
        <w:spacing w:after="0" w:line="1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Dean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Dean Lawrence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September 30, 2016 as filed with the Securities and Exchange Commission on the date hereof (the “Report”), Maurice Wooden, as President of the Company and Dean Lawrence, as Chief Financial Officer of the Company, each hereby certifies, pursuant to 18 U.S.C. Section 1350, as adopted pursuant to Section 906 of the Sarbanes-Oxley Act of 2002, that, to the best of their knowledge:</w:t>
      </w:r>
    </w:p>
    <w:p>
      <w:pPr>
        <w:spacing w:after="0" w:line="133"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192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220"/>
              <w:spacing w:after="0"/>
              <w:rPr>
                <w:sz w:val="20"/>
                <w:szCs w:val="20"/>
                <w:color w:val="auto"/>
              </w:rPr>
            </w:pPr>
            <w:r>
              <w:rPr>
                <w:rFonts w:ascii="Arial" w:cs="Arial" w:eastAsia="Arial" w:hAnsi="Arial"/>
                <w:sz w:val="18"/>
                <w:szCs w:val="18"/>
                <w:color w:val="auto"/>
              </w:rPr>
              <w:t>Maurice Wooden</w:t>
            </w:r>
          </w:p>
        </w:tc>
      </w:tr>
      <w:tr>
        <w:trPr>
          <w:trHeight w:val="270"/>
        </w:trPr>
        <w:tc>
          <w:tcPr>
            <w:tcW w:w="7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220"/>
              <w:spacing w:after="0"/>
              <w:rPr>
                <w:sz w:val="20"/>
                <w:szCs w:val="20"/>
                <w:color w:val="auto"/>
              </w:rPr>
            </w:pPr>
            <w:r>
              <w:rPr>
                <w:rFonts w:ascii="Arial" w:cs="Arial" w:eastAsia="Arial" w:hAnsi="Arial"/>
                <w:sz w:val="18"/>
                <w:szCs w:val="18"/>
                <w:color w:val="auto"/>
              </w:rPr>
              <w:t>President</w:t>
            </w:r>
          </w:p>
        </w:tc>
      </w:tr>
      <w:tr>
        <w:trPr>
          <w:trHeight w:val="270"/>
        </w:trPr>
        <w:tc>
          <w:tcPr>
            <w:tcW w:w="740" w:type="dxa"/>
            <w:vAlign w:val="bottom"/>
          </w:tcPr>
          <w:p>
            <w:pPr>
              <w:spacing w:after="0"/>
              <w:rPr>
                <w:sz w:val="23"/>
                <w:szCs w:val="23"/>
                <w:color w:val="auto"/>
              </w:rPr>
            </w:pPr>
          </w:p>
        </w:tc>
        <w:tc>
          <w:tcPr>
            <w:tcW w:w="544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7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220"/>
              <w:spacing w:after="0"/>
              <w:rPr>
                <w:sz w:val="20"/>
                <w:szCs w:val="20"/>
                <w:color w:val="auto"/>
              </w:rPr>
            </w:pPr>
            <w:r>
              <w:rPr>
                <w:rFonts w:ascii="Arial" w:cs="Arial" w:eastAsia="Arial" w:hAnsi="Arial"/>
                <w:sz w:val="18"/>
                <w:szCs w:val="18"/>
                <w:color w:val="auto"/>
              </w:rPr>
              <w:t>November 4, 2016</w:t>
            </w:r>
          </w:p>
        </w:tc>
      </w:tr>
      <w:tr>
        <w:trPr>
          <w:trHeight w:val="405"/>
        </w:trPr>
        <w:tc>
          <w:tcPr>
            <w:tcW w:w="6180" w:type="dxa"/>
            <w:vAlign w:val="bottom"/>
            <w:gridSpan w:val="2"/>
          </w:tcPr>
          <w:p>
            <w:pPr>
              <w:ind w:left="500"/>
              <w:spacing w:after="0"/>
              <w:rPr>
                <w:sz w:val="20"/>
                <w:szCs w:val="20"/>
                <w:color w:val="auto"/>
              </w:rPr>
            </w:pPr>
            <w:r>
              <w:rPr>
                <w:rFonts w:ascii="Arial" w:cs="Arial" w:eastAsia="Arial" w:hAnsi="Arial"/>
                <w:sz w:val="18"/>
                <w:szCs w:val="18"/>
                <w:color w:val="auto"/>
              </w:rPr>
              <w:t>/s/ Dean Lawrence</w:t>
            </w:r>
          </w:p>
        </w:tc>
      </w:tr>
      <w:tr>
        <w:trPr>
          <w:trHeight w:val="27"/>
        </w:trPr>
        <w:tc>
          <w:tcPr>
            <w:tcW w:w="7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220"/>
              <w:spacing w:after="0"/>
              <w:rPr>
                <w:sz w:val="20"/>
                <w:szCs w:val="20"/>
                <w:color w:val="auto"/>
              </w:rPr>
            </w:pPr>
            <w:r>
              <w:rPr>
                <w:rFonts w:ascii="Arial" w:cs="Arial" w:eastAsia="Arial" w:hAnsi="Arial"/>
                <w:sz w:val="18"/>
                <w:szCs w:val="18"/>
                <w:color w:val="auto"/>
              </w:rPr>
              <w:t>Dean Lawrence</w:t>
            </w:r>
          </w:p>
        </w:tc>
      </w:tr>
      <w:tr>
        <w:trPr>
          <w:trHeight w:val="270"/>
        </w:trPr>
        <w:tc>
          <w:tcPr>
            <w:tcW w:w="7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220"/>
              <w:spacing w:after="0"/>
              <w:rPr>
                <w:sz w:val="20"/>
                <w:szCs w:val="20"/>
                <w:color w:val="auto"/>
              </w:rPr>
            </w:pPr>
            <w:r>
              <w:rPr>
                <w:rFonts w:ascii="Arial" w:cs="Arial" w:eastAsia="Arial" w:hAnsi="Arial"/>
                <w:sz w:val="18"/>
                <w:szCs w:val="18"/>
                <w:color w:val="auto"/>
              </w:rPr>
              <w:t>Senior Vice President and Chief Financial Officer</w:t>
            </w:r>
          </w:p>
        </w:tc>
      </w:tr>
      <w:tr>
        <w:trPr>
          <w:trHeight w:val="270"/>
        </w:trPr>
        <w:tc>
          <w:tcPr>
            <w:tcW w:w="740" w:type="dxa"/>
            <w:vAlign w:val="bottom"/>
          </w:tcPr>
          <w:p>
            <w:pPr>
              <w:spacing w:after="0"/>
              <w:rPr>
                <w:sz w:val="23"/>
                <w:szCs w:val="23"/>
                <w:color w:val="auto"/>
              </w:rPr>
            </w:pPr>
          </w:p>
        </w:tc>
        <w:tc>
          <w:tcPr>
            <w:tcW w:w="544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r>
      <w:tr>
        <w:trPr>
          <w:trHeight w:val="270"/>
        </w:trPr>
        <w:tc>
          <w:tcPr>
            <w:tcW w:w="7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220"/>
              <w:spacing w:after="0"/>
              <w:rPr>
                <w:sz w:val="20"/>
                <w:szCs w:val="20"/>
                <w:color w:val="auto"/>
              </w:rPr>
            </w:pPr>
            <w:r>
              <w:rPr>
                <w:rFonts w:ascii="Arial" w:cs="Arial" w:eastAsia="Arial" w:hAnsi="Arial"/>
                <w:sz w:val="18"/>
                <w:szCs w:val="18"/>
                <w:color w:val="auto"/>
              </w:rPr>
              <w:t>November 4, 2016</w:t>
            </w:r>
          </w:p>
        </w:tc>
      </w:tr>
    </w:tbl>
    <w:p>
      <w:pPr>
        <w:spacing w:after="0" w:line="175"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3"/>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2019-12-29T09:27:32Z</dcterms:created>
  <dcterms:modified xsi:type="dcterms:W3CDTF">2019-12-29T09:27:32Z</dcterms:modified>
</cp:coreProperties>
</file>