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720"/>
        <w:spacing w:after="0"/>
        <w:rPr>
          <w:sz w:val="20"/>
          <w:szCs w:val="20"/>
          <w:color w:val="auto"/>
        </w:rPr>
      </w:pPr>
      <w:r>
        <w:rPr>
          <w:rFonts w:ascii="Times New Roman" w:cs="Times New Roman" w:eastAsia="Times New Roman" w:hAnsi="Times New Roman"/>
          <w:sz w:val="20"/>
          <w:szCs w:val="20"/>
          <w:b w:val="1"/>
          <w:bCs w:val="1"/>
          <w:color w:val="auto"/>
        </w:rPr>
        <w:t>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Report (Date of earliest event reported): May 12, 2010</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WYNN RESORTS, LIMITED</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17"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3640" w:type="dxa"/>
            <w:vAlign w:val="bottom"/>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6"/>
              </w:rPr>
              <w:t>Nevada</w:t>
            </w:r>
          </w:p>
        </w:tc>
        <w:tc>
          <w:tcPr>
            <w:tcW w:w="296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000-50028</w:t>
            </w:r>
          </w:p>
        </w:tc>
        <w:tc>
          <w:tcPr>
            <w:tcW w:w="3320" w:type="dxa"/>
            <w:vAlign w:val="bottom"/>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46-0484987</w:t>
            </w:r>
          </w:p>
        </w:tc>
        <w:tc>
          <w:tcPr>
            <w:tcW w:w="0" w:type="dxa"/>
            <w:vAlign w:val="bottom"/>
          </w:tcPr>
          <w:p>
            <w:pPr>
              <w:spacing w:after="0"/>
              <w:rPr>
                <w:sz w:val="1"/>
                <w:szCs w:val="1"/>
                <w:color w:val="auto"/>
              </w:rPr>
            </w:pPr>
          </w:p>
        </w:tc>
      </w:tr>
      <w:tr>
        <w:trPr>
          <w:trHeight w:val="230"/>
        </w:trPr>
        <w:tc>
          <w:tcPr>
            <w:tcW w:w="364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296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332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(I.R.S. Employer Identification No.)</w:t>
            </w:r>
          </w:p>
        </w:tc>
        <w:tc>
          <w:tcPr>
            <w:tcW w:w="0" w:type="dxa"/>
            <w:vAlign w:val="bottom"/>
          </w:tcPr>
          <w:p>
            <w:pPr>
              <w:spacing w:after="0"/>
              <w:rPr>
                <w:sz w:val="1"/>
                <w:szCs w:val="1"/>
                <w:color w:val="auto"/>
              </w:rPr>
            </w:pPr>
          </w:p>
        </w:tc>
      </w:tr>
      <w:tr>
        <w:trPr>
          <w:trHeight w:val="258"/>
        </w:trPr>
        <w:tc>
          <w:tcPr>
            <w:tcW w:w="364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9"/>
              </w:rPr>
              <w:t>incorporation)</w:t>
            </w:r>
          </w:p>
        </w:tc>
        <w:tc>
          <w:tcPr>
            <w:tcW w:w="29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9"/>
        </w:trPr>
        <w:tc>
          <w:tcPr>
            <w:tcW w:w="3640" w:type="dxa"/>
            <w:vAlign w:val="bottom"/>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8"/>
              </w:rPr>
              <w:t>3131 Las Vegas Boulevard South</w:t>
            </w:r>
          </w:p>
        </w:tc>
        <w:tc>
          <w:tcPr>
            <w:tcW w:w="2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40" w:type="dxa"/>
            <w:vAlign w:val="bottom"/>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7"/>
              </w:rPr>
              <w:t>Las Vegas, Nevada</w:t>
            </w:r>
          </w:p>
        </w:tc>
        <w:tc>
          <w:tcPr>
            <w:tcW w:w="2960" w:type="dxa"/>
            <w:vAlign w:val="bottom"/>
          </w:tcPr>
          <w:p>
            <w:pPr>
              <w:spacing w:after="0"/>
              <w:rPr>
                <w:sz w:val="20"/>
                <w:szCs w:val="20"/>
                <w:color w:val="auto"/>
              </w:rPr>
            </w:pPr>
          </w:p>
        </w:tc>
        <w:tc>
          <w:tcPr>
            <w:tcW w:w="3320" w:type="dxa"/>
            <w:vAlign w:val="bottom"/>
          </w:tcPr>
          <w:p>
            <w:pPr>
              <w:jc w:val="right"/>
              <w:ind w:right="1081"/>
              <w:spacing w:after="0"/>
              <w:rPr>
                <w:sz w:val="20"/>
                <w:szCs w:val="20"/>
                <w:color w:val="auto"/>
              </w:rPr>
            </w:pPr>
            <w:r>
              <w:rPr>
                <w:rFonts w:ascii="Times New Roman" w:cs="Times New Roman" w:eastAsia="Times New Roman" w:hAnsi="Times New Roman"/>
                <w:sz w:val="20"/>
                <w:szCs w:val="20"/>
                <w:b w:val="1"/>
                <w:bCs w:val="1"/>
                <w:color w:val="auto"/>
              </w:rPr>
              <w:t>89109</w:t>
            </w:r>
          </w:p>
        </w:tc>
        <w:tc>
          <w:tcPr>
            <w:tcW w:w="0" w:type="dxa"/>
            <w:vAlign w:val="bottom"/>
          </w:tcPr>
          <w:p>
            <w:pPr>
              <w:spacing w:after="0"/>
              <w:rPr>
                <w:sz w:val="1"/>
                <w:szCs w:val="1"/>
                <w:color w:val="auto"/>
              </w:rPr>
            </w:pPr>
          </w:p>
        </w:tc>
      </w:tr>
      <w:tr>
        <w:trPr>
          <w:trHeight w:val="230"/>
        </w:trPr>
        <w:tc>
          <w:tcPr>
            <w:tcW w:w="364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9"/>
              </w:rPr>
              <w:t>(Address of principal executive offices of</w:t>
            </w:r>
          </w:p>
        </w:tc>
        <w:tc>
          <w:tcPr>
            <w:tcW w:w="2960" w:type="dxa"/>
            <w:vAlign w:val="bottom"/>
          </w:tcPr>
          <w:p>
            <w:pPr>
              <w:spacing w:after="0"/>
              <w:rPr>
                <w:sz w:val="19"/>
                <w:szCs w:val="19"/>
                <w:color w:val="auto"/>
              </w:rPr>
            </w:pPr>
          </w:p>
        </w:tc>
        <w:tc>
          <w:tcPr>
            <w:tcW w:w="332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7"/>
              </w:rPr>
              <w:t>(Zip Code)</w:t>
            </w:r>
          </w:p>
        </w:tc>
        <w:tc>
          <w:tcPr>
            <w:tcW w:w="0" w:type="dxa"/>
            <w:vAlign w:val="bottom"/>
          </w:tcPr>
          <w:p>
            <w:pPr>
              <w:spacing w:after="0"/>
              <w:rPr>
                <w:sz w:val="1"/>
                <w:szCs w:val="1"/>
                <w:color w:val="auto"/>
              </w:rPr>
            </w:pPr>
          </w:p>
        </w:tc>
      </w:tr>
      <w:tr>
        <w:trPr>
          <w:trHeight w:val="258"/>
        </w:trPr>
        <w:tc>
          <w:tcPr>
            <w:tcW w:w="364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8"/>
              </w:rPr>
              <w:t>each registrant)</w:t>
            </w: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(702) 770-7555</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2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is intended to simultaneously satisfy the filing obligation of the registrant under any of the following provisions:</w:t>
      </w:r>
    </w:p>
    <w:p>
      <w:pPr>
        <w:spacing w:after="0" w:line="187" w:lineRule="exact"/>
        <w:rPr>
          <w:sz w:val="24"/>
          <w:szCs w:val="24"/>
          <w:color w:val="auto"/>
        </w:rPr>
      </w:pPr>
    </w:p>
    <w:p>
      <w:pPr>
        <w:ind w:left="1020" w:hanging="1012"/>
        <w:spacing w:after="0"/>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communication pursuant to Rule 425 under the Securities Act (17 CFR 230.425)</w:t>
      </w:r>
    </w:p>
    <w:p>
      <w:pPr>
        <w:spacing w:after="0" w:line="215" w:lineRule="exact"/>
        <w:rPr>
          <w:rFonts w:ascii="Times New Roman" w:cs="Times New Roman" w:eastAsia="Times New Roman" w:hAnsi="Times New Roman"/>
          <w:sz w:val="20"/>
          <w:szCs w:val="20"/>
          <w:color w:val="auto"/>
        </w:rPr>
      </w:pPr>
    </w:p>
    <w:p>
      <w:pPr>
        <w:ind w:left="1020" w:hanging="1012"/>
        <w:spacing w:after="0"/>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15" w:lineRule="exact"/>
        <w:rPr>
          <w:rFonts w:ascii="Times New Roman" w:cs="Times New Roman" w:eastAsia="Times New Roman" w:hAnsi="Times New Roman"/>
          <w:sz w:val="20"/>
          <w:szCs w:val="20"/>
          <w:color w:val="auto"/>
        </w:rPr>
      </w:pPr>
    </w:p>
    <w:p>
      <w:pPr>
        <w:ind w:left="1020" w:hanging="1012"/>
        <w:spacing w:after="0"/>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15" w:lineRule="exact"/>
        <w:rPr>
          <w:rFonts w:ascii="Times New Roman" w:cs="Times New Roman" w:eastAsia="Times New Roman" w:hAnsi="Times New Roman"/>
          <w:sz w:val="20"/>
          <w:szCs w:val="20"/>
          <w:color w:val="auto"/>
        </w:rPr>
      </w:pPr>
    </w:p>
    <w:p>
      <w:pPr>
        <w:ind w:left="1020" w:hanging="1012"/>
        <w:spacing w:after="0"/>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3" w:right="239" w:bottom="1440" w:gutter="0" w:footer="0" w:header="0"/>
        </w:sectPr>
      </w:pPr>
    </w:p>
    <w:bookmarkStart w:id="1" w:name="page2"/>
    <w:bookmarkEnd w:id="1"/>
    <w:p>
      <w:pPr>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On May 12, 2010, Wynn Resorts, Limited (“WRL”) held its Annual Meeting of Stockholders. The following proposals were presented to a vote of the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Proposal No. 1 – </w:t>
      </w:r>
      <w:r>
        <w:rPr>
          <w:rFonts w:ascii="Times New Roman" w:cs="Times New Roman" w:eastAsia="Times New Roman" w:hAnsi="Times New Roman"/>
          <w:sz w:val="20"/>
          <w:szCs w:val="20"/>
          <w:color w:val="auto"/>
        </w:rPr>
        <w:t>Election of Directors (Class II)</w:t>
      </w:r>
    </w:p>
    <w:p>
      <w:pPr>
        <w:spacing w:after="0" w:line="247"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To elect the following four Class II directors to serve as such until the 2013 Annual Meeting of Stockholders and until their successors are elected and qualified, or until such director’s earlier death, resignation or removal: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Director</w:t>
            </w:r>
          </w:p>
        </w:tc>
        <w:tc>
          <w:tcPr>
            <w:tcW w:w="29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Votes For</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center"/>
              <w:ind w:right="820"/>
              <w:spacing w:after="0"/>
              <w:rPr>
                <w:sz w:val="20"/>
                <w:szCs w:val="20"/>
                <w:color w:val="auto"/>
              </w:rPr>
            </w:pPr>
            <w:r>
              <w:rPr>
                <w:rFonts w:ascii="Times New Roman" w:cs="Times New Roman" w:eastAsia="Times New Roman" w:hAnsi="Times New Roman"/>
                <w:sz w:val="20"/>
                <w:szCs w:val="20"/>
                <w:b w:val="1"/>
                <w:bCs w:val="1"/>
                <w:color w:val="auto"/>
                <w:w w:val="96"/>
              </w:rPr>
              <w:t>Votes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Broker</w:t>
            </w:r>
          </w:p>
        </w:tc>
      </w:tr>
      <w:tr>
        <w:trPr>
          <w:trHeight w:val="20"/>
        </w:trPr>
        <w:tc>
          <w:tcPr>
            <w:tcW w:w="7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4"/>
          </w:tcPr>
          <w:p>
            <w:pPr>
              <w:jc w:val="center"/>
              <w:ind w:right="660"/>
              <w:spacing w:after="0" w:line="209" w:lineRule="exact"/>
              <w:rPr>
                <w:sz w:val="20"/>
                <w:szCs w:val="20"/>
                <w:color w:val="auto"/>
              </w:rPr>
            </w:pPr>
            <w:r>
              <w:rPr>
                <w:rFonts w:ascii="Times New Roman" w:cs="Times New Roman" w:eastAsia="Times New Roman" w:hAnsi="Times New Roman"/>
                <w:sz w:val="20"/>
                <w:szCs w:val="20"/>
                <w:b w:val="1"/>
                <w:bCs w:val="1"/>
                <w:color w:val="auto"/>
                <w:w w:val="97"/>
              </w:rPr>
              <w:t>Withheld</w:t>
            </w:r>
          </w:p>
        </w:tc>
        <w:tc>
          <w:tcPr>
            <w:tcW w:w="1460" w:type="dxa"/>
            <w:vAlign w:val="bottom"/>
            <w:gridSpan w:val="4"/>
          </w:tcPr>
          <w:p>
            <w:pPr>
              <w:jc w:val="center"/>
              <w:ind w:left="501"/>
              <w:spacing w:after="0" w:line="209" w:lineRule="exact"/>
              <w:rPr>
                <w:sz w:val="20"/>
                <w:szCs w:val="20"/>
                <w:color w:val="auto"/>
              </w:rPr>
            </w:pPr>
            <w:r>
              <w:rPr>
                <w:rFonts w:ascii="Times New Roman" w:cs="Times New Roman" w:eastAsia="Times New Roman" w:hAnsi="Times New Roman"/>
                <w:sz w:val="20"/>
                <w:szCs w:val="20"/>
                <w:b w:val="1"/>
                <w:bCs w:val="1"/>
                <w:color w:val="auto"/>
                <w:w w:val="95"/>
              </w:rPr>
              <w:t>Non-Votes</w:t>
            </w:r>
          </w:p>
        </w:tc>
      </w:tr>
      <w:tr>
        <w:trPr>
          <w:trHeight w:val="20"/>
        </w:trPr>
        <w:tc>
          <w:tcPr>
            <w:tcW w:w="368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486"/>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Stephen A. Wynn</w:t>
            </w:r>
          </w:p>
        </w:tc>
        <w:tc>
          <w:tcPr>
            <w:tcW w:w="3660" w:type="dxa"/>
            <w:vAlign w:val="bottom"/>
            <w:gridSpan w:val="3"/>
          </w:tcPr>
          <w:p>
            <w:pPr>
              <w:jc w:val="center"/>
              <w:ind w:left="1341"/>
              <w:spacing w:after="0"/>
              <w:rPr>
                <w:sz w:val="20"/>
                <w:szCs w:val="20"/>
                <w:color w:val="auto"/>
              </w:rPr>
            </w:pPr>
            <w:r>
              <w:rPr>
                <w:rFonts w:ascii="Times New Roman" w:cs="Times New Roman" w:eastAsia="Times New Roman" w:hAnsi="Times New Roman"/>
                <w:sz w:val="20"/>
                <w:szCs w:val="20"/>
                <w:color w:val="auto"/>
                <w:w w:val="97"/>
              </w:rPr>
              <w:t>103,516,663</w:t>
            </w: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1,499,877</w:t>
            </w:r>
          </w:p>
        </w:tc>
        <w:tc>
          <w:tcPr>
            <w:tcW w:w="1460" w:type="dxa"/>
            <w:vAlign w:val="bottom"/>
            <w:gridSpan w:val="4"/>
          </w:tcPr>
          <w:p>
            <w:pPr>
              <w:jc w:val="center"/>
              <w:ind w:left="501"/>
              <w:spacing w:after="0"/>
              <w:rPr>
                <w:sz w:val="20"/>
                <w:szCs w:val="20"/>
                <w:color w:val="auto"/>
              </w:rPr>
            </w:pPr>
            <w:r>
              <w:rPr>
                <w:rFonts w:ascii="Times New Roman" w:cs="Times New Roman" w:eastAsia="Times New Roman" w:hAnsi="Times New Roman"/>
                <w:sz w:val="20"/>
                <w:szCs w:val="20"/>
                <w:color w:val="auto"/>
                <w:w w:val="97"/>
              </w:rPr>
              <w:t>6,198,764</w:t>
            </w:r>
          </w:p>
        </w:tc>
      </w:tr>
      <w:tr>
        <w:trPr>
          <w:trHeight w:val="459"/>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Ray R. Irani</w:t>
            </w:r>
          </w:p>
        </w:tc>
        <w:tc>
          <w:tcPr>
            <w:tcW w:w="3660" w:type="dxa"/>
            <w:vAlign w:val="bottom"/>
            <w:gridSpan w:val="3"/>
          </w:tcPr>
          <w:p>
            <w:pPr>
              <w:jc w:val="center"/>
              <w:ind w:left="1341"/>
              <w:spacing w:after="0"/>
              <w:rPr>
                <w:sz w:val="20"/>
                <w:szCs w:val="20"/>
                <w:color w:val="auto"/>
              </w:rPr>
            </w:pPr>
            <w:r>
              <w:rPr>
                <w:rFonts w:ascii="Times New Roman" w:cs="Times New Roman" w:eastAsia="Times New Roman" w:hAnsi="Times New Roman"/>
                <w:sz w:val="20"/>
                <w:szCs w:val="20"/>
                <w:color w:val="auto"/>
                <w:w w:val="99"/>
              </w:rPr>
              <w:t>87,734,048</w:t>
            </w: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17,282,492</w:t>
            </w:r>
          </w:p>
        </w:tc>
        <w:tc>
          <w:tcPr>
            <w:tcW w:w="1460" w:type="dxa"/>
            <w:vAlign w:val="bottom"/>
            <w:gridSpan w:val="4"/>
          </w:tcPr>
          <w:p>
            <w:pPr>
              <w:jc w:val="center"/>
              <w:ind w:left="501"/>
              <w:spacing w:after="0"/>
              <w:rPr>
                <w:sz w:val="20"/>
                <w:szCs w:val="20"/>
                <w:color w:val="auto"/>
              </w:rPr>
            </w:pPr>
            <w:r>
              <w:rPr>
                <w:rFonts w:ascii="Times New Roman" w:cs="Times New Roman" w:eastAsia="Times New Roman" w:hAnsi="Times New Roman"/>
                <w:sz w:val="20"/>
                <w:szCs w:val="20"/>
                <w:color w:val="auto"/>
                <w:w w:val="97"/>
              </w:rPr>
              <w:t>6,198,764</w:t>
            </w:r>
          </w:p>
        </w:tc>
      </w:tr>
      <w:tr>
        <w:trPr>
          <w:trHeight w:val="459"/>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Alvin V. Shoemaker</w:t>
            </w:r>
          </w:p>
        </w:tc>
        <w:tc>
          <w:tcPr>
            <w:tcW w:w="3660" w:type="dxa"/>
            <w:vAlign w:val="bottom"/>
            <w:gridSpan w:val="3"/>
          </w:tcPr>
          <w:p>
            <w:pPr>
              <w:jc w:val="center"/>
              <w:ind w:left="1341"/>
              <w:spacing w:after="0"/>
              <w:rPr>
                <w:sz w:val="20"/>
                <w:szCs w:val="20"/>
                <w:color w:val="auto"/>
              </w:rPr>
            </w:pPr>
            <w:r>
              <w:rPr>
                <w:rFonts w:ascii="Times New Roman" w:cs="Times New Roman" w:eastAsia="Times New Roman" w:hAnsi="Times New Roman"/>
                <w:sz w:val="20"/>
                <w:szCs w:val="20"/>
                <w:color w:val="auto"/>
                <w:w w:val="99"/>
              </w:rPr>
              <w:t>87,752,240</w:t>
            </w: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17,264,300</w:t>
            </w:r>
          </w:p>
        </w:tc>
        <w:tc>
          <w:tcPr>
            <w:tcW w:w="1460" w:type="dxa"/>
            <w:vAlign w:val="bottom"/>
            <w:gridSpan w:val="4"/>
          </w:tcPr>
          <w:p>
            <w:pPr>
              <w:jc w:val="center"/>
              <w:ind w:left="501"/>
              <w:spacing w:after="0"/>
              <w:rPr>
                <w:sz w:val="20"/>
                <w:szCs w:val="20"/>
                <w:color w:val="auto"/>
              </w:rPr>
            </w:pPr>
            <w:r>
              <w:rPr>
                <w:rFonts w:ascii="Times New Roman" w:cs="Times New Roman" w:eastAsia="Times New Roman" w:hAnsi="Times New Roman"/>
                <w:sz w:val="20"/>
                <w:szCs w:val="20"/>
                <w:color w:val="auto"/>
                <w:w w:val="97"/>
              </w:rPr>
              <w:t>6,198,764</w:t>
            </w:r>
          </w:p>
        </w:tc>
      </w:tr>
      <w:tr>
        <w:trPr>
          <w:trHeight w:val="459"/>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 Boone Wayson</w:t>
            </w:r>
          </w:p>
        </w:tc>
        <w:tc>
          <w:tcPr>
            <w:tcW w:w="3660" w:type="dxa"/>
            <w:vAlign w:val="bottom"/>
            <w:gridSpan w:val="3"/>
          </w:tcPr>
          <w:p>
            <w:pPr>
              <w:jc w:val="center"/>
              <w:ind w:left="1341"/>
              <w:spacing w:after="0"/>
              <w:rPr>
                <w:sz w:val="20"/>
                <w:szCs w:val="20"/>
                <w:color w:val="auto"/>
              </w:rPr>
            </w:pPr>
            <w:r>
              <w:rPr>
                <w:rFonts w:ascii="Times New Roman" w:cs="Times New Roman" w:eastAsia="Times New Roman" w:hAnsi="Times New Roman"/>
                <w:sz w:val="20"/>
                <w:szCs w:val="20"/>
                <w:color w:val="auto"/>
                <w:w w:val="99"/>
              </w:rPr>
              <w:t>87,731,030</w:t>
            </w: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17,285,510</w:t>
            </w:r>
          </w:p>
        </w:tc>
        <w:tc>
          <w:tcPr>
            <w:tcW w:w="1460" w:type="dxa"/>
            <w:vAlign w:val="bottom"/>
            <w:gridSpan w:val="4"/>
          </w:tcPr>
          <w:p>
            <w:pPr>
              <w:jc w:val="center"/>
              <w:ind w:left="501"/>
              <w:spacing w:after="0"/>
              <w:rPr>
                <w:sz w:val="20"/>
                <w:szCs w:val="20"/>
                <w:color w:val="auto"/>
              </w:rPr>
            </w:pPr>
            <w:r>
              <w:rPr>
                <w:rFonts w:ascii="Times New Roman" w:cs="Times New Roman" w:eastAsia="Times New Roman" w:hAnsi="Times New Roman"/>
                <w:sz w:val="20"/>
                <w:szCs w:val="20"/>
                <w:color w:val="auto"/>
                <w:w w:val="97"/>
              </w:rPr>
              <w:t>6,198,764</w:t>
            </w:r>
          </w:p>
        </w:tc>
      </w:tr>
    </w:tbl>
    <w:p>
      <w:pPr>
        <w:spacing w:after="0" w:line="21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The following Class I directors remain in office with their term expiring in 2012 – Linda Chen, John A. Moran and Elaine P. Wynn. The following Class III directors remain in office with their term expiring in 2011 – Russell Goldsmith, Kazuo Okada, Robert J. Miller and Allan Zeman.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Proposal No. 2 </w:t>
      </w:r>
      <w:r>
        <w:rPr>
          <w:rFonts w:ascii="Times New Roman" w:cs="Times New Roman" w:eastAsia="Times New Roman" w:hAnsi="Times New Roman"/>
          <w:sz w:val="20"/>
          <w:szCs w:val="20"/>
          <w:color w:val="auto"/>
        </w:rPr>
        <w:t>– Amendments to WRL’s 2002 Stock Incentive Plan</w:t>
      </w:r>
    </w:p>
    <w:p>
      <w:pPr>
        <w:spacing w:after="0" w:line="247"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To approve amendments to WRL’s 2002 Stock Incentive Plan to increase the number of shares of WRL’s common stock subject to the 2002 Stock Incentive Plan from 9,750,000 shares to 12,750,000 shares, to extend the term of the Plan to 2022, and to remove the ability of the Administrator to reprice stock options:</w:t>
      </w:r>
    </w:p>
    <w:p>
      <w:pPr>
        <w:spacing w:after="0" w:line="18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600" w:type="dxa"/>
            <w:vAlign w:val="bottom"/>
            <w:gridSpan w:val="2"/>
          </w:tcPr>
          <w:p>
            <w:pPr>
              <w:jc w:val="center"/>
              <w:ind w:right="1300"/>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1080" w:type="dxa"/>
            <w:vAlign w:val="bottom"/>
          </w:tcPr>
          <w:p>
            <w:pPr>
              <w:spacing w:after="0"/>
              <w:rPr>
                <w:sz w:val="19"/>
                <w:szCs w:val="19"/>
                <w:color w:val="auto"/>
              </w:rPr>
            </w:pPr>
          </w:p>
        </w:tc>
        <w:tc>
          <w:tcPr>
            <w:tcW w:w="1780" w:type="dxa"/>
            <w:vAlign w:val="bottom"/>
            <w:gridSpan w:val="2"/>
          </w:tcPr>
          <w:p>
            <w:pPr>
              <w:jc w:val="center"/>
              <w:ind w:right="114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3480" w:type="dxa"/>
            <w:vAlign w:val="bottom"/>
            <w:gridSpan w:val="3"/>
          </w:tcPr>
          <w:p>
            <w:pPr>
              <w:jc w:val="center"/>
              <w:ind w:right="700"/>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56"/>
        </w:trPr>
        <w:tc>
          <w:tcPr>
            <w:tcW w:w="1900" w:type="dxa"/>
            <w:vAlign w:val="bottom"/>
            <w:gridSpan w:val="3"/>
          </w:tcPr>
          <w:p>
            <w:pPr>
              <w:jc w:val="right"/>
              <w:ind w:right="1000"/>
              <w:spacing w:after="0"/>
              <w:rPr>
                <w:sz w:val="20"/>
                <w:szCs w:val="20"/>
                <w:color w:val="auto"/>
              </w:rPr>
            </w:pPr>
            <w:r>
              <w:rPr>
                <w:rFonts w:ascii="Times New Roman" w:cs="Times New Roman" w:eastAsia="Times New Roman" w:hAnsi="Times New Roman"/>
                <w:sz w:val="20"/>
                <w:szCs w:val="20"/>
                <w:color w:val="auto"/>
                <w:w w:val="97"/>
              </w:rPr>
              <w:t>97,375,281</w:t>
            </w:r>
          </w:p>
        </w:tc>
        <w:tc>
          <w:tcPr>
            <w:tcW w:w="2860" w:type="dxa"/>
            <w:vAlign w:val="bottom"/>
            <w:gridSpan w:val="3"/>
          </w:tcPr>
          <w:p>
            <w:pPr>
              <w:jc w:val="right"/>
              <w:ind w:right="1060"/>
              <w:spacing w:after="0"/>
              <w:rPr>
                <w:sz w:val="20"/>
                <w:szCs w:val="20"/>
                <w:color w:val="auto"/>
              </w:rPr>
            </w:pPr>
            <w:r>
              <w:rPr>
                <w:rFonts w:ascii="Times New Roman" w:cs="Times New Roman" w:eastAsia="Times New Roman" w:hAnsi="Times New Roman"/>
                <w:sz w:val="20"/>
                <w:szCs w:val="20"/>
                <w:color w:val="auto"/>
              </w:rPr>
              <w:t>7,626,201</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14,690</w:t>
            </w:r>
          </w:p>
        </w:tc>
        <w:tc>
          <w:tcPr>
            <w:tcW w:w="1760" w:type="dxa"/>
            <w:vAlign w:val="bottom"/>
          </w:tcPr>
          <w:p>
            <w:pPr>
              <w:spacing w:after="0"/>
              <w:rPr>
                <w:sz w:val="22"/>
                <w:szCs w:val="22"/>
                <w:color w:val="auto"/>
              </w:rPr>
            </w:pPr>
          </w:p>
        </w:tc>
        <w:tc>
          <w:tcPr>
            <w:tcW w:w="15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6,199,132</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Proposal No. 3 </w:t>
      </w:r>
      <w:r>
        <w:rPr>
          <w:rFonts w:ascii="Times New Roman" w:cs="Times New Roman" w:eastAsia="Times New Roman" w:hAnsi="Times New Roman"/>
          <w:sz w:val="20"/>
          <w:szCs w:val="20"/>
          <w:color w:val="auto"/>
        </w:rPr>
        <w:t>– Ratification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ratify the Audit Committee’s appointment of Ernst &amp; Young LLP as the independent auditors for WRL and all of its subsidiaries for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19"/>
                <w:szCs w:val="19"/>
                <w:color w:val="auto"/>
              </w:rPr>
            </w:pPr>
          </w:p>
        </w:tc>
        <w:tc>
          <w:tcPr>
            <w:tcW w:w="2680" w:type="dxa"/>
            <w:vAlign w:val="bottom"/>
            <w:gridSpan w:val="2"/>
          </w:tcPr>
          <w:p>
            <w:pPr>
              <w:jc w:val="center"/>
              <w:ind w:right="2380"/>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4620" w:type="dxa"/>
            <w:vAlign w:val="bottom"/>
            <w:gridSpan w:val="3"/>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240" w:type="dxa"/>
            <w:vAlign w:val="bottom"/>
            <w:gridSpan w:val="2"/>
          </w:tcPr>
          <w:p>
            <w:pPr>
              <w:jc w:val="center"/>
              <w:ind w:right="720"/>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0"/>
        </w:trPr>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6"/>
        </w:trPr>
        <w:tc>
          <w:tcPr>
            <w:tcW w:w="3920" w:type="dxa"/>
            <w:vAlign w:val="bottom"/>
            <w:gridSpan w:val="3"/>
          </w:tcPr>
          <w:p>
            <w:pPr>
              <w:jc w:val="right"/>
              <w:ind w:right="2040"/>
              <w:spacing w:after="0"/>
              <w:rPr>
                <w:sz w:val="20"/>
                <w:szCs w:val="20"/>
                <w:color w:val="auto"/>
              </w:rPr>
            </w:pPr>
            <w:r>
              <w:rPr>
                <w:rFonts w:ascii="Times New Roman" w:cs="Times New Roman" w:eastAsia="Times New Roman" w:hAnsi="Times New Roman"/>
                <w:sz w:val="20"/>
                <w:szCs w:val="20"/>
                <w:color w:val="auto"/>
              </w:rPr>
              <w:t>111,137,009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63,635</w:t>
            </w:r>
          </w:p>
        </w:tc>
        <w:tc>
          <w:tcPr>
            <w:tcW w:w="2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14,298</w:t>
            </w:r>
          </w:p>
        </w:tc>
        <w:tc>
          <w:tcPr>
            <w:tcW w:w="1760" w:type="dxa"/>
            <w:vAlign w:val="bottom"/>
          </w:tcPr>
          <w:p>
            <w:pPr>
              <w:spacing w:after="0"/>
              <w:rPr>
                <w:sz w:val="22"/>
                <w:szCs w:val="22"/>
                <w:color w:val="auto"/>
              </w:rPr>
            </w:pPr>
          </w:p>
        </w:tc>
        <w:tc>
          <w:tcPr>
            <w:tcW w:w="152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362</w:t>
            </w:r>
          </w:p>
        </w:tc>
        <w:tc>
          <w:tcPr>
            <w:tcW w:w="720" w:type="dxa"/>
            <w:vAlign w:val="bottom"/>
          </w:tcPr>
          <w:p>
            <w:pPr>
              <w:spacing w:after="0"/>
              <w:rPr>
                <w:sz w:val="22"/>
                <w:szCs w:val="22"/>
                <w:color w:val="auto"/>
              </w:rPr>
            </w:pPr>
          </w:p>
        </w:tc>
      </w:tr>
      <w:tr>
        <w:trPr>
          <w:trHeight w:val="896"/>
        </w:trPr>
        <w:tc>
          <w:tcPr>
            <w:tcW w:w="1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3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6"/>
              </w:rPr>
              <w:t>May 13, 2010</w:t>
            </w:r>
          </w:p>
        </w:tc>
      </w:tr>
    </w:tbl>
    <w:p>
      <w:pPr>
        <w:spacing w:after="0" w:line="2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By:/s/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11430</wp:posOffset>
            </wp:positionV>
            <wp:extent cx="23152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Matt Maddox</w:t>
      </w:r>
    </w:p>
    <w:p>
      <w:pPr>
        <w:ind w:left="6180"/>
        <w:spacing w:after="0" w:line="232" w:lineRule="auto"/>
        <w:rPr>
          <w:sz w:val="20"/>
          <w:szCs w:val="20"/>
          <w:color w:val="auto"/>
        </w:rPr>
      </w:pPr>
      <w:r>
        <w:rPr>
          <w:rFonts w:ascii="Times New Roman" w:cs="Times New Roman" w:eastAsia="Times New Roman" w:hAnsi="Times New Roman"/>
          <w:sz w:val="22"/>
          <w:szCs w:val="22"/>
          <w:color w:val="auto"/>
        </w:rPr>
        <w:t>Chief Financial Officer and</w:t>
      </w:r>
    </w:p>
    <w:p>
      <w:pPr>
        <w:ind w:left="6180"/>
        <w:spacing w:after="0"/>
        <w:rPr>
          <w:sz w:val="20"/>
          <w:szCs w:val="20"/>
          <w:color w:val="auto"/>
        </w:rPr>
      </w:pPr>
      <w:r>
        <w:rPr>
          <w:rFonts w:ascii="Times New Roman" w:cs="Times New Roman" w:eastAsia="Times New Roman" w:hAnsi="Times New Roman"/>
          <w:sz w:val="22"/>
          <w:szCs w:val="22"/>
          <w:color w:val="auto"/>
        </w:rPr>
        <w:t>Treasurer</w:t>
      </w:r>
    </w:p>
    <w:sectPr>
      <w:pgSz w:w="11900" w:h="16838" w:orient="portrait"/>
      <w:cols w:equalWidth="0" w:num="1">
        <w:col w:w="11420"/>
      </w:cols>
      <w:pgMar w:left="240" w:top="7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2019-12-15T05:44:52Z</dcterms:created>
  <dcterms:modified xsi:type="dcterms:W3CDTF">2019-12-15T05:44:52Z</dcterms:modified>
</cp:coreProperties>
</file>