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150495</wp:posOffset>
            </wp:positionH>
            <wp:positionV relativeFrom="page">
              <wp:posOffset>150495</wp:posOffset>
            </wp:positionV>
            <wp:extent cx="726059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22860"/>
                    </a:xfrm>
                    <a:prstGeom prst="rect">
                      <a:avLst/>
                    </a:prstGeom>
                    <a:noFill/>
                  </pic:spPr>
                </pic:pic>
              </a:graphicData>
            </a:graphic>
          </wp:anchor>
        </w:drawing>
        <w:drawing>
          <wp:anchor simplePos="0" relativeHeight="251657728" behindDoc="1" locked="0" layoutInCell="0" allowOverlap="1">
            <wp:simplePos x="0" y="0"/>
            <wp:positionH relativeFrom="page">
              <wp:posOffset>150495</wp:posOffset>
            </wp:positionH>
            <wp:positionV relativeFrom="page">
              <wp:posOffset>181610</wp:posOffset>
            </wp:positionV>
            <wp:extent cx="72605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7620"/>
                    </a:xfrm>
                    <a:prstGeom prst="rect">
                      <a:avLst/>
                    </a:prstGeom>
                    <a:noFill/>
                  </pic:spPr>
                </pic:pic>
              </a:graphicData>
            </a:graphic>
          </wp:anchor>
        </w:drawing>
        <w:t>UNITED STATES</w:t>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Washington, D.C. 20549</w:t>
      </w:r>
    </w:p>
    <w:p>
      <w:pPr>
        <w:spacing w:after="0" w:line="184" w:lineRule="exact"/>
        <w:rPr>
          <w:sz w:val="24"/>
          <w:szCs w:val="24"/>
          <w:color w:val="auto"/>
        </w:rPr>
      </w:pPr>
    </w:p>
    <w:p>
      <w:pPr>
        <w:jc w:val="center"/>
        <w:ind w:right="-82"/>
        <w:spacing w:after="0"/>
        <w:rPr>
          <w:sz w:val="20"/>
          <w:szCs w:val="20"/>
          <w:color w:val="auto"/>
        </w:rPr>
      </w:pPr>
      <w:r>
        <w:rPr>
          <w:rFonts w:ascii="Arial" w:cs="Arial" w:eastAsia="Arial" w:hAnsi="Arial"/>
          <w:sz w:val="23"/>
          <w:szCs w:val="23"/>
          <w:b w:val="1"/>
          <w:bCs w:val="1"/>
          <w:color w:val="auto"/>
        </w:rPr>
        <w:t>SCHEDULE 14A</w:t>
      </w:r>
    </w:p>
    <w:p>
      <w:pPr>
        <w:spacing w:after="0" w:line="202"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(Rule 14a-101)</w:t>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SCHEDULE 14A INFORMATION</w:t>
      </w:r>
    </w:p>
    <w:p>
      <w:pPr>
        <w:spacing w:after="0" w:line="192"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Proxy Statement Pursuant to Section 14(a) of</w:t>
      </w:r>
    </w:p>
    <w:p>
      <w:pPr>
        <w:spacing w:after="0" w:line="22"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the Securities Exchange Act of 1934 (Amendment No.  )</w:t>
      </w:r>
    </w:p>
    <w:p>
      <w:pPr>
        <w:spacing w:after="0" w:line="162"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4" w:lineRule="exact"/>
        <w:rPr>
          <w:sz w:val="24"/>
          <w:szCs w:val="24"/>
          <w:color w:val="auto"/>
        </w:rPr>
      </w:pPr>
    </w:p>
    <w:p>
      <w:pPr>
        <w:ind w:left="3"/>
        <w:spacing w:after="0"/>
        <w:rPr>
          <w:sz w:val="20"/>
          <w:szCs w:val="20"/>
          <w:color w:val="auto"/>
        </w:rPr>
      </w:pPr>
      <w:r>
        <w:rPr>
          <w:rFonts w:ascii="Arial" w:cs="Arial" w:eastAsia="Arial" w:hAnsi="Arial"/>
          <w:sz w:val="16"/>
          <w:szCs w:val="16"/>
          <w:color w:val="auto"/>
        </w:rPr>
        <w:t>Check the appropriate box:</w:t>
      </w:r>
    </w:p>
    <w:p>
      <w:pPr>
        <w:spacing w:after="0" w:line="229" w:lineRule="exact"/>
        <w:rPr>
          <w:sz w:val="24"/>
          <w:szCs w:val="24"/>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24" w:lineRule="exact"/>
        <w:rPr>
          <w:rFonts w:ascii="MS PGothic" w:cs="MS PGothic" w:eastAsia="MS PGothic" w:hAnsi="MS PGothic"/>
          <w:sz w:val="16"/>
          <w:szCs w:val="16"/>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32" w:lineRule="exact"/>
        <w:rPr>
          <w:rFonts w:ascii="MS PGothic" w:cs="MS PGothic" w:eastAsia="MS PGothic" w:hAnsi="MS PGothic"/>
          <w:sz w:val="16"/>
          <w:szCs w:val="16"/>
          <w:color w:val="auto"/>
        </w:rPr>
      </w:pPr>
    </w:p>
    <w:p>
      <w:pPr>
        <w:ind w:left="583" w:hanging="583"/>
        <w:spacing w:after="0"/>
        <w:tabs>
          <w:tab w:leader="none" w:pos="58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29" w:lineRule="exact"/>
        <w:rPr>
          <w:sz w:val="24"/>
          <w:szCs w:val="24"/>
          <w:color w:val="auto"/>
        </w:rPr>
      </w:pPr>
    </w:p>
    <w:p>
      <w:pPr>
        <w:ind w:left="583" w:hanging="583"/>
        <w:spacing w:after="0"/>
        <w:tabs>
          <w:tab w:leader="none" w:pos="583"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29" w:lineRule="exact"/>
        <w:rPr>
          <w:sz w:val="24"/>
          <w:szCs w:val="24"/>
          <w:color w:val="auto"/>
        </w:rPr>
      </w:pPr>
    </w:p>
    <w:p>
      <w:pPr>
        <w:ind w:left="583" w:hanging="583"/>
        <w:spacing w:after="0"/>
        <w:tabs>
          <w:tab w:leader="none" w:pos="583"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11" w:lineRule="exact"/>
        <w:rPr>
          <w:sz w:val="24"/>
          <w:szCs w:val="24"/>
          <w:color w:val="auto"/>
        </w:rPr>
      </w:pPr>
    </w:p>
    <w:p>
      <w:pPr>
        <w:jc w:val="center"/>
        <w:ind w:right="-82"/>
        <w:spacing w:after="0"/>
        <w:rPr>
          <w:sz w:val="20"/>
          <w:szCs w:val="20"/>
          <w:color w:val="auto"/>
        </w:rPr>
      </w:pPr>
      <w:r>
        <w:rPr>
          <w:rFonts w:ascii="Arial" w:cs="Arial" w:eastAsia="Arial" w:hAnsi="Arial"/>
          <w:sz w:val="26"/>
          <w:szCs w:val="26"/>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605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26"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jc w:val="center"/>
        <w:ind w:right="-82"/>
        <w:spacing w:after="0"/>
        <w:rPr>
          <w:sz w:val="20"/>
          <w:szCs w:val="20"/>
          <w:color w:val="auto"/>
        </w:rPr>
      </w:pPr>
      <w:r>
        <w:rPr>
          <w:rFonts w:ascii="Arial" w:cs="Arial" w:eastAsia="Arial" w:hAnsi="Arial"/>
          <w:sz w:val="16"/>
          <w:szCs w:val="16"/>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605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18" w:lineRule="exact"/>
        <w:rPr>
          <w:sz w:val="24"/>
          <w:szCs w:val="24"/>
          <w:color w:val="auto"/>
        </w:rPr>
      </w:pPr>
    </w:p>
    <w:p>
      <w:pPr>
        <w:jc w:val="center"/>
        <w:ind w:right="-82"/>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4" w:lineRule="exact"/>
        <w:rPr>
          <w:sz w:val="24"/>
          <w:szCs w:val="24"/>
          <w:color w:val="auto"/>
        </w:rPr>
      </w:pPr>
    </w:p>
    <w:p>
      <w:pPr>
        <w:ind w:left="3"/>
        <w:spacing w:after="0"/>
        <w:rPr>
          <w:sz w:val="20"/>
          <w:szCs w:val="20"/>
          <w:color w:val="auto"/>
        </w:rPr>
      </w:pPr>
      <w:r>
        <w:rPr>
          <w:rFonts w:ascii="Arial" w:cs="Arial" w:eastAsia="Arial" w:hAnsi="Arial"/>
          <w:sz w:val="16"/>
          <w:szCs w:val="16"/>
          <w:color w:val="auto"/>
        </w:rPr>
        <w:t>Payment of Filing Fee (Check the appropriate box):</w:t>
      </w:r>
    </w:p>
    <w:p>
      <w:pPr>
        <w:spacing w:after="0" w:line="204" w:lineRule="exact"/>
        <w:rPr>
          <w:sz w:val="24"/>
          <w:szCs w:val="24"/>
          <w:color w:val="auto"/>
        </w:rPr>
      </w:pPr>
    </w:p>
    <w:p>
      <w:pPr>
        <w:ind w:left="583" w:hanging="583"/>
        <w:spacing w:after="0"/>
        <w:tabs>
          <w:tab w:leader="none" w:pos="583"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29" w:lineRule="exact"/>
        <w:rPr>
          <w:sz w:val="24"/>
          <w:szCs w:val="24"/>
          <w:color w:val="auto"/>
        </w:rPr>
      </w:pPr>
    </w:p>
    <w:p>
      <w:pPr>
        <w:ind w:left="583" w:hanging="583"/>
        <w:spacing w:after="0"/>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28" w:lineRule="exact"/>
        <w:rPr>
          <w:rFonts w:ascii="MS PGothic" w:cs="MS PGothic" w:eastAsia="MS PGothic" w:hAnsi="MS PGothic"/>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68" w:lineRule="exact"/>
        <w:rPr>
          <w:rFonts w:ascii="Arial" w:cs="Arial" w:eastAsia="Arial" w:hAnsi="Arial"/>
          <w:sz w:val="16"/>
          <w:szCs w:val="16"/>
          <w:color w:val="auto"/>
        </w:rPr>
      </w:pPr>
    </w:p>
    <w:p>
      <w:pPr>
        <w:ind w:left="1163" w:right="580" w:hanging="580"/>
        <w:spacing w:after="0" w:line="282" w:lineRule="auto"/>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3"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62" w:lineRule="exact"/>
        <w:rPr>
          <w:rFonts w:ascii="Arial" w:cs="Arial" w:eastAsia="Arial" w:hAnsi="Arial"/>
          <w:sz w:val="16"/>
          <w:szCs w:val="16"/>
          <w:color w:val="auto"/>
        </w:rPr>
      </w:pPr>
    </w:p>
    <w:p>
      <w:pPr>
        <w:ind w:left="583" w:hanging="583"/>
        <w:spacing w:after="0"/>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4" w:lineRule="exact"/>
        <w:rPr>
          <w:rFonts w:ascii="MS PGothic" w:cs="MS PGothic" w:eastAsia="MS PGothic" w:hAnsi="MS PGothic"/>
          <w:sz w:val="16"/>
          <w:szCs w:val="16"/>
          <w:color w:val="auto"/>
        </w:rPr>
      </w:pPr>
    </w:p>
    <w:p>
      <w:pPr>
        <w:ind w:left="583" w:hanging="583"/>
        <w:spacing w:after="0" w:line="282" w:lineRule="auto"/>
        <w:tabs>
          <w:tab w:leader="none" w:pos="583"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rFonts w:ascii="MS PGothic" w:cs="MS PGothic" w:eastAsia="MS PGothic" w:hAnsi="MS PGothic"/>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68" w:lineRule="exact"/>
        <w:rPr>
          <w:rFonts w:ascii="Arial" w:cs="Arial" w:eastAsia="Arial" w:hAnsi="Arial"/>
          <w:sz w:val="16"/>
          <w:szCs w:val="16"/>
          <w:color w:val="auto"/>
        </w:rPr>
      </w:pPr>
    </w:p>
    <w:p>
      <w:pPr>
        <w:ind w:left="1163" w:hanging="580"/>
        <w:spacing w:after="0"/>
        <w:tabs>
          <w:tab w:leader="none" w:pos="1163"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739775</wp:posOffset>
            </wp:positionH>
            <wp:positionV relativeFrom="paragraph">
              <wp:posOffset>-2566670</wp:posOffset>
            </wp:positionV>
            <wp:extent cx="652081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-2343150</wp:posOffset>
            </wp:positionV>
            <wp:extent cx="652081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-1996440</wp:posOffset>
            </wp:positionV>
            <wp:extent cx="652081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-1772920</wp:posOffset>
            </wp:positionV>
            <wp:extent cx="652081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-1549400</wp:posOffset>
            </wp:positionV>
            <wp:extent cx="652081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-570865</wp:posOffset>
            </wp:positionV>
            <wp:extent cx="652081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-347345</wp:posOffset>
            </wp:positionV>
            <wp:extent cx="652081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-123825</wp:posOffset>
            </wp:positionV>
            <wp:extent cx="65208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739775</wp:posOffset>
            </wp:positionH>
            <wp:positionV relativeFrom="paragraph">
              <wp:posOffset>99060</wp:posOffset>
            </wp:positionV>
            <wp:extent cx="65208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081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238125</wp:posOffset>
            </wp:positionV>
            <wp:extent cx="72605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26059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661670</wp:posOffset>
            </wp:positionV>
            <wp:extent cx="72605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343"/>
          </w:cols>
          <w:pgMar w:left="237" w:top="499" w:right="319" w:bottom="1440" w:gutter="0" w:footer="0" w:header="0"/>
        </w:sectPr>
      </w:pPr>
    </w:p>
    <w:bookmarkStart w:id="1" w:name="page2"/>
    <w:bookmarkEnd w:id="1"/>
    <w:p>
      <w:pPr>
        <w:ind w:right="100"/>
        <w:spacing w:after="0" w:line="262" w:lineRule="auto"/>
        <w:rPr>
          <w:sz w:val="20"/>
          <w:szCs w:val="20"/>
          <w:color w:val="auto"/>
        </w:rPr>
      </w:pPr>
      <w:r>
        <w:rPr>
          <w:rFonts w:ascii="Arial" w:cs="Arial" w:eastAsia="Arial" w:hAnsi="Arial"/>
          <w:sz w:val="16"/>
          <w:szCs w:val="16"/>
          <w:color w:val="auto"/>
        </w:rPr>
        <w:t>On May 7, 2018, Elaine P. Wynn began to use an updated version of the “Restore Wynn” investor presentation in calls and meetings with other shareholders of Wynn Resorts, Limited (the “Company”). The only changes to the investor presentation filed with the U.S. Securities and Exchange Commission (the “SEC”) on May 2, 2018 are to slides 20 and 21, which were updated to reflect that the Company finally provided its Non-Objecting Beneficial Owner (NOBO) list after Ms. Wynn sued to obtain it. A copy of the updated investor presentation is filed herewith as Exhibit 99.1.</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Important Additional Information</w:t>
      </w:r>
    </w:p>
    <w:p>
      <w:pPr>
        <w:spacing w:after="0" w:line="208"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Elaine P. Wynn is a participant in the solicitation of proxies from the shareholders of Wynn Resorts, Limited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in connection with the Company’s 2018 annual meeting of shareholders. On April 27, 2018, Ms. Wynn filed a definitive proxy statement (the “</w:t>
      </w:r>
      <w:r>
        <w:rPr>
          <w:rFonts w:ascii="Arial" w:cs="Arial" w:eastAsia="Arial" w:hAnsi="Arial"/>
          <w:sz w:val="15"/>
          <w:szCs w:val="15"/>
          <w:b w:val="1"/>
          <w:bCs w:val="1"/>
          <w:i w:val="1"/>
          <w:iCs w:val="1"/>
          <w:color w:val="auto"/>
        </w:rPr>
        <w:t>Definitive Proxy Statement</w:t>
      </w:r>
      <w:r>
        <w:rPr>
          <w:rFonts w:ascii="Arial" w:cs="Arial" w:eastAsia="Arial" w:hAnsi="Arial"/>
          <w:sz w:val="15"/>
          <w:szCs w:val="15"/>
          <w:color w:val="auto"/>
        </w:rPr>
        <w:t xml:space="preserve">”) and form of </w:t>
      </w:r>
      <w:r>
        <w:rPr>
          <w:rFonts w:ascii="Arial" w:cs="Arial" w:eastAsia="Arial" w:hAnsi="Arial"/>
          <w:sz w:val="15"/>
          <w:szCs w:val="15"/>
          <w:b w:val="1"/>
          <w:bCs w:val="1"/>
          <w:color w:val="auto"/>
        </w:rPr>
        <w:t>BLUE</w:t>
      </w:r>
      <w:r>
        <w:rPr>
          <w:rFonts w:ascii="Arial" w:cs="Arial" w:eastAsia="Arial" w:hAnsi="Arial"/>
          <w:sz w:val="15"/>
          <w:szCs w:val="15"/>
          <w:color w:val="auto"/>
        </w:rPr>
        <w:t xml:space="preserve"> proxy card with the SEC in connection with such solicitation of proxies from the Company’s shareholders. A description of Ms. Wynn’s direct or indirect interests, by security holdings or otherwise, is contained in the Definitive Proxy Statement. MS. WYNN STRONGLY ENCOURAGES THE COMPANY’S SHAREHOLDERS TO READ THE DEFINITIVE PROXY STATEMENT, ACCOMPANYING </w:t>
      </w:r>
      <w:r>
        <w:rPr>
          <w:rFonts w:ascii="Arial" w:cs="Arial" w:eastAsia="Arial" w:hAnsi="Arial"/>
          <w:sz w:val="15"/>
          <w:szCs w:val="15"/>
          <w:b w:val="1"/>
          <w:bCs w:val="1"/>
          <w:color w:val="auto"/>
        </w:rPr>
        <w:t>BLUE</w:t>
      </w:r>
      <w:r>
        <w:rPr>
          <w:rFonts w:ascii="Arial" w:cs="Arial" w:eastAsia="Arial" w:hAnsi="Arial"/>
          <w:sz w:val="15"/>
          <w:szCs w:val="15"/>
          <w:color w:val="auto"/>
        </w:rPr>
        <w:t xml:space="preserve"> PROXY CARD AND OTHER PROXY MATERIALS BECAUSE THEY CONTAIN IMPORTANT INFORMATION. Shareholders may obtain the Definitive Proxy Statement and any other relevant documents at no charge from the SEC’s website at www.sec.gov or by contacting Ms. Wynn’s proxy solicitor MacKenzie Partners, Inc. at wynn@mackenziepartners.com or by calling toll-free (800) 322-2885 or collect (212) 929-5500.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3575050</wp:posOffset>
            </wp:positionV>
            <wp:extent cx="72605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2" w:name="page3"/>
    <w:bookmarkEnd w:id="2"/>
    <w:p>
      <w:pPr>
        <w:ind w:left="90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138430</wp:posOffset>
            </wp:positionV>
            <wp:extent cx="7317105" cy="4401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0" w:num="1">
            <w:col w:w="10240"/>
          </w:cols>
          <w:pgMar w:left="1440" w:top="115" w:right="2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396875</wp:posOffset>
            </wp:positionV>
            <wp:extent cx="7317105" cy="4401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8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105"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396875</wp:posOffset>
            </wp:positionV>
            <wp:extent cx="7317105" cy="4401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401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105"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150495</wp:posOffset>
            </wp:positionH>
            <wp:positionV relativeFrom="page">
              <wp:posOffset>397510</wp:posOffset>
            </wp:positionV>
            <wp:extent cx="7317105" cy="4316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105" cy="4316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2019-12-06T20:00:17Z</dcterms:created>
  <dcterms:modified xsi:type="dcterms:W3CDTF">2019-12-06T20:00:17Z</dcterms:modified>
</cp:coreProperties>
</file>