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398780</wp:posOffset>
            </wp:positionH>
            <wp:positionV relativeFrom="paragraph">
              <wp:posOffset>207645</wp:posOffset>
            </wp:positionV>
            <wp:extent cx="6458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8585" cy="8255"/>
                    </a:xfrm>
                    <a:prstGeom prst="rect">
                      <a:avLst/>
                    </a:prstGeom>
                    <a:noFill/>
                  </pic:spPr>
                </pic:pic>
              </a:graphicData>
            </a:graphic>
          </wp:anchor>
        </w:drawing>
      </w:r>
    </w:p>
    <w:p>
      <w:pPr>
        <w:spacing w:after="0" w:line="368"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262626"/>
        </w:rPr>
        <w:t>UNITED STATES</w:t>
      </w:r>
    </w:p>
    <w:p>
      <w:pPr>
        <w:spacing w:after="0" w:line="2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262626"/>
        </w:rPr>
        <w:t>SECURITIES AND EXCHANGE COMMISSION</w:t>
      </w:r>
    </w:p>
    <w:p>
      <w:pPr>
        <w:jc w:val="center"/>
        <w:ind w:right="-659"/>
        <w:spacing w:after="0"/>
        <w:rPr>
          <w:sz w:val="20"/>
          <w:szCs w:val="20"/>
          <w:color w:val="auto"/>
        </w:rPr>
      </w:pPr>
      <w:r>
        <w:rPr>
          <w:rFonts w:ascii="Arial" w:cs="Arial" w:eastAsia="Arial" w:hAnsi="Arial"/>
          <w:sz w:val="21"/>
          <w:szCs w:val="21"/>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398780</wp:posOffset>
            </wp:positionH>
            <wp:positionV relativeFrom="paragraph">
              <wp:posOffset>86360</wp:posOffset>
            </wp:positionV>
            <wp:extent cx="6458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8585" cy="8255"/>
                    </a:xfrm>
                    <a:prstGeom prst="rect">
                      <a:avLst/>
                    </a:prstGeom>
                    <a:noFill/>
                  </pic:spPr>
                </pic:pic>
              </a:graphicData>
            </a:graphic>
          </wp:anchor>
        </w:drawing>
      </w:r>
    </w:p>
    <w:p>
      <w:pPr>
        <w:spacing w:after="0" w:line="163"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262626"/>
        </w:rPr>
        <w:t>SCHEDULE 14A</w:t>
      </w:r>
    </w:p>
    <w:p>
      <w:pPr>
        <w:spacing w:after="0" w:line="77"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262626"/>
        </w:rPr>
        <w:t>Proxy Statement Pursuant to Section 14(a) of the</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262626"/>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398780</wp:posOffset>
            </wp:positionH>
            <wp:positionV relativeFrom="paragraph">
              <wp:posOffset>83820</wp:posOffset>
            </wp:positionV>
            <wp:extent cx="6458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8585" cy="8255"/>
                    </a:xfrm>
                    <a:prstGeom prst="rect">
                      <a:avLst/>
                    </a:prstGeom>
                    <a:noFill/>
                  </pic:spPr>
                </pic:pic>
              </a:graphicData>
            </a:graphic>
          </wp:anchor>
        </w:drawing>
      </w:r>
    </w:p>
    <w:p>
      <w:pPr>
        <w:spacing w:after="0" w:line="154" w:lineRule="exact"/>
        <w:rPr>
          <w:sz w:val="24"/>
          <w:szCs w:val="24"/>
          <w:color w:val="auto"/>
        </w:rPr>
      </w:pPr>
    </w:p>
    <w:p>
      <w:pPr>
        <w:ind w:left="620"/>
        <w:spacing w:after="0" w:line="184" w:lineRule="exact"/>
        <w:tabs>
          <w:tab w:leader="none" w:pos="3760" w:val="left"/>
        </w:tabs>
        <w:rPr>
          <w:sz w:val="20"/>
          <w:szCs w:val="20"/>
          <w:color w:val="auto"/>
        </w:rPr>
      </w:pPr>
      <w:r>
        <w:rPr>
          <w:rFonts w:ascii="Arial" w:cs="Arial" w:eastAsia="Arial" w:hAnsi="Arial"/>
          <w:sz w:val="16"/>
          <w:szCs w:val="16"/>
          <w:color w:val="262626"/>
        </w:rPr>
        <w:t xml:space="preserve">Filed by the Registrant </w:t>
      </w:r>
      <w:r>
        <w:rPr>
          <w:rFonts w:ascii="MS PGothic" w:cs="MS PGothic" w:eastAsia="MS PGothic" w:hAnsi="MS PGothic"/>
          <w:sz w:val="16"/>
          <w:szCs w:val="16"/>
          <w:color w:val="262626"/>
        </w:rPr>
        <w:t>☒</w:t>
      </w:r>
      <w:r>
        <w:rPr>
          <w:sz w:val="20"/>
          <w:szCs w:val="20"/>
          <w:color w:val="auto"/>
        </w:rPr>
        <w:tab/>
      </w:r>
      <w:r>
        <w:rPr>
          <w:rFonts w:ascii="Arial" w:cs="Arial" w:eastAsia="Arial" w:hAnsi="Arial"/>
          <w:sz w:val="15"/>
          <w:szCs w:val="15"/>
          <w:color w:val="262626"/>
        </w:rPr>
        <w:t xml:space="preserve">Filed by a Party other than the Registrant </w:t>
      </w:r>
      <w:r>
        <w:rPr>
          <w:rFonts w:ascii="MS PGothic" w:cs="MS PGothic" w:eastAsia="MS PGothic" w:hAnsi="MS PGothic"/>
          <w:sz w:val="15"/>
          <w:szCs w:val="15"/>
          <w:color w:val="262626"/>
        </w:rPr>
        <w:t>☐</w:t>
      </w:r>
    </w:p>
    <w:p>
      <w:pPr>
        <w:spacing w:after="0" w:line="134" w:lineRule="exact"/>
        <w:rPr>
          <w:sz w:val="24"/>
          <w:szCs w:val="24"/>
          <w:color w:val="auto"/>
        </w:rPr>
      </w:pPr>
    </w:p>
    <w:p>
      <w:pPr>
        <w:ind w:left="620"/>
        <w:spacing w:after="0"/>
        <w:rPr>
          <w:sz w:val="20"/>
          <w:szCs w:val="20"/>
          <w:color w:val="auto"/>
        </w:rPr>
      </w:pPr>
      <w:r>
        <w:rPr>
          <w:rFonts w:ascii="Arial" w:cs="Arial" w:eastAsia="Arial" w:hAnsi="Arial"/>
          <w:sz w:val="16"/>
          <w:szCs w:val="16"/>
          <w:color w:val="262626"/>
        </w:rPr>
        <w:t>Check the appropriate box:</w:t>
      </w:r>
    </w:p>
    <w:p>
      <w:pPr>
        <w:spacing w:after="0" w:line="94" w:lineRule="exact"/>
        <w:rPr>
          <w:sz w:val="24"/>
          <w:szCs w:val="24"/>
          <w:color w:val="auto"/>
        </w:rPr>
      </w:pPr>
    </w:p>
    <w:p>
      <w:pPr>
        <w:ind w:left="1340" w:hanging="712"/>
        <w:spacing w:after="0"/>
        <w:tabs>
          <w:tab w:leader="none" w:pos="13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Preliminary Proxy Statement</w:t>
      </w:r>
    </w:p>
    <w:p>
      <w:pPr>
        <w:spacing w:after="0" w:line="60" w:lineRule="exact"/>
        <w:rPr>
          <w:rFonts w:ascii="MS PGothic" w:cs="MS PGothic" w:eastAsia="MS PGothic" w:hAnsi="MS PGothic"/>
          <w:sz w:val="16"/>
          <w:szCs w:val="16"/>
          <w:color w:val="262626"/>
        </w:rPr>
      </w:pPr>
    </w:p>
    <w:p>
      <w:pPr>
        <w:ind w:left="1340" w:hanging="712"/>
        <w:spacing w:after="0"/>
        <w:tabs>
          <w:tab w:leader="none" w:pos="1340" w:val="left"/>
        </w:tabs>
        <w:numPr>
          <w:ilvl w:val="0"/>
          <w:numId w:val="1"/>
        </w:numPr>
        <w:rPr>
          <w:rFonts w:ascii="MS PGothic" w:cs="MS PGothic" w:eastAsia="MS PGothic" w:hAnsi="MS PGothic"/>
          <w:sz w:val="16"/>
          <w:szCs w:val="16"/>
          <w:color w:val="262626"/>
        </w:rPr>
      </w:pPr>
      <w:r>
        <w:rPr>
          <w:rFonts w:ascii="Arial" w:cs="Arial" w:eastAsia="Arial" w:hAnsi="Arial"/>
          <w:sz w:val="16"/>
          <w:szCs w:val="16"/>
          <w:b w:val="1"/>
          <w:bCs w:val="1"/>
          <w:color w:val="262626"/>
        </w:rPr>
        <w:t>Confidential, For Use of the Commission Only (as permitted by Rule 14a-6(e)(2))</w:t>
      </w:r>
    </w:p>
    <w:p>
      <w:pPr>
        <w:spacing w:after="0" w:line="47" w:lineRule="exact"/>
        <w:rPr>
          <w:rFonts w:ascii="MS PGothic" w:cs="MS PGothic" w:eastAsia="MS PGothic" w:hAnsi="MS PGothic"/>
          <w:sz w:val="16"/>
          <w:szCs w:val="16"/>
          <w:color w:val="262626"/>
        </w:rPr>
      </w:pPr>
    </w:p>
    <w:p>
      <w:pPr>
        <w:ind w:left="620"/>
        <w:spacing w:after="0" w:line="184" w:lineRule="exact"/>
        <w:rPr>
          <w:rFonts w:ascii="MS PGothic" w:cs="MS PGothic" w:eastAsia="MS PGothic" w:hAnsi="MS PGothic"/>
          <w:sz w:val="16"/>
          <w:szCs w:val="16"/>
          <w:color w:val="262626"/>
        </w:rPr>
      </w:pPr>
      <w:r>
        <w:rPr>
          <w:rFonts w:ascii="MS PGothic" w:cs="MS PGothic" w:eastAsia="MS PGothic" w:hAnsi="MS PGothic"/>
          <w:sz w:val="16"/>
          <w:szCs w:val="16"/>
          <w:color w:val="262626"/>
        </w:rPr>
        <w:t>☒</w:t>
      </w:r>
      <w:r>
        <w:rPr>
          <w:rFonts w:ascii="Arial" w:cs="Arial" w:eastAsia="Arial" w:hAnsi="Arial"/>
          <w:sz w:val="15"/>
          <w:szCs w:val="15"/>
          <w:color w:val="262626"/>
        </w:rPr>
        <w:t>Definitive Proxy Statement</w:t>
      </w:r>
    </w:p>
    <w:p>
      <w:pPr>
        <w:spacing w:after="0" w:line="133" w:lineRule="exact"/>
        <w:rPr>
          <w:rFonts w:ascii="MS PGothic" w:cs="MS PGothic" w:eastAsia="MS PGothic" w:hAnsi="MS PGothic"/>
          <w:sz w:val="16"/>
          <w:szCs w:val="16"/>
          <w:color w:val="262626"/>
        </w:rPr>
      </w:pPr>
    </w:p>
    <w:p>
      <w:pPr>
        <w:ind w:left="1340" w:hanging="712"/>
        <w:spacing w:after="0"/>
        <w:tabs>
          <w:tab w:leader="none" w:pos="13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Definitive Additional Materials</w:t>
      </w:r>
    </w:p>
    <w:p>
      <w:pPr>
        <w:spacing w:after="0" w:line="80" w:lineRule="exact"/>
        <w:rPr>
          <w:rFonts w:ascii="MS PGothic" w:cs="MS PGothic" w:eastAsia="MS PGothic" w:hAnsi="MS PGothic"/>
          <w:sz w:val="16"/>
          <w:szCs w:val="16"/>
          <w:color w:val="262626"/>
        </w:rPr>
      </w:pPr>
    </w:p>
    <w:p>
      <w:pPr>
        <w:ind w:left="1340" w:hanging="712"/>
        <w:spacing w:after="0"/>
        <w:tabs>
          <w:tab w:leader="none" w:pos="13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Soliciting Material Pursuant to § 240.14a-12</w:t>
      </w:r>
    </w:p>
    <w:p>
      <w:pPr>
        <w:spacing w:after="0" w:line="73"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262626"/>
        </w:rPr>
        <w:t>WYNN RESORTS, LIMITED</w:t>
      </w:r>
    </w:p>
    <w:p>
      <w:pPr>
        <w:spacing w:after="0" w:line="31"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262626"/>
        </w:rPr>
        <w:t>(Name of Registrant as Specified in Its Charter)</w:t>
      </w:r>
    </w:p>
    <w:p>
      <w:pPr>
        <w:spacing w:after="0" w:line="101" w:lineRule="exact"/>
        <w:rPr>
          <w:sz w:val="24"/>
          <w:szCs w:val="24"/>
          <w:color w:val="auto"/>
        </w:rPr>
      </w:pPr>
    </w:p>
    <w:p>
      <w:pPr>
        <w:ind w:left="2980"/>
        <w:spacing w:after="0"/>
        <w:rPr>
          <w:sz w:val="20"/>
          <w:szCs w:val="20"/>
          <w:color w:val="auto"/>
        </w:rPr>
      </w:pPr>
      <w:r>
        <w:rPr>
          <w:rFonts w:ascii="Arial" w:cs="Arial" w:eastAsia="Arial" w:hAnsi="Arial"/>
          <w:sz w:val="16"/>
          <w:szCs w:val="16"/>
          <w:b w:val="1"/>
          <w:bCs w:val="1"/>
          <w:color w:val="262626"/>
        </w:rPr>
        <w:t>(Name of Person(s) Filing Proxy Statement, if Other Than the Registrant)</w:t>
      </w:r>
    </w:p>
    <w:p>
      <w:pPr>
        <w:spacing w:after="0" w:line="127" w:lineRule="exact"/>
        <w:rPr>
          <w:sz w:val="24"/>
          <w:szCs w:val="24"/>
          <w:color w:val="auto"/>
        </w:rPr>
      </w:pPr>
    </w:p>
    <w:p>
      <w:pPr>
        <w:ind w:left="620"/>
        <w:spacing w:after="0"/>
        <w:rPr>
          <w:sz w:val="20"/>
          <w:szCs w:val="20"/>
          <w:color w:val="auto"/>
        </w:rPr>
      </w:pPr>
      <w:r>
        <w:rPr>
          <w:rFonts w:ascii="Arial" w:cs="Arial" w:eastAsia="Arial" w:hAnsi="Arial"/>
          <w:sz w:val="16"/>
          <w:szCs w:val="16"/>
          <w:color w:val="262626"/>
        </w:rPr>
        <w:t>Payment of Filing Fee (Check the appropriate box):</w:t>
      </w:r>
    </w:p>
    <w:p>
      <w:pPr>
        <w:spacing w:after="0" w:line="81" w:lineRule="exact"/>
        <w:rPr>
          <w:sz w:val="24"/>
          <w:szCs w:val="24"/>
          <w:color w:val="auto"/>
        </w:rPr>
      </w:pPr>
    </w:p>
    <w:p>
      <w:pPr>
        <w:ind w:left="1360" w:hanging="732"/>
        <w:spacing w:after="0"/>
        <w:tabs>
          <w:tab w:leader="none" w:pos="1360" w:val="left"/>
        </w:tabs>
        <w:numPr>
          <w:ilvl w:val="0"/>
          <w:numId w:val="2"/>
        </w:numPr>
        <w:rPr>
          <w:rFonts w:ascii="MS PGothic" w:cs="MS PGothic" w:eastAsia="MS PGothic" w:hAnsi="MS PGothic"/>
          <w:sz w:val="16"/>
          <w:szCs w:val="16"/>
          <w:color w:val="262626"/>
        </w:rPr>
      </w:pPr>
      <w:r>
        <w:rPr>
          <w:rFonts w:ascii="Arial" w:cs="Arial" w:eastAsia="Arial" w:hAnsi="Arial"/>
          <w:sz w:val="16"/>
          <w:szCs w:val="16"/>
          <w:color w:val="262626"/>
        </w:rPr>
        <w:t>No fee required.</w:t>
      </w:r>
    </w:p>
    <w:p>
      <w:pPr>
        <w:spacing w:after="0" w:line="121" w:lineRule="exact"/>
        <w:rPr>
          <w:sz w:val="24"/>
          <w:szCs w:val="24"/>
          <w:color w:val="auto"/>
        </w:rPr>
      </w:pPr>
    </w:p>
    <w:p>
      <w:pPr>
        <w:ind w:left="1360" w:hanging="732"/>
        <w:spacing w:after="0"/>
        <w:tabs>
          <w:tab w:leader="none" w:pos="136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Fee computed on table below per Exchange Act Rules 14a-6(i)(1) and 0-11.</w:t>
      </w:r>
    </w:p>
    <w:p>
      <w:pPr>
        <w:spacing w:after="0" w:line="94" w:lineRule="exact"/>
        <w:rPr>
          <w:rFonts w:ascii="MS PGothic" w:cs="MS PGothic" w:eastAsia="MS PGothic" w:hAnsi="MS PGothic"/>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Title of each class of securities to which transaction applies:</w:t>
      </w:r>
    </w:p>
    <w:p>
      <w:pPr>
        <w:spacing w:after="0" w:line="292"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Aggregate number of securities to which transaction applies:</w:t>
      </w:r>
    </w:p>
    <w:p>
      <w:pPr>
        <w:spacing w:after="0" w:line="292" w:lineRule="exact"/>
        <w:rPr>
          <w:rFonts w:ascii="Arial" w:cs="Arial" w:eastAsia="Arial" w:hAnsi="Arial"/>
          <w:sz w:val="16"/>
          <w:szCs w:val="16"/>
          <w:color w:val="262626"/>
        </w:rPr>
      </w:pPr>
    </w:p>
    <w:p>
      <w:pPr>
        <w:ind w:left="2060" w:right="120" w:hanging="703"/>
        <w:spacing w:after="0" w:line="249" w:lineRule="auto"/>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Proposed maximum aggregate value of transaction:</w:t>
      </w:r>
    </w:p>
    <w:p>
      <w:pPr>
        <w:spacing w:after="0" w:line="292"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Total fee paid:</w:t>
      </w:r>
    </w:p>
    <w:p>
      <w:pPr>
        <w:spacing w:after="0" w:line="200" w:lineRule="exact"/>
        <w:rPr>
          <w:rFonts w:ascii="Arial" w:cs="Arial" w:eastAsia="Arial" w:hAnsi="Arial"/>
          <w:sz w:val="16"/>
          <w:szCs w:val="16"/>
          <w:color w:val="262626"/>
        </w:rPr>
      </w:pPr>
    </w:p>
    <w:p>
      <w:pPr>
        <w:spacing w:after="0" w:line="225" w:lineRule="exact"/>
        <w:rPr>
          <w:rFonts w:ascii="Arial" w:cs="Arial" w:eastAsia="Arial" w:hAnsi="Arial"/>
          <w:sz w:val="16"/>
          <w:szCs w:val="16"/>
          <w:color w:val="262626"/>
        </w:rPr>
      </w:pPr>
    </w:p>
    <w:p>
      <w:pPr>
        <w:ind w:left="1360" w:hanging="732"/>
        <w:spacing w:after="0"/>
        <w:tabs>
          <w:tab w:leader="none" w:pos="136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Fee paid previously with preliminary materials.</w:t>
      </w:r>
    </w:p>
    <w:p>
      <w:pPr>
        <w:spacing w:after="0" w:line="120" w:lineRule="exact"/>
        <w:rPr>
          <w:rFonts w:ascii="MS PGothic" w:cs="MS PGothic" w:eastAsia="MS PGothic" w:hAnsi="MS PGothic"/>
          <w:sz w:val="16"/>
          <w:szCs w:val="16"/>
          <w:color w:val="262626"/>
        </w:rPr>
      </w:pPr>
    </w:p>
    <w:p>
      <w:pPr>
        <w:ind w:left="1360" w:hanging="732"/>
        <w:spacing w:after="0" w:line="282" w:lineRule="auto"/>
        <w:tabs>
          <w:tab w:leader="none" w:pos="1360" w:val="left"/>
        </w:tabs>
        <w:numPr>
          <w:ilvl w:val="0"/>
          <w:numId w:val="3"/>
        </w:numPr>
        <w:rPr>
          <w:rFonts w:ascii="MS PGothic" w:cs="MS PGothic" w:eastAsia="MS PGothic" w:hAnsi="MS PGothic"/>
          <w:sz w:val="15"/>
          <w:szCs w:val="15"/>
          <w:color w:val="262626"/>
        </w:rPr>
      </w:pPr>
      <w:r>
        <w:rPr>
          <w:rFonts w:ascii="Arial" w:cs="Arial" w:eastAsia="Arial" w:hAnsi="Arial"/>
          <w:sz w:val="15"/>
          <w:szCs w:val="15"/>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5"/>
          <w:szCs w:val="15"/>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Amount previously paid:</w:t>
      </w:r>
    </w:p>
    <w:p>
      <w:pPr>
        <w:spacing w:after="0" w:line="292"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Form, Schedule or Registration Statement No.:</w:t>
      </w:r>
    </w:p>
    <w:p>
      <w:pPr>
        <w:spacing w:after="0" w:line="292"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Filing Party:</w:t>
      </w:r>
    </w:p>
    <w:p>
      <w:pPr>
        <w:spacing w:after="0" w:line="292" w:lineRule="exact"/>
        <w:rPr>
          <w:rFonts w:ascii="Arial" w:cs="Arial" w:eastAsia="Arial" w:hAnsi="Arial"/>
          <w:sz w:val="16"/>
          <w:szCs w:val="16"/>
          <w:color w:val="262626"/>
        </w:rPr>
      </w:pPr>
    </w:p>
    <w:p>
      <w:pPr>
        <w:ind w:left="2060" w:hanging="703"/>
        <w:spacing w:after="0"/>
        <w:tabs>
          <w:tab w:leader="none" w:pos="2060" w:val="left"/>
        </w:tabs>
        <w:numPr>
          <w:ilvl w:val="1"/>
          <w:numId w:val="3"/>
        </w:numPr>
        <w:rPr>
          <w:rFonts w:ascii="Arial" w:cs="Arial" w:eastAsia="Arial" w:hAnsi="Arial"/>
          <w:sz w:val="16"/>
          <w:szCs w:val="16"/>
          <w:color w:val="262626"/>
        </w:rPr>
      </w:pPr>
      <w:r>
        <w:rPr>
          <w:rFonts w:ascii="Arial" w:cs="Arial" w:eastAsia="Arial" w:hAnsi="Arial"/>
          <w:sz w:val="16"/>
          <w:szCs w:val="16"/>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1307465</wp:posOffset>
            </wp:positionH>
            <wp:positionV relativeFrom="paragraph">
              <wp:posOffset>-2951480</wp:posOffset>
            </wp:positionV>
            <wp:extent cx="5550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-2648585</wp:posOffset>
            </wp:positionV>
            <wp:extent cx="5550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-2228215</wp:posOffset>
            </wp:positionV>
            <wp:extent cx="5550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-1925320</wp:posOffset>
            </wp:positionV>
            <wp:extent cx="5550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-1622425</wp:posOffset>
            </wp:positionV>
            <wp:extent cx="555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-739775</wp:posOffset>
            </wp:positionV>
            <wp:extent cx="555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-436880</wp:posOffset>
            </wp:positionV>
            <wp:extent cx="5550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-133985</wp:posOffset>
            </wp:positionV>
            <wp:extent cx="555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167640</wp:posOffset>
            </wp:positionV>
            <wp:extent cx="5550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0535" cy="8255"/>
                    </a:xfrm>
                    <a:prstGeom prst="rect">
                      <a:avLst/>
                    </a:prstGeom>
                    <a:noFill/>
                  </pic:spPr>
                </pic:pic>
              </a:graphicData>
            </a:graphic>
          </wp:anchor>
        </w:drawing>
      </w:r>
    </w:p>
    <w:p>
      <w:pPr>
        <w:sectPr>
          <w:pgSz w:w="11900" w:h="16838" w:orient="portrait"/>
          <w:cols w:equalWidth="0" w:num="1">
            <w:col w:w="10760"/>
          </w:cols>
          <w:pgMar w:left="240" w:top="228" w:right="89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DEAR FELLOW SHAREHOLDERS,</w:t>
      </w:r>
    </w:p>
    <w:p>
      <w:pPr>
        <w:spacing w:after="0" w:line="198" w:lineRule="exact"/>
        <w:rPr>
          <w:sz w:val="20"/>
          <w:szCs w:val="20"/>
          <w:color w:val="auto"/>
        </w:rPr>
      </w:pPr>
    </w:p>
    <w:p>
      <w:pPr>
        <w:ind w:left="780"/>
        <w:spacing w:after="0" w:line="249" w:lineRule="auto"/>
        <w:rPr>
          <w:sz w:val="20"/>
          <w:szCs w:val="20"/>
          <w:color w:val="auto"/>
        </w:rPr>
      </w:pPr>
      <w:r>
        <w:rPr>
          <w:rFonts w:ascii="Arial" w:cs="Arial" w:eastAsia="Arial" w:hAnsi="Arial"/>
          <w:sz w:val="14"/>
          <w:szCs w:val="14"/>
          <w:color w:val="262626"/>
        </w:rPr>
        <w:t>I joined the Company as Vice Chairman in August 2018, and was elected Chairman of the refreshed Board in November. Like most of you, I watched many of the adverse developments which began to come to light in early 2018 from the outside.</w:t>
      </w:r>
    </w:p>
    <w:p>
      <w:pPr>
        <w:spacing w:after="0" w:line="156" w:lineRule="exact"/>
        <w:rPr>
          <w:sz w:val="20"/>
          <w:szCs w:val="20"/>
          <w:color w:val="auto"/>
        </w:rPr>
      </w:pPr>
    </w:p>
    <w:p>
      <w:pPr>
        <w:ind w:left="780" w:right="20"/>
        <w:spacing w:after="0" w:line="241" w:lineRule="auto"/>
        <w:rPr>
          <w:sz w:val="20"/>
          <w:szCs w:val="20"/>
          <w:color w:val="auto"/>
        </w:rPr>
      </w:pPr>
      <w:r>
        <w:rPr>
          <w:rFonts w:ascii="Arial" w:cs="Arial" w:eastAsia="Arial" w:hAnsi="Arial"/>
          <w:sz w:val="14"/>
          <w:szCs w:val="14"/>
          <w:color w:val="262626"/>
        </w:rPr>
        <w:t>In my forty-year career both in and out of gaming, I have never seen a company respond so quickly and decisively to adversity as this one. I joined a great Company in the process of transforming itself from a founder-led organization to a global enterprise, overseen by a refreshed, capable, independent and accountable Board of Directors. Despite the challenges we faced on numerous fronts, last year was a successful year for Wynn Resorts financially and, more importantly, culturally. I am confident we have found our way, and excited about the future of Wynn Resorts.</w:t>
      </w:r>
    </w:p>
    <w:p>
      <w:pPr>
        <w:spacing w:after="0" w:line="161" w:lineRule="exact"/>
        <w:rPr>
          <w:sz w:val="20"/>
          <w:szCs w:val="20"/>
          <w:color w:val="auto"/>
        </w:rPr>
      </w:pPr>
    </w:p>
    <w:p>
      <w:pPr>
        <w:ind w:left="780" w:right="20"/>
        <w:spacing w:after="0"/>
        <w:rPr>
          <w:sz w:val="20"/>
          <w:szCs w:val="20"/>
          <w:color w:val="auto"/>
        </w:rPr>
      </w:pPr>
      <w:r>
        <w:rPr>
          <w:rFonts w:ascii="Arial" w:cs="Arial" w:eastAsia="Arial" w:hAnsi="Arial"/>
          <w:sz w:val="14"/>
          <w:szCs w:val="14"/>
          <w:color w:val="262626"/>
        </w:rPr>
        <w:t xml:space="preserve">When I walked through the doors of Wynn Las Vegas that first day, I met our CEO Matt Maddox for the first time. I make that point to convey to you that there is no long-standing relationship between Matt and myself, or among any other board members. </w:t>
      </w:r>
      <w:r>
        <w:rPr>
          <w:rFonts w:ascii="Arial" w:cs="Arial" w:eastAsia="Arial" w:hAnsi="Arial"/>
          <w:sz w:val="14"/>
          <w:szCs w:val="14"/>
          <w:i w:val="1"/>
          <w:iCs w:val="1"/>
          <w:color w:val="262626"/>
        </w:rPr>
        <w:t>We are fully independent directors,</w:t>
      </w:r>
      <w:r>
        <w:rPr>
          <w:rFonts w:ascii="Arial" w:cs="Arial" w:eastAsia="Arial" w:hAnsi="Arial"/>
          <w:sz w:val="14"/>
          <w:szCs w:val="14"/>
          <w:color w:val="262626"/>
        </w:rPr>
        <w:t xml:space="preserve"> without any personal connection to any Company executives which might impair our ability to hold management accountable. But I must tell you, I was impressed with what Matt, the refreshed Board and the remade executive team had done to address the cultural and governance challenges with which they were unexpectedly confronted.</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Of the many goals for the “new” Wynn Resorts, two loom large:</w:t>
      </w:r>
    </w:p>
    <w:p>
      <w:pPr>
        <w:spacing w:after="0" w:line="210" w:lineRule="exact"/>
        <w:rPr>
          <w:sz w:val="20"/>
          <w:szCs w:val="20"/>
          <w:color w:val="auto"/>
        </w:rPr>
      </w:pPr>
    </w:p>
    <w:p>
      <w:pPr>
        <w:ind w:left="1540" w:right="620" w:hanging="375"/>
        <w:spacing w:after="0" w:line="231" w:lineRule="auto"/>
        <w:tabs>
          <w:tab w:leader="none" w:pos="1540" w:val="left"/>
        </w:tabs>
        <w:numPr>
          <w:ilvl w:val="0"/>
          <w:numId w:val="4"/>
        </w:numPr>
        <w:rPr>
          <w:rFonts w:ascii="Arial" w:cs="Arial" w:eastAsia="Arial" w:hAnsi="Arial"/>
          <w:sz w:val="16"/>
          <w:szCs w:val="16"/>
          <w:color w:val="CC870F"/>
        </w:rPr>
      </w:pPr>
      <w:r>
        <w:rPr>
          <w:rFonts w:ascii="Arial" w:cs="Arial" w:eastAsia="Arial" w:hAnsi="Arial"/>
          <w:sz w:val="14"/>
          <w:szCs w:val="14"/>
          <w:color w:val="262626"/>
        </w:rPr>
        <w:t xml:space="preserve">Achieve stability. A critical step in achieving stability was to rebuild our relationship with regulators, beginning with fully supporting their investigations of the Company. </w:t>
      </w:r>
      <w:r>
        <w:rPr>
          <w:rFonts w:ascii="Arial" w:cs="Arial" w:eastAsia="Arial" w:hAnsi="Arial"/>
          <w:sz w:val="14"/>
          <w:szCs w:val="14"/>
          <w:i w:val="1"/>
          <w:iCs w:val="1"/>
          <w:color w:val="262626"/>
        </w:rPr>
        <w:t>I believe that complete transparency and cooperation are essential to creating a relationship of trust with</w:t>
      </w:r>
      <w:r>
        <w:rPr>
          <w:rFonts w:ascii="Arial" w:cs="Arial" w:eastAsia="Arial" w:hAnsi="Arial"/>
          <w:sz w:val="14"/>
          <w:szCs w:val="14"/>
          <w:color w:val="262626"/>
        </w:rPr>
        <w:t xml:space="preserve"> </w:t>
      </w:r>
      <w:r>
        <w:rPr>
          <w:rFonts w:ascii="Arial" w:cs="Arial" w:eastAsia="Arial" w:hAnsi="Arial"/>
          <w:sz w:val="14"/>
          <w:szCs w:val="14"/>
          <w:i w:val="1"/>
          <w:iCs w:val="1"/>
          <w:color w:val="262626"/>
        </w:rPr>
        <w:t xml:space="preserve">regulators. </w:t>
      </w:r>
      <w:r>
        <w:rPr>
          <w:rFonts w:ascii="Arial" w:cs="Arial" w:eastAsia="Arial" w:hAnsi="Arial"/>
          <w:sz w:val="14"/>
          <w:szCs w:val="14"/>
          <w:color w:val="262626"/>
        </w:rPr>
        <w:t>We are now on the road to rebuilding that trust.</w:t>
      </w:r>
    </w:p>
    <w:p>
      <w:pPr>
        <w:spacing w:after="0" w:line="201" w:lineRule="exact"/>
        <w:rPr>
          <w:rFonts w:ascii="Arial" w:cs="Arial" w:eastAsia="Arial" w:hAnsi="Arial"/>
          <w:sz w:val="16"/>
          <w:szCs w:val="16"/>
          <w:color w:val="CC870F"/>
        </w:rPr>
      </w:pPr>
    </w:p>
    <w:p>
      <w:pPr>
        <w:ind w:left="1540" w:right="60" w:hanging="375"/>
        <w:spacing w:after="0" w:line="233" w:lineRule="auto"/>
        <w:tabs>
          <w:tab w:leader="none" w:pos="1540" w:val="left"/>
        </w:tabs>
        <w:numPr>
          <w:ilvl w:val="0"/>
          <w:numId w:val="4"/>
        </w:numPr>
        <w:rPr>
          <w:rFonts w:ascii="Arial" w:cs="Arial" w:eastAsia="Arial" w:hAnsi="Arial"/>
          <w:sz w:val="16"/>
          <w:szCs w:val="16"/>
          <w:color w:val="CC870F"/>
        </w:rPr>
      </w:pPr>
      <w:r>
        <w:rPr>
          <w:rFonts w:ascii="Arial" w:cs="Arial" w:eastAsia="Arial" w:hAnsi="Arial"/>
          <w:sz w:val="14"/>
          <w:szCs w:val="14"/>
          <w:color w:val="262626"/>
        </w:rPr>
        <w:t>Listen. Listen to our employees. Listen to our regulators. Listen, extensively, to our shareholders. The Company began engaging with numerous shareholders immediately after the January news reports were published. We did not stop after the Annual Meeting concluded or after the Board had been fully refreshed or even as the calendar year came to a close. We heard your messages on executive compensation, on corporate governance, on board diversity and refreshment, and on sustainability. Then we took action</w:t>
      </w:r>
      <w:r>
        <w:rPr>
          <w:rFonts w:ascii="Arial" w:cs="Arial" w:eastAsia="Arial" w:hAnsi="Arial"/>
          <w:sz w:val="14"/>
          <w:szCs w:val="14"/>
          <w:i w:val="1"/>
          <w:iCs w:val="1"/>
          <w:color w:val="262626"/>
        </w:rPr>
        <w:t>. As a Board we take seriously our accountability to</w:t>
      </w:r>
      <w:r>
        <w:rPr>
          <w:rFonts w:ascii="Arial" w:cs="Arial" w:eastAsia="Arial" w:hAnsi="Arial"/>
          <w:sz w:val="14"/>
          <w:szCs w:val="14"/>
          <w:color w:val="262626"/>
        </w:rPr>
        <w:t xml:space="preserve"> </w:t>
      </w:r>
      <w:r>
        <w:rPr>
          <w:rFonts w:ascii="Arial" w:cs="Arial" w:eastAsia="Arial" w:hAnsi="Arial"/>
          <w:sz w:val="14"/>
          <w:szCs w:val="14"/>
          <w:i w:val="1"/>
          <w:iCs w:val="1"/>
          <w:color w:val="262626"/>
        </w:rPr>
        <w:t xml:space="preserve">our fellow shareholders. </w:t>
      </w:r>
      <w:r>
        <w:rPr>
          <w:rFonts w:ascii="Arial" w:cs="Arial" w:eastAsia="Arial" w:hAnsi="Arial"/>
          <w:sz w:val="14"/>
          <w:szCs w:val="14"/>
          <w:color w:val="262626"/>
        </w:rPr>
        <w:t>Throughout this Proxy Statement, you will find steps we have taken in response to your input.</w:t>
      </w:r>
    </w:p>
    <w:p>
      <w:pPr>
        <w:spacing w:after="0" w:line="149" w:lineRule="exact"/>
        <w:rPr>
          <w:sz w:val="20"/>
          <w:szCs w:val="20"/>
          <w:color w:val="auto"/>
        </w:rPr>
      </w:pPr>
    </w:p>
    <w:p>
      <w:pPr>
        <w:ind w:left="780" w:right="180"/>
        <w:spacing w:after="0" w:line="270" w:lineRule="auto"/>
        <w:rPr>
          <w:sz w:val="20"/>
          <w:szCs w:val="20"/>
          <w:color w:val="auto"/>
        </w:rPr>
      </w:pPr>
      <w:r>
        <w:rPr>
          <w:rFonts w:ascii="Arial" w:cs="Arial" w:eastAsia="Arial" w:hAnsi="Arial"/>
          <w:sz w:val="14"/>
          <w:szCs w:val="14"/>
          <w:color w:val="262626"/>
        </w:rPr>
        <w:t>Although the Company has made tremendous progress, our mission is not completed</w:t>
      </w:r>
      <w:r>
        <w:rPr>
          <w:rFonts w:ascii="Arial" w:cs="Arial" w:eastAsia="Arial" w:hAnsi="Arial"/>
          <w:sz w:val="14"/>
          <w:szCs w:val="14"/>
          <w:i w:val="1"/>
          <w:iCs w:val="1"/>
          <w:color w:val="262626"/>
        </w:rPr>
        <w:t>.</w:t>
      </w:r>
      <w:r>
        <w:rPr>
          <w:rFonts w:ascii="Arial" w:cs="Arial" w:eastAsia="Arial" w:hAnsi="Arial"/>
          <w:sz w:val="14"/>
          <w:szCs w:val="14"/>
          <w:color w:val="262626"/>
        </w:rPr>
        <w:t xml:space="preserve"> We will continue to listen, and we will continue to make headway on numerous fronts, including the issues our shareholders tell us are important to them.</w:t>
      </w:r>
    </w:p>
    <w:p>
      <w:pPr>
        <w:spacing w:after="0" w:line="142" w:lineRule="exact"/>
        <w:rPr>
          <w:sz w:val="20"/>
          <w:szCs w:val="20"/>
          <w:color w:val="auto"/>
        </w:rPr>
      </w:pPr>
    </w:p>
    <w:p>
      <w:pPr>
        <w:ind w:left="780"/>
        <w:spacing w:after="0" w:line="241" w:lineRule="auto"/>
        <w:rPr>
          <w:sz w:val="20"/>
          <w:szCs w:val="20"/>
          <w:color w:val="auto"/>
        </w:rPr>
      </w:pPr>
      <w:r>
        <w:rPr>
          <w:rFonts w:ascii="Arial" w:cs="Arial" w:eastAsia="Arial" w:hAnsi="Arial"/>
          <w:sz w:val="14"/>
          <w:szCs w:val="14"/>
          <w:color w:val="262626"/>
        </w:rPr>
        <w:t>One of our regulators recently praised us as “innovators” and spoke of his desire for Wynn Resorts to “build, grow and prosper.” I share that same desire, as I know do you. With a refreshed Board, engaged shareholders and a talented, experienced and focused management team, we are entering a new phase for Wynn Resorts even as we continue to draw on a legendary legacy of creativity and innovation. With your support, I am confident that Wynn Resorts will be an even greater company to work for, to partner with, and to invest in.</w:t>
      </w:r>
    </w:p>
    <w:p>
      <w:pPr>
        <w:spacing w:after="0" w:line="200" w:lineRule="exact"/>
        <w:rPr>
          <w:sz w:val="20"/>
          <w:szCs w:val="20"/>
          <w:color w:val="auto"/>
        </w:rPr>
      </w:pPr>
    </w:p>
    <w:p>
      <w:pPr>
        <w:spacing w:after="0" w:line="319"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71120</wp:posOffset>
            </wp:positionV>
            <wp:extent cx="984250" cy="353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4250"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Philip G. Satre</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Non-executive Chairman of the Board</w:t>
      </w:r>
    </w:p>
    <w:p>
      <w:pPr>
        <w:sectPr>
          <w:pgSz w:w="11900" w:h="16838" w:orient="portrait"/>
          <w:cols w:equalWidth="0" w:num="1">
            <w:col w:w="10600"/>
          </w:cols>
          <w:pgMar w:left="240" w:top="453" w:right="105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1777365</wp:posOffset>
            </wp:positionV>
            <wp:extent cx="3363595" cy="1513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3595" cy="15138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7"/>
          <w:szCs w:val="7"/>
          <w:b w:val="1"/>
          <w:bCs w:val="1"/>
          <w:color w:val="262626"/>
        </w:rPr>
        <w:t>B U I L D I N G T H E N E W W Y N N</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PURPOSE OF THE MEETING</w:t>
      </w:r>
    </w:p>
    <w:p>
      <w:pPr>
        <w:spacing w:after="0" w:line="240"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THE ANNUAL MEETING WILL BE HELD FOR THE FOLLOWING PURPOSES:</w:t>
      </w:r>
    </w:p>
    <w:p>
      <w:pPr>
        <w:spacing w:after="0" w:line="98" w:lineRule="exact"/>
        <w:rPr>
          <w:sz w:val="20"/>
          <w:szCs w:val="20"/>
          <w:color w:val="auto"/>
        </w:rPr>
      </w:pPr>
    </w:p>
    <w:p>
      <w:pPr>
        <w:ind w:left="960" w:hanging="179"/>
        <w:spacing w:after="0"/>
        <w:tabs>
          <w:tab w:leader="none" w:pos="960" w:val="left"/>
        </w:tabs>
        <w:numPr>
          <w:ilvl w:val="0"/>
          <w:numId w:val="5"/>
        </w:numPr>
        <w:rPr>
          <w:rFonts w:ascii="Arial" w:cs="Arial" w:eastAsia="Arial" w:hAnsi="Arial"/>
          <w:sz w:val="14"/>
          <w:szCs w:val="14"/>
          <w:color w:val="CC870F"/>
        </w:rPr>
      </w:pPr>
      <w:r>
        <w:rPr>
          <w:rFonts w:ascii="Arial" w:cs="Arial" w:eastAsia="Arial" w:hAnsi="Arial"/>
          <w:sz w:val="14"/>
          <w:szCs w:val="14"/>
          <w:color w:val="262626"/>
        </w:rPr>
        <w:t>To elect three Class II directors to serve until the 2022 Annual Meeting of Shareholders;</w:t>
      </w:r>
    </w:p>
    <w:p>
      <w:pPr>
        <w:spacing w:after="0" w:line="209" w:lineRule="exact"/>
        <w:rPr>
          <w:rFonts w:ascii="Arial" w:cs="Arial" w:eastAsia="Arial" w:hAnsi="Arial"/>
          <w:sz w:val="14"/>
          <w:szCs w:val="14"/>
          <w:color w:val="CC870F"/>
        </w:rPr>
      </w:pPr>
    </w:p>
    <w:p>
      <w:pPr>
        <w:ind w:left="960" w:hanging="179"/>
        <w:spacing w:after="0"/>
        <w:tabs>
          <w:tab w:leader="none" w:pos="960" w:val="left"/>
        </w:tabs>
        <w:numPr>
          <w:ilvl w:val="0"/>
          <w:numId w:val="5"/>
        </w:numPr>
        <w:rPr>
          <w:rFonts w:ascii="Arial" w:cs="Arial" w:eastAsia="Arial" w:hAnsi="Arial"/>
          <w:sz w:val="14"/>
          <w:szCs w:val="14"/>
          <w:color w:val="CC870F"/>
        </w:rPr>
      </w:pPr>
      <w:r>
        <w:rPr>
          <w:rFonts w:ascii="Arial" w:cs="Arial" w:eastAsia="Arial" w:hAnsi="Arial"/>
          <w:sz w:val="14"/>
          <w:szCs w:val="14"/>
          <w:color w:val="262626"/>
        </w:rPr>
        <w:t>To ratify the appointment of Ernst &amp; Young LLP as our independent registered public accounting firm for the fiscal year ending December 31, 2019;</w:t>
      </w:r>
    </w:p>
    <w:p>
      <w:pPr>
        <w:spacing w:after="0" w:line="209" w:lineRule="exact"/>
        <w:rPr>
          <w:rFonts w:ascii="Arial" w:cs="Arial" w:eastAsia="Arial" w:hAnsi="Arial"/>
          <w:sz w:val="14"/>
          <w:szCs w:val="14"/>
          <w:color w:val="CC870F"/>
        </w:rPr>
      </w:pPr>
    </w:p>
    <w:p>
      <w:pPr>
        <w:ind w:left="960" w:hanging="179"/>
        <w:spacing w:after="0"/>
        <w:tabs>
          <w:tab w:leader="none" w:pos="960" w:val="left"/>
        </w:tabs>
        <w:numPr>
          <w:ilvl w:val="0"/>
          <w:numId w:val="5"/>
        </w:numPr>
        <w:rPr>
          <w:rFonts w:ascii="Arial" w:cs="Arial" w:eastAsia="Arial" w:hAnsi="Arial"/>
          <w:sz w:val="14"/>
          <w:szCs w:val="14"/>
          <w:color w:val="CC870F"/>
        </w:rPr>
      </w:pPr>
      <w:r>
        <w:rPr>
          <w:rFonts w:ascii="Arial" w:cs="Arial" w:eastAsia="Arial" w:hAnsi="Arial"/>
          <w:sz w:val="14"/>
          <w:szCs w:val="14"/>
          <w:color w:val="262626"/>
        </w:rPr>
        <w:t>To approve, on a non-binding advisory basis, the compensation of our named executive officers as described in the Proxy Statement;</w:t>
      </w:r>
    </w:p>
    <w:p>
      <w:pPr>
        <w:spacing w:after="0" w:line="209" w:lineRule="exact"/>
        <w:rPr>
          <w:rFonts w:ascii="Arial" w:cs="Arial" w:eastAsia="Arial" w:hAnsi="Arial"/>
          <w:sz w:val="14"/>
          <w:szCs w:val="14"/>
          <w:color w:val="CC870F"/>
        </w:rPr>
      </w:pPr>
    </w:p>
    <w:p>
      <w:pPr>
        <w:ind w:left="960" w:hanging="179"/>
        <w:spacing w:after="0"/>
        <w:tabs>
          <w:tab w:leader="none" w:pos="960" w:val="left"/>
        </w:tabs>
        <w:numPr>
          <w:ilvl w:val="0"/>
          <w:numId w:val="5"/>
        </w:numPr>
        <w:rPr>
          <w:rFonts w:ascii="Arial" w:cs="Arial" w:eastAsia="Arial" w:hAnsi="Arial"/>
          <w:sz w:val="14"/>
          <w:szCs w:val="14"/>
          <w:color w:val="CC870F"/>
        </w:rPr>
      </w:pPr>
      <w:r>
        <w:rPr>
          <w:rFonts w:ascii="Arial" w:cs="Arial" w:eastAsia="Arial" w:hAnsi="Arial"/>
          <w:sz w:val="14"/>
          <w:szCs w:val="14"/>
          <w:color w:val="262626"/>
        </w:rPr>
        <w:t>To consider and vote on the shareholder proposal requesting a political contributions report, if properly presented at the Annual Meeting; and</w:t>
      </w:r>
    </w:p>
    <w:p>
      <w:pPr>
        <w:spacing w:after="0" w:line="209" w:lineRule="exact"/>
        <w:rPr>
          <w:rFonts w:ascii="Arial" w:cs="Arial" w:eastAsia="Arial" w:hAnsi="Arial"/>
          <w:sz w:val="14"/>
          <w:szCs w:val="14"/>
          <w:color w:val="CC870F"/>
        </w:rPr>
      </w:pPr>
    </w:p>
    <w:p>
      <w:pPr>
        <w:ind w:left="960" w:hanging="179"/>
        <w:spacing w:after="0"/>
        <w:tabs>
          <w:tab w:leader="none" w:pos="960" w:val="left"/>
        </w:tabs>
        <w:numPr>
          <w:ilvl w:val="0"/>
          <w:numId w:val="5"/>
        </w:numPr>
        <w:rPr>
          <w:rFonts w:ascii="Arial" w:cs="Arial" w:eastAsia="Arial" w:hAnsi="Arial"/>
          <w:sz w:val="14"/>
          <w:szCs w:val="14"/>
          <w:color w:val="CC870F"/>
        </w:rPr>
      </w:pPr>
      <w:r>
        <w:rPr>
          <w:rFonts w:ascii="Arial" w:cs="Arial" w:eastAsia="Arial" w:hAnsi="Arial"/>
          <w:sz w:val="14"/>
          <w:szCs w:val="14"/>
          <w:color w:val="262626"/>
        </w:rPr>
        <w:t>To consider and transact such other business as may properly come before the Annual Meeting, or at any adjournments or postponements thereof.</w:t>
      </w:r>
    </w:p>
    <w:p>
      <w:pPr>
        <w:spacing w:after="0" w:line="170" w:lineRule="exact"/>
        <w:rPr>
          <w:sz w:val="20"/>
          <w:szCs w:val="20"/>
          <w:color w:val="auto"/>
        </w:rPr>
      </w:pPr>
    </w:p>
    <w:p>
      <w:pPr>
        <w:ind w:left="780"/>
        <w:spacing w:after="0" w:line="243" w:lineRule="auto"/>
        <w:rPr>
          <w:sz w:val="20"/>
          <w:szCs w:val="20"/>
          <w:color w:val="auto"/>
        </w:rPr>
      </w:pPr>
      <w:r>
        <w:rPr>
          <w:rFonts w:ascii="Arial" w:cs="Arial" w:eastAsia="Arial" w:hAnsi="Arial"/>
          <w:sz w:val="14"/>
          <w:szCs w:val="14"/>
          <w:color w:val="262626"/>
        </w:rPr>
        <w:t>The foregoing items of business are more fully described in the Proxy Statement accompanying this Notice. Only the Company’s shareholders of record at the close of business on March 11, 2019,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NOTICE REGARDING AVAILABILITY OF PROXY MATERIALS</w:t>
      </w:r>
    </w:p>
    <w:p>
      <w:pPr>
        <w:spacing w:after="0" w:line="118" w:lineRule="exact"/>
        <w:rPr>
          <w:sz w:val="20"/>
          <w:szCs w:val="20"/>
          <w:color w:val="auto"/>
        </w:rPr>
      </w:pPr>
    </w:p>
    <w:p>
      <w:pPr>
        <w:ind w:left="780"/>
        <w:spacing w:after="0" w:line="241" w:lineRule="auto"/>
        <w:rPr>
          <w:sz w:val="20"/>
          <w:szCs w:val="20"/>
          <w:color w:val="auto"/>
        </w:rPr>
      </w:pPr>
      <w:r>
        <w:rPr>
          <w:rFonts w:ascii="Arial" w:cs="Arial" w:eastAsia="Arial" w:hAnsi="Arial"/>
          <w:sz w:val="14"/>
          <w:szCs w:val="14"/>
          <w:color w:val="262626"/>
        </w:rPr>
        <w:t>This Proxy Statement and our Annual Report for the fiscal year ended December 31, 2018, are available at http://www.wynnresorts.com on the Company Information page under the “Annual Meeting” heading. On or about March 27, 2019, we mailed to our shareholders (other than those who previously requested electronic or paper delivery) a notice containing instructions on how to access our Annual Meeting materials (including the Proxy Statement and our Annual Report for the fiscal year ended December 31, 2018) and how to vote.</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YOUR VOTE IS IMPORTANT</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Whether or not you plan to attend the Annual Meeting, you are encouraged to read the attached Proxy Statement and then cast your vote as promptly as possible by following the instructions on the proxy card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therefore, it is especially important you return the proxy card with your vote.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71120</wp:posOffset>
            </wp:positionV>
            <wp:extent cx="1682115" cy="260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2115" cy="2609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Ellen F. Whittemore</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Secretary</w:t>
      </w:r>
    </w:p>
    <w:p>
      <w:pPr>
        <w:spacing w:after="0" w:line="102"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Las Vegas, Nevada</w:t>
      </w:r>
    </w:p>
    <w:p>
      <w:pPr>
        <w:ind w:left="780"/>
        <w:spacing w:after="0"/>
        <w:rPr>
          <w:sz w:val="20"/>
          <w:szCs w:val="20"/>
          <w:color w:val="auto"/>
        </w:rPr>
      </w:pPr>
      <w:r>
        <w:rPr>
          <w:rFonts w:ascii="Arial" w:cs="Arial" w:eastAsia="Arial" w:hAnsi="Arial"/>
          <w:sz w:val="14"/>
          <w:szCs w:val="14"/>
          <w:color w:val="262626"/>
        </w:rPr>
        <w:t>March 27, 2019</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401"/>
        </w:trPr>
        <w:tc>
          <w:tcPr>
            <w:tcW w:w="1760" w:type="dxa"/>
            <w:vAlign w:val="bottom"/>
            <w:shd w:val="clear" w:color="auto" w:fill="F7F7E5"/>
          </w:tcPr>
          <w:p>
            <w:pPr>
              <w:ind w:left="220"/>
              <w:spacing w:after="0"/>
              <w:rPr>
                <w:sz w:val="20"/>
                <w:szCs w:val="20"/>
                <w:color w:val="auto"/>
              </w:rPr>
            </w:pPr>
            <w:r>
              <w:rPr>
                <w:rFonts w:ascii="Arial" w:cs="Arial" w:eastAsia="Arial" w:hAnsi="Arial"/>
                <w:sz w:val="11"/>
                <w:szCs w:val="11"/>
                <w:b w:val="1"/>
                <w:bCs w:val="1"/>
                <w:color w:val="CC870F"/>
              </w:rPr>
              <w:t>DATE AND TIME</w:t>
            </w:r>
          </w:p>
        </w:tc>
        <w:tc>
          <w:tcPr>
            <w:tcW w:w="8100" w:type="dxa"/>
            <w:vAlign w:val="bottom"/>
            <w:shd w:val="clear" w:color="auto" w:fill="F7F7E5"/>
          </w:tcPr>
          <w:p>
            <w:pPr>
              <w:ind w:left="720"/>
              <w:spacing w:after="0"/>
              <w:rPr>
                <w:sz w:val="20"/>
                <w:szCs w:val="20"/>
                <w:color w:val="auto"/>
              </w:rPr>
            </w:pPr>
            <w:r>
              <w:rPr>
                <w:rFonts w:ascii="Arial" w:cs="Arial" w:eastAsia="Arial" w:hAnsi="Arial"/>
                <w:sz w:val="11"/>
                <w:szCs w:val="11"/>
                <w:b w:val="1"/>
                <w:bCs w:val="1"/>
                <w:color w:val="CC870F"/>
              </w:rPr>
              <w:t>PLACE</w:t>
            </w:r>
          </w:p>
        </w:tc>
      </w:tr>
      <w:tr>
        <w:trPr>
          <w:trHeight w:val="240"/>
        </w:trPr>
        <w:tc>
          <w:tcPr>
            <w:tcW w:w="1760" w:type="dxa"/>
            <w:vAlign w:val="bottom"/>
            <w:shd w:val="clear" w:color="auto" w:fill="F7F7E5"/>
          </w:tcPr>
          <w:p>
            <w:pPr>
              <w:ind w:left="220"/>
              <w:spacing w:after="0"/>
              <w:rPr>
                <w:sz w:val="20"/>
                <w:szCs w:val="20"/>
                <w:color w:val="auto"/>
              </w:rPr>
            </w:pPr>
            <w:r>
              <w:rPr>
                <w:rFonts w:ascii="Arial" w:cs="Arial" w:eastAsia="Arial" w:hAnsi="Arial"/>
                <w:sz w:val="14"/>
                <w:szCs w:val="14"/>
                <w:color w:val="262626"/>
              </w:rPr>
              <w:t>May 7, 2019</w:t>
            </w:r>
          </w:p>
        </w:tc>
        <w:tc>
          <w:tcPr>
            <w:tcW w:w="8100" w:type="dxa"/>
            <w:vAlign w:val="bottom"/>
            <w:shd w:val="clear" w:color="auto" w:fill="F7F7E5"/>
          </w:tcPr>
          <w:p>
            <w:pPr>
              <w:ind w:left="720"/>
              <w:spacing w:after="0"/>
              <w:rPr>
                <w:sz w:val="20"/>
                <w:szCs w:val="20"/>
                <w:color w:val="auto"/>
              </w:rPr>
            </w:pPr>
            <w:r>
              <w:rPr>
                <w:rFonts w:ascii="Arial" w:cs="Arial" w:eastAsia="Arial" w:hAnsi="Arial"/>
                <w:sz w:val="14"/>
                <w:szCs w:val="14"/>
                <w:color w:val="262626"/>
              </w:rPr>
              <w:t>Encore Theater at Wynn Las Vegas,</w:t>
            </w:r>
          </w:p>
        </w:tc>
      </w:tr>
      <w:tr>
        <w:trPr>
          <w:trHeight w:val="170"/>
        </w:trPr>
        <w:tc>
          <w:tcPr>
            <w:tcW w:w="1760" w:type="dxa"/>
            <w:vAlign w:val="bottom"/>
            <w:shd w:val="clear" w:color="auto" w:fill="F7F7E5"/>
          </w:tcPr>
          <w:p>
            <w:pPr>
              <w:ind w:left="220"/>
              <w:spacing w:after="0"/>
              <w:rPr>
                <w:sz w:val="20"/>
                <w:szCs w:val="20"/>
                <w:color w:val="auto"/>
              </w:rPr>
            </w:pPr>
            <w:r>
              <w:rPr>
                <w:rFonts w:ascii="Arial" w:cs="Arial" w:eastAsia="Arial" w:hAnsi="Arial"/>
                <w:sz w:val="14"/>
                <w:szCs w:val="14"/>
                <w:color w:val="262626"/>
              </w:rPr>
              <w:t>9:00 am PT</w:t>
            </w:r>
          </w:p>
        </w:tc>
        <w:tc>
          <w:tcPr>
            <w:tcW w:w="8100" w:type="dxa"/>
            <w:vAlign w:val="bottom"/>
            <w:shd w:val="clear" w:color="auto" w:fill="F7F7E5"/>
          </w:tcPr>
          <w:p>
            <w:pPr>
              <w:ind w:left="720"/>
              <w:spacing w:after="0"/>
              <w:rPr>
                <w:sz w:val="20"/>
                <w:szCs w:val="20"/>
                <w:color w:val="auto"/>
              </w:rPr>
            </w:pPr>
            <w:r>
              <w:rPr>
                <w:rFonts w:ascii="Arial" w:cs="Arial" w:eastAsia="Arial" w:hAnsi="Arial"/>
                <w:sz w:val="14"/>
                <w:szCs w:val="14"/>
                <w:color w:val="262626"/>
              </w:rPr>
              <w:t>3131 Las Vegas Boulevard South, Las Vegas, Nevada</w:t>
            </w:r>
          </w:p>
        </w:tc>
      </w:tr>
      <w:tr>
        <w:trPr>
          <w:trHeight w:val="183"/>
        </w:trPr>
        <w:tc>
          <w:tcPr>
            <w:tcW w:w="1760" w:type="dxa"/>
            <w:vAlign w:val="bottom"/>
            <w:shd w:val="clear" w:color="auto" w:fill="F7F7E5"/>
          </w:tcPr>
          <w:p>
            <w:pPr>
              <w:spacing w:after="0"/>
              <w:rPr>
                <w:sz w:val="15"/>
                <w:szCs w:val="15"/>
                <w:color w:val="auto"/>
              </w:rPr>
            </w:pPr>
          </w:p>
        </w:tc>
        <w:tc>
          <w:tcPr>
            <w:tcW w:w="8100" w:type="dxa"/>
            <w:vAlign w:val="bottom"/>
            <w:shd w:val="clear" w:color="auto" w:fill="F7F7E5"/>
          </w:tcPr>
          <w:p>
            <w:pPr>
              <w:spacing w:after="0"/>
              <w:rPr>
                <w:sz w:val="15"/>
                <w:szCs w:val="15"/>
                <w:color w:val="auto"/>
              </w:rPr>
            </w:pPr>
          </w:p>
        </w:tc>
      </w:tr>
    </w:tbl>
    <w:p>
      <w:pPr>
        <w:spacing w:after="0" w:line="199" w:lineRule="exact"/>
        <w:rPr>
          <w:sz w:val="20"/>
          <w:szCs w:val="20"/>
          <w:color w:val="auto"/>
        </w:rPr>
      </w:pPr>
    </w:p>
    <w:p>
      <w:pPr>
        <w:ind w:left="780" w:right="200"/>
        <w:spacing w:after="0" w:line="276" w:lineRule="auto"/>
        <w:rPr>
          <w:sz w:val="20"/>
          <w:szCs w:val="20"/>
          <w:color w:val="auto"/>
        </w:rPr>
      </w:pPr>
      <w:r>
        <w:rPr>
          <w:rFonts w:ascii="Arial" w:cs="Arial" w:eastAsia="Arial" w:hAnsi="Arial"/>
          <w:sz w:val="14"/>
          <w:szCs w:val="14"/>
          <w:b w:val="1"/>
          <w:bCs w:val="1"/>
          <w:color w:val="262626"/>
        </w:rPr>
        <w:t>This Proxy Statement and our 2018 Annual Report on Form 10-K are available at http://www.wynnresorts.com on the Company Information page under the “Annual Meeting” heading.</w:t>
      </w:r>
    </w:p>
    <w:p>
      <w:pPr>
        <w:sectPr>
          <w:pgSz w:w="11900" w:h="16838" w:orient="portrait"/>
          <w:cols w:equalWidth="0" w:num="1">
            <w:col w:w="10640"/>
          </w:cols>
          <w:pgMar w:left="240" w:top="453" w:right="10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7"/>
          <w:szCs w:val="7"/>
          <w:b w:val="1"/>
          <w:bCs w:val="1"/>
          <w:color w:val="262626"/>
        </w:rPr>
        <w:t>B U I L D I N G T H E N E W W Y N N</w:t>
      </w:r>
    </w:p>
    <w:p>
      <w:pPr>
        <w:spacing w:after="0" w:line="400" w:lineRule="exact"/>
        <w:rPr>
          <w:sz w:val="20"/>
          <w:szCs w:val="20"/>
          <w:color w:val="auto"/>
        </w:rPr>
      </w:pPr>
    </w:p>
    <w:p>
      <w:pPr>
        <w:ind w:left="780"/>
        <w:spacing w:after="0"/>
        <w:tabs>
          <w:tab w:leader="none" w:pos="6180" w:val="left"/>
        </w:tabs>
        <w:rPr>
          <w:sz w:val="20"/>
          <w:szCs w:val="20"/>
          <w:color w:val="auto"/>
        </w:rPr>
      </w:pPr>
      <w:r>
        <w:rPr>
          <w:rFonts w:ascii="Arial" w:cs="Arial" w:eastAsia="Arial" w:hAnsi="Arial"/>
          <w:sz w:val="11"/>
          <w:szCs w:val="11"/>
          <w:b w:val="1"/>
          <w:bCs w:val="1"/>
          <w:color w:val="050505"/>
        </w:rPr>
        <w:t>OUR BOARD AND CORPORATE GOVERNANCE</w:t>
      </w:r>
      <w:r>
        <w:rPr>
          <w:sz w:val="20"/>
          <w:szCs w:val="20"/>
          <w:color w:val="auto"/>
        </w:rPr>
        <w:tab/>
      </w:r>
      <w:r>
        <w:rPr>
          <w:rFonts w:ascii="Arial" w:cs="Arial" w:eastAsia="Arial" w:hAnsi="Arial"/>
          <w:sz w:val="10"/>
          <w:szCs w:val="10"/>
          <w:b w:val="1"/>
          <w:bCs w:val="1"/>
          <w:color w:val="050505"/>
        </w:rPr>
        <w:t>EXECUTIVE COMPENSATION TABLES</w:t>
      </w:r>
    </w:p>
    <w:p>
      <w:pPr>
        <w:sectPr>
          <w:pgSz w:w="11900" w:h="16838" w:orient="portrait"/>
          <w:cols w:equalWidth="0" w:num="1">
            <w:col w:w="10640"/>
          </w:cols>
          <w:pgMar w:left="240" w:top="453" w:right="1019" w:bottom="1440" w:gutter="0" w:footer="0" w:header="0"/>
        </w:sectPr>
      </w:pPr>
    </w:p>
    <w:p>
      <w:pPr>
        <w:spacing w:after="0" w:line="99"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960" w:type="dxa"/>
            <w:vAlign w:val="bottom"/>
            <w:gridSpan w:val="23"/>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Board Composition and Refreshment</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1</w:t>
            </w:r>
          </w:p>
        </w:tc>
      </w:tr>
      <w:tr>
        <w:trPr>
          <w:trHeight w:val="20"/>
        </w:trPr>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2400" w:type="dxa"/>
            <w:vAlign w:val="bottom"/>
            <w:tcBorders>
              <w:bottom w:val="single" w:sz="8" w:color="0000EE"/>
            </w:tcBorders>
            <w:gridSpan w:val="16"/>
          </w:tcPr>
          <w:p>
            <w:pPr>
              <w:spacing w:after="0"/>
              <w:rPr>
                <w:rFonts w:ascii="Arial" w:cs="Arial" w:eastAsia="Arial" w:hAnsi="Arial"/>
                <w:sz w:val="14"/>
                <w:szCs w:val="14"/>
                <w:color w:val="0000EE"/>
                <w:w w:val="99"/>
              </w:rPr>
            </w:pPr>
            <w:hyperlink w:anchor="page12">
              <w:r>
                <w:rPr>
                  <w:rFonts w:ascii="Arial" w:cs="Arial" w:eastAsia="Arial" w:hAnsi="Arial"/>
                  <w:sz w:val="14"/>
                  <w:szCs w:val="14"/>
                  <w:color w:val="0000EE"/>
                  <w:w w:val="99"/>
                </w:rPr>
                <w:t>Director Skills, Experience and Tenure</w:t>
              </w:r>
            </w:hyperlink>
          </w:p>
        </w:tc>
        <w:tc>
          <w:tcPr>
            <w:tcW w:w="1560" w:type="dxa"/>
            <w:vAlign w:val="bottom"/>
            <w:gridSpan w:val="7"/>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2</w:t>
            </w:r>
          </w:p>
        </w:tc>
      </w:tr>
      <w:tr>
        <w:trPr>
          <w:trHeight w:val="245"/>
        </w:trPr>
        <w:tc>
          <w:tcPr>
            <w:tcW w:w="1280" w:type="dxa"/>
            <w:vAlign w:val="bottom"/>
            <w:tcBorders>
              <w:bottom w:val="single" w:sz="8" w:color="0000EE"/>
            </w:tcBorders>
            <w:gridSpan w:val="7"/>
          </w:tcPr>
          <w:p>
            <w:pPr>
              <w:spacing w:after="0"/>
              <w:rPr>
                <w:rFonts w:ascii="Arial" w:cs="Arial" w:eastAsia="Arial" w:hAnsi="Arial"/>
                <w:sz w:val="14"/>
                <w:szCs w:val="14"/>
                <w:color w:val="0000EE"/>
                <w:w w:val="99"/>
              </w:rPr>
            </w:pPr>
            <w:hyperlink w:anchor="page14">
              <w:r>
                <w:rPr>
                  <w:rFonts w:ascii="Arial" w:cs="Arial" w:eastAsia="Arial" w:hAnsi="Arial"/>
                  <w:sz w:val="14"/>
                  <w:szCs w:val="14"/>
                  <w:color w:val="0000EE"/>
                  <w:w w:val="99"/>
                </w:rPr>
                <w:t>Director Biographies</w:t>
              </w:r>
            </w:hyperlink>
          </w:p>
        </w:tc>
        <w:tc>
          <w:tcPr>
            <w:tcW w:w="2680" w:type="dxa"/>
            <w:vAlign w:val="bottom"/>
            <w:gridSpan w:val="16"/>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3</w:t>
            </w:r>
          </w:p>
        </w:tc>
      </w:tr>
      <w:tr>
        <w:trPr>
          <w:trHeight w:val="245"/>
        </w:trPr>
        <w:tc>
          <w:tcPr>
            <w:tcW w:w="1180" w:type="dxa"/>
            <w:vAlign w:val="bottom"/>
            <w:tcBorders>
              <w:bottom w:val="single" w:sz="8" w:color="0000EE"/>
            </w:tcBorders>
            <w:gridSpan w:val="6"/>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Board Committees</w:t>
              </w:r>
            </w:hyperlink>
          </w:p>
        </w:tc>
        <w:tc>
          <w:tcPr>
            <w:tcW w:w="2780" w:type="dxa"/>
            <w:vAlign w:val="bottom"/>
            <w:gridSpan w:val="17"/>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7</w:t>
            </w:r>
          </w:p>
        </w:tc>
      </w:tr>
      <w:tr>
        <w:trPr>
          <w:trHeight w:val="245"/>
        </w:trPr>
        <w:tc>
          <w:tcPr>
            <w:tcW w:w="3960" w:type="dxa"/>
            <w:vAlign w:val="bottom"/>
            <w:gridSpan w:val="23"/>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Why Our Board Governance is Effective</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11</w:t>
            </w:r>
          </w:p>
        </w:tc>
      </w:tr>
      <w:tr>
        <w:trPr>
          <w:trHeight w:val="245"/>
        </w:trPr>
        <w:tc>
          <w:tcPr>
            <w:tcW w:w="1820" w:type="dxa"/>
            <w:vAlign w:val="bottom"/>
            <w:tcBorders>
              <w:top w:val="single" w:sz="8" w:color="0000EE"/>
              <w:bottom w:val="single" w:sz="8" w:color="0000EE"/>
            </w:tcBorders>
            <w:gridSpan w:val="9"/>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Board Role in Risk Oversight</w:t>
              </w:r>
            </w:hyperlink>
          </w:p>
        </w:tc>
        <w:tc>
          <w:tcPr>
            <w:tcW w:w="680" w:type="dxa"/>
            <w:vAlign w:val="bottom"/>
            <w:tcBorders>
              <w:top w:val="single" w:sz="8" w:color="0000EE"/>
            </w:tcBorders>
            <w:gridSpan w:val="8"/>
          </w:tcPr>
          <w:p>
            <w:pPr>
              <w:spacing w:after="0"/>
              <w:rPr>
                <w:sz w:val="21"/>
                <w:szCs w:val="21"/>
                <w:color w:val="auto"/>
              </w:rPr>
            </w:pPr>
          </w:p>
        </w:tc>
        <w:tc>
          <w:tcPr>
            <w:tcW w:w="1460" w:type="dxa"/>
            <w:vAlign w:val="bottom"/>
            <w:gridSpan w:val="6"/>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12</w:t>
            </w:r>
          </w:p>
        </w:tc>
      </w:tr>
      <w:tr>
        <w:trPr>
          <w:trHeight w:val="245"/>
        </w:trPr>
        <w:tc>
          <w:tcPr>
            <w:tcW w:w="3960" w:type="dxa"/>
            <w:vAlign w:val="bottom"/>
            <w:gridSpan w:val="23"/>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Board Meetings/Annual Meeting</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12</w:t>
            </w:r>
          </w:p>
        </w:tc>
      </w:tr>
      <w:tr>
        <w:trPr>
          <w:trHeight w:val="20"/>
        </w:trPr>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2520" w:type="dxa"/>
            <w:vAlign w:val="bottom"/>
            <w:tcBorders>
              <w:bottom w:val="single" w:sz="8" w:color="0000EE"/>
            </w:tcBorders>
            <w:gridSpan w:val="18"/>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Board Communication and Engagement</w:t>
              </w:r>
            </w:hyperlink>
          </w:p>
        </w:tc>
        <w:tc>
          <w:tcPr>
            <w:tcW w:w="1440" w:type="dxa"/>
            <w:vAlign w:val="bottom"/>
            <w:gridSpan w:val="5"/>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12</w:t>
            </w:r>
          </w:p>
        </w:tc>
      </w:tr>
      <w:tr>
        <w:trPr>
          <w:trHeight w:val="245"/>
        </w:trPr>
        <w:tc>
          <w:tcPr>
            <w:tcW w:w="2120" w:type="dxa"/>
            <w:vAlign w:val="bottom"/>
            <w:tcBorders>
              <w:bottom w:val="single" w:sz="8" w:color="0000EE"/>
            </w:tcBorders>
            <w:gridSpan w:val="12"/>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Shareholder Engagement in 2018</w:t>
              </w:r>
            </w:hyperlink>
          </w:p>
        </w:tc>
        <w:tc>
          <w:tcPr>
            <w:tcW w:w="1840" w:type="dxa"/>
            <w:vAlign w:val="bottom"/>
            <w:gridSpan w:val="11"/>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13</w:t>
            </w:r>
          </w:p>
        </w:tc>
      </w:tr>
      <w:tr>
        <w:trPr>
          <w:trHeight w:val="245"/>
        </w:trPr>
        <w:tc>
          <w:tcPr>
            <w:tcW w:w="3960" w:type="dxa"/>
            <w:vAlign w:val="bottom"/>
            <w:gridSpan w:val="23"/>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Board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13</w:t>
            </w:r>
          </w:p>
        </w:tc>
      </w:tr>
      <w:tr>
        <w:trPr>
          <w:trHeight w:val="20"/>
        </w:trPr>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2800" w:type="dxa"/>
            <w:vAlign w:val="bottom"/>
            <w:tcBorders>
              <w:bottom w:val="single" w:sz="8" w:color="0000EE"/>
            </w:tcBorders>
            <w:gridSpan w:val="20"/>
          </w:tcPr>
          <w:p>
            <w:pPr>
              <w:spacing w:after="0"/>
              <w:rPr>
                <w:rFonts w:ascii="Arial" w:cs="Arial" w:eastAsia="Arial" w:hAnsi="Arial"/>
                <w:sz w:val="14"/>
                <w:szCs w:val="14"/>
                <w:color w:val="0000EE"/>
                <w:w w:val="99"/>
              </w:rPr>
            </w:pPr>
            <w:hyperlink w:anchor="page25">
              <w:r>
                <w:rPr>
                  <w:rFonts w:ascii="Arial" w:cs="Arial" w:eastAsia="Arial" w:hAnsi="Arial"/>
                  <w:sz w:val="14"/>
                  <w:szCs w:val="14"/>
                  <w:color w:val="0000EE"/>
                  <w:w w:val="99"/>
                </w:rPr>
                <w:t>Non-Employee Director Compensation Table</w:t>
              </w:r>
            </w:hyperlink>
          </w:p>
        </w:tc>
        <w:tc>
          <w:tcPr>
            <w:tcW w:w="1160" w:type="dxa"/>
            <w:vAlign w:val="bottom"/>
            <w:gridSpan w:val="3"/>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14</w:t>
            </w:r>
          </w:p>
        </w:tc>
      </w:tr>
      <w:tr>
        <w:trPr>
          <w:trHeight w:val="368"/>
        </w:trPr>
        <w:tc>
          <w:tcPr>
            <w:tcW w:w="3960" w:type="dxa"/>
            <w:vAlign w:val="bottom"/>
            <w:gridSpan w:val="23"/>
          </w:tcPr>
          <w:p>
            <w:pPr>
              <w:spacing w:after="0"/>
              <w:rPr>
                <w:sz w:val="20"/>
                <w:szCs w:val="20"/>
                <w:color w:val="auto"/>
              </w:rPr>
            </w:pPr>
            <w:r>
              <w:rPr>
                <w:rFonts w:ascii="Arial" w:cs="Arial" w:eastAsia="Arial" w:hAnsi="Arial"/>
                <w:sz w:val="11"/>
                <w:szCs w:val="11"/>
                <w:b w:val="1"/>
                <w:bCs w:val="1"/>
                <w:color w:val="050505"/>
              </w:rPr>
              <w:t>OUR PEOPLE AND OUR STEWARDSHIP</w:t>
            </w:r>
          </w:p>
        </w:tc>
        <w:tc>
          <w:tcPr>
            <w:tcW w:w="340" w:type="dxa"/>
            <w:vAlign w:val="bottom"/>
          </w:tcPr>
          <w:p>
            <w:pPr>
              <w:spacing w:after="0"/>
              <w:rPr>
                <w:sz w:val="24"/>
                <w:szCs w:val="24"/>
                <w:color w:val="auto"/>
              </w:rPr>
            </w:pPr>
          </w:p>
        </w:tc>
      </w:tr>
      <w:tr>
        <w:trPr>
          <w:trHeight w:val="248"/>
        </w:trPr>
        <w:tc>
          <w:tcPr>
            <w:tcW w:w="740" w:type="dxa"/>
            <w:vAlign w:val="bottom"/>
            <w:tcBorders>
              <w:bottom w:val="single" w:sz="8" w:color="0000EE"/>
            </w:tcBorders>
            <w:gridSpan w:val="3"/>
          </w:tcPr>
          <w:p>
            <w:pPr>
              <w:spacing w:after="0"/>
              <w:rPr>
                <w:rFonts w:ascii="Arial" w:cs="Arial" w:eastAsia="Arial" w:hAnsi="Arial"/>
                <w:sz w:val="14"/>
                <w:szCs w:val="14"/>
                <w:color w:val="0000EE"/>
                <w:w w:val="98"/>
              </w:rPr>
            </w:pPr>
            <w:hyperlink w:anchor="page32">
              <w:r>
                <w:rPr>
                  <w:rFonts w:ascii="Arial" w:cs="Arial" w:eastAsia="Arial" w:hAnsi="Arial"/>
                  <w:sz w:val="14"/>
                  <w:szCs w:val="14"/>
                  <w:color w:val="0000EE"/>
                  <w:w w:val="98"/>
                </w:rPr>
                <w:t>Introduction</w:t>
              </w:r>
            </w:hyperlink>
          </w:p>
        </w:tc>
        <w:tc>
          <w:tcPr>
            <w:tcW w:w="3220" w:type="dxa"/>
            <w:vAlign w:val="bottom"/>
            <w:gridSpan w:val="20"/>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17</w:t>
            </w:r>
          </w:p>
        </w:tc>
      </w:tr>
      <w:tr>
        <w:trPr>
          <w:trHeight w:val="245"/>
        </w:trPr>
        <w:tc>
          <w:tcPr>
            <w:tcW w:w="720" w:type="dxa"/>
            <w:vAlign w:val="bottom"/>
            <w:tcBorders>
              <w:bottom w:val="single" w:sz="8" w:color="0000EE"/>
            </w:tcBorders>
            <w:gridSpan w:val="2"/>
          </w:tcPr>
          <w:p>
            <w:pPr>
              <w:spacing w:after="0"/>
              <w:rPr>
                <w:rFonts w:ascii="Arial" w:cs="Arial" w:eastAsia="Arial" w:hAnsi="Arial"/>
                <w:sz w:val="14"/>
                <w:szCs w:val="14"/>
                <w:color w:val="0000EE"/>
                <w:w w:val="98"/>
              </w:rPr>
            </w:pPr>
            <w:hyperlink w:anchor="page34">
              <w:r>
                <w:rPr>
                  <w:rFonts w:ascii="Arial" w:cs="Arial" w:eastAsia="Arial" w:hAnsi="Arial"/>
                  <w:sz w:val="14"/>
                  <w:szCs w:val="14"/>
                  <w:color w:val="0000EE"/>
                  <w:w w:val="98"/>
                </w:rPr>
                <w:t>Our People</w:t>
              </w:r>
            </w:hyperlink>
          </w:p>
        </w:tc>
        <w:tc>
          <w:tcPr>
            <w:tcW w:w="3240" w:type="dxa"/>
            <w:vAlign w:val="bottom"/>
            <w:gridSpan w:val="21"/>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19</w:t>
            </w:r>
          </w:p>
        </w:tc>
      </w:tr>
      <w:tr>
        <w:trPr>
          <w:trHeight w:val="245"/>
        </w:trPr>
        <w:tc>
          <w:tcPr>
            <w:tcW w:w="1100" w:type="dxa"/>
            <w:vAlign w:val="bottom"/>
            <w:tcBorders>
              <w:bottom w:val="single" w:sz="8" w:color="0000EE"/>
            </w:tcBorders>
            <w:gridSpan w:val="4"/>
          </w:tcPr>
          <w:p>
            <w:pPr>
              <w:spacing w:after="0"/>
              <w:rPr>
                <w:rFonts w:ascii="Arial" w:cs="Arial" w:eastAsia="Arial" w:hAnsi="Arial"/>
                <w:sz w:val="14"/>
                <w:szCs w:val="14"/>
                <w:color w:val="0000EE"/>
                <w:w w:val="99"/>
              </w:rPr>
            </w:pPr>
            <w:hyperlink w:anchor="page36">
              <w:r>
                <w:rPr>
                  <w:rFonts w:ascii="Arial" w:cs="Arial" w:eastAsia="Arial" w:hAnsi="Arial"/>
                  <w:sz w:val="14"/>
                  <w:szCs w:val="14"/>
                  <w:color w:val="0000EE"/>
                  <w:w w:val="99"/>
                </w:rPr>
                <w:t>Our Communities</w:t>
              </w:r>
            </w:hyperlink>
          </w:p>
        </w:tc>
        <w:tc>
          <w:tcPr>
            <w:tcW w:w="2860" w:type="dxa"/>
            <w:vAlign w:val="bottom"/>
            <w:gridSpan w:val="19"/>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21</w:t>
            </w:r>
          </w:p>
        </w:tc>
      </w:tr>
      <w:tr>
        <w:trPr>
          <w:trHeight w:val="245"/>
        </w:trPr>
        <w:tc>
          <w:tcPr>
            <w:tcW w:w="680" w:type="dxa"/>
            <w:vAlign w:val="bottom"/>
            <w:tcBorders>
              <w:bottom w:val="single" w:sz="8" w:color="0000EE"/>
            </w:tcBorders>
          </w:tcPr>
          <w:p>
            <w:pPr>
              <w:spacing w:after="0"/>
              <w:rPr>
                <w:rFonts w:ascii="Arial" w:cs="Arial" w:eastAsia="Arial" w:hAnsi="Arial"/>
                <w:sz w:val="14"/>
                <w:szCs w:val="14"/>
                <w:color w:val="0000EE"/>
                <w:w w:val="98"/>
              </w:rPr>
            </w:pPr>
            <w:hyperlink w:anchor="page37">
              <w:r>
                <w:rPr>
                  <w:rFonts w:ascii="Arial" w:cs="Arial" w:eastAsia="Arial" w:hAnsi="Arial"/>
                  <w:sz w:val="14"/>
                  <w:szCs w:val="14"/>
                  <w:color w:val="0000EE"/>
                  <w:w w:val="98"/>
                </w:rPr>
                <w:t>Our Planet</w:t>
              </w:r>
            </w:hyperlink>
          </w:p>
        </w:tc>
        <w:tc>
          <w:tcPr>
            <w:tcW w:w="3280" w:type="dxa"/>
            <w:vAlign w:val="bottom"/>
            <w:gridSpan w:val="22"/>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22</w:t>
            </w:r>
          </w:p>
        </w:tc>
      </w:tr>
      <w:tr>
        <w:trPr>
          <w:trHeight w:val="351"/>
        </w:trPr>
        <w:tc>
          <w:tcPr>
            <w:tcW w:w="3960" w:type="dxa"/>
            <w:vAlign w:val="bottom"/>
            <w:gridSpan w:val="23"/>
          </w:tcPr>
          <w:p>
            <w:pPr>
              <w:spacing w:after="0"/>
              <w:rPr>
                <w:rFonts w:ascii="Arial" w:cs="Arial" w:eastAsia="Arial" w:hAnsi="Arial"/>
                <w:sz w:val="11"/>
                <w:szCs w:val="11"/>
                <w:b w:val="1"/>
                <w:bCs w:val="1"/>
                <w:color w:val="0000EE"/>
              </w:rPr>
            </w:pPr>
            <w:hyperlink w:anchor="page39">
              <w:r>
                <w:rPr>
                  <w:rFonts w:ascii="Arial" w:cs="Arial" w:eastAsia="Arial" w:hAnsi="Arial"/>
                  <w:sz w:val="11"/>
                  <w:szCs w:val="11"/>
                  <w:b w:val="1"/>
                  <w:bCs w:val="1"/>
                  <w:color w:val="0000EE"/>
                </w:rPr>
                <w:t>EXECUTIVE OFFICERS</w:t>
              </w:r>
            </w:hyperlink>
          </w:p>
        </w:tc>
        <w:tc>
          <w:tcPr>
            <w:tcW w:w="340" w:type="dxa"/>
            <w:vAlign w:val="bottom"/>
          </w:tcPr>
          <w:p>
            <w:pPr>
              <w:jc w:val="right"/>
              <w:spacing w:after="0"/>
              <w:rPr>
                <w:sz w:val="20"/>
                <w:szCs w:val="20"/>
                <w:color w:val="auto"/>
              </w:rPr>
            </w:pPr>
            <w:r>
              <w:rPr>
                <w:rFonts w:ascii="Arial" w:cs="Arial" w:eastAsia="Arial" w:hAnsi="Arial"/>
                <w:sz w:val="11"/>
                <w:szCs w:val="11"/>
                <w:b w:val="1"/>
                <w:bCs w:val="1"/>
                <w:color w:val="050505"/>
              </w:rPr>
              <w:t>24</w:t>
            </w: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68"/>
        </w:trPr>
        <w:tc>
          <w:tcPr>
            <w:tcW w:w="3960" w:type="dxa"/>
            <w:vAlign w:val="bottom"/>
            <w:gridSpan w:val="23"/>
          </w:tcPr>
          <w:p>
            <w:pPr>
              <w:spacing w:after="0"/>
              <w:rPr>
                <w:sz w:val="20"/>
                <w:szCs w:val="20"/>
                <w:color w:val="auto"/>
              </w:rPr>
            </w:pPr>
            <w:r>
              <w:rPr>
                <w:rFonts w:ascii="Arial" w:cs="Arial" w:eastAsia="Arial" w:hAnsi="Arial"/>
                <w:sz w:val="11"/>
                <w:szCs w:val="11"/>
                <w:b w:val="1"/>
                <w:bCs w:val="1"/>
                <w:color w:val="050505"/>
              </w:rPr>
              <w:t>COMPENSATION DISCUSSION AND ANALYSIS</w:t>
            </w:r>
          </w:p>
        </w:tc>
        <w:tc>
          <w:tcPr>
            <w:tcW w:w="340" w:type="dxa"/>
            <w:vAlign w:val="bottom"/>
          </w:tcPr>
          <w:p>
            <w:pPr>
              <w:spacing w:after="0"/>
              <w:rPr>
                <w:sz w:val="24"/>
                <w:szCs w:val="24"/>
                <w:color w:val="auto"/>
              </w:rPr>
            </w:pPr>
          </w:p>
        </w:tc>
      </w:tr>
      <w:tr>
        <w:trPr>
          <w:trHeight w:val="248"/>
        </w:trPr>
        <w:tc>
          <w:tcPr>
            <w:tcW w:w="3960" w:type="dxa"/>
            <w:vAlign w:val="bottom"/>
            <w:gridSpan w:val="2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How We Solicited and Responded to Shareholder Feedback</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27</w:t>
            </w:r>
          </w:p>
        </w:tc>
      </w:tr>
      <w:tr>
        <w:trPr>
          <w:trHeight w:val="245"/>
        </w:trPr>
        <w:tc>
          <w:tcPr>
            <w:tcW w:w="2780" w:type="dxa"/>
            <w:vAlign w:val="bottom"/>
            <w:tcBorders>
              <w:top w:val="single" w:sz="8" w:color="0000EE"/>
              <w:bottom w:val="single" w:sz="8" w:color="0000EE"/>
            </w:tcBorders>
            <w:gridSpan w:val="19"/>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How We Approach Executive Compensation</w:t>
              </w:r>
            </w:hyperlink>
          </w:p>
        </w:tc>
        <w:tc>
          <w:tcPr>
            <w:tcW w:w="980" w:type="dxa"/>
            <w:vAlign w:val="bottom"/>
            <w:tcBorders>
              <w:top w:val="single" w:sz="8" w:color="0000EE"/>
            </w:tcBorders>
            <w:gridSpan w:val="3"/>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29</w:t>
            </w:r>
          </w:p>
        </w:tc>
      </w:tr>
      <w:tr>
        <w:trPr>
          <w:trHeight w:val="245"/>
        </w:trPr>
        <w:tc>
          <w:tcPr>
            <w:tcW w:w="2160" w:type="dxa"/>
            <w:vAlign w:val="bottom"/>
            <w:tcBorders>
              <w:bottom w:val="single" w:sz="8" w:color="0000EE"/>
            </w:tcBorders>
            <w:gridSpan w:val="13"/>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How the Company Has Performed</w:t>
              </w:r>
            </w:hyperlink>
          </w:p>
        </w:tc>
        <w:tc>
          <w:tcPr>
            <w:tcW w:w="1800" w:type="dxa"/>
            <w:vAlign w:val="bottom"/>
            <w:gridSpan w:val="10"/>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30</w:t>
            </w:r>
          </w:p>
        </w:tc>
      </w:tr>
      <w:tr>
        <w:trPr>
          <w:trHeight w:val="245"/>
        </w:trPr>
        <w:tc>
          <w:tcPr>
            <w:tcW w:w="3960" w:type="dxa"/>
            <w:vAlign w:val="bottom"/>
            <w:gridSpan w:val="23"/>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How We Designed Incentives in 2018</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31</w:t>
            </w:r>
          </w:p>
        </w:tc>
      </w:tr>
      <w:tr>
        <w:trPr>
          <w:trHeight w:val="20"/>
        </w:trPr>
        <w:tc>
          <w:tcPr>
            <w:tcW w:w="2100" w:type="dxa"/>
            <w:vAlign w:val="bottom"/>
            <w:gridSpan w:val="11"/>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2920" w:type="dxa"/>
            <w:vAlign w:val="bottom"/>
            <w:tcBorders>
              <w:bottom w:val="single" w:sz="8" w:color="0000EE"/>
            </w:tcBorders>
            <w:gridSpan w:val="21"/>
          </w:tcPr>
          <w:p>
            <w:pPr>
              <w:spacing w:after="0"/>
              <w:rPr>
                <w:rFonts w:ascii="Arial" w:cs="Arial" w:eastAsia="Arial" w:hAnsi="Arial"/>
                <w:sz w:val="14"/>
                <w:szCs w:val="14"/>
                <w:color w:val="0000EE"/>
                <w:w w:val="99"/>
              </w:rPr>
            </w:pPr>
            <w:hyperlink w:anchor="page55">
              <w:r>
                <w:rPr>
                  <w:rFonts w:ascii="Arial" w:cs="Arial" w:eastAsia="Arial" w:hAnsi="Arial"/>
                  <w:sz w:val="14"/>
                  <w:szCs w:val="14"/>
                  <w:color w:val="0000EE"/>
                  <w:w w:val="99"/>
                </w:rPr>
                <w:t>Why You Should Vote for the 2019 Say on Pay</w:t>
              </w:r>
            </w:hyperlink>
          </w:p>
        </w:tc>
        <w:tc>
          <w:tcPr>
            <w:tcW w:w="1040" w:type="dxa"/>
            <w:vAlign w:val="bottom"/>
            <w:gridSpan w:val="2"/>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36</w:t>
            </w:r>
          </w:p>
        </w:tc>
      </w:tr>
      <w:tr>
        <w:trPr>
          <w:trHeight w:val="245"/>
        </w:trPr>
        <w:tc>
          <w:tcPr>
            <w:tcW w:w="3960" w:type="dxa"/>
            <w:vAlign w:val="bottom"/>
            <w:gridSpan w:val="23"/>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Other Aspects of Our Executive Compensation</w:t>
              </w:r>
            </w:hyperlink>
          </w:p>
        </w:tc>
        <w:tc>
          <w:tcPr>
            <w:tcW w:w="340" w:type="dxa"/>
            <w:vAlign w:val="bottom"/>
          </w:tcPr>
          <w:p>
            <w:pPr>
              <w:jc w:val="right"/>
              <w:spacing w:after="0"/>
              <w:rPr>
                <w:sz w:val="20"/>
                <w:szCs w:val="20"/>
                <w:color w:val="auto"/>
              </w:rPr>
            </w:pPr>
            <w:r>
              <w:rPr>
                <w:rFonts w:ascii="Arial" w:cs="Arial" w:eastAsia="Arial" w:hAnsi="Arial"/>
                <w:sz w:val="14"/>
                <w:szCs w:val="14"/>
                <w:color w:val="262626"/>
              </w:rPr>
              <w:t>37</w:t>
            </w:r>
          </w:p>
        </w:tc>
      </w:tr>
      <w:tr>
        <w:trPr>
          <w:trHeight w:val="245"/>
        </w:trPr>
        <w:tc>
          <w:tcPr>
            <w:tcW w:w="2100" w:type="dxa"/>
            <w:vAlign w:val="bottom"/>
            <w:tcBorders>
              <w:top w:val="single" w:sz="8" w:color="0000EE"/>
              <w:bottom w:val="single" w:sz="8" w:color="0000EE"/>
            </w:tcBorders>
            <w:gridSpan w:val="11"/>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Compensation Committee Report</w:t>
              </w:r>
            </w:hyperlink>
          </w:p>
        </w:tc>
        <w:tc>
          <w:tcPr>
            <w:tcW w:w="820" w:type="dxa"/>
            <w:vAlign w:val="bottom"/>
            <w:tcBorders>
              <w:top w:val="single" w:sz="8" w:color="0000EE"/>
            </w:tcBorders>
            <w:gridSpan w:val="10"/>
          </w:tcPr>
          <w:p>
            <w:pPr>
              <w:spacing w:after="0"/>
              <w:rPr>
                <w:sz w:val="21"/>
                <w:szCs w:val="21"/>
                <w:color w:val="auto"/>
              </w:rPr>
            </w:pPr>
          </w:p>
        </w:tc>
        <w:tc>
          <w:tcPr>
            <w:tcW w:w="1040" w:type="dxa"/>
            <w:vAlign w:val="bottom"/>
            <w:gridSpan w:val="2"/>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262626"/>
              </w:rPr>
              <w:t>37</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Borders>
              <w:bottom w:val="single" w:sz="8" w:color="0000EE"/>
            </w:tcBorders>
            <w:gridSpan w:val="11"/>
          </w:tcPr>
          <w:p>
            <w:pPr>
              <w:spacing w:after="0"/>
              <w:rPr>
                <w:rFonts w:ascii="Arial" w:cs="Arial" w:eastAsia="Arial" w:hAnsi="Arial"/>
                <w:sz w:val="14"/>
                <w:szCs w:val="14"/>
                <w:color w:val="0000EE"/>
                <w:w w:val="99"/>
              </w:rPr>
            </w:pPr>
            <w:hyperlink w:anchor="page62">
              <w:r>
                <w:rPr>
                  <w:rFonts w:ascii="Arial" w:cs="Arial" w:eastAsia="Arial" w:hAnsi="Arial"/>
                  <w:sz w:val="14"/>
                  <w:szCs w:val="14"/>
                  <w:color w:val="0000EE"/>
                  <w:w w:val="99"/>
                </w:rPr>
                <w:t>Summary Compensation Table</w:t>
              </w:r>
            </w:hyperlink>
          </w:p>
        </w:tc>
        <w:tc>
          <w:tcPr>
            <w:tcW w:w="2040" w:type="dxa"/>
            <w:vAlign w:val="bottom"/>
            <w:gridSpan w:val="14"/>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39</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0000EE"/>
            </w:tcBorders>
            <w:gridSpan w:val="18"/>
          </w:tcPr>
          <w:p>
            <w:pPr>
              <w:spacing w:after="0"/>
              <w:rPr>
                <w:rFonts w:ascii="Arial" w:cs="Arial" w:eastAsia="Arial" w:hAnsi="Arial"/>
                <w:sz w:val="14"/>
                <w:szCs w:val="14"/>
                <w:color w:val="0000EE"/>
                <w:w w:val="99"/>
              </w:rPr>
            </w:pPr>
            <w:hyperlink w:anchor="page63">
              <w:r>
                <w:rPr>
                  <w:rFonts w:ascii="Arial" w:cs="Arial" w:eastAsia="Arial" w:hAnsi="Arial"/>
                  <w:sz w:val="14"/>
                  <w:szCs w:val="14"/>
                  <w:color w:val="0000EE"/>
                  <w:w w:val="99"/>
                </w:rPr>
                <w:t>Discussion of Summary Compensation Table</w:t>
              </w:r>
            </w:hyperlink>
          </w:p>
        </w:tc>
        <w:tc>
          <w:tcPr>
            <w:tcW w:w="1160" w:type="dxa"/>
            <w:vAlign w:val="bottom"/>
            <w:gridSpan w:val="7"/>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40</w:t>
            </w:r>
          </w:p>
        </w:tc>
        <w:tc>
          <w:tcPr>
            <w:tcW w:w="0" w:type="dxa"/>
            <w:vAlign w:val="bottom"/>
          </w:tcPr>
          <w:p>
            <w:pPr>
              <w:spacing w:after="0"/>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2018 Grants of Plan-based Awards Table</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40</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00" w:type="dxa"/>
            <w:vAlign w:val="bottom"/>
            <w:tcBorders>
              <w:bottom w:val="single" w:sz="8" w:color="0000EE"/>
            </w:tcBorders>
            <w:gridSpan w:val="20"/>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Outstanding Equity Awards at Fiscal Year-end</w:t>
              </w:r>
            </w:hyperlink>
          </w:p>
        </w:tc>
        <w:tc>
          <w:tcPr>
            <w:tcW w:w="1080" w:type="dxa"/>
            <w:vAlign w:val="bottom"/>
            <w:gridSpan w:val="5"/>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41</w:t>
            </w:r>
          </w:p>
        </w:tc>
        <w:tc>
          <w:tcPr>
            <w:tcW w:w="0" w:type="dxa"/>
            <w:vAlign w:val="bottom"/>
          </w:tcPr>
          <w:p>
            <w:pPr>
              <w:spacing w:after="0"/>
              <w:rPr>
                <w:sz w:val="1"/>
                <w:szCs w:val="1"/>
                <w:color w:val="auto"/>
              </w:rPr>
            </w:pPr>
          </w:p>
        </w:tc>
      </w:tr>
      <w:tr>
        <w:trPr>
          <w:trHeight w:val="245"/>
        </w:trPr>
        <w:tc>
          <w:tcPr>
            <w:tcW w:w="2720" w:type="dxa"/>
            <w:vAlign w:val="bottom"/>
            <w:tcBorders>
              <w:bottom w:val="single" w:sz="8" w:color="0000EE"/>
            </w:tcBorders>
            <w:gridSpan w:val="16"/>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Option Exercises and Stock Vested in 2018</w:t>
              </w:r>
            </w:hyperlink>
          </w:p>
        </w:tc>
        <w:tc>
          <w:tcPr>
            <w:tcW w:w="1260" w:type="dxa"/>
            <w:vAlign w:val="bottom"/>
            <w:gridSpan w:val="9"/>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41</w:t>
            </w:r>
          </w:p>
        </w:tc>
        <w:tc>
          <w:tcPr>
            <w:tcW w:w="0" w:type="dxa"/>
            <w:vAlign w:val="bottom"/>
          </w:tcPr>
          <w:p>
            <w:pPr>
              <w:spacing w:after="0"/>
              <w:rPr>
                <w:sz w:val="1"/>
                <w:szCs w:val="1"/>
                <w:color w:val="auto"/>
              </w:rPr>
            </w:pPr>
          </w:p>
        </w:tc>
      </w:tr>
      <w:tr>
        <w:trPr>
          <w:trHeight w:val="245"/>
        </w:trPr>
        <w:tc>
          <w:tcPr>
            <w:tcW w:w="3720" w:type="dxa"/>
            <w:vAlign w:val="bottom"/>
            <w:tcBorders>
              <w:bottom w:val="single" w:sz="8" w:color="0000EE"/>
            </w:tcBorders>
            <w:gridSpan w:val="24"/>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Potential Payments Upon Termination or Change in Control</w:t>
              </w:r>
            </w:hyperlink>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42</w:t>
            </w:r>
          </w:p>
        </w:tc>
        <w:tc>
          <w:tcPr>
            <w:tcW w:w="0" w:type="dxa"/>
            <w:vAlign w:val="bottom"/>
          </w:tcPr>
          <w:p>
            <w:pPr>
              <w:spacing w:after="0"/>
              <w:rPr>
                <w:sz w:val="1"/>
                <w:szCs w:val="1"/>
                <w:color w:val="auto"/>
              </w:rPr>
            </w:pPr>
          </w:p>
        </w:tc>
      </w:tr>
      <w:tr>
        <w:trPr>
          <w:trHeight w:val="351"/>
        </w:trPr>
        <w:tc>
          <w:tcPr>
            <w:tcW w:w="3980" w:type="dxa"/>
            <w:vAlign w:val="bottom"/>
            <w:gridSpan w:val="25"/>
          </w:tcPr>
          <w:p>
            <w:pPr>
              <w:spacing w:after="0"/>
              <w:rPr>
                <w:rFonts w:ascii="Arial" w:cs="Arial" w:eastAsia="Arial" w:hAnsi="Arial"/>
                <w:sz w:val="11"/>
                <w:szCs w:val="11"/>
                <w:b w:val="1"/>
                <w:bCs w:val="1"/>
                <w:color w:val="0000EE"/>
              </w:rPr>
            </w:pPr>
            <w:hyperlink w:anchor="page68">
              <w:r>
                <w:rPr>
                  <w:rFonts w:ascii="Arial" w:cs="Arial" w:eastAsia="Arial" w:hAnsi="Arial"/>
                  <w:sz w:val="11"/>
                  <w:szCs w:val="11"/>
                  <w:b w:val="1"/>
                  <w:bCs w:val="1"/>
                  <w:color w:val="0000EE"/>
                </w:rPr>
                <w:t>CERTAIN RELATIONSHIPS AND TRANSACTIONS</w:t>
              </w:r>
            </w:hyperlink>
          </w:p>
        </w:tc>
        <w:tc>
          <w:tcPr>
            <w:tcW w:w="420" w:type="dxa"/>
            <w:vAlign w:val="bottom"/>
          </w:tcPr>
          <w:p>
            <w:pPr>
              <w:jc w:val="right"/>
              <w:spacing w:after="0"/>
              <w:rPr>
                <w:sz w:val="20"/>
                <w:szCs w:val="20"/>
                <w:color w:val="auto"/>
              </w:rPr>
            </w:pPr>
            <w:r>
              <w:rPr>
                <w:rFonts w:ascii="Arial" w:cs="Arial" w:eastAsia="Arial" w:hAnsi="Arial"/>
                <w:sz w:val="11"/>
                <w:szCs w:val="11"/>
                <w:b w:val="1"/>
                <w:bCs w:val="1"/>
                <w:color w:val="050505"/>
              </w:rPr>
              <w:t>45</w:t>
            </w:r>
          </w:p>
        </w:tc>
        <w:tc>
          <w:tcPr>
            <w:tcW w:w="0" w:type="dxa"/>
            <w:vAlign w:val="bottom"/>
          </w:tcPr>
          <w:p>
            <w:pPr>
              <w:spacing w:after="0"/>
              <w:rPr>
                <w:sz w:val="1"/>
                <w:szCs w:val="1"/>
                <w:color w:val="auto"/>
              </w:rPr>
            </w:pPr>
          </w:p>
        </w:tc>
      </w:tr>
      <w:tr>
        <w:trPr>
          <w:trHeight w:val="351"/>
        </w:trPr>
        <w:tc>
          <w:tcPr>
            <w:tcW w:w="2480" w:type="dxa"/>
            <w:vAlign w:val="bottom"/>
            <w:tcBorders>
              <w:top w:val="single" w:sz="8" w:color="0000EE"/>
            </w:tcBorders>
            <w:gridSpan w:val="13"/>
          </w:tcPr>
          <w:p>
            <w:pPr>
              <w:spacing w:after="0"/>
              <w:rPr>
                <w:rFonts w:ascii="Arial" w:cs="Arial" w:eastAsia="Arial" w:hAnsi="Arial"/>
                <w:sz w:val="11"/>
                <w:szCs w:val="11"/>
                <w:b w:val="1"/>
                <w:bCs w:val="1"/>
                <w:color w:val="0000EE"/>
              </w:rPr>
            </w:pPr>
            <w:hyperlink w:anchor="page70">
              <w:r>
                <w:rPr>
                  <w:rFonts w:ascii="Arial" w:cs="Arial" w:eastAsia="Arial" w:hAnsi="Arial"/>
                  <w:sz w:val="11"/>
                  <w:szCs w:val="11"/>
                  <w:b w:val="1"/>
                  <w:bCs w:val="1"/>
                  <w:color w:val="0000EE"/>
                </w:rPr>
                <w:t>PAY RATIO DISCLOSURE</w:t>
              </w:r>
            </w:hyperlink>
          </w:p>
        </w:tc>
        <w:tc>
          <w:tcPr>
            <w:tcW w:w="15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050505"/>
              </w:rPr>
              <w:t>47</w:t>
            </w:r>
          </w:p>
        </w:tc>
        <w:tc>
          <w:tcPr>
            <w:tcW w:w="0" w:type="dxa"/>
            <w:vAlign w:val="bottom"/>
          </w:tcPr>
          <w:p>
            <w:pPr>
              <w:spacing w:after="0"/>
              <w:rPr>
                <w:sz w:val="1"/>
                <w:szCs w:val="1"/>
                <w:color w:val="auto"/>
              </w:rPr>
            </w:pPr>
          </w:p>
        </w:tc>
      </w:tr>
      <w:tr>
        <w:trPr>
          <w:trHeight w:val="351"/>
        </w:trPr>
        <w:tc>
          <w:tcPr>
            <w:tcW w:w="1280" w:type="dxa"/>
            <w:vAlign w:val="bottom"/>
            <w:tcBorders>
              <w:top w:val="single" w:sz="8" w:color="0000EE"/>
            </w:tcBorders>
            <w:gridSpan w:val="5"/>
          </w:tcPr>
          <w:p>
            <w:pPr>
              <w:spacing w:after="0"/>
              <w:rPr>
                <w:rFonts w:ascii="Arial" w:cs="Arial" w:eastAsia="Arial" w:hAnsi="Arial"/>
                <w:sz w:val="11"/>
                <w:szCs w:val="11"/>
                <w:b w:val="1"/>
                <w:bCs w:val="1"/>
                <w:color w:val="0000EE"/>
                <w:w w:val="99"/>
              </w:rPr>
            </w:pPr>
            <w:hyperlink w:anchor="page71">
              <w:r>
                <w:rPr>
                  <w:rFonts w:ascii="Arial" w:cs="Arial" w:eastAsia="Arial" w:hAnsi="Arial"/>
                  <w:sz w:val="11"/>
                  <w:szCs w:val="11"/>
                  <w:b w:val="1"/>
                  <w:bCs w:val="1"/>
                  <w:color w:val="0000EE"/>
                  <w:w w:val="99"/>
                </w:rPr>
                <w:t>SECURITY OWNERSHIP</w:t>
              </w:r>
            </w:hyperlink>
          </w:p>
        </w:tc>
        <w:tc>
          <w:tcPr>
            <w:tcW w:w="2700" w:type="dxa"/>
            <w:vAlign w:val="bottom"/>
            <w:gridSpan w:val="2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050505"/>
              </w:rPr>
              <w:t>48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Certain Beneficial Ownership and Management</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48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Section 16(a) Beneficial Ownership Reporting Compliance</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49</w:t>
            </w:r>
          </w:p>
        </w:tc>
        <w:tc>
          <w:tcPr>
            <w:tcW w:w="0" w:type="dxa"/>
            <w:vAlign w:val="bottom"/>
          </w:tcPr>
          <w:p>
            <w:pPr>
              <w:spacing w:after="0"/>
              <w:rPr>
                <w:sz w:val="1"/>
                <w:szCs w:val="1"/>
                <w:color w:val="auto"/>
              </w:rPr>
            </w:pPr>
          </w:p>
        </w:tc>
      </w:tr>
      <w:tr>
        <w:trPr>
          <w:trHeight w:val="368"/>
        </w:trPr>
        <w:tc>
          <w:tcPr>
            <w:tcW w:w="3640" w:type="dxa"/>
            <w:vAlign w:val="bottom"/>
            <w:tcBorders>
              <w:top w:val="single" w:sz="8" w:color="0000EE"/>
            </w:tcBorders>
            <w:gridSpan w:val="23"/>
          </w:tcPr>
          <w:p>
            <w:pPr>
              <w:spacing w:after="0"/>
              <w:rPr>
                <w:sz w:val="20"/>
                <w:szCs w:val="20"/>
                <w:color w:val="auto"/>
              </w:rPr>
            </w:pPr>
            <w:r>
              <w:rPr>
                <w:rFonts w:ascii="Arial" w:cs="Arial" w:eastAsia="Arial" w:hAnsi="Arial"/>
                <w:sz w:val="11"/>
                <w:szCs w:val="11"/>
                <w:b w:val="1"/>
                <w:bCs w:val="1"/>
                <w:color w:val="050505"/>
              </w:rPr>
              <w:t>ITEMS TO BE VOTED ON</w:t>
            </w:r>
          </w:p>
        </w:tc>
        <w:tc>
          <w:tcPr>
            <w:tcW w:w="3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980" w:type="dxa"/>
            <w:vAlign w:val="bottom"/>
            <w:gridSpan w:val="25"/>
          </w:tcPr>
          <w:p>
            <w:pPr>
              <w:spacing w:after="0"/>
              <w:rPr>
                <w:rFonts w:ascii="Arial" w:cs="Arial" w:eastAsia="Arial" w:hAnsi="Arial"/>
                <w:sz w:val="14"/>
                <w:szCs w:val="14"/>
                <w:color w:val="0000EE"/>
              </w:rPr>
            </w:pPr>
            <w:hyperlink w:anchor="page78">
              <w:r>
                <w:rPr>
                  <w:rFonts w:ascii="Arial" w:cs="Arial" w:eastAsia="Arial" w:hAnsi="Arial"/>
                  <w:sz w:val="14"/>
                  <w:szCs w:val="14"/>
                  <w:color w:val="0000EE"/>
                </w:rPr>
                <w:t>Proposal 1: Election of Directors</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51</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80" w:type="dxa"/>
            <w:vAlign w:val="bottom"/>
            <w:tcBorders>
              <w:bottom w:val="single" w:sz="8" w:color="0000EE"/>
            </w:tcBorders>
            <w:gridSpan w:val="25"/>
          </w:tcPr>
          <w:p>
            <w:pPr>
              <w:spacing w:after="0"/>
              <w:rPr>
                <w:rFonts w:ascii="Arial" w:cs="Arial" w:eastAsia="Arial" w:hAnsi="Arial"/>
                <w:sz w:val="14"/>
                <w:szCs w:val="14"/>
                <w:color w:val="0000EE"/>
              </w:rPr>
            </w:pPr>
            <w:hyperlink w:anchor="page78">
              <w:r>
                <w:rPr>
                  <w:rFonts w:ascii="Arial" w:cs="Arial" w:eastAsia="Arial" w:hAnsi="Arial"/>
                  <w:sz w:val="14"/>
                  <w:szCs w:val="14"/>
                  <w:color w:val="0000EE"/>
                </w:rPr>
                <w:t>Proposal 2: Ratification of Appointment of Independent Auditors</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51</w:t>
            </w:r>
          </w:p>
        </w:tc>
        <w:tc>
          <w:tcPr>
            <w:tcW w:w="0" w:type="dxa"/>
            <w:vAlign w:val="bottom"/>
          </w:tcPr>
          <w:p>
            <w:pPr>
              <w:spacing w:after="0"/>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Proposal 3: Advisory Vote to Approve the</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62626"/>
              </w:rPr>
              <w:t>53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gridSpan w:val="25"/>
          </w:tcPr>
          <w:p>
            <w:pPr>
              <w:spacing w:after="0" w:line="139" w:lineRule="exact"/>
              <w:rPr>
                <w:rFonts w:ascii="Arial" w:cs="Arial" w:eastAsia="Arial" w:hAnsi="Arial"/>
                <w:sz w:val="14"/>
                <w:szCs w:val="14"/>
                <w:color w:val="0000EE"/>
              </w:rPr>
            </w:pPr>
            <w:hyperlink w:anchor="page80">
              <w:r>
                <w:rPr>
                  <w:rFonts w:ascii="Arial" w:cs="Arial" w:eastAsia="Arial" w:hAnsi="Arial"/>
                  <w:sz w:val="14"/>
                  <w:szCs w:val="14"/>
                  <w:color w:val="0000EE"/>
                </w:rPr>
                <w:t>Compensation of Named Executive Officers</w:t>
              </w:r>
            </w:hyperlink>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000" w:type="dxa"/>
            <w:vAlign w:val="bottom"/>
            <w:tcBorders>
              <w:bottom w:val="single" w:sz="8" w:color="0000EE"/>
            </w:tcBorders>
            <w:gridSpan w:val="22"/>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Proposal 4: Shareholder Proposal Requesting a</w:t>
              </w:r>
            </w:hyperlink>
          </w:p>
        </w:tc>
        <w:tc>
          <w:tcPr>
            <w:tcW w:w="980" w:type="dxa"/>
            <w:vAlign w:val="bottom"/>
            <w:gridSpan w:val="3"/>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262626"/>
              </w:rPr>
              <w:t>54</w:t>
            </w:r>
          </w:p>
        </w:tc>
        <w:tc>
          <w:tcPr>
            <w:tcW w:w="0" w:type="dxa"/>
            <w:vAlign w:val="bottom"/>
          </w:tcPr>
          <w:p>
            <w:pPr>
              <w:spacing w:after="0"/>
              <w:rPr>
                <w:sz w:val="1"/>
                <w:szCs w:val="1"/>
                <w:color w:val="auto"/>
              </w:rPr>
            </w:pPr>
          </w:p>
        </w:tc>
      </w:tr>
      <w:tr>
        <w:trPr>
          <w:trHeight w:val="139"/>
        </w:trPr>
        <w:tc>
          <w:tcPr>
            <w:tcW w:w="3980" w:type="dxa"/>
            <w:vAlign w:val="bottom"/>
            <w:gridSpan w:val="25"/>
          </w:tcPr>
          <w:p>
            <w:pPr>
              <w:spacing w:after="0" w:line="139" w:lineRule="exact"/>
              <w:rPr>
                <w:rFonts w:ascii="Arial" w:cs="Arial" w:eastAsia="Arial" w:hAnsi="Arial"/>
                <w:sz w:val="14"/>
                <w:szCs w:val="14"/>
                <w:color w:val="0000EE"/>
              </w:rPr>
            </w:pPr>
            <w:hyperlink w:anchor="page81">
              <w:r>
                <w:rPr>
                  <w:rFonts w:ascii="Arial" w:cs="Arial" w:eastAsia="Arial" w:hAnsi="Arial"/>
                  <w:sz w:val="14"/>
                  <w:szCs w:val="14"/>
                  <w:color w:val="0000EE"/>
                </w:rPr>
                <w:t>Political Contributions Report</w:t>
              </w:r>
            </w:hyperlink>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1300" w:type="dxa"/>
            <w:vAlign w:val="bottom"/>
            <w:tcBorders>
              <w:top w:val="single" w:sz="8" w:color="0000EE"/>
              <w:bottom w:val="single" w:sz="8" w:color="0000EE"/>
            </w:tcBorders>
            <w:gridSpan w:val="6"/>
          </w:tcPr>
          <w:p>
            <w:pPr>
              <w:spacing w:after="0"/>
              <w:rPr>
                <w:rFonts w:ascii="Arial" w:cs="Arial" w:eastAsia="Arial" w:hAnsi="Arial"/>
                <w:sz w:val="11"/>
                <w:szCs w:val="11"/>
                <w:b w:val="1"/>
                <w:bCs w:val="1"/>
                <w:color w:val="0000EE"/>
                <w:w w:val="95"/>
              </w:rPr>
            </w:pPr>
            <w:hyperlink w:anchor="page84">
              <w:r>
                <w:rPr>
                  <w:rFonts w:ascii="Arial" w:cs="Arial" w:eastAsia="Arial" w:hAnsi="Arial"/>
                  <w:sz w:val="11"/>
                  <w:szCs w:val="11"/>
                  <w:b w:val="1"/>
                  <w:bCs w:val="1"/>
                  <w:color w:val="0000EE"/>
                  <w:w w:val="95"/>
                </w:rPr>
                <w:t>GENERAL INFORMATION</w:t>
              </w:r>
            </w:hyperlink>
          </w:p>
        </w:tc>
        <w:tc>
          <w:tcPr>
            <w:tcW w:w="520" w:type="dxa"/>
            <w:vAlign w:val="bottom"/>
            <w:tcBorders>
              <w:top w:val="single" w:sz="8" w:color="0000EE"/>
            </w:tcBorders>
            <w:gridSpan w:val="3"/>
          </w:tcPr>
          <w:p>
            <w:pPr>
              <w:spacing w:after="0"/>
              <w:rPr>
                <w:sz w:val="24"/>
                <w:szCs w:val="24"/>
                <w:color w:val="auto"/>
              </w:rPr>
            </w:pPr>
          </w:p>
        </w:tc>
        <w:tc>
          <w:tcPr>
            <w:tcW w:w="216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050505"/>
              </w:rPr>
              <w:t>57</w:t>
            </w:r>
          </w:p>
        </w:tc>
        <w:tc>
          <w:tcPr>
            <w:tcW w:w="0" w:type="dxa"/>
            <w:vAlign w:val="bottom"/>
          </w:tcPr>
          <w:p>
            <w:pPr>
              <w:spacing w:after="0"/>
              <w:rPr>
                <w:sz w:val="1"/>
                <w:szCs w:val="1"/>
                <w:color w:val="auto"/>
              </w:rPr>
            </w:pPr>
          </w:p>
        </w:tc>
      </w:tr>
      <w:tr>
        <w:trPr>
          <w:trHeight w:val="245"/>
        </w:trPr>
        <w:tc>
          <w:tcPr>
            <w:tcW w:w="2660" w:type="dxa"/>
            <w:vAlign w:val="bottom"/>
            <w:tcBorders>
              <w:bottom w:val="single" w:sz="8" w:color="0000EE"/>
            </w:tcBorders>
            <w:gridSpan w:val="15"/>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Our 2019 Annual Meeting of Shareholders</w:t>
              </w:r>
            </w:hyperlink>
          </w:p>
        </w:tc>
        <w:tc>
          <w:tcPr>
            <w:tcW w:w="1320" w:type="dxa"/>
            <w:vAlign w:val="bottom"/>
            <w:gridSpan w:val="10"/>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57</w:t>
            </w:r>
          </w:p>
        </w:tc>
        <w:tc>
          <w:tcPr>
            <w:tcW w:w="0" w:type="dxa"/>
            <w:vAlign w:val="bottom"/>
          </w:tcPr>
          <w:p>
            <w:pPr>
              <w:spacing w:after="0"/>
              <w:rPr>
                <w:sz w:val="1"/>
                <w:szCs w:val="1"/>
                <w:color w:val="auto"/>
              </w:rPr>
            </w:pPr>
          </w:p>
        </w:tc>
      </w:tr>
      <w:tr>
        <w:trPr>
          <w:trHeight w:val="245"/>
        </w:trPr>
        <w:tc>
          <w:tcPr>
            <w:tcW w:w="1400" w:type="dxa"/>
            <w:vAlign w:val="bottom"/>
            <w:tcBorders>
              <w:bottom w:val="single" w:sz="8" w:color="0000EE"/>
            </w:tcBorders>
            <w:gridSpan w:val="7"/>
          </w:tcPr>
          <w:p>
            <w:pPr>
              <w:spacing w:after="0"/>
              <w:rPr>
                <w:rFonts w:ascii="Arial" w:cs="Arial" w:eastAsia="Arial" w:hAnsi="Arial"/>
                <w:sz w:val="14"/>
                <w:szCs w:val="14"/>
                <w:color w:val="0000EE"/>
                <w:w w:val="99"/>
              </w:rPr>
            </w:pPr>
            <w:hyperlink w:anchor="page84">
              <w:r>
                <w:rPr>
                  <w:rFonts w:ascii="Arial" w:cs="Arial" w:eastAsia="Arial" w:hAnsi="Arial"/>
                  <w:sz w:val="14"/>
                  <w:szCs w:val="14"/>
                  <w:color w:val="0000EE"/>
                  <w:w w:val="99"/>
                </w:rPr>
                <w:t>Voting and Solicitation</w:t>
              </w:r>
            </w:hyperlink>
          </w:p>
        </w:tc>
        <w:tc>
          <w:tcPr>
            <w:tcW w:w="2580" w:type="dxa"/>
            <w:vAlign w:val="bottom"/>
            <w:gridSpan w:val="18"/>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57</w:t>
            </w:r>
          </w:p>
        </w:tc>
        <w:tc>
          <w:tcPr>
            <w:tcW w:w="0" w:type="dxa"/>
            <w:vAlign w:val="bottom"/>
          </w:tcPr>
          <w:p>
            <w:pPr>
              <w:spacing w:after="0"/>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How You Can Vote</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58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40" w:type="dxa"/>
            <w:vAlign w:val="bottom"/>
            <w:tcBorders>
              <w:bottom w:val="single" w:sz="8" w:color="0000EE"/>
            </w:tcBorders>
            <w:gridSpan w:val="8"/>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Revocability of Proxies</w:t>
              </w:r>
            </w:hyperlink>
          </w:p>
        </w:tc>
        <w:tc>
          <w:tcPr>
            <w:tcW w:w="2540" w:type="dxa"/>
            <w:vAlign w:val="bottom"/>
            <w:gridSpan w:val="17"/>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58</w:t>
            </w:r>
          </w:p>
        </w:tc>
        <w:tc>
          <w:tcPr>
            <w:tcW w:w="0" w:type="dxa"/>
            <w:vAlign w:val="bottom"/>
          </w:tcPr>
          <w:p>
            <w:pPr>
              <w:spacing w:after="0"/>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Attending the Annual Meeting</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58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tcBorders>
              <w:bottom w:val="single" w:sz="8" w:color="0000EE"/>
            </w:tcBorders>
            <w:gridSpan w:val="19"/>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Proxy Procedure and Expenses of Solicitation</w:t>
              </w:r>
            </w:hyperlink>
          </w:p>
        </w:tc>
        <w:tc>
          <w:tcPr>
            <w:tcW w:w="1100" w:type="dxa"/>
            <w:vAlign w:val="bottom"/>
            <w:gridSpan w:val="6"/>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59</w:t>
            </w:r>
          </w:p>
        </w:tc>
        <w:tc>
          <w:tcPr>
            <w:tcW w:w="0" w:type="dxa"/>
            <w:vAlign w:val="bottom"/>
          </w:tcPr>
          <w:p>
            <w:pPr>
              <w:spacing w:after="0"/>
              <w:rPr>
                <w:sz w:val="1"/>
                <w:szCs w:val="1"/>
                <w:color w:val="auto"/>
              </w:rPr>
            </w:pPr>
          </w:p>
        </w:tc>
      </w:tr>
      <w:tr>
        <w:trPr>
          <w:trHeight w:val="245"/>
        </w:trPr>
        <w:tc>
          <w:tcPr>
            <w:tcW w:w="3980" w:type="dxa"/>
            <w:vAlign w:val="bottom"/>
            <w:gridSpan w:val="25"/>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Shareholder Proposals</w:t>
              </w:r>
            </w:hyperlink>
          </w:p>
        </w:tc>
        <w:tc>
          <w:tcPr>
            <w:tcW w:w="420" w:type="dxa"/>
            <w:vAlign w:val="bottom"/>
          </w:tcPr>
          <w:p>
            <w:pPr>
              <w:jc w:val="right"/>
              <w:spacing w:after="0"/>
              <w:rPr>
                <w:sz w:val="20"/>
                <w:szCs w:val="20"/>
                <w:color w:val="auto"/>
              </w:rPr>
            </w:pPr>
            <w:r>
              <w:rPr>
                <w:rFonts w:ascii="Arial" w:cs="Arial" w:eastAsia="Arial" w:hAnsi="Arial"/>
                <w:sz w:val="14"/>
                <w:szCs w:val="14"/>
                <w:color w:val="262626"/>
              </w:rPr>
              <w:t>59</w:t>
            </w:r>
          </w:p>
        </w:tc>
        <w:tc>
          <w:tcPr>
            <w:tcW w:w="0" w:type="dxa"/>
            <w:vAlign w:val="bottom"/>
          </w:tcPr>
          <w:p>
            <w:pPr>
              <w:spacing w:after="0"/>
              <w:rPr>
                <w:sz w:val="1"/>
                <w:szCs w:val="1"/>
                <w:color w:val="auto"/>
              </w:rPr>
            </w:pPr>
          </w:p>
        </w:tc>
      </w:tr>
      <w:tr>
        <w:trPr>
          <w:trHeight w:val="245"/>
        </w:trPr>
        <w:tc>
          <w:tcPr>
            <w:tcW w:w="92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Annual Report</w:t>
              </w:r>
            </w:hyperlink>
          </w:p>
        </w:tc>
        <w:tc>
          <w:tcPr>
            <w:tcW w:w="520" w:type="dxa"/>
            <w:vAlign w:val="bottom"/>
            <w:tcBorders>
              <w:top w:val="single" w:sz="8" w:color="0000EE"/>
            </w:tcBorders>
            <w:gridSpan w:val="6"/>
          </w:tcPr>
          <w:p>
            <w:pPr>
              <w:spacing w:after="0"/>
              <w:rPr>
                <w:sz w:val="21"/>
                <w:szCs w:val="21"/>
                <w:color w:val="auto"/>
              </w:rPr>
            </w:pPr>
          </w:p>
        </w:tc>
        <w:tc>
          <w:tcPr>
            <w:tcW w:w="2540" w:type="dxa"/>
            <w:vAlign w:val="bottom"/>
            <w:gridSpan w:val="17"/>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60</w:t>
            </w:r>
          </w:p>
        </w:tc>
        <w:tc>
          <w:tcPr>
            <w:tcW w:w="0" w:type="dxa"/>
            <w:vAlign w:val="bottom"/>
          </w:tcPr>
          <w:p>
            <w:pPr>
              <w:spacing w:after="0"/>
              <w:rPr>
                <w:sz w:val="1"/>
                <w:szCs w:val="1"/>
                <w:color w:val="auto"/>
              </w:rPr>
            </w:pPr>
          </w:p>
        </w:tc>
      </w:tr>
      <w:tr>
        <w:trPr>
          <w:trHeight w:val="245"/>
        </w:trPr>
        <w:tc>
          <w:tcPr>
            <w:tcW w:w="880" w:type="dxa"/>
            <w:vAlign w:val="bottom"/>
            <w:tcBorders>
              <w:bottom w:val="single" w:sz="8" w:color="0000EE"/>
            </w:tcBorders>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Householding</w:t>
              </w:r>
            </w:hyperlink>
          </w:p>
        </w:tc>
        <w:tc>
          <w:tcPr>
            <w:tcW w:w="3100" w:type="dxa"/>
            <w:vAlign w:val="bottom"/>
            <w:gridSpan w:val="24"/>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60</w:t>
            </w:r>
          </w:p>
        </w:tc>
        <w:tc>
          <w:tcPr>
            <w:tcW w:w="0" w:type="dxa"/>
            <w:vAlign w:val="bottom"/>
          </w:tcPr>
          <w:p>
            <w:pPr>
              <w:spacing w:after="0"/>
              <w:rPr>
                <w:sz w:val="1"/>
                <w:szCs w:val="1"/>
                <w:color w:val="auto"/>
              </w:rPr>
            </w:pPr>
          </w:p>
        </w:tc>
      </w:tr>
      <w:tr>
        <w:trPr>
          <w:trHeight w:val="245"/>
        </w:trPr>
        <w:tc>
          <w:tcPr>
            <w:tcW w:w="980" w:type="dxa"/>
            <w:vAlign w:val="bottom"/>
            <w:tcBorders>
              <w:bottom w:val="single" w:sz="8" w:color="0000EE"/>
            </w:tcBorders>
            <w:gridSpan w:val="3"/>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Other Business</w:t>
              </w:r>
            </w:hyperlink>
          </w:p>
        </w:tc>
        <w:tc>
          <w:tcPr>
            <w:tcW w:w="3000" w:type="dxa"/>
            <w:vAlign w:val="bottom"/>
            <w:gridSpan w:val="22"/>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62626"/>
              </w:rPr>
              <w:t>60</w:t>
            </w:r>
          </w:p>
        </w:tc>
        <w:tc>
          <w:tcPr>
            <w:tcW w:w="0" w:type="dxa"/>
            <w:vAlign w:val="bottom"/>
          </w:tcPr>
          <w:p>
            <w:pPr>
              <w:spacing w:after="0"/>
              <w:rPr>
                <w:sz w:val="1"/>
                <w:szCs w:val="1"/>
                <w:color w:val="auto"/>
              </w:rPr>
            </w:pPr>
          </w:p>
        </w:tc>
      </w:tr>
    </w:tbl>
    <w:p>
      <w:pPr>
        <w:sectPr>
          <w:pgSz w:w="11900" w:h="16838" w:orient="portrait"/>
          <w:cols w:equalWidth="0" w:num="2">
            <w:col w:w="5480" w:space="720"/>
            <w:col w:w="4440"/>
          </w:cols>
          <w:pgMar w:left="240" w:top="453" w:right="1019" w:bottom="1440" w:gutter="0" w:footer="0" w:header="0"/>
          <w:type w:val="continuous"/>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In this section, Wynn Resorts, Limited (the “Company,” “Wynn Resorts,” or “we”) will tell you about:</w:t>
      </w:r>
    </w:p>
    <w:p>
      <w:pPr>
        <w:spacing w:after="0" w:line="26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Board Composition and Refreshment</w:t>
            </w:r>
          </w:p>
        </w:tc>
        <w:tc>
          <w:tcPr>
            <w:tcW w:w="3100" w:type="dxa"/>
            <w:vAlign w:val="bottom"/>
            <w:gridSpan w:val="2"/>
          </w:tcPr>
          <w:p>
            <w:pPr>
              <w:ind w:left="4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Board Role in Risk Oversight</w:t>
            </w:r>
          </w:p>
        </w:tc>
      </w:tr>
      <w:tr>
        <w:trPr>
          <w:trHeight w:val="159"/>
        </w:trPr>
        <w:tc>
          <w:tcPr>
            <w:tcW w:w="2960" w:type="dxa"/>
            <w:vAlign w:val="bottom"/>
            <w:gridSpan w:val="2"/>
          </w:tcPr>
          <w:p>
            <w:pPr>
              <w:spacing w:after="0" w:line="159" w:lineRule="exact"/>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Director Skills, Experience and Tenure</w:t>
            </w:r>
          </w:p>
        </w:tc>
        <w:tc>
          <w:tcPr>
            <w:tcW w:w="520" w:type="dxa"/>
            <w:vAlign w:val="bottom"/>
          </w:tcPr>
          <w:p>
            <w:pPr>
              <w:ind w:left="400"/>
              <w:spacing w:after="0" w:line="159" w:lineRule="exact"/>
              <w:rPr>
                <w:sz w:val="20"/>
                <w:szCs w:val="20"/>
                <w:color w:val="auto"/>
              </w:rPr>
            </w:pPr>
            <w:r>
              <w:rPr>
                <w:rFonts w:ascii="Arial" w:cs="Arial" w:eastAsia="Arial" w:hAnsi="Arial"/>
                <w:sz w:val="14"/>
                <w:szCs w:val="14"/>
                <w:color w:val="CC870F"/>
              </w:rPr>
              <w:t>–</w:t>
            </w:r>
          </w:p>
        </w:tc>
        <w:tc>
          <w:tcPr>
            <w:tcW w:w="2580" w:type="dxa"/>
            <w:vAlign w:val="bottom"/>
          </w:tcPr>
          <w:p>
            <w:pPr>
              <w:ind w:left="60"/>
              <w:spacing w:after="0" w:line="159" w:lineRule="exact"/>
              <w:rPr>
                <w:sz w:val="20"/>
                <w:szCs w:val="20"/>
                <w:color w:val="auto"/>
              </w:rPr>
            </w:pPr>
            <w:r>
              <w:rPr>
                <w:rFonts w:ascii="Arial" w:cs="Arial" w:eastAsia="Arial" w:hAnsi="Arial"/>
                <w:sz w:val="14"/>
                <w:szCs w:val="14"/>
                <w:color w:val="262626"/>
              </w:rPr>
              <w:t>Board Meetings/Annual Meeting</w:t>
            </w:r>
          </w:p>
        </w:tc>
      </w:tr>
      <w:tr>
        <w:trPr>
          <w:trHeight w:val="159"/>
        </w:trPr>
        <w:tc>
          <w:tcPr>
            <w:tcW w:w="140" w:type="dxa"/>
            <w:vAlign w:val="bottom"/>
          </w:tcPr>
          <w:p>
            <w:pPr>
              <w:spacing w:after="0" w:line="159" w:lineRule="exact"/>
              <w:rPr>
                <w:sz w:val="20"/>
                <w:szCs w:val="20"/>
                <w:color w:val="auto"/>
              </w:rPr>
            </w:pPr>
            <w:r>
              <w:rPr>
                <w:rFonts w:ascii="Arial" w:cs="Arial" w:eastAsia="Arial" w:hAnsi="Arial"/>
                <w:sz w:val="14"/>
                <w:szCs w:val="14"/>
                <w:color w:val="CC870F"/>
              </w:rPr>
              <w:t>–</w:t>
            </w:r>
          </w:p>
        </w:tc>
        <w:tc>
          <w:tcPr>
            <w:tcW w:w="2820" w:type="dxa"/>
            <w:vAlign w:val="bottom"/>
          </w:tcPr>
          <w:p>
            <w:pPr>
              <w:ind w:left="40"/>
              <w:spacing w:after="0" w:line="159" w:lineRule="exact"/>
              <w:rPr>
                <w:sz w:val="20"/>
                <w:szCs w:val="20"/>
                <w:color w:val="auto"/>
              </w:rPr>
            </w:pPr>
            <w:r>
              <w:rPr>
                <w:rFonts w:ascii="Arial" w:cs="Arial" w:eastAsia="Arial" w:hAnsi="Arial"/>
                <w:sz w:val="14"/>
                <w:szCs w:val="14"/>
                <w:color w:val="262626"/>
              </w:rPr>
              <w:t>Director Biographies</w:t>
            </w:r>
          </w:p>
        </w:tc>
        <w:tc>
          <w:tcPr>
            <w:tcW w:w="3100" w:type="dxa"/>
            <w:vAlign w:val="bottom"/>
            <w:gridSpan w:val="2"/>
          </w:tcPr>
          <w:p>
            <w:pPr>
              <w:ind w:left="400"/>
              <w:spacing w:after="0" w:line="159" w:lineRule="exact"/>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Board Communication and Engagement</w:t>
            </w:r>
          </w:p>
        </w:tc>
      </w:tr>
      <w:tr>
        <w:trPr>
          <w:trHeight w:val="159"/>
        </w:trPr>
        <w:tc>
          <w:tcPr>
            <w:tcW w:w="140" w:type="dxa"/>
            <w:vAlign w:val="bottom"/>
          </w:tcPr>
          <w:p>
            <w:pPr>
              <w:spacing w:after="0" w:line="159" w:lineRule="exact"/>
              <w:rPr>
                <w:sz w:val="20"/>
                <w:szCs w:val="20"/>
                <w:color w:val="auto"/>
              </w:rPr>
            </w:pPr>
            <w:r>
              <w:rPr>
                <w:rFonts w:ascii="Arial" w:cs="Arial" w:eastAsia="Arial" w:hAnsi="Arial"/>
                <w:sz w:val="14"/>
                <w:szCs w:val="14"/>
                <w:color w:val="CC870F"/>
              </w:rPr>
              <w:t>–</w:t>
            </w:r>
          </w:p>
        </w:tc>
        <w:tc>
          <w:tcPr>
            <w:tcW w:w="2820" w:type="dxa"/>
            <w:vAlign w:val="bottom"/>
          </w:tcPr>
          <w:p>
            <w:pPr>
              <w:ind w:left="40"/>
              <w:spacing w:after="0" w:line="159" w:lineRule="exact"/>
              <w:rPr>
                <w:sz w:val="20"/>
                <w:szCs w:val="20"/>
                <w:color w:val="auto"/>
              </w:rPr>
            </w:pPr>
            <w:r>
              <w:rPr>
                <w:rFonts w:ascii="Arial" w:cs="Arial" w:eastAsia="Arial" w:hAnsi="Arial"/>
                <w:sz w:val="14"/>
                <w:szCs w:val="14"/>
                <w:color w:val="262626"/>
              </w:rPr>
              <w:t>Board Committees</w:t>
            </w:r>
          </w:p>
        </w:tc>
        <w:tc>
          <w:tcPr>
            <w:tcW w:w="3100" w:type="dxa"/>
            <w:vAlign w:val="bottom"/>
            <w:gridSpan w:val="2"/>
          </w:tcPr>
          <w:p>
            <w:pPr>
              <w:ind w:left="400"/>
              <w:spacing w:after="0" w:line="159" w:lineRule="exact"/>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Shareholder Engagement in 2018</w:t>
            </w:r>
          </w:p>
        </w:tc>
      </w:tr>
      <w:tr>
        <w:trPr>
          <w:trHeight w:val="170"/>
        </w:trPr>
        <w:tc>
          <w:tcPr>
            <w:tcW w:w="140" w:type="dxa"/>
            <w:vAlign w:val="bottom"/>
          </w:tcPr>
          <w:p>
            <w:pPr>
              <w:spacing w:after="0"/>
              <w:rPr>
                <w:sz w:val="20"/>
                <w:szCs w:val="20"/>
                <w:color w:val="auto"/>
              </w:rPr>
            </w:pPr>
            <w:r>
              <w:rPr>
                <w:rFonts w:ascii="Arial" w:cs="Arial" w:eastAsia="Arial" w:hAnsi="Arial"/>
                <w:sz w:val="14"/>
                <w:szCs w:val="14"/>
                <w:color w:val="CC870F"/>
              </w:rPr>
              <w:t>–</w:t>
            </w:r>
          </w:p>
        </w:tc>
        <w:tc>
          <w:tcPr>
            <w:tcW w:w="2820" w:type="dxa"/>
            <w:vAlign w:val="bottom"/>
          </w:tcPr>
          <w:p>
            <w:pPr>
              <w:ind w:left="40"/>
              <w:spacing w:after="0"/>
              <w:rPr>
                <w:sz w:val="20"/>
                <w:szCs w:val="20"/>
                <w:color w:val="auto"/>
              </w:rPr>
            </w:pPr>
            <w:r>
              <w:rPr>
                <w:rFonts w:ascii="Arial" w:cs="Arial" w:eastAsia="Arial" w:hAnsi="Arial"/>
                <w:sz w:val="14"/>
                <w:szCs w:val="14"/>
                <w:color w:val="262626"/>
              </w:rPr>
              <w:t>Board Governance</w:t>
            </w:r>
          </w:p>
        </w:tc>
        <w:tc>
          <w:tcPr>
            <w:tcW w:w="520" w:type="dxa"/>
            <w:vAlign w:val="bottom"/>
          </w:tcPr>
          <w:p>
            <w:pPr>
              <w:ind w:left="400"/>
              <w:spacing w:after="0"/>
              <w:rPr>
                <w:sz w:val="20"/>
                <w:szCs w:val="20"/>
                <w:color w:val="auto"/>
              </w:rPr>
            </w:pPr>
            <w:r>
              <w:rPr>
                <w:rFonts w:ascii="Arial" w:cs="Arial" w:eastAsia="Arial" w:hAnsi="Arial"/>
                <w:sz w:val="14"/>
                <w:szCs w:val="14"/>
                <w:color w:val="CC870F"/>
              </w:rPr>
              <w:t>–</w:t>
            </w:r>
          </w:p>
        </w:tc>
        <w:tc>
          <w:tcPr>
            <w:tcW w:w="2580" w:type="dxa"/>
            <w:vAlign w:val="bottom"/>
          </w:tcPr>
          <w:p>
            <w:pPr>
              <w:ind w:left="60"/>
              <w:spacing w:after="0"/>
              <w:rPr>
                <w:sz w:val="20"/>
                <w:szCs w:val="20"/>
                <w:color w:val="auto"/>
              </w:rPr>
            </w:pPr>
            <w:r>
              <w:rPr>
                <w:rFonts w:ascii="Arial" w:cs="Arial" w:eastAsia="Arial" w:hAnsi="Arial"/>
                <w:sz w:val="14"/>
                <w:szCs w:val="14"/>
                <w:color w:val="262626"/>
              </w:rPr>
              <w:t>Board Compensation</w:t>
            </w:r>
          </w:p>
        </w:tc>
      </w:tr>
    </w:tbl>
    <w:p>
      <w:pPr>
        <w:spacing w:after="0" w:line="200" w:lineRule="exact"/>
        <w:rPr>
          <w:sz w:val="20"/>
          <w:szCs w:val="20"/>
          <w:color w:val="auto"/>
        </w:rPr>
      </w:pPr>
    </w:p>
    <w:p>
      <w:pPr>
        <w:spacing w:after="0" w:line="26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COMPOSITION AND REFRESHMENT</w:t>
      </w:r>
    </w:p>
    <w:p>
      <w:pPr>
        <w:spacing w:after="0" w:line="118" w:lineRule="exact"/>
        <w:rPr>
          <w:sz w:val="20"/>
          <w:szCs w:val="20"/>
          <w:color w:val="auto"/>
        </w:rPr>
      </w:pPr>
    </w:p>
    <w:p>
      <w:pPr>
        <w:ind w:left="780" w:right="280"/>
        <w:spacing w:after="0"/>
        <w:rPr>
          <w:sz w:val="20"/>
          <w:szCs w:val="20"/>
          <w:color w:val="auto"/>
        </w:rPr>
      </w:pPr>
      <w:r>
        <w:rPr>
          <w:rFonts w:ascii="Arial" w:cs="Arial" w:eastAsia="Arial" w:hAnsi="Arial"/>
          <w:sz w:val="14"/>
          <w:szCs w:val="14"/>
          <w:color w:val="262626"/>
        </w:rPr>
        <w:t>Beginning in February 2018, as part of our commitment to the refreshment and strengthening of our Board of Directors (“Board”), our Nominating and Corporate Governance Committee, assisted by an independent search firm, began a process of refreshing the Board with a broad spectrum of experience and expertise that will promote the presentation and consideration of different points of view, meet the Company’s evolving needs (particularly by adding Board expertise in corporate governance, communications and public affairs, technology, strategic positioning, and hospitality and branding), and strengthen our diversity.</w:t>
      </w:r>
    </w:p>
    <w:p>
      <w:pPr>
        <w:spacing w:after="0" w:line="162" w:lineRule="exact"/>
        <w:rPr>
          <w:sz w:val="20"/>
          <w:szCs w:val="20"/>
          <w:color w:val="auto"/>
        </w:rPr>
      </w:pPr>
    </w:p>
    <w:p>
      <w:pPr>
        <w:ind w:left="780" w:right="220"/>
        <w:spacing w:after="0" w:line="241" w:lineRule="auto"/>
        <w:rPr>
          <w:sz w:val="20"/>
          <w:szCs w:val="20"/>
          <w:color w:val="auto"/>
        </w:rPr>
      </w:pPr>
      <w:r>
        <w:rPr>
          <w:rFonts w:ascii="Arial" w:cs="Arial" w:eastAsia="Arial" w:hAnsi="Arial"/>
          <w:sz w:val="14"/>
          <w:szCs w:val="14"/>
          <w:color w:val="262626"/>
        </w:rPr>
        <w:t>That process has now resulted in substantial changes to the diversity, experience, skill mix and tenure of our Board. Six of the nine current directors have joined the Board since the Nominating and Corporate Governance Committee began its renewal initiative. The average tenure of directors as of the 2019 Annual Meeting is under two years, with no director having served longer than four years. Four of the eight independent directors (including the Chairpersons of the Audit and Compensation Committees) are women.</w:t>
      </w:r>
    </w:p>
    <w:p>
      <w:pPr>
        <w:spacing w:after="0" w:line="174" w:lineRule="exact"/>
        <w:rPr>
          <w:sz w:val="20"/>
          <w:szCs w:val="20"/>
          <w:color w:val="auto"/>
        </w:rPr>
      </w:pPr>
    </w:p>
    <w:p>
      <w:pPr>
        <w:ind w:left="780" w:right="260"/>
        <w:spacing w:after="0" w:line="249" w:lineRule="auto"/>
        <w:rPr>
          <w:sz w:val="20"/>
          <w:szCs w:val="20"/>
          <w:color w:val="auto"/>
        </w:rPr>
      </w:pPr>
      <w:r>
        <w:rPr>
          <w:rFonts w:ascii="Arial" w:cs="Arial" w:eastAsia="Arial" w:hAnsi="Arial"/>
          <w:sz w:val="14"/>
          <w:szCs w:val="14"/>
          <w:color w:val="262626"/>
        </w:rPr>
        <w:t>The Nominating and Corporate Governance Committee continues to investigate other potential candidates as part of its ongoing commitment to enhance the diversity, experience, and strength of the entire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213995</wp:posOffset>
            </wp:positionV>
            <wp:extent cx="1050925" cy="121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50925" cy="121920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213995</wp:posOffset>
            </wp:positionV>
            <wp:extent cx="1050925" cy="121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50925" cy="121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tabs>
          <w:tab w:leader="none" w:pos="160" w:val="left"/>
          <w:tab w:leader="none" w:pos="40" w:val="left"/>
        </w:tabs>
        <w:rPr>
          <w:sz w:val="20"/>
          <w:szCs w:val="20"/>
          <w:color w:val="auto"/>
        </w:rPr>
      </w:pPr>
      <w:r>
        <w:rPr>
          <w:rFonts w:ascii="Arial" w:cs="Arial" w:eastAsia="Arial" w:hAnsi="Arial"/>
          <w:sz w:val="9"/>
          <w:szCs w:val="9"/>
          <w:b w:val="1"/>
          <w:bCs w:val="1"/>
          <w:color w:val="262626"/>
        </w:rPr>
        <w:t>2019 PROXY STATEMENT</w:t>
        <w:tab/>
        <w:t>|</w:t>
        <w:tab/>
        <w:t>1</w:t>
      </w:r>
    </w:p>
    <w:p>
      <w:pPr>
        <w:sectPr>
          <w:pgSz w:w="11900" w:h="16838" w:orient="portrait"/>
          <w:cols w:equalWidth="0" w:num="1">
            <w:col w:w="10800"/>
          </w:cols>
          <w:pgMar w:left="240" w:top="453" w:right="8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292" w:lineRule="exact"/>
        <w:rPr>
          <w:sz w:val="20"/>
          <w:szCs w:val="20"/>
          <w:color w:val="auto"/>
        </w:rPr>
      </w:pPr>
    </w:p>
    <w:p>
      <w:pPr>
        <w:jc w:val="right"/>
        <w:ind w:right="6439"/>
        <w:spacing w:after="0"/>
        <w:rPr>
          <w:sz w:val="20"/>
          <w:szCs w:val="20"/>
          <w:color w:val="auto"/>
        </w:rPr>
      </w:pPr>
      <w:r>
        <w:rPr>
          <w:rFonts w:ascii="Arial" w:cs="Arial" w:eastAsia="Arial" w:hAnsi="Arial"/>
          <w:sz w:val="15"/>
          <w:szCs w:val="15"/>
          <w:b w:val="1"/>
          <w:bCs w:val="1"/>
          <w:color w:val="512D0C"/>
        </w:rPr>
        <w:t>THE BOARD’S PATH TO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156210</wp:posOffset>
            </wp:positionV>
            <wp:extent cx="5659755" cy="7358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755" cy="735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80" w:hanging="152"/>
        <w:spacing w:after="0"/>
        <w:tabs>
          <w:tab w:leader="none" w:pos="780" w:val="left"/>
        </w:tabs>
        <w:numPr>
          <w:ilvl w:val="0"/>
          <w:numId w:val="6"/>
        </w:numPr>
        <w:rPr>
          <w:rFonts w:ascii="Arial" w:cs="Arial" w:eastAsia="Arial" w:hAnsi="Arial"/>
          <w:sz w:val="9"/>
          <w:szCs w:val="9"/>
          <w:b w:val="1"/>
          <w:bCs w:val="1"/>
          <w:color w:val="262626"/>
        </w:rPr>
      </w:pPr>
      <w:r>
        <w:rPr>
          <w:rFonts w:ascii="Arial" w:cs="Arial" w:eastAsia="Arial" w:hAnsi="Arial"/>
          <w:sz w:val="9"/>
          <w:szCs w:val="9"/>
          <w:b w:val="1"/>
          <w:bCs w:val="1"/>
          <w:color w:val="262626"/>
        </w:rPr>
        <w:t>|</w:t>
      </w:r>
    </w:p>
    <w:p>
      <w:pPr>
        <w:sectPr>
          <w:pgSz w:w="11900" w:h="16838" w:orient="portrait"/>
          <w:cols w:equalWidth="0" w:num="1">
            <w:col w:w="10219"/>
          </w:cols>
          <w:pgMar w:left="240" w:top="453"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DIRECTOR BIOGRAPHIES</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Biographical and other information for our directors is provided below.</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Betsy S. Atkins</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Chief Executive Officer and Founder, Baja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262626"/>
        </w:rPr>
        <w:t xml:space="preserve">Ms. Atkins </w:t>
      </w:r>
      <w:r>
        <w:rPr>
          <w:rFonts w:ascii="Arial" w:cs="Arial" w:eastAsia="Arial" w:hAnsi="Arial"/>
          <w:sz w:val="12"/>
          <w:szCs w:val="12"/>
          <w:color w:val="262626"/>
        </w:rPr>
        <w:t>has been the Chief Executive Officer of Baja Corporation, an independent venture capital firm focused on technology, renewable energy and life sciences, since 1994.</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12"/>
          <w:szCs w:val="12"/>
          <w:color w:val="262626"/>
        </w:rPr>
        <w:t>Ms. Atkins currently serves on the Boards of Schneider Electric (since April 2011), SL Green Realty (since April 2015), as well as Volvo Car AB and several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151765</wp:posOffset>
            </wp:positionV>
            <wp:extent cx="6231890" cy="254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31890" cy="2548255"/>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2016 to October 2018: Board of Directors of Cognizant Technology Solutions</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2013 to 2016: Chair, APX Labs (a Google Glass enterprise software company)</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February 2009 to August 2009: Chair and Chief Executive Officer, Clear Standards (until acquired by SAP)</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1991 to 1993: Chair and Chief Executive Officer, NCI</w:t>
      </w:r>
    </w:p>
    <w:p>
      <w:pPr>
        <w:spacing w:after="0" w:line="34" w:lineRule="exact"/>
        <w:rPr>
          <w:sz w:val="20"/>
          <w:szCs w:val="20"/>
          <w:color w:val="auto"/>
        </w:rPr>
      </w:pPr>
    </w:p>
    <w:p>
      <w:pPr>
        <w:ind w:left="1260" w:right="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1989 to 1999: Co-founder, Director, Executive Vice President Sales, Marketing, International Operations, Ascend</w:t>
      </w:r>
      <w:r>
        <w:rPr>
          <w:rFonts w:ascii="Arial" w:cs="Arial" w:eastAsia="Arial" w:hAnsi="Arial"/>
          <w:sz w:val="12"/>
          <w:szCs w:val="12"/>
          <w:color w:val="CC870F"/>
        </w:rPr>
        <w:t xml:space="preserve"> </w:t>
      </w:r>
      <w:r>
        <w:rPr>
          <w:rFonts w:ascii="Arial" w:cs="Arial" w:eastAsia="Arial" w:hAnsi="Arial"/>
          <w:sz w:val="12"/>
          <w:szCs w:val="12"/>
          <w:color w:val="262626"/>
        </w:rPr>
        <w:t>Communications (until acquired by Lucent Technologies)</w:t>
      </w:r>
    </w:p>
    <w:p>
      <w:pPr>
        <w:spacing w:after="0" w:line="20" w:lineRule="exact"/>
        <w:rPr>
          <w:sz w:val="20"/>
          <w:szCs w:val="20"/>
          <w:color w:val="auto"/>
        </w:rPr>
      </w:pPr>
    </w:p>
    <w:p>
      <w:pPr>
        <w:ind w:left="1260" w:right="44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served on the boards of HD Supply Holdings, Polycom, SunPower, Chico’s FAS, Ciber, Darden</w:t>
      </w:r>
      <w:r>
        <w:rPr>
          <w:rFonts w:ascii="Arial" w:cs="Arial" w:eastAsia="Arial" w:hAnsi="Arial"/>
          <w:sz w:val="12"/>
          <w:szCs w:val="12"/>
          <w:color w:val="CC870F"/>
        </w:rPr>
        <w:t xml:space="preserve"> </w:t>
      </w:r>
      <w:r>
        <w:rPr>
          <w:rFonts w:ascii="Arial" w:cs="Arial" w:eastAsia="Arial" w:hAnsi="Arial"/>
          <w:sz w:val="12"/>
          <w:szCs w:val="12"/>
          <w:color w:val="262626"/>
        </w:rPr>
        <w:t>Restaurants</w:t>
      </w:r>
    </w:p>
    <w:p>
      <w:pPr>
        <w:spacing w:after="0" w:line="20" w:lineRule="exact"/>
        <w:rPr>
          <w:sz w:val="20"/>
          <w:szCs w:val="20"/>
          <w:color w:val="auto"/>
        </w:rPr>
      </w:pPr>
    </w:p>
    <w:p>
      <w:pPr>
        <w:ind w:left="12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Formerly Chairman, Executive Advisory Board, SAP, AG, an advisor to British Telecom and presidential-appointee</w:t>
      </w:r>
      <w:r>
        <w:rPr>
          <w:rFonts w:ascii="Arial" w:cs="Arial" w:eastAsia="Arial" w:hAnsi="Arial"/>
          <w:sz w:val="12"/>
          <w:szCs w:val="12"/>
          <w:color w:val="CC870F"/>
        </w:rPr>
        <w:t xml:space="preserve"> </w:t>
      </w:r>
      <w:r>
        <w:rPr>
          <w:rFonts w:ascii="Arial" w:cs="Arial" w:eastAsia="Arial" w:hAnsi="Arial"/>
          <w:sz w:val="12"/>
          <w:szCs w:val="12"/>
          <w:color w:val="262626"/>
        </w:rPr>
        <w:t>to the Pension Benefit Guaranty Corporation advisory committee</w:t>
      </w:r>
    </w:p>
    <w:p>
      <w:pPr>
        <w:spacing w:after="0" w:line="34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Ms. Atkins graduated with a B.A. from the University of Massachusetts.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right="440"/>
        <w:spacing w:after="0" w:line="239" w:lineRule="auto"/>
        <w:rPr>
          <w:sz w:val="20"/>
          <w:szCs w:val="20"/>
          <w:color w:val="auto"/>
        </w:rPr>
      </w:pPr>
      <w:r>
        <w:rPr>
          <w:rFonts w:ascii="Arial" w:cs="Arial" w:eastAsia="Arial" w:hAnsi="Arial"/>
          <w:sz w:val="12"/>
          <w:szCs w:val="12"/>
          <w:color w:val="262626"/>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ind w:left="100"/>
              <w:spacing w:after="0"/>
              <w:rPr>
                <w:sz w:val="20"/>
                <w:szCs w:val="20"/>
                <w:color w:val="auto"/>
              </w:rPr>
            </w:pPr>
            <w:r>
              <w:rPr>
                <w:rFonts w:ascii="Arial" w:cs="Arial" w:eastAsia="Arial" w:hAnsi="Arial"/>
                <w:sz w:val="11"/>
                <w:szCs w:val="11"/>
                <w:b w:val="1"/>
                <w:bCs w:val="1"/>
                <w:color w:val="CC870F"/>
              </w:rPr>
              <w:t>Director Since</w:t>
            </w:r>
          </w:p>
        </w:tc>
        <w:tc>
          <w:tcPr>
            <w:tcW w:w="1760" w:type="dxa"/>
            <w:vAlign w:val="bottom"/>
          </w:tcPr>
          <w:p>
            <w:pPr>
              <w:ind w:left="100"/>
              <w:spacing w:after="0"/>
              <w:rPr>
                <w:sz w:val="20"/>
                <w:szCs w:val="20"/>
                <w:color w:val="auto"/>
              </w:rPr>
            </w:pPr>
            <w:r>
              <w:rPr>
                <w:rFonts w:ascii="Arial" w:cs="Arial" w:eastAsia="Arial" w:hAnsi="Arial"/>
                <w:sz w:val="11"/>
                <w:szCs w:val="11"/>
                <w:color w:val="CC870F"/>
              </w:rPr>
              <w:t>April 2018</w:t>
            </w:r>
          </w:p>
        </w:tc>
        <w:tc>
          <w:tcPr>
            <w:tcW w:w="0" w:type="dxa"/>
            <w:vAlign w:val="bottom"/>
          </w:tcPr>
          <w:p>
            <w:pPr>
              <w:spacing w:after="0"/>
              <w:rPr>
                <w:sz w:val="1"/>
                <w:szCs w:val="1"/>
                <w:color w:val="auto"/>
              </w:rPr>
            </w:pPr>
          </w:p>
        </w:tc>
      </w:tr>
      <w:tr>
        <w:trPr>
          <w:trHeight w:val="129"/>
        </w:trPr>
        <w:tc>
          <w:tcPr>
            <w:tcW w:w="920" w:type="dxa"/>
            <w:vAlign w:val="bottom"/>
            <w:tcBorders>
              <w:bottom w:val="single" w:sz="8" w:color="F7F7E5"/>
            </w:tcBorders>
          </w:tcPr>
          <w:p>
            <w:pPr>
              <w:spacing w:after="0"/>
              <w:rPr>
                <w:sz w:val="11"/>
                <w:szCs w:val="11"/>
                <w:color w:val="auto"/>
              </w:rPr>
            </w:pPr>
          </w:p>
        </w:tc>
        <w:tc>
          <w:tcPr>
            <w:tcW w:w="1760" w:type="dxa"/>
            <w:vAlign w:val="bottom"/>
            <w:tcBorders>
              <w:bottom w:val="single" w:sz="8" w:color="F7F7E5"/>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 w:type="dxa"/>
            <w:vAlign w:val="bottom"/>
          </w:tcPr>
          <w:p>
            <w:pPr>
              <w:ind w:left="100"/>
              <w:spacing w:after="0"/>
              <w:rPr>
                <w:sz w:val="20"/>
                <w:szCs w:val="20"/>
                <w:color w:val="auto"/>
              </w:rPr>
            </w:pPr>
            <w:r>
              <w:rPr>
                <w:rFonts w:ascii="Arial" w:cs="Arial" w:eastAsia="Arial" w:hAnsi="Arial"/>
                <w:sz w:val="11"/>
                <w:szCs w:val="11"/>
                <w:b w:val="1"/>
                <w:bCs w:val="1"/>
                <w:color w:val="CC870F"/>
              </w:rPr>
              <w:t>Term Expires</w:t>
            </w:r>
          </w:p>
        </w:tc>
        <w:tc>
          <w:tcPr>
            <w:tcW w:w="1760" w:type="dxa"/>
            <w:vAlign w:val="bottom"/>
          </w:tcPr>
          <w:p>
            <w:pPr>
              <w:ind w:left="100"/>
              <w:spacing w:after="0"/>
              <w:rPr>
                <w:sz w:val="20"/>
                <w:szCs w:val="20"/>
                <w:color w:val="auto"/>
              </w:rPr>
            </w:pPr>
            <w:r>
              <w:rPr>
                <w:rFonts w:ascii="Arial" w:cs="Arial" w:eastAsia="Arial" w:hAnsi="Arial"/>
                <w:sz w:val="11"/>
                <w:szCs w:val="11"/>
                <w:color w:val="CC870F"/>
              </w:rPr>
              <w:t>2021 Annual Meeting</w:t>
            </w:r>
          </w:p>
        </w:tc>
        <w:tc>
          <w:tcPr>
            <w:tcW w:w="0" w:type="dxa"/>
            <w:vAlign w:val="bottom"/>
          </w:tcPr>
          <w:p>
            <w:pPr>
              <w:spacing w:after="0"/>
              <w:rPr>
                <w:sz w:val="1"/>
                <w:szCs w:val="1"/>
                <w:color w:val="auto"/>
              </w:rPr>
            </w:pPr>
          </w:p>
        </w:tc>
      </w:tr>
      <w:tr>
        <w:trPr>
          <w:trHeight w:val="129"/>
        </w:trPr>
        <w:tc>
          <w:tcPr>
            <w:tcW w:w="920" w:type="dxa"/>
            <w:vAlign w:val="bottom"/>
            <w:tcBorders>
              <w:bottom w:val="single" w:sz="8" w:color="F7F7E5"/>
            </w:tcBorders>
          </w:tcPr>
          <w:p>
            <w:pPr>
              <w:spacing w:after="0"/>
              <w:rPr>
                <w:sz w:val="11"/>
                <w:szCs w:val="11"/>
                <w:color w:val="auto"/>
              </w:rPr>
            </w:pPr>
          </w:p>
        </w:tc>
        <w:tc>
          <w:tcPr>
            <w:tcW w:w="1760" w:type="dxa"/>
            <w:vAlign w:val="bottom"/>
            <w:tcBorders>
              <w:bottom w:val="single" w:sz="8" w:color="F7F7E5"/>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 w:type="dxa"/>
            <w:vAlign w:val="bottom"/>
          </w:tcPr>
          <w:p>
            <w:pPr>
              <w:ind w:left="100"/>
              <w:spacing w:after="0"/>
              <w:rPr>
                <w:sz w:val="20"/>
                <w:szCs w:val="20"/>
                <w:color w:val="auto"/>
              </w:rPr>
            </w:pPr>
            <w:r>
              <w:rPr>
                <w:rFonts w:ascii="Arial" w:cs="Arial" w:eastAsia="Arial" w:hAnsi="Arial"/>
                <w:sz w:val="11"/>
                <w:szCs w:val="11"/>
                <w:b w:val="1"/>
                <w:bCs w:val="1"/>
                <w:color w:val="CC870F"/>
              </w:rPr>
              <w:t>Age</w:t>
            </w:r>
          </w:p>
        </w:tc>
        <w:tc>
          <w:tcPr>
            <w:tcW w:w="1760" w:type="dxa"/>
            <w:vAlign w:val="bottom"/>
          </w:tcPr>
          <w:p>
            <w:pPr>
              <w:ind w:left="100"/>
              <w:spacing w:after="0"/>
              <w:rPr>
                <w:sz w:val="20"/>
                <w:szCs w:val="20"/>
                <w:color w:val="auto"/>
              </w:rPr>
            </w:pPr>
            <w:r>
              <w:rPr>
                <w:rFonts w:ascii="Arial" w:cs="Arial" w:eastAsia="Arial" w:hAnsi="Arial"/>
                <w:sz w:val="11"/>
                <w:szCs w:val="11"/>
                <w:color w:val="CC870F"/>
              </w:rPr>
              <w:t>65</w:t>
            </w:r>
          </w:p>
        </w:tc>
        <w:tc>
          <w:tcPr>
            <w:tcW w:w="0" w:type="dxa"/>
            <w:vAlign w:val="bottom"/>
          </w:tcPr>
          <w:p>
            <w:pPr>
              <w:spacing w:after="0"/>
              <w:rPr>
                <w:sz w:val="1"/>
                <w:szCs w:val="1"/>
                <w:color w:val="auto"/>
              </w:rPr>
            </w:pPr>
          </w:p>
        </w:tc>
      </w:tr>
      <w:tr>
        <w:trPr>
          <w:trHeight w:val="129"/>
        </w:trPr>
        <w:tc>
          <w:tcPr>
            <w:tcW w:w="920" w:type="dxa"/>
            <w:vAlign w:val="bottom"/>
            <w:tcBorders>
              <w:bottom w:val="single" w:sz="8" w:color="F7F7E5"/>
            </w:tcBorders>
          </w:tcPr>
          <w:p>
            <w:pPr>
              <w:spacing w:after="0"/>
              <w:rPr>
                <w:sz w:val="11"/>
                <w:szCs w:val="11"/>
                <w:color w:val="auto"/>
              </w:rPr>
            </w:pPr>
          </w:p>
        </w:tc>
        <w:tc>
          <w:tcPr>
            <w:tcW w:w="1760" w:type="dxa"/>
            <w:vAlign w:val="bottom"/>
            <w:tcBorders>
              <w:bottom w:val="single" w:sz="8" w:color="F7F7E5"/>
            </w:tcBorders>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920" w:type="dxa"/>
            <w:vAlign w:val="bottom"/>
          </w:tcPr>
          <w:p>
            <w:pPr>
              <w:ind w:left="100"/>
              <w:spacing w:after="0"/>
              <w:rPr>
                <w:sz w:val="20"/>
                <w:szCs w:val="20"/>
                <w:color w:val="auto"/>
              </w:rPr>
            </w:pPr>
            <w:r>
              <w:rPr>
                <w:rFonts w:ascii="Arial" w:cs="Arial" w:eastAsia="Arial" w:hAnsi="Arial"/>
                <w:sz w:val="11"/>
                <w:szCs w:val="11"/>
                <w:b w:val="1"/>
                <w:bCs w:val="1"/>
                <w:color w:val="CC870F"/>
              </w:rPr>
              <w:t>Board</w:t>
            </w:r>
          </w:p>
        </w:tc>
        <w:tc>
          <w:tcPr>
            <w:tcW w:w="1760" w:type="dxa"/>
            <w:vAlign w:val="bottom"/>
          </w:tcPr>
          <w:p>
            <w:pPr>
              <w:ind w:left="100"/>
              <w:spacing w:after="0"/>
              <w:rPr>
                <w:sz w:val="20"/>
                <w:szCs w:val="20"/>
                <w:color w:val="auto"/>
              </w:rPr>
            </w:pPr>
            <w:r>
              <w:rPr>
                <w:rFonts w:ascii="Arial" w:cs="Arial" w:eastAsia="Arial" w:hAnsi="Arial"/>
                <w:sz w:val="11"/>
                <w:szCs w:val="11"/>
                <w:color w:val="CC870F"/>
              </w:rPr>
              <w:t>Compensation, Chair</w:t>
            </w:r>
          </w:p>
        </w:tc>
        <w:tc>
          <w:tcPr>
            <w:tcW w:w="0" w:type="dxa"/>
            <w:vAlign w:val="bottom"/>
          </w:tcPr>
          <w:p>
            <w:pPr>
              <w:spacing w:after="0"/>
              <w:rPr>
                <w:sz w:val="1"/>
                <w:szCs w:val="1"/>
                <w:color w:val="auto"/>
              </w:rPr>
            </w:pPr>
          </w:p>
        </w:tc>
      </w:tr>
      <w:tr>
        <w:trPr>
          <w:trHeight w:val="138"/>
        </w:trPr>
        <w:tc>
          <w:tcPr>
            <w:tcW w:w="920" w:type="dxa"/>
            <w:vAlign w:val="bottom"/>
          </w:tcPr>
          <w:p>
            <w:pPr>
              <w:ind w:left="100"/>
              <w:spacing w:after="0"/>
              <w:rPr>
                <w:sz w:val="20"/>
                <w:szCs w:val="20"/>
                <w:color w:val="auto"/>
              </w:rPr>
            </w:pPr>
            <w:r>
              <w:rPr>
                <w:rFonts w:ascii="Arial" w:cs="Arial" w:eastAsia="Arial" w:hAnsi="Arial"/>
                <w:sz w:val="11"/>
                <w:szCs w:val="11"/>
                <w:b w:val="1"/>
                <w:bCs w:val="1"/>
                <w:color w:val="CC870F"/>
              </w:rPr>
              <w:t>Committees</w:t>
            </w:r>
          </w:p>
        </w:tc>
        <w:tc>
          <w:tcPr>
            <w:tcW w:w="1760" w:type="dxa"/>
            <w:vAlign w:val="bottom"/>
            <w:vMerge w:val="restart"/>
          </w:tcPr>
          <w:p>
            <w:pPr>
              <w:ind w:left="100"/>
              <w:spacing w:after="0"/>
              <w:rPr>
                <w:sz w:val="20"/>
                <w:szCs w:val="20"/>
                <w:color w:val="auto"/>
              </w:rPr>
            </w:pPr>
            <w:r>
              <w:rPr>
                <w:rFonts w:ascii="Arial" w:cs="Arial" w:eastAsia="Arial" w:hAnsi="Arial"/>
                <w:sz w:val="11"/>
                <w:szCs w:val="11"/>
                <w:color w:val="CC870F"/>
              </w:rPr>
              <w:t>Nominating and Corporate</w:t>
            </w:r>
          </w:p>
        </w:tc>
        <w:tc>
          <w:tcPr>
            <w:tcW w:w="0" w:type="dxa"/>
            <w:vAlign w:val="bottom"/>
          </w:tcPr>
          <w:p>
            <w:pPr>
              <w:spacing w:after="0"/>
              <w:rPr>
                <w:sz w:val="1"/>
                <w:szCs w:val="1"/>
                <w:color w:val="auto"/>
              </w:rPr>
            </w:pPr>
          </w:p>
        </w:tc>
      </w:tr>
      <w:tr>
        <w:trPr>
          <w:trHeight w:val="73"/>
        </w:trPr>
        <w:tc>
          <w:tcPr>
            <w:tcW w:w="9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1760" w:type="dxa"/>
            <w:vAlign w:val="bottom"/>
          </w:tcPr>
          <w:p>
            <w:pPr>
              <w:ind w:left="100"/>
              <w:spacing w:after="0"/>
              <w:rPr>
                <w:sz w:val="20"/>
                <w:szCs w:val="20"/>
                <w:color w:val="auto"/>
              </w:rPr>
            </w:pPr>
            <w:r>
              <w:rPr>
                <w:rFonts w:ascii="Arial" w:cs="Arial" w:eastAsia="Arial" w:hAnsi="Arial"/>
                <w:sz w:val="11"/>
                <w:szCs w:val="11"/>
                <w:color w:val="CC870F"/>
              </w:rPr>
              <w:t>Governance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80" w:space="480"/>
            <w:col w:w="2840"/>
          </w:cols>
          <w:pgMar w:left="240" w:top="453" w:right="85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Richard J. Byrne</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President, Benefit Street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right="420"/>
        <w:spacing w:after="0" w:line="251" w:lineRule="auto"/>
        <w:rPr>
          <w:sz w:val="20"/>
          <w:szCs w:val="20"/>
          <w:color w:val="auto"/>
        </w:rPr>
      </w:pPr>
      <w:r>
        <w:rPr>
          <w:rFonts w:ascii="Arial" w:cs="Arial" w:eastAsia="Arial" w:hAnsi="Arial"/>
          <w:sz w:val="12"/>
          <w:szCs w:val="12"/>
          <w:b w:val="1"/>
          <w:bCs w:val="1"/>
          <w:color w:val="262626"/>
        </w:rPr>
        <w:t xml:space="preserve">Mr. Byrne </w:t>
      </w:r>
      <w:r>
        <w:rPr>
          <w:rFonts w:ascii="Arial" w:cs="Arial" w:eastAsia="Arial" w:hAnsi="Arial"/>
          <w:sz w:val="12"/>
          <w:szCs w:val="12"/>
          <w:color w:val="262626"/>
        </w:rPr>
        <w:t>has been the President of Benefit Street Partners since 2013. He also serves as Chairman and Chief Executive Officer of Development Corporation of America and</w:t>
      </w:r>
      <w:r>
        <w:rPr>
          <w:rFonts w:ascii="Arial" w:cs="Arial" w:eastAsia="Arial" w:hAnsi="Arial"/>
          <w:sz w:val="12"/>
          <w:szCs w:val="12"/>
          <w:b w:val="1"/>
          <w:bCs w:val="1"/>
          <w:color w:val="262626"/>
        </w:rPr>
        <w:t xml:space="preserve"> </w:t>
      </w:r>
      <w:r>
        <w:rPr>
          <w:rFonts w:ascii="Arial" w:cs="Arial" w:eastAsia="Arial" w:hAnsi="Arial"/>
          <w:sz w:val="12"/>
          <w:szCs w:val="12"/>
          <w:color w:val="262626"/>
        </w:rPr>
        <w:t>Chairman and Chief Executive Officer of Benefit Street Partners Realty Trust, Inc., since 2016. Mr. Byrne currently serves on the Boards of MFA Financial, Inc. (since 2014) and New York Road Runners (since 2009). He is also the Founder and Chief Executive Officer of Kasai Elite Grappling Championships.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141605</wp:posOffset>
            </wp:positionV>
            <wp:extent cx="6231890" cy="2472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31890" cy="2472690"/>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260" w:right="40" w:hanging="159"/>
        <w:spacing w:after="0" w:line="239"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1999 to 2013: Chief Executive Officer, Deutsche Bank Securities, Inc. (2008-2013). He was also Global Co-Head of</w:t>
      </w:r>
      <w:r>
        <w:rPr>
          <w:rFonts w:ascii="Arial" w:cs="Arial" w:eastAsia="Arial" w:hAnsi="Arial"/>
          <w:sz w:val="12"/>
          <w:szCs w:val="12"/>
          <w:color w:val="CC870F"/>
        </w:rPr>
        <w:t xml:space="preserve"> </w:t>
      </w:r>
      <w:r>
        <w:rPr>
          <w:rFonts w:ascii="Arial" w:cs="Arial" w:eastAsia="Arial" w:hAnsi="Arial"/>
          <w:sz w:val="12"/>
          <w:szCs w:val="12"/>
          <w:color w:val="262626"/>
        </w:rPr>
        <w:t>Capital Markets at Deutsche Bank (2006-2013) as well as a member of the Global Banking Executive Committee and the Global Markets Executive Committee (2001-2010)</w:t>
      </w:r>
    </w:p>
    <w:p>
      <w:pPr>
        <w:spacing w:after="0" w:line="24" w:lineRule="exact"/>
        <w:rPr>
          <w:sz w:val="20"/>
          <w:szCs w:val="20"/>
          <w:color w:val="auto"/>
        </w:rPr>
      </w:pPr>
    </w:p>
    <w:p>
      <w:pPr>
        <w:ind w:left="1260" w:right="32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1985 to 1999: Global Co-Head of the Leveraged Finance Group and Global Head of Credit Research at Merrill</w:t>
      </w:r>
      <w:r>
        <w:rPr>
          <w:rFonts w:ascii="Arial" w:cs="Arial" w:eastAsia="Arial" w:hAnsi="Arial"/>
          <w:sz w:val="12"/>
          <w:szCs w:val="12"/>
          <w:color w:val="CC870F"/>
        </w:rPr>
        <w:t xml:space="preserve"> </w:t>
      </w:r>
      <w:r>
        <w:rPr>
          <w:rFonts w:ascii="Arial" w:cs="Arial" w:eastAsia="Arial" w:hAnsi="Arial"/>
          <w:sz w:val="12"/>
          <w:szCs w:val="12"/>
          <w:color w:val="262626"/>
        </w:rPr>
        <w:t>Lynch &amp; Co.</w:t>
      </w:r>
    </w:p>
    <w:p>
      <w:pPr>
        <w:spacing w:after="0" w:line="34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line="247" w:lineRule="auto"/>
        <w:rPr>
          <w:sz w:val="20"/>
          <w:szCs w:val="20"/>
          <w:color w:val="auto"/>
        </w:rPr>
      </w:pPr>
      <w:r>
        <w:rPr>
          <w:rFonts w:ascii="Arial" w:cs="Arial" w:eastAsia="Arial" w:hAnsi="Arial"/>
          <w:sz w:val="12"/>
          <w:szCs w:val="12"/>
          <w:color w:val="262626"/>
        </w:rPr>
        <w:t>Mr. Byrne graduated with a B.A. from Binghamton University and a Masters of Management from the Kellogg School of Management at Northwestern University.</w:t>
      </w:r>
    </w:p>
    <w:p>
      <w:pPr>
        <w:spacing w:after="0" w:line="34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right="320"/>
        <w:spacing w:after="0" w:line="247" w:lineRule="auto"/>
        <w:rPr>
          <w:sz w:val="20"/>
          <w:szCs w:val="20"/>
          <w:color w:val="auto"/>
        </w:rPr>
      </w:pPr>
      <w:r>
        <w:rPr>
          <w:rFonts w:ascii="Arial" w:cs="Arial" w:eastAsia="Arial" w:hAnsi="Arial"/>
          <w:sz w:val="12"/>
          <w:szCs w:val="12"/>
          <w:color w:val="262626"/>
        </w:rPr>
        <w:t>Mr. Byrne has extensive high-level experience in the investment banking and financial services industries, adding expertise in corporate finance and substantial knowledge of the public and private capital markets to our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0" w:type="dxa"/>
            <w:vAlign w:val="bottom"/>
          </w:tcPr>
          <w:p>
            <w:pPr>
              <w:ind w:left="80"/>
              <w:spacing w:after="0"/>
              <w:rPr>
                <w:sz w:val="20"/>
                <w:szCs w:val="20"/>
                <w:color w:val="auto"/>
              </w:rPr>
            </w:pPr>
            <w:r>
              <w:rPr>
                <w:rFonts w:ascii="Arial" w:cs="Arial" w:eastAsia="Arial" w:hAnsi="Arial"/>
                <w:sz w:val="11"/>
                <w:szCs w:val="11"/>
                <w:b w:val="1"/>
                <w:bCs w:val="1"/>
                <w:color w:val="CC870F"/>
              </w:rPr>
              <w:t>Director Since</w:t>
            </w:r>
          </w:p>
        </w:tc>
        <w:tc>
          <w:tcPr>
            <w:tcW w:w="1460" w:type="dxa"/>
            <w:vAlign w:val="bottom"/>
          </w:tcPr>
          <w:p>
            <w:pPr>
              <w:ind w:left="160"/>
              <w:spacing w:after="0"/>
              <w:rPr>
                <w:sz w:val="20"/>
                <w:szCs w:val="20"/>
                <w:color w:val="auto"/>
              </w:rPr>
            </w:pPr>
            <w:r>
              <w:rPr>
                <w:rFonts w:ascii="Arial" w:cs="Arial" w:eastAsia="Arial" w:hAnsi="Arial"/>
                <w:sz w:val="11"/>
                <w:szCs w:val="11"/>
                <w:color w:val="CC870F"/>
              </w:rPr>
              <w:t>August 2018</w:t>
            </w:r>
          </w:p>
        </w:tc>
      </w:tr>
      <w:tr>
        <w:trPr>
          <w:trHeight w:val="129"/>
        </w:trPr>
        <w:tc>
          <w:tcPr>
            <w:tcW w:w="1200" w:type="dxa"/>
            <w:vAlign w:val="bottom"/>
            <w:tcBorders>
              <w:bottom w:val="single" w:sz="8" w:color="F7F7E5"/>
            </w:tcBorders>
          </w:tcPr>
          <w:p>
            <w:pPr>
              <w:spacing w:after="0"/>
              <w:rPr>
                <w:sz w:val="11"/>
                <w:szCs w:val="11"/>
                <w:color w:val="auto"/>
              </w:rPr>
            </w:pPr>
          </w:p>
        </w:tc>
        <w:tc>
          <w:tcPr>
            <w:tcW w:w="1460" w:type="dxa"/>
            <w:vAlign w:val="bottom"/>
            <w:tcBorders>
              <w:bottom w:val="single" w:sz="8" w:color="F7F7E5"/>
            </w:tcBorders>
          </w:tcPr>
          <w:p>
            <w:pPr>
              <w:spacing w:after="0"/>
              <w:rPr>
                <w:sz w:val="11"/>
                <w:szCs w:val="11"/>
                <w:color w:val="auto"/>
              </w:rPr>
            </w:pPr>
          </w:p>
        </w:tc>
      </w:tr>
      <w:tr>
        <w:trPr>
          <w:trHeight w:val="354"/>
        </w:trPr>
        <w:tc>
          <w:tcPr>
            <w:tcW w:w="1200" w:type="dxa"/>
            <w:vAlign w:val="bottom"/>
          </w:tcPr>
          <w:p>
            <w:pPr>
              <w:ind w:left="80"/>
              <w:spacing w:after="0"/>
              <w:rPr>
                <w:sz w:val="20"/>
                <w:szCs w:val="20"/>
                <w:color w:val="auto"/>
              </w:rPr>
            </w:pPr>
            <w:r>
              <w:rPr>
                <w:rFonts w:ascii="Arial" w:cs="Arial" w:eastAsia="Arial" w:hAnsi="Arial"/>
                <w:sz w:val="11"/>
                <w:szCs w:val="11"/>
                <w:b w:val="1"/>
                <w:bCs w:val="1"/>
                <w:color w:val="CC870F"/>
              </w:rPr>
              <w:t>Term Expires</w:t>
            </w:r>
          </w:p>
        </w:tc>
        <w:tc>
          <w:tcPr>
            <w:tcW w:w="1460" w:type="dxa"/>
            <w:vAlign w:val="bottom"/>
          </w:tcPr>
          <w:p>
            <w:pPr>
              <w:ind w:left="160"/>
              <w:spacing w:after="0"/>
              <w:rPr>
                <w:sz w:val="20"/>
                <w:szCs w:val="20"/>
                <w:color w:val="auto"/>
              </w:rPr>
            </w:pPr>
            <w:r>
              <w:rPr>
                <w:rFonts w:ascii="Arial" w:cs="Arial" w:eastAsia="Arial" w:hAnsi="Arial"/>
                <w:sz w:val="11"/>
                <w:szCs w:val="11"/>
                <w:color w:val="CC870F"/>
              </w:rPr>
              <w:t>2020 Annual Meeting</w:t>
            </w:r>
          </w:p>
        </w:tc>
      </w:tr>
      <w:tr>
        <w:trPr>
          <w:trHeight w:val="129"/>
        </w:trPr>
        <w:tc>
          <w:tcPr>
            <w:tcW w:w="1200" w:type="dxa"/>
            <w:vAlign w:val="bottom"/>
            <w:tcBorders>
              <w:bottom w:val="single" w:sz="8" w:color="F7F7E5"/>
            </w:tcBorders>
          </w:tcPr>
          <w:p>
            <w:pPr>
              <w:spacing w:after="0"/>
              <w:rPr>
                <w:sz w:val="11"/>
                <w:szCs w:val="11"/>
                <w:color w:val="auto"/>
              </w:rPr>
            </w:pPr>
          </w:p>
        </w:tc>
        <w:tc>
          <w:tcPr>
            <w:tcW w:w="1460" w:type="dxa"/>
            <w:vAlign w:val="bottom"/>
            <w:tcBorders>
              <w:bottom w:val="single" w:sz="8" w:color="F7F7E5"/>
            </w:tcBorders>
          </w:tcPr>
          <w:p>
            <w:pPr>
              <w:spacing w:after="0"/>
              <w:rPr>
                <w:sz w:val="11"/>
                <w:szCs w:val="11"/>
                <w:color w:val="auto"/>
              </w:rPr>
            </w:pPr>
          </w:p>
        </w:tc>
      </w:tr>
      <w:tr>
        <w:trPr>
          <w:trHeight w:val="354"/>
        </w:trPr>
        <w:tc>
          <w:tcPr>
            <w:tcW w:w="1200" w:type="dxa"/>
            <w:vAlign w:val="bottom"/>
          </w:tcPr>
          <w:p>
            <w:pPr>
              <w:ind w:left="80"/>
              <w:spacing w:after="0"/>
              <w:rPr>
                <w:sz w:val="20"/>
                <w:szCs w:val="20"/>
                <w:color w:val="auto"/>
              </w:rPr>
            </w:pPr>
            <w:r>
              <w:rPr>
                <w:rFonts w:ascii="Arial" w:cs="Arial" w:eastAsia="Arial" w:hAnsi="Arial"/>
                <w:sz w:val="11"/>
                <w:szCs w:val="11"/>
                <w:b w:val="1"/>
                <w:bCs w:val="1"/>
                <w:color w:val="CC870F"/>
              </w:rPr>
              <w:t>Age</w:t>
            </w:r>
          </w:p>
        </w:tc>
        <w:tc>
          <w:tcPr>
            <w:tcW w:w="1460" w:type="dxa"/>
            <w:vAlign w:val="bottom"/>
          </w:tcPr>
          <w:p>
            <w:pPr>
              <w:ind w:left="160"/>
              <w:spacing w:after="0"/>
              <w:rPr>
                <w:sz w:val="20"/>
                <w:szCs w:val="20"/>
                <w:color w:val="auto"/>
              </w:rPr>
            </w:pPr>
            <w:r>
              <w:rPr>
                <w:rFonts w:ascii="Arial" w:cs="Arial" w:eastAsia="Arial" w:hAnsi="Arial"/>
                <w:sz w:val="11"/>
                <w:szCs w:val="11"/>
                <w:color w:val="CC870F"/>
              </w:rPr>
              <w:t>57</w:t>
            </w:r>
          </w:p>
        </w:tc>
      </w:tr>
      <w:tr>
        <w:trPr>
          <w:trHeight w:val="129"/>
        </w:trPr>
        <w:tc>
          <w:tcPr>
            <w:tcW w:w="1200" w:type="dxa"/>
            <w:vAlign w:val="bottom"/>
            <w:tcBorders>
              <w:bottom w:val="single" w:sz="8" w:color="F7F7E5"/>
            </w:tcBorders>
          </w:tcPr>
          <w:p>
            <w:pPr>
              <w:spacing w:after="0"/>
              <w:rPr>
                <w:sz w:val="11"/>
                <w:szCs w:val="11"/>
                <w:color w:val="auto"/>
              </w:rPr>
            </w:pPr>
          </w:p>
        </w:tc>
        <w:tc>
          <w:tcPr>
            <w:tcW w:w="1460" w:type="dxa"/>
            <w:vAlign w:val="bottom"/>
            <w:tcBorders>
              <w:bottom w:val="single" w:sz="8" w:color="F7F7E5"/>
            </w:tcBorders>
          </w:tcPr>
          <w:p>
            <w:pPr>
              <w:spacing w:after="0"/>
              <w:rPr>
                <w:sz w:val="11"/>
                <w:szCs w:val="11"/>
                <w:color w:val="auto"/>
              </w:rPr>
            </w:pPr>
          </w:p>
        </w:tc>
      </w:tr>
      <w:tr>
        <w:trPr>
          <w:trHeight w:val="354"/>
        </w:trPr>
        <w:tc>
          <w:tcPr>
            <w:tcW w:w="1200" w:type="dxa"/>
            <w:vAlign w:val="bottom"/>
          </w:tcPr>
          <w:p>
            <w:pPr>
              <w:ind w:left="80"/>
              <w:spacing w:after="0"/>
              <w:rPr>
                <w:sz w:val="20"/>
                <w:szCs w:val="20"/>
                <w:color w:val="auto"/>
              </w:rPr>
            </w:pPr>
            <w:r>
              <w:rPr>
                <w:rFonts w:ascii="Arial" w:cs="Arial" w:eastAsia="Arial" w:hAnsi="Arial"/>
                <w:sz w:val="11"/>
                <w:szCs w:val="11"/>
                <w:b w:val="1"/>
                <w:bCs w:val="1"/>
                <w:color w:val="CC870F"/>
              </w:rPr>
              <w:t>Board Committees</w:t>
            </w:r>
          </w:p>
        </w:tc>
        <w:tc>
          <w:tcPr>
            <w:tcW w:w="1460" w:type="dxa"/>
            <w:vAlign w:val="bottom"/>
          </w:tcPr>
          <w:p>
            <w:pPr>
              <w:ind w:left="160"/>
              <w:spacing w:after="0"/>
              <w:rPr>
                <w:sz w:val="20"/>
                <w:szCs w:val="20"/>
                <w:color w:val="auto"/>
              </w:rPr>
            </w:pPr>
            <w:r>
              <w:rPr>
                <w:rFonts w:ascii="Arial" w:cs="Arial" w:eastAsia="Arial" w:hAnsi="Arial"/>
                <w:sz w:val="11"/>
                <w:szCs w:val="11"/>
                <w:color w:val="CC870F"/>
              </w:rPr>
              <w:t>Audit</w:t>
            </w:r>
          </w:p>
        </w:tc>
      </w:tr>
      <w:tr>
        <w:trPr>
          <w:trHeight w:val="199"/>
        </w:trPr>
        <w:tc>
          <w:tcPr>
            <w:tcW w:w="120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1"/>
                <w:szCs w:val="11"/>
                <w:color w:val="CC870F"/>
              </w:rPr>
              <w:t>Compensation</w:t>
            </w:r>
          </w:p>
        </w:tc>
      </w:tr>
    </w:tbl>
    <w:p>
      <w:pPr>
        <w:spacing w:after="0" w:line="200" w:lineRule="exact"/>
        <w:rPr>
          <w:sz w:val="20"/>
          <w:szCs w:val="20"/>
          <w:color w:val="auto"/>
        </w:rPr>
      </w:pPr>
    </w:p>
    <w:p>
      <w:pPr>
        <w:sectPr>
          <w:pgSz w:w="11900" w:h="16838" w:orient="portrait"/>
          <w:cols w:equalWidth="0" w:num="2">
            <w:col w:w="7600" w:space="380"/>
            <w:col w:w="2820"/>
          </w:cols>
          <w:pgMar w:left="240" w:top="453" w:right="85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9460"/>
        <w:spacing w:after="0"/>
        <w:tabs>
          <w:tab w:leader="none" w:pos="10600" w:val="left"/>
          <w:tab w:leader="none" w:pos="10720" w:val="left"/>
        </w:tabs>
        <w:rPr>
          <w:sz w:val="20"/>
          <w:szCs w:val="20"/>
          <w:color w:val="auto"/>
        </w:rPr>
      </w:pPr>
      <w:r>
        <w:rPr>
          <w:rFonts w:ascii="Arial" w:cs="Arial" w:eastAsia="Arial" w:hAnsi="Arial"/>
          <w:sz w:val="9"/>
          <w:szCs w:val="9"/>
          <w:b w:val="1"/>
          <w:bCs w:val="1"/>
          <w:color w:val="262626"/>
        </w:rPr>
        <w:t>2019 PROXY STATEMENT</w:t>
        <w:tab/>
        <w:t>|</w:t>
        <w:tab/>
        <w:t>3</w:t>
      </w:r>
    </w:p>
    <w:p>
      <w:pPr>
        <w:sectPr>
          <w:pgSz w:w="11900" w:h="16838" w:orient="portrait"/>
          <w:cols w:equalWidth="0" w:num="1">
            <w:col w:w="10800"/>
          </w:cols>
          <w:pgMar w:left="240" w:top="453" w:right="8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Jay L. Johnson</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jc w:val="both"/>
        <w:ind w:left="780" w:right="120"/>
        <w:spacing w:after="0" w:line="251" w:lineRule="auto"/>
        <w:rPr>
          <w:sz w:val="20"/>
          <w:szCs w:val="20"/>
          <w:color w:val="auto"/>
        </w:rPr>
      </w:pPr>
      <w:r>
        <w:rPr>
          <w:rFonts w:ascii="Arial" w:cs="Arial" w:eastAsia="Arial" w:hAnsi="Arial"/>
          <w:sz w:val="12"/>
          <w:szCs w:val="12"/>
          <w:b w:val="1"/>
          <w:bCs w:val="1"/>
          <w:color w:val="262626"/>
        </w:rPr>
        <w:t xml:space="preserve">Admiral Johnson </w:t>
      </w:r>
      <w:r>
        <w:rPr>
          <w:rFonts w:ascii="Arial" w:cs="Arial" w:eastAsia="Arial" w:hAnsi="Arial"/>
          <w:sz w:val="12"/>
          <w:szCs w:val="12"/>
          <w:color w:val="262626"/>
        </w:rPr>
        <w:t>retired as Chairman and Chief Executive Officer of General Dynamics Corporation, a publicly traded manufacturer of defense, aerospace, and other technology</w:t>
      </w:r>
      <w:r>
        <w:rPr>
          <w:rFonts w:ascii="Arial" w:cs="Arial" w:eastAsia="Arial" w:hAnsi="Arial"/>
          <w:sz w:val="12"/>
          <w:szCs w:val="12"/>
          <w:b w:val="1"/>
          <w:bCs w:val="1"/>
          <w:color w:val="262626"/>
        </w:rPr>
        <w:t xml:space="preserve"> </w:t>
      </w:r>
      <w:r>
        <w:rPr>
          <w:rFonts w:ascii="Arial" w:cs="Arial" w:eastAsia="Arial" w:hAnsi="Arial"/>
          <w:sz w:val="12"/>
          <w:szCs w:val="12"/>
          <w:color w:val="262626"/>
        </w:rPr>
        <w:t>products, in December 2012. Admiral Johnson is a member of the Council on Foreign Relations and currently serves as a director of the U.S. Naval Academy Foundation and The Peregrine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141605</wp:posOffset>
            </wp:positionV>
            <wp:extent cx="6231890" cy="2497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31890" cy="2497455"/>
                    </a:xfrm>
                    <a:prstGeom prst="rect">
                      <a:avLst/>
                    </a:prstGeom>
                    <a:noFill/>
                  </pic:spPr>
                </pic:pic>
              </a:graphicData>
            </a:graphic>
          </wp:anchor>
        </w:drawing>
      </w:r>
    </w:p>
    <w:p>
      <w:pPr>
        <w:sectPr>
          <w:pgSz w:w="11900" w:h="16838" w:orient="portrait"/>
          <w:cols w:equalWidth="0" w:num="1">
            <w:col w:w="10640"/>
          </w:cols>
          <w:pgMar w:left="240" w:top="453" w:right="10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260" w:right="50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2000 to 2008: various senior executive roles at Dominion Resources Inc., a publicly traded energy company,</w:t>
      </w:r>
      <w:r>
        <w:rPr>
          <w:rFonts w:ascii="Arial" w:cs="Arial" w:eastAsia="Arial" w:hAnsi="Arial"/>
          <w:sz w:val="12"/>
          <w:szCs w:val="12"/>
          <w:color w:val="CC870F"/>
        </w:rPr>
        <w:t xml:space="preserve"> </w:t>
      </w:r>
      <w:r>
        <w:rPr>
          <w:rFonts w:ascii="Arial" w:cs="Arial" w:eastAsia="Arial" w:hAnsi="Arial"/>
          <w:sz w:val="12"/>
          <w:szCs w:val="12"/>
          <w:color w:val="262626"/>
        </w:rPr>
        <w:t>including as CEO of Dominion Virginia Power</w:t>
      </w:r>
    </w:p>
    <w:p>
      <w:pPr>
        <w:spacing w:after="0" w:line="20" w:lineRule="exact"/>
        <w:rPr>
          <w:sz w:val="20"/>
          <w:szCs w:val="20"/>
          <w:color w:val="auto"/>
        </w:rPr>
      </w:pPr>
    </w:p>
    <w:p>
      <w:pPr>
        <w:ind w:left="1260" w:right="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Prior to 2000: 32-year career in the U.S. Navy, serving as chief of naval operations and a member of the Joint Chiefs</w:t>
      </w:r>
      <w:r>
        <w:rPr>
          <w:rFonts w:ascii="Arial" w:cs="Arial" w:eastAsia="Arial" w:hAnsi="Arial"/>
          <w:sz w:val="12"/>
          <w:szCs w:val="12"/>
          <w:color w:val="CC870F"/>
        </w:rPr>
        <w:t xml:space="preserve"> </w:t>
      </w:r>
      <w:r>
        <w:rPr>
          <w:rFonts w:ascii="Arial" w:cs="Arial" w:eastAsia="Arial" w:hAnsi="Arial"/>
          <w:sz w:val="12"/>
          <w:szCs w:val="12"/>
          <w:color w:val="262626"/>
        </w:rPr>
        <w:t>of Staff since 1996</w:t>
      </w:r>
    </w:p>
    <w:p>
      <w:pPr>
        <w:spacing w:after="0" w:line="34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Admiral Johnson graduated with a B.S. from the United States Naval Academy.</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spacing w:after="0" w:line="237" w:lineRule="auto"/>
        <w:rPr>
          <w:sz w:val="20"/>
          <w:szCs w:val="20"/>
          <w:color w:val="auto"/>
        </w:rPr>
      </w:pPr>
      <w:r>
        <w:rPr>
          <w:rFonts w:ascii="Arial" w:cs="Arial" w:eastAsia="Arial" w:hAnsi="Arial"/>
          <w:sz w:val="12"/>
          <w:szCs w:val="12"/>
          <w:color w:val="262626"/>
        </w:rPr>
        <w:t>Admiral Johnson’s experience as an executive and director of various public companies contributes to the Board’s ability to guide corporate strategy and oversee public company governance. Additionally, the Board benefits from Admiral Johnson’s distinguished 32-year military career, which provides valuable public policy and government relations experience as well as extensive leadership and strategic skills.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2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August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7" w:lineRule="exact"/>
        <w:rPr>
          <w:sz w:val="20"/>
          <w:szCs w:val="20"/>
          <w:color w:val="auto"/>
        </w:rPr>
      </w:pPr>
    </w:p>
    <w:p>
      <w:pPr>
        <w:spacing w:after="0"/>
        <w:tabs>
          <w:tab w:leader="none" w:pos="82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89535</wp:posOffset>
            </wp:positionV>
            <wp:extent cx="1698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7" w:lineRule="exact"/>
        <w:rPr>
          <w:sz w:val="20"/>
          <w:szCs w:val="20"/>
          <w:color w:val="auto"/>
        </w:rPr>
      </w:pPr>
    </w:p>
    <w:p>
      <w:pPr>
        <w:spacing w:after="0"/>
        <w:tabs>
          <w:tab w:leader="none" w:pos="820" w:val="left"/>
        </w:tabs>
        <w:rPr>
          <w:sz w:val="20"/>
          <w:szCs w:val="20"/>
          <w:color w:val="auto"/>
        </w:rPr>
      </w:pPr>
      <w:r>
        <w:rPr>
          <w:rFonts w:ascii="Arial" w:cs="Arial" w:eastAsia="Arial" w:hAnsi="Arial"/>
          <w:sz w:val="10"/>
          <w:szCs w:val="10"/>
          <w:b w:val="1"/>
          <w:bCs w:val="1"/>
          <w:color w:val="CC870F"/>
        </w:rPr>
        <w:t>Board</w:t>
      </w:r>
      <w:r>
        <w:rPr>
          <w:sz w:val="20"/>
          <w:szCs w:val="20"/>
          <w:color w:val="auto"/>
        </w:rPr>
        <w:tab/>
      </w:r>
      <w:r>
        <w:rPr>
          <w:rFonts w:ascii="Arial" w:cs="Arial" w:eastAsia="Arial" w:hAnsi="Arial"/>
          <w:sz w:val="10"/>
          <w:szCs w:val="10"/>
          <w:color w:val="CC870F"/>
        </w:rPr>
        <w:t>Nominating and Corporate</w:t>
      </w:r>
    </w:p>
    <w:p>
      <w:pPr>
        <w:spacing w:after="0" w:line="16" w:lineRule="exact"/>
        <w:rPr>
          <w:sz w:val="20"/>
          <w:szCs w:val="20"/>
          <w:color w:val="auto"/>
        </w:rPr>
      </w:pPr>
    </w:p>
    <w:p>
      <w:pPr>
        <w:spacing w:after="0"/>
        <w:tabs>
          <w:tab w:leader="none" w:pos="820" w:val="left"/>
        </w:tabs>
        <w:rPr>
          <w:sz w:val="20"/>
          <w:szCs w:val="20"/>
          <w:color w:val="auto"/>
        </w:rPr>
      </w:pPr>
      <w:r>
        <w:rPr>
          <w:rFonts w:ascii="Arial" w:cs="Arial" w:eastAsia="Arial" w:hAnsi="Arial"/>
          <w:sz w:val="11"/>
          <w:szCs w:val="11"/>
          <w:b w:val="1"/>
          <w:bCs w:val="1"/>
          <w:color w:val="CC870F"/>
        </w:rPr>
        <w:t>Committees</w:t>
      </w:r>
      <w:r>
        <w:rPr>
          <w:sz w:val="20"/>
          <w:szCs w:val="20"/>
          <w:color w:val="auto"/>
        </w:rPr>
        <w:tab/>
      </w:r>
      <w:r>
        <w:rPr>
          <w:rFonts w:ascii="Arial" w:cs="Arial" w:eastAsia="Arial" w:hAnsi="Arial"/>
          <w:sz w:val="11"/>
          <w:szCs w:val="11"/>
          <w:color w:val="CC870F"/>
        </w:rPr>
        <w:t>Governance, Chair</w:t>
      </w:r>
    </w:p>
    <w:p>
      <w:pPr>
        <w:spacing w:after="0" w:line="200" w:lineRule="exact"/>
        <w:rPr>
          <w:sz w:val="20"/>
          <w:szCs w:val="20"/>
          <w:color w:val="auto"/>
        </w:rPr>
      </w:pPr>
    </w:p>
    <w:p>
      <w:pPr>
        <w:sectPr>
          <w:pgSz w:w="11900" w:h="16838" w:orient="portrait"/>
          <w:cols w:equalWidth="0" w:num="2">
            <w:col w:w="7680" w:space="380"/>
            <w:col w:w="2580"/>
          </w:cols>
          <w:pgMar w:left="240" w:top="453"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Matt Maddox</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Chief Executive Officer and President,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137160</wp:posOffset>
            </wp:positionV>
            <wp:extent cx="62566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96" w:lineRule="exact"/>
        <w:rPr>
          <w:sz w:val="20"/>
          <w:szCs w:val="20"/>
          <w:color w:val="auto"/>
        </w:rPr>
      </w:pPr>
    </w:p>
    <w:p>
      <w:pPr>
        <w:ind w:left="780" w:right="100"/>
        <w:spacing w:after="0"/>
        <w:rPr>
          <w:sz w:val="20"/>
          <w:szCs w:val="20"/>
          <w:color w:val="auto"/>
        </w:rPr>
      </w:pPr>
      <w:r>
        <w:rPr>
          <w:rFonts w:ascii="Arial" w:cs="Arial" w:eastAsia="Arial" w:hAnsi="Arial"/>
          <w:sz w:val="12"/>
          <w:szCs w:val="12"/>
          <w:b w:val="1"/>
          <w:bCs w:val="1"/>
          <w:color w:val="262626"/>
        </w:rPr>
        <w:t xml:space="preserve">Mr. Maddox </w:t>
      </w:r>
      <w:r>
        <w:rPr>
          <w:rFonts w:ascii="Arial" w:cs="Arial" w:eastAsia="Arial" w:hAnsi="Arial"/>
          <w:sz w:val="12"/>
          <w:szCs w:val="12"/>
          <w:color w:val="262626"/>
        </w:rPr>
        <w:t>has served as the Company’s President since November 2013 and its CEO since February 2018. He has been a member of the Board of Directors of Wynn Resorts,</w:t>
      </w:r>
      <w:r>
        <w:rPr>
          <w:rFonts w:ascii="Arial" w:cs="Arial" w:eastAsia="Arial" w:hAnsi="Arial"/>
          <w:sz w:val="12"/>
          <w:szCs w:val="12"/>
          <w:b w:val="1"/>
          <w:bCs w:val="1"/>
          <w:color w:val="262626"/>
        </w:rPr>
        <w:t xml:space="preserve"> </w:t>
      </w:r>
      <w:r>
        <w:rPr>
          <w:rFonts w:ascii="Arial" w:cs="Arial" w:eastAsia="Arial" w:hAnsi="Arial"/>
          <w:sz w:val="12"/>
          <w:szCs w:val="12"/>
          <w:color w:val="262626"/>
        </w:rPr>
        <w:t>Limited since August 3, 2018. He was a non-executive Director of Wynn Macau, Limited from March 28, 2013, until he was re-designated as an Executive Director, upon his appointment as CEO of Wynn Macau, Limited, in February 2018. Mr. Maddox has served as the Company’s President since November 2013 and its CEO since February 2018. He has been a member of the Board of Directors of Wynn Resorts, Limited since August 3, 2018. He was a non-executive Director of Wynn Macau, Limited from March 28, 2013 until he was re-designated as an Executive Director, upon his appointment as CEO of Wynn Macau, Limited, in February 2018. Since joining Wynn Resorts in 2002, Mr. Maddox has served in various capacities at the Company, including Senior Vice President of Business Development and Chief Financial Officer of Wynn Resorts, Limited and Wynn Resorts (Macau),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226695</wp:posOffset>
            </wp:positionV>
            <wp:extent cx="6231890" cy="2102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31890" cy="2102485"/>
                    </a:xfrm>
                    <a:prstGeom prst="rect">
                      <a:avLst/>
                    </a:prstGeom>
                    <a:noFill/>
                  </pic:spPr>
                </pic:pic>
              </a:graphicData>
            </a:graphic>
          </wp:anchor>
        </w:drawing>
      </w:r>
    </w:p>
    <w:p>
      <w:pPr>
        <w:sectPr>
          <w:pgSz w:w="11900" w:h="16838" w:orient="portrait"/>
          <w:cols w:equalWidth="0" w:num="1">
            <w:col w:w="10640"/>
          </w:cols>
          <w:pgMar w:left="240" w:top="453" w:right="101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Corporate Finance, Caesars Entertainment, Inc. (formerly Park Place Entertainment, Inc.)</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M&amp;A banker, Bank of America Securities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Mr. Maddox graduated with a B.B.A. in finance from Southern Methodist University.</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jc w:val="both"/>
        <w:ind w:left="1100"/>
        <w:spacing w:after="0" w:line="237" w:lineRule="auto"/>
        <w:rPr>
          <w:sz w:val="20"/>
          <w:szCs w:val="20"/>
          <w:color w:val="auto"/>
        </w:rPr>
      </w:pPr>
      <w:r>
        <w:rPr>
          <w:rFonts w:ascii="Arial" w:cs="Arial" w:eastAsia="Arial" w:hAnsi="Arial"/>
          <w:sz w:val="12"/>
          <w:szCs w:val="12"/>
          <w:color w:val="262626"/>
        </w:rPr>
        <w:t>Mr. Maddox contributes a deep understanding of the Company, global gaming expertise stemming from his roles in the development of Wynn Resorts (Macau), S.A. and Wynn Palace, and financial acumen developed being responsible for helping secure the financing to build Wynn Las Vegas and serving as the first Chief Financial Officer of Wynn Resorts (Macau),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ind w:left="80"/>
              <w:spacing w:after="0"/>
              <w:rPr>
                <w:sz w:val="20"/>
                <w:szCs w:val="20"/>
                <w:color w:val="auto"/>
              </w:rPr>
            </w:pPr>
            <w:r>
              <w:rPr>
                <w:rFonts w:ascii="Arial" w:cs="Arial" w:eastAsia="Arial" w:hAnsi="Arial"/>
                <w:sz w:val="11"/>
                <w:szCs w:val="11"/>
                <w:b w:val="1"/>
                <w:bCs w:val="1"/>
                <w:color w:val="CC870F"/>
              </w:rPr>
              <w:t>Director Since</w:t>
            </w:r>
          </w:p>
        </w:tc>
        <w:tc>
          <w:tcPr>
            <w:tcW w:w="1660" w:type="dxa"/>
            <w:vAlign w:val="bottom"/>
          </w:tcPr>
          <w:p>
            <w:pPr>
              <w:ind w:left="200"/>
              <w:spacing w:after="0"/>
              <w:rPr>
                <w:sz w:val="20"/>
                <w:szCs w:val="20"/>
                <w:color w:val="auto"/>
              </w:rPr>
            </w:pPr>
            <w:r>
              <w:rPr>
                <w:rFonts w:ascii="Arial" w:cs="Arial" w:eastAsia="Arial" w:hAnsi="Arial"/>
                <w:sz w:val="11"/>
                <w:szCs w:val="11"/>
                <w:color w:val="CC870F"/>
              </w:rPr>
              <w:t>August 2018</w:t>
            </w:r>
          </w:p>
        </w:tc>
      </w:tr>
      <w:tr>
        <w:trPr>
          <w:trHeight w:val="129"/>
        </w:trPr>
        <w:tc>
          <w:tcPr>
            <w:tcW w:w="1000" w:type="dxa"/>
            <w:vAlign w:val="bottom"/>
            <w:tcBorders>
              <w:bottom w:val="single" w:sz="8" w:color="F7F7E5"/>
            </w:tcBorders>
          </w:tcPr>
          <w:p>
            <w:pPr>
              <w:spacing w:after="0"/>
              <w:rPr>
                <w:sz w:val="11"/>
                <w:szCs w:val="11"/>
                <w:color w:val="auto"/>
              </w:rPr>
            </w:pPr>
          </w:p>
        </w:tc>
        <w:tc>
          <w:tcPr>
            <w:tcW w:w="1660" w:type="dxa"/>
            <w:vAlign w:val="bottom"/>
            <w:tcBorders>
              <w:bottom w:val="single" w:sz="8" w:color="F7F7E5"/>
            </w:tcBorders>
          </w:tcPr>
          <w:p>
            <w:pPr>
              <w:spacing w:after="0"/>
              <w:rPr>
                <w:sz w:val="11"/>
                <w:szCs w:val="11"/>
                <w:color w:val="auto"/>
              </w:rPr>
            </w:pPr>
          </w:p>
        </w:tc>
      </w:tr>
      <w:tr>
        <w:trPr>
          <w:trHeight w:val="354"/>
        </w:trPr>
        <w:tc>
          <w:tcPr>
            <w:tcW w:w="1000" w:type="dxa"/>
            <w:vAlign w:val="bottom"/>
          </w:tcPr>
          <w:p>
            <w:pPr>
              <w:ind w:left="80"/>
              <w:spacing w:after="0"/>
              <w:rPr>
                <w:sz w:val="20"/>
                <w:szCs w:val="20"/>
                <w:color w:val="auto"/>
              </w:rPr>
            </w:pPr>
            <w:r>
              <w:rPr>
                <w:rFonts w:ascii="Arial" w:cs="Arial" w:eastAsia="Arial" w:hAnsi="Arial"/>
                <w:sz w:val="11"/>
                <w:szCs w:val="11"/>
                <w:b w:val="1"/>
                <w:bCs w:val="1"/>
                <w:color w:val="CC870F"/>
              </w:rPr>
              <w:t>Term Expires</w:t>
            </w:r>
          </w:p>
        </w:tc>
        <w:tc>
          <w:tcPr>
            <w:tcW w:w="1660" w:type="dxa"/>
            <w:vAlign w:val="bottom"/>
          </w:tcPr>
          <w:p>
            <w:pPr>
              <w:ind w:left="200"/>
              <w:spacing w:after="0"/>
              <w:rPr>
                <w:sz w:val="20"/>
                <w:szCs w:val="20"/>
                <w:color w:val="auto"/>
              </w:rPr>
            </w:pPr>
            <w:r>
              <w:rPr>
                <w:rFonts w:ascii="Arial" w:cs="Arial" w:eastAsia="Arial" w:hAnsi="Arial"/>
                <w:sz w:val="11"/>
                <w:szCs w:val="11"/>
                <w:color w:val="CC870F"/>
              </w:rPr>
              <w:t>2021 Annual Meeting</w:t>
            </w:r>
          </w:p>
        </w:tc>
      </w:tr>
      <w:tr>
        <w:trPr>
          <w:trHeight w:val="129"/>
        </w:trPr>
        <w:tc>
          <w:tcPr>
            <w:tcW w:w="1000" w:type="dxa"/>
            <w:vAlign w:val="bottom"/>
            <w:tcBorders>
              <w:bottom w:val="single" w:sz="8" w:color="F7F7E5"/>
            </w:tcBorders>
          </w:tcPr>
          <w:p>
            <w:pPr>
              <w:spacing w:after="0"/>
              <w:rPr>
                <w:sz w:val="11"/>
                <w:szCs w:val="11"/>
                <w:color w:val="auto"/>
              </w:rPr>
            </w:pPr>
          </w:p>
        </w:tc>
        <w:tc>
          <w:tcPr>
            <w:tcW w:w="1660" w:type="dxa"/>
            <w:vAlign w:val="bottom"/>
            <w:tcBorders>
              <w:bottom w:val="single" w:sz="8" w:color="F7F7E5"/>
            </w:tcBorders>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2">
            <w:col w:w="7580" w:space="400"/>
            <w:col w:w="2660"/>
          </w:cols>
          <w:pgMar w:left="240" w:top="453" w:right="1019" w:bottom="1440" w:gutter="0" w:footer="0" w:header="0"/>
          <w:type w:val="continuous"/>
        </w:sectPr>
      </w:pPr>
    </w:p>
    <w:p>
      <w:pPr>
        <w:spacing w:after="0" w:line="23" w:lineRule="exact"/>
        <w:rPr>
          <w:sz w:val="20"/>
          <w:szCs w:val="20"/>
          <w:color w:val="auto"/>
        </w:rPr>
      </w:pPr>
    </w:p>
    <w:p>
      <w:pPr>
        <w:jc w:val="both"/>
        <w:ind w:left="8060"/>
        <w:spacing w:after="0"/>
        <w:tabs>
          <w:tab w:leader="none" w:pos="916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501650</wp:posOffset>
            </wp:positionV>
            <wp:extent cx="521335" cy="235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0" w:hanging="152"/>
        <w:spacing w:after="0"/>
        <w:tabs>
          <w:tab w:leader="none" w:pos="780" w:val="left"/>
        </w:tabs>
        <w:numPr>
          <w:ilvl w:val="0"/>
          <w:numId w:val="11"/>
        </w:numPr>
        <w:rPr>
          <w:rFonts w:ascii="Arial" w:cs="Arial" w:eastAsia="Arial" w:hAnsi="Arial"/>
          <w:sz w:val="9"/>
          <w:szCs w:val="9"/>
          <w:b w:val="1"/>
          <w:bCs w:val="1"/>
          <w:color w:val="262626"/>
        </w:rPr>
      </w:pPr>
      <w:r>
        <w:rPr>
          <w:rFonts w:ascii="Arial" w:cs="Arial" w:eastAsia="Arial" w:hAnsi="Arial"/>
          <w:sz w:val="9"/>
          <w:szCs w:val="9"/>
          <w:b w:val="1"/>
          <w:bCs w:val="1"/>
          <w:color w:val="262626"/>
        </w:rPr>
        <w:t>|</w:t>
      </w:r>
    </w:p>
    <w:p>
      <w:pPr>
        <w:sectPr>
          <w:pgSz w:w="11900" w:h="16838" w:orient="portrait"/>
          <w:cols w:equalWidth="0" w:num="1">
            <w:col w:w="10640"/>
          </w:cols>
          <w:pgMar w:left="240" w:top="453" w:right="10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Patricia Mulroy</w:t>
      </w:r>
    </w:p>
    <w:p>
      <w:pPr>
        <w:spacing w:after="0" w:line="12" w:lineRule="exact"/>
        <w:rPr>
          <w:sz w:val="20"/>
          <w:szCs w:val="20"/>
          <w:color w:val="auto"/>
        </w:rPr>
      </w:pPr>
    </w:p>
    <w:p>
      <w:pPr>
        <w:ind w:left="780" w:right="680"/>
        <w:spacing w:after="0" w:line="233" w:lineRule="auto"/>
        <w:rPr>
          <w:sz w:val="20"/>
          <w:szCs w:val="20"/>
          <w:color w:val="auto"/>
        </w:rPr>
      </w:pPr>
      <w:r>
        <w:rPr>
          <w:rFonts w:ascii="Arial" w:cs="Arial" w:eastAsia="Arial" w:hAnsi="Arial"/>
          <w:sz w:val="14"/>
          <w:szCs w:val="14"/>
          <w:b w:val="1"/>
          <w:bCs w:val="1"/>
          <w:color w:val="050505"/>
        </w:rPr>
        <w:t>Non-Resident Senior Fellow for Climate Adaptation &amp; Environmental Policy, Brookings Institution; Practitioner in Residence, Saltman Center for Conflict Resolution, William S. Boyd School of Law, University of Nevada, 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133985</wp:posOffset>
            </wp:positionV>
            <wp:extent cx="6256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90" w:lineRule="exact"/>
        <w:rPr>
          <w:sz w:val="20"/>
          <w:szCs w:val="20"/>
          <w:color w:val="auto"/>
        </w:rPr>
      </w:pPr>
    </w:p>
    <w:p>
      <w:pPr>
        <w:ind w:left="780" w:right="260"/>
        <w:spacing w:after="0" w:line="251" w:lineRule="auto"/>
        <w:rPr>
          <w:sz w:val="20"/>
          <w:szCs w:val="20"/>
          <w:color w:val="auto"/>
        </w:rPr>
      </w:pPr>
      <w:r>
        <w:rPr>
          <w:rFonts w:ascii="Arial" w:cs="Arial" w:eastAsia="Arial" w:hAnsi="Arial"/>
          <w:sz w:val="12"/>
          <w:szCs w:val="12"/>
          <w:b w:val="1"/>
          <w:bCs w:val="1"/>
          <w:color w:val="262626"/>
        </w:rPr>
        <w:t xml:space="preserve">Ms. Mulroy </w:t>
      </w:r>
      <w:r>
        <w:rPr>
          <w:rFonts w:ascii="Arial" w:cs="Arial" w:eastAsia="Arial" w:hAnsi="Arial"/>
          <w:sz w:val="12"/>
          <w:szCs w:val="12"/>
          <w:color w:val="262626"/>
        </w:rPr>
        <w:t>is currently a Non-Resident Senior Fellow for Climate Adaptation and Environmental Policy for the Brookings Institution and a Practitioner in Residence at the Saltman</w:t>
      </w:r>
      <w:r>
        <w:rPr>
          <w:rFonts w:ascii="Arial" w:cs="Arial" w:eastAsia="Arial" w:hAnsi="Arial"/>
          <w:sz w:val="12"/>
          <w:szCs w:val="12"/>
          <w:b w:val="1"/>
          <w:bCs w:val="1"/>
          <w:color w:val="262626"/>
        </w:rPr>
        <w:t xml:space="preserve"> </w:t>
      </w:r>
      <w:r>
        <w:rPr>
          <w:rFonts w:ascii="Arial" w:cs="Arial" w:eastAsia="Arial" w:hAnsi="Arial"/>
          <w:sz w:val="12"/>
          <w:szCs w:val="12"/>
          <w:color w:val="262626"/>
        </w:rPr>
        <w:t>Center for Conflict Resolution at the William S. Boyd School of Law at University of Nevada, Las Vegas. Ms. Mulroy operates a consulting firm representing both corporate and government clients in water matters. Ms. Mulroy recently completed her term as a member of the Global Agenda Council on Water of the World Economic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141605</wp:posOffset>
            </wp:positionV>
            <wp:extent cx="6231890" cy="2623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1890" cy="2623820"/>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July 2014 through October 2015: served on the Nevada Gaming Commission</w:t>
      </w:r>
    </w:p>
    <w:p>
      <w:pPr>
        <w:spacing w:after="0" w:line="34" w:lineRule="exact"/>
        <w:rPr>
          <w:sz w:val="20"/>
          <w:szCs w:val="20"/>
          <w:color w:val="auto"/>
        </w:rPr>
      </w:pPr>
    </w:p>
    <w:p>
      <w:pPr>
        <w:ind w:left="12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1995 to 2014: Nevada’s representative on Colorado River Basin issues, serving as the lead negotiator from 2007 to</w:t>
      </w:r>
      <w:r>
        <w:rPr>
          <w:rFonts w:ascii="Arial" w:cs="Arial" w:eastAsia="Arial" w:hAnsi="Arial"/>
          <w:sz w:val="12"/>
          <w:szCs w:val="12"/>
          <w:color w:val="CC870F"/>
        </w:rPr>
        <w:t xml:space="preserve"> </w:t>
      </w:r>
      <w:r>
        <w:rPr>
          <w:rFonts w:ascii="Arial" w:cs="Arial" w:eastAsia="Arial" w:hAnsi="Arial"/>
          <w:sz w:val="12"/>
          <w:szCs w:val="12"/>
          <w:color w:val="262626"/>
        </w:rPr>
        <w:t>2014</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1993 to 2014: General Manager of the Southern Nevada Water Authority</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1989 to 2014: General Manager of the Las Vegas Valley Water District</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Ms. Mulroy graduated with a B.A. and M.A. from the University of Nevada, Las Vegas.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right="60"/>
        <w:spacing w:after="0" w:line="239" w:lineRule="auto"/>
        <w:rPr>
          <w:sz w:val="20"/>
          <w:szCs w:val="20"/>
          <w:color w:val="auto"/>
        </w:rPr>
      </w:pPr>
      <w:r>
        <w:rPr>
          <w:rFonts w:ascii="Arial" w:cs="Arial" w:eastAsia="Arial" w:hAnsi="Arial"/>
          <w:sz w:val="12"/>
          <w:szCs w:val="12"/>
          <w:color w:val="262626"/>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89535</wp:posOffset>
            </wp:positionV>
            <wp:extent cx="16986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0"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Board</w:t>
      </w:r>
      <w:r>
        <w:rPr>
          <w:sz w:val="20"/>
          <w:szCs w:val="20"/>
          <w:color w:val="auto"/>
        </w:rPr>
        <w:tab/>
      </w:r>
      <w:r>
        <w:rPr>
          <w:rFonts w:ascii="Arial" w:cs="Arial" w:eastAsia="Arial" w:hAnsi="Arial"/>
          <w:sz w:val="11"/>
          <w:szCs w:val="11"/>
          <w:color w:val="CC870F"/>
        </w:rPr>
        <w:t>Audit</w:t>
      </w:r>
    </w:p>
    <w:p>
      <w:pPr>
        <w:spacing w:after="0" w:line="190" w:lineRule="auto"/>
        <w:rPr>
          <w:sz w:val="20"/>
          <w:szCs w:val="20"/>
          <w:color w:val="auto"/>
        </w:rPr>
      </w:pPr>
      <w:r>
        <w:rPr>
          <w:rFonts w:ascii="Arial" w:cs="Arial" w:eastAsia="Arial" w:hAnsi="Arial"/>
          <w:sz w:val="10"/>
          <w:szCs w:val="10"/>
          <w:b w:val="1"/>
          <w:bCs w:val="1"/>
          <w:color w:val="CC870F"/>
        </w:rPr>
        <w:t>Committees</w:t>
      </w:r>
    </w:p>
    <w:p>
      <w:pPr>
        <w:ind w:left="920"/>
        <w:spacing w:after="0"/>
        <w:rPr>
          <w:sz w:val="20"/>
          <w:szCs w:val="20"/>
          <w:color w:val="auto"/>
        </w:rPr>
      </w:pPr>
      <w:r>
        <w:rPr>
          <w:rFonts w:ascii="Arial" w:cs="Arial" w:eastAsia="Arial" w:hAnsi="Arial"/>
          <w:sz w:val="10"/>
          <w:szCs w:val="10"/>
          <w:color w:val="CC870F"/>
        </w:rPr>
        <w:t>Nominating and Corporate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1"/>
          <w:szCs w:val="11"/>
          <w:color w:val="CC870F"/>
        </w:rPr>
        <w:t>Governance</w:t>
      </w:r>
    </w:p>
    <w:p>
      <w:pPr>
        <w:spacing w:after="0" w:line="200" w:lineRule="exact"/>
        <w:rPr>
          <w:sz w:val="20"/>
          <w:szCs w:val="20"/>
          <w:color w:val="auto"/>
        </w:rPr>
      </w:pPr>
    </w:p>
    <w:p>
      <w:pPr>
        <w:sectPr>
          <w:pgSz w:w="11900" w:h="16838" w:orient="portrait"/>
          <w:cols w:equalWidth="0" w:num="2">
            <w:col w:w="7560" w:space="500"/>
            <w:col w:w="2740"/>
          </w:cols>
          <w:pgMar w:left="240" w:top="453"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Margaret J. Myers</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Executive Vice President, Worldwide Corporate Communications and Public Affairs, Warner Bros.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right="380"/>
        <w:spacing w:after="0" w:line="271" w:lineRule="auto"/>
        <w:rPr>
          <w:sz w:val="20"/>
          <w:szCs w:val="20"/>
          <w:color w:val="auto"/>
        </w:rPr>
      </w:pPr>
      <w:r>
        <w:rPr>
          <w:rFonts w:ascii="Arial" w:cs="Arial" w:eastAsia="Arial" w:hAnsi="Arial"/>
          <w:sz w:val="12"/>
          <w:szCs w:val="12"/>
          <w:b w:val="1"/>
          <w:bCs w:val="1"/>
          <w:color w:val="262626"/>
        </w:rPr>
        <w:t xml:space="preserve">Ms. Myers </w:t>
      </w:r>
      <w:r>
        <w:rPr>
          <w:rFonts w:ascii="Arial" w:cs="Arial" w:eastAsia="Arial" w:hAnsi="Arial"/>
          <w:sz w:val="12"/>
          <w:szCs w:val="12"/>
          <w:color w:val="262626"/>
        </w:rPr>
        <w:t>has been Executive Vice President, Worldwide Corporate Communications and Public Affairs for Warner Bros. Entertainment, a broad-based entertainment company</w:t>
      </w:r>
      <w:r>
        <w:rPr>
          <w:rFonts w:ascii="Arial" w:cs="Arial" w:eastAsia="Arial" w:hAnsi="Arial"/>
          <w:sz w:val="12"/>
          <w:szCs w:val="12"/>
          <w:b w:val="1"/>
          <w:bCs w:val="1"/>
          <w:color w:val="262626"/>
        </w:rPr>
        <w:t xml:space="preserve"> </w:t>
      </w:r>
      <w:r>
        <w:rPr>
          <w:rFonts w:ascii="Arial" w:cs="Arial" w:eastAsia="Arial" w:hAnsi="Arial"/>
          <w:sz w:val="12"/>
          <w:szCs w:val="12"/>
          <w:color w:val="262626"/>
        </w:rPr>
        <w:t>and division of TimeWarner, Inc., since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134620</wp:posOffset>
            </wp:positionV>
            <wp:extent cx="6231890" cy="26238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31890" cy="2623820"/>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type w:val="continuous"/>
        </w:sectPr>
      </w:pPr>
    </w:p>
    <w:p>
      <w:pPr>
        <w:spacing w:after="0" w:line="39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2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September 2010 to June 2014: Managing Director, Strategic Communications and Public Affairs Practice, Glover Park</w:t>
      </w:r>
      <w:r>
        <w:rPr>
          <w:rFonts w:ascii="Arial" w:cs="Arial" w:eastAsia="Arial" w:hAnsi="Arial"/>
          <w:sz w:val="12"/>
          <w:szCs w:val="12"/>
          <w:color w:val="CC870F"/>
        </w:rPr>
        <w:t xml:space="preserve"> </w:t>
      </w:r>
      <w:r>
        <w:rPr>
          <w:rFonts w:ascii="Arial" w:cs="Arial" w:eastAsia="Arial" w:hAnsi="Arial"/>
          <w:sz w:val="12"/>
          <w:szCs w:val="12"/>
          <w:color w:val="262626"/>
        </w:rPr>
        <w:t>Group</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1994 to 2010: Political analyst, commentator and writer</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January 1993 to December 1994: White House Press Secretary</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Ms. Myers is the author of the 2008 New York Times best-selling book, “Why Women Should Rule the World”</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Ms. Myers graduated with a B.S. from Santa Clara University.</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right="80"/>
        <w:spacing w:after="0" w:line="237" w:lineRule="auto"/>
        <w:rPr>
          <w:sz w:val="20"/>
          <w:szCs w:val="20"/>
          <w:color w:val="auto"/>
        </w:rPr>
      </w:pPr>
      <w:r>
        <w:rPr>
          <w:rFonts w:ascii="Arial" w:cs="Arial" w:eastAsia="Arial" w:hAnsi="Arial"/>
          <w:sz w:val="12"/>
          <w:szCs w:val="12"/>
          <w:color w:val="262626"/>
        </w:rPr>
        <w:t>Ms. Myers has extensive experience providing counsel on strategic and crisis communications, reputation management and integrated marketing, drawing on her years in politics and media. She brings to our Board expertise in global corporate communications strategies and activities, including media relations, public positioning, executive communications, corporate responsibility and philanthropy.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88900</wp:posOffset>
            </wp:positionV>
            <wp:extent cx="1690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88900</wp:posOffset>
            </wp:positionV>
            <wp:extent cx="16903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89535</wp:posOffset>
            </wp:positionV>
            <wp:extent cx="1690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0"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Board</w:t>
      </w:r>
      <w:r>
        <w:rPr>
          <w:sz w:val="20"/>
          <w:szCs w:val="20"/>
          <w:color w:val="auto"/>
        </w:rPr>
        <w:tab/>
      </w:r>
      <w:r>
        <w:rPr>
          <w:rFonts w:ascii="Arial" w:cs="Arial" w:eastAsia="Arial" w:hAnsi="Arial"/>
          <w:sz w:val="11"/>
          <w:szCs w:val="11"/>
          <w:color w:val="CC870F"/>
        </w:rPr>
        <w:t>Compensation</w:t>
      </w:r>
    </w:p>
    <w:p>
      <w:pPr>
        <w:spacing w:after="0" w:line="190" w:lineRule="auto"/>
        <w:rPr>
          <w:sz w:val="20"/>
          <w:szCs w:val="20"/>
          <w:color w:val="auto"/>
        </w:rPr>
      </w:pPr>
      <w:r>
        <w:rPr>
          <w:rFonts w:ascii="Arial" w:cs="Arial" w:eastAsia="Arial" w:hAnsi="Arial"/>
          <w:sz w:val="10"/>
          <w:szCs w:val="10"/>
          <w:b w:val="1"/>
          <w:bCs w:val="1"/>
          <w:color w:val="CC870F"/>
        </w:rPr>
        <w:t>Committees</w:t>
      </w:r>
    </w:p>
    <w:p>
      <w:pPr>
        <w:ind w:left="920"/>
        <w:spacing w:after="0"/>
        <w:rPr>
          <w:sz w:val="20"/>
          <w:szCs w:val="20"/>
          <w:color w:val="auto"/>
        </w:rPr>
      </w:pPr>
      <w:r>
        <w:rPr>
          <w:rFonts w:ascii="Arial" w:cs="Arial" w:eastAsia="Arial" w:hAnsi="Arial"/>
          <w:sz w:val="10"/>
          <w:szCs w:val="10"/>
          <w:color w:val="CC870F"/>
        </w:rPr>
        <w:t>Nominating and Corporate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1"/>
          <w:szCs w:val="11"/>
          <w:color w:val="CC870F"/>
        </w:rPr>
        <w:t>Governance</w:t>
      </w:r>
    </w:p>
    <w:p>
      <w:pPr>
        <w:spacing w:after="0" w:line="200" w:lineRule="exact"/>
        <w:rPr>
          <w:sz w:val="20"/>
          <w:szCs w:val="20"/>
          <w:color w:val="auto"/>
        </w:rPr>
      </w:pPr>
    </w:p>
    <w:p>
      <w:pPr>
        <w:sectPr>
          <w:pgSz w:w="11900" w:h="16838" w:orient="portrait"/>
          <w:cols w:equalWidth="0" w:num="2">
            <w:col w:w="7700" w:space="360"/>
            <w:col w:w="2740"/>
          </w:cols>
          <w:pgMar w:left="240" w:top="453" w:right="8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9460"/>
        <w:spacing w:after="0"/>
        <w:tabs>
          <w:tab w:leader="none" w:pos="10600" w:val="left"/>
          <w:tab w:leader="none" w:pos="10720" w:val="left"/>
        </w:tabs>
        <w:rPr>
          <w:sz w:val="20"/>
          <w:szCs w:val="20"/>
          <w:color w:val="auto"/>
        </w:rPr>
      </w:pPr>
      <w:r>
        <w:rPr>
          <w:rFonts w:ascii="Arial" w:cs="Arial" w:eastAsia="Arial" w:hAnsi="Arial"/>
          <w:sz w:val="9"/>
          <w:szCs w:val="9"/>
          <w:b w:val="1"/>
          <w:bCs w:val="1"/>
          <w:color w:val="262626"/>
        </w:rPr>
        <w:t>2019 PROXY STATEMENT</w:t>
        <w:tab/>
        <w:t>|</w:t>
        <w:tab/>
        <w:t>5</w:t>
      </w:r>
    </w:p>
    <w:p>
      <w:pPr>
        <w:sectPr>
          <w:pgSz w:w="11900" w:h="16838" w:orient="portrait"/>
          <w:cols w:equalWidth="0" w:num="1">
            <w:col w:w="10800"/>
          </w:cols>
          <w:pgMar w:left="240" w:top="453" w:right="8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Clark T. Randt Jr.</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President, Randt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spacing w:after="0" w:line="244" w:lineRule="auto"/>
        <w:rPr>
          <w:sz w:val="20"/>
          <w:szCs w:val="20"/>
          <w:color w:val="auto"/>
        </w:rPr>
      </w:pPr>
      <w:r>
        <w:rPr>
          <w:rFonts w:ascii="Arial" w:cs="Arial" w:eastAsia="Arial" w:hAnsi="Arial"/>
          <w:sz w:val="12"/>
          <w:szCs w:val="12"/>
          <w:b w:val="1"/>
          <w:bCs w:val="1"/>
          <w:color w:val="262626"/>
        </w:rPr>
        <w:t xml:space="preserve">Ambassador Randt </w:t>
      </w:r>
      <w:r>
        <w:rPr>
          <w:rFonts w:ascii="Arial" w:cs="Arial" w:eastAsia="Arial" w:hAnsi="Arial"/>
          <w:sz w:val="12"/>
          <w:szCs w:val="12"/>
          <w:color w:val="262626"/>
        </w:rPr>
        <w:t>is currently President of Randt &amp; Co. LLC, which advises firms with interests in China. Ambassador Randt has been a Director of Valmont Industries since</w:t>
      </w:r>
      <w:r>
        <w:rPr>
          <w:rFonts w:ascii="Arial" w:cs="Arial" w:eastAsia="Arial" w:hAnsi="Arial"/>
          <w:sz w:val="12"/>
          <w:szCs w:val="12"/>
          <w:b w:val="1"/>
          <w:bCs w:val="1"/>
          <w:color w:val="262626"/>
        </w:rPr>
        <w:t xml:space="preserve"> </w:t>
      </w:r>
      <w:r>
        <w:rPr>
          <w:rFonts w:ascii="Arial" w:cs="Arial" w:eastAsia="Arial" w:hAnsi="Arial"/>
          <w:sz w:val="12"/>
          <w:szCs w:val="12"/>
          <w:color w:val="262626"/>
        </w:rPr>
        <w:t>February 2009, a Director of United Parcel Service since August 2010, and a Director of Qualcomm Inc. since October 2013. Ambassador Randt is also a member of the Council on Foreign Relations. Ambassador Randt is a member of the New York State Bar Association, was admitted to the Hong Kong Bar Association, has over 25 years of experience in cross-border corporate and finance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144145</wp:posOffset>
            </wp:positionV>
            <wp:extent cx="6231890" cy="24974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31890" cy="2497455"/>
                    </a:xfrm>
                    <a:prstGeom prst="rect">
                      <a:avLst/>
                    </a:prstGeom>
                    <a:noFill/>
                  </pic:spPr>
                </pic:pic>
              </a:graphicData>
            </a:graphic>
          </wp:anchor>
        </w:drawing>
      </w:r>
    </w:p>
    <w:p>
      <w:pPr>
        <w:sectPr>
          <w:pgSz w:w="11900" w:h="16838" w:orient="portrait"/>
          <w:cols w:equalWidth="0" w:num="1">
            <w:col w:w="10620"/>
          </w:cols>
          <w:pgMar w:left="240" w:top="453" w:right="10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2001 to 2009: United States Ambassador to the People’s Republic of China</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partner at Shearman &amp; Sterling, head of China practice</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right="60"/>
        <w:spacing w:after="0" w:line="247" w:lineRule="auto"/>
        <w:rPr>
          <w:sz w:val="20"/>
          <w:szCs w:val="20"/>
          <w:color w:val="auto"/>
        </w:rPr>
      </w:pPr>
      <w:r>
        <w:rPr>
          <w:rFonts w:ascii="Arial" w:cs="Arial" w:eastAsia="Arial" w:hAnsi="Arial"/>
          <w:sz w:val="12"/>
          <w:szCs w:val="12"/>
          <w:color w:val="262626"/>
        </w:rPr>
        <w:t>Ambassador Randt graduated with a B.A. from Yale University, and has a J.D. from the University of Michigan Law School.</w:t>
      </w:r>
    </w:p>
    <w:p>
      <w:pPr>
        <w:spacing w:after="0" w:line="342"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spacing w:after="0" w:line="237" w:lineRule="auto"/>
        <w:rPr>
          <w:sz w:val="20"/>
          <w:szCs w:val="20"/>
          <w:color w:val="auto"/>
        </w:rPr>
      </w:pPr>
      <w:r>
        <w:rPr>
          <w:rFonts w:ascii="Arial" w:cs="Arial" w:eastAsia="Arial" w:hAnsi="Arial"/>
          <w:sz w:val="12"/>
          <w:szCs w:val="12"/>
          <w:color w:val="262626"/>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88900</wp:posOffset>
            </wp:positionV>
            <wp:extent cx="16903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88900</wp:posOffset>
            </wp:positionV>
            <wp:extent cx="16903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89535</wp:posOffset>
            </wp:positionV>
            <wp:extent cx="1690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0"/>
          <w:szCs w:val="10"/>
          <w:b w:val="1"/>
          <w:bCs w:val="1"/>
          <w:color w:val="CC870F"/>
        </w:rPr>
        <w:t>Board</w:t>
      </w:r>
      <w:r>
        <w:rPr>
          <w:sz w:val="20"/>
          <w:szCs w:val="20"/>
          <w:color w:val="auto"/>
        </w:rPr>
        <w:tab/>
      </w:r>
      <w:r>
        <w:rPr>
          <w:rFonts w:ascii="Arial" w:cs="Arial" w:eastAsia="Arial" w:hAnsi="Arial"/>
          <w:sz w:val="10"/>
          <w:szCs w:val="10"/>
          <w:color w:val="CC870F"/>
        </w:rPr>
        <w:t>Nominating and Corporate</w:t>
      </w:r>
    </w:p>
    <w:p>
      <w:pPr>
        <w:spacing w:after="0" w:line="1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Committees</w:t>
      </w:r>
      <w:r>
        <w:rPr>
          <w:sz w:val="20"/>
          <w:szCs w:val="20"/>
          <w:color w:val="auto"/>
        </w:rPr>
        <w:tab/>
      </w:r>
      <w:r>
        <w:rPr>
          <w:rFonts w:ascii="Arial" w:cs="Arial" w:eastAsia="Arial" w:hAnsi="Arial"/>
          <w:sz w:val="11"/>
          <w:szCs w:val="11"/>
          <w:color w:val="CC870F"/>
        </w:rPr>
        <w:t>Governance</w:t>
      </w:r>
    </w:p>
    <w:p>
      <w:pPr>
        <w:spacing w:after="0" w:line="200" w:lineRule="exact"/>
        <w:rPr>
          <w:sz w:val="20"/>
          <w:szCs w:val="20"/>
          <w:color w:val="auto"/>
        </w:rPr>
      </w:pPr>
    </w:p>
    <w:p>
      <w:pPr>
        <w:sectPr>
          <w:pgSz w:w="11900" w:h="16838" w:orient="portrait"/>
          <w:cols w:equalWidth="0" w:num="2">
            <w:col w:w="7420" w:space="640"/>
            <w:col w:w="2560"/>
          </w:cols>
          <w:pgMar w:left="240" w:top="453"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spacing w:after="0"/>
        <w:rPr>
          <w:sz w:val="20"/>
          <w:szCs w:val="20"/>
          <w:color w:val="auto"/>
        </w:rPr>
      </w:pPr>
      <w:r>
        <w:rPr>
          <w:rFonts w:ascii="Arial" w:cs="Arial" w:eastAsia="Arial" w:hAnsi="Arial"/>
          <w:sz w:val="19"/>
          <w:szCs w:val="19"/>
          <w:color w:val="050505"/>
        </w:rPr>
        <w:t>Philip G. Satre</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137160</wp:posOffset>
            </wp:positionV>
            <wp:extent cx="62566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ectPr>
          <w:pgSz w:w="11900" w:h="16838" w:orient="portrait"/>
          <w:cols w:equalWidth="0" w:num="1">
            <w:col w:w="10620"/>
          </w:cols>
          <w:pgMar w:left="240" w:top="453" w:right="1039" w:bottom="1440" w:gutter="0" w:footer="0" w:header="0"/>
          <w:type w:val="continuous"/>
        </w:sectPr>
      </w:pPr>
    </w:p>
    <w:p>
      <w:pPr>
        <w:spacing w:after="0" w:line="316"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262626"/>
        </w:rPr>
        <w:t xml:space="preserve">Mr. Satre </w:t>
      </w:r>
      <w:r>
        <w:rPr>
          <w:rFonts w:ascii="Arial" w:cs="Arial" w:eastAsia="Arial" w:hAnsi="Arial"/>
          <w:sz w:val="12"/>
          <w:szCs w:val="12"/>
          <w:color w:val="262626"/>
        </w:rPr>
        <w:t>currently serves on the Board of fashion retailer, Nordstrom, Inc. (2006 to Present, Chairman from 2016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160655</wp:posOffset>
            </wp:positionV>
            <wp:extent cx="4373245" cy="2421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73245" cy="2421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260" w:right="120" w:hanging="159"/>
        <w:spacing w:after="0" w:line="239"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1980 to 2005: Various roles at Harrah’s Entertainment, Inc. with increasing responsibility, including Vice President,</w:t>
      </w:r>
      <w:r>
        <w:rPr>
          <w:rFonts w:ascii="Arial" w:cs="Arial" w:eastAsia="Arial" w:hAnsi="Arial"/>
          <w:sz w:val="12"/>
          <w:szCs w:val="12"/>
          <w:color w:val="CC870F"/>
        </w:rPr>
        <w:t xml:space="preserve"> </w:t>
      </w:r>
      <w:r>
        <w:rPr>
          <w:rFonts w:ascii="Arial" w:cs="Arial" w:eastAsia="Arial" w:hAnsi="Arial"/>
          <w:sz w:val="12"/>
          <w:szCs w:val="12"/>
          <w:color w:val="262626"/>
        </w:rPr>
        <w:t>General Counsel and Secretary; President and Chief Executive Officer of its gaming division; culminating in service as CEO and Chairman</w:t>
      </w:r>
    </w:p>
    <w:p>
      <w:pPr>
        <w:spacing w:after="0" w:line="24" w:lineRule="exact"/>
        <w:rPr>
          <w:sz w:val="20"/>
          <w:szCs w:val="20"/>
          <w:color w:val="auto"/>
        </w:rPr>
      </w:pPr>
    </w:p>
    <w:p>
      <w:pPr>
        <w:ind w:left="1260" w:right="5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served on the boards of International Game Technology PLC, NV Energy, Tabcorp Holdings Ltd.</w:t>
      </w:r>
      <w:r>
        <w:rPr>
          <w:rFonts w:ascii="Arial" w:cs="Arial" w:eastAsia="Arial" w:hAnsi="Arial"/>
          <w:sz w:val="12"/>
          <w:szCs w:val="12"/>
          <w:color w:val="CC870F"/>
        </w:rPr>
        <w:t xml:space="preserve"> </w:t>
      </w:r>
      <w:r>
        <w:rPr>
          <w:rFonts w:ascii="Arial" w:cs="Arial" w:eastAsia="Arial" w:hAnsi="Arial"/>
          <w:sz w:val="12"/>
          <w:szCs w:val="12"/>
          <w:color w:val="262626"/>
        </w:rPr>
        <w:t>(Australia) and Rite Aid Corporation</w:t>
      </w:r>
    </w:p>
    <w:p>
      <w:pPr>
        <w:spacing w:after="0" w:line="20" w:lineRule="exact"/>
        <w:rPr>
          <w:sz w:val="20"/>
          <w:szCs w:val="20"/>
          <w:color w:val="auto"/>
        </w:rPr>
      </w:pPr>
    </w:p>
    <w:p>
      <w:pPr>
        <w:ind w:left="1260" w:hanging="159"/>
        <w:spacing w:after="0" w:line="239"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Various roles in non-profits, including as a Trustee of The National World War II Museum, a Trustee of the National</w:t>
      </w:r>
      <w:r>
        <w:rPr>
          <w:rFonts w:ascii="Arial" w:cs="Arial" w:eastAsia="Arial" w:hAnsi="Arial"/>
          <w:sz w:val="12"/>
          <w:szCs w:val="12"/>
          <w:color w:val="CC870F"/>
        </w:rPr>
        <w:t xml:space="preserve"> </w:t>
      </w:r>
      <w:r>
        <w:rPr>
          <w:rFonts w:ascii="Arial" w:cs="Arial" w:eastAsia="Arial" w:hAnsi="Arial"/>
          <w:sz w:val="12"/>
          <w:szCs w:val="12"/>
          <w:color w:val="262626"/>
        </w:rPr>
        <w:t>Automobile Museum – The Harrah Collection in Reno, NV, and an Emeritus Member of the Stanford University Board of Trustees</w:t>
      </w:r>
    </w:p>
    <w:p>
      <w:pPr>
        <w:spacing w:after="0" w:line="347"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jc w:val="center"/>
        <w:ind w:left="400"/>
        <w:spacing w:after="0"/>
        <w:rPr>
          <w:sz w:val="20"/>
          <w:szCs w:val="20"/>
          <w:color w:val="auto"/>
        </w:rPr>
      </w:pPr>
      <w:r>
        <w:rPr>
          <w:rFonts w:ascii="Arial" w:cs="Arial" w:eastAsia="Arial" w:hAnsi="Arial"/>
          <w:sz w:val="12"/>
          <w:szCs w:val="12"/>
          <w:color w:val="262626"/>
        </w:rPr>
        <w:t>Mr. Satre graduated with a B.A. from Stanford University and a J.D. from the University of California, Davis.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right="80"/>
        <w:spacing w:after="0" w:line="239" w:lineRule="auto"/>
        <w:rPr>
          <w:sz w:val="20"/>
          <w:szCs w:val="20"/>
          <w:color w:val="auto"/>
        </w:rPr>
      </w:pPr>
      <w:r>
        <w:rPr>
          <w:rFonts w:ascii="Arial" w:cs="Arial" w:eastAsia="Arial" w:hAnsi="Arial"/>
          <w:sz w:val="12"/>
          <w:szCs w:val="12"/>
          <w:color w:val="262626"/>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717550</wp:posOffset>
            </wp:positionV>
            <wp:extent cx="521335" cy="235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986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-1297940</wp:posOffset>
            </wp:positionV>
            <wp:extent cx="1614805" cy="1143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14805" cy="114363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89535</wp:posOffset>
            </wp:positionV>
            <wp:extent cx="16986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0"/>
          <w:szCs w:val="10"/>
          <w:b w:val="1"/>
          <w:bCs w:val="1"/>
          <w:color w:val="CC870F"/>
        </w:rPr>
        <w:t>Board</w:t>
      </w:r>
      <w:r>
        <w:rPr>
          <w:sz w:val="20"/>
          <w:szCs w:val="20"/>
          <w:color w:val="auto"/>
        </w:rPr>
        <w:tab/>
      </w:r>
      <w:r>
        <w:rPr>
          <w:rFonts w:ascii="Arial" w:cs="Arial" w:eastAsia="Arial" w:hAnsi="Arial"/>
          <w:sz w:val="10"/>
          <w:szCs w:val="10"/>
          <w:color w:val="CC870F"/>
        </w:rPr>
        <w:t>Nominating and Corporate</w:t>
      </w:r>
    </w:p>
    <w:p>
      <w:pPr>
        <w:spacing w:after="0" w:line="1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Committees</w:t>
      </w:r>
      <w:r>
        <w:rPr>
          <w:sz w:val="20"/>
          <w:szCs w:val="20"/>
          <w:color w:val="auto"/>
        </w:rPr>
        <w:tab/>
      </w:r>
      <w:r>
        <w:rPr>
          <w:rFonts w:ascii="Arial" w:cs="Arial" w:eastAsia="Arial" w:hAnsi="Arial"/>
          <w:sz w:val="11"/>
          <w:szCs w:val="11"/>
          <w:color w:val="CC870F"/>
        </w:rPr>
        <w:t>Governance</w:t>
      </w:r>
    </w:p>
    <w:p>
      <w:pPr>
        <w:spacing w:after="0" w:line="200" w:lineRule="exact"/>
        <w:rPr>
          <w:sz w:val="20"/>
          <w:szCs w:val="20"/>
          <w:color w:val="auto"/>
        </w:rPr>
      </w:pPr>
    </w:p>
    <w:p>
      <w:pPr>
        <w:sectPr>
          <w:pgSz w:w="11900" w:h="16838" w:orient="portrait"/>
          <w:cols w:equalWidth="0" w:num="2">
            <w:col w:w="7660" w:space="400"/>
            <w:col w:w="2560"/>
          </w:cols>
          <w:pgMar w:left="240" w:top="453" w:right="10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780" w:hanging="152"/>
        <w:spacing w:after="0"/>
        <w:tabs>
          <w:tab w:leader="none" w:pos="780" w:val="left"/>
        </w:tabs>
        <w:numPr>
          <w:ilvl w:val="0"/>
          <w:numId w:val="16"/>
        </w:numPr>
        <w:rPr>
          <w:rFonts w:ascii="Arial" w:cs="Arial" w:eastAsia="Arial" w:hAnsi="Arial"/>
          <w:sz w:val="7"/>
          <w:szCs w:val="7"/>
          <w:b w:val="1"/>
          <w:bCs w:val="1"/>
          <w:color w:val="262626"/>
        </w:rPr>
      </w:pPr>
      <w:r>
        <w:rPr>
          <w:rFonts w:ascii="Arial" w:cs="Arial" w:eastAsia="Arial" w:hAnsi="Arial"/>
          <w:sz w:val="7"/>
          <w:szCs w:val="7"/>
          <w:b w:val="1"/>
          <w:bCs w:val="1"/>
          <w:color w:val="262626"/>
        </w:rPr>
        <w:t>|</w:t>
      </w:r>
    </w:p>
    <w:p>
      <w:pPr>
        <w:sectPr>
          <w:pgSz w:w="11900" w:h="16838" w:orient="portrait"/>
          <w:cols w:equalWidth="0" w:num="1">
            <w:col w:w="10620"/>
          </w:cols>
          <w:pgMar w:left="240" w:top="453" w:right="10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Winifred M. Webb</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Chief Executive Officer, Kestrel Corporate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137160</wp:posOffset>
            </wp:positionV>
            <wp:extent cx="6256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56" w:lineRule="exact"/>
        <w:rPr>
          <w:sz w:val="20"/>
          <w:szCs w:val="20"/>
          <w:color w:val="auto"/>
        </w:rPr>
      </w:pPr>
    </w:p>
    <w:p>
      <w:pPr>
        <w:ind w:left="780" w:right="340"/>
        <w:spacing w:after="0" w:line="251" w:lineRule="auto"/>
        <w:rPr>
          <w:sz w:val="20"/>
          <w:szCs w:val="20"/>
          <w:color w:val="auto"/>
        </w:rPr>
      </w:pPr>
      <w:r>
        <w:rPr>
          <w:rFonts w:ascii="Arial" w:cs="Arial" w:eastAsia="Arial" w:hAnsi="Arial"/>
          <w:sz w:val="12"/>
          <w:szCs w:val="12"/>
          <w:b w:val="1"/>
          <w:bCs w:val="1"/>
          <w:color w:val="262626"/>
        </w:rPr>
        <w:t xml:space="preserve">Ms. Webb </w:t>
      </w:r>
      <w:r>
        <w:rPr>
          <w:rFonts w:ascii="Arial" w:cs="Arial" w:eastAsia="Arial" w:hAnsi="Arial"/>
          <w:sz w:val="12"/>
          <w:szCs w:val="12"/>
          <w:color w:val="262626"/>
        </w:rPr>
        <w:t>has been Chief Executive Officer of Kestrel Corporate Advisors, an advisory services firm, counseling organizations on strategic business issues, including growth</w:t>
      </w:r>
      <w:r>
        <w:rPr>
          <w:rFonts w:ascii="Arial" w:cs="Arial" w:eastAsia="Arial" w:hAnsi="Arial"/>
          <w:sz w:val="12"/>
          <w:szCs w:val="12"/>
          <w:b w:val="1"/>
          <w:bCs w:val="1"/>
          <w:color w:val="262626"/>
        </w:rPr>
        <w:t xml:space="preserve"> </w:t>
      </w:r>
      <w:r>
        <w:rPr>
          <w:rFonts w:ascii="Arial" w:cs="Arial" w:eastAsia="Arial" w:hAnsi="Arial"/>
          <w:sz w:val="12"/>
          <w:szCs w:val="12"/>
          <w:color w:val="262626"/>
        </w:rPr>
        <w:t>initiatives, digital marketing, board governance and investor relations, since 2013. Ms. Webb currently serves on the Board of Trustees of American Homes 4 Rent (since January 2019) and the Board of Directors of ABM Industries (since 2014). She also serves as Co-Chair of non-profit WomenCorporateDirectors, Los Angeles/Orange County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141605</wp:posOffset>
            </wp:positionV>
            <wp:extent cx="6231890" cy="2421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1890" cy="2421890"/>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2010 to 2013: Managing Director, Tennenbaum Capital Partners, now part of BlackRock</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2008 to 2010: Member of the Corporate Executive team and senior advisor, Ticketmaster</w:t>
      </w:r>
    </w:p>
    <w:p>
      <w:pPr>
        <w:spacing w:after="0" w:line="34" w:lineRule="exact"/>
        <w:rPr>
          <w:sz w:val="20"/>
          <w:szCs w:val="20"/>
          <w:color w:val="auto"/>
        </w:rPr>
      </w:pPr>
    </w:p>
    <w:p>
      <w:pPr>
        <w:ind w:left="1260" w:right="60" w:hanging="159"/>
        <w:spacing w:after="0" w:line="239"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1988 to 2008: Various senior positions, including as Senior Vice President of Investor Relations and Shareholder</w:t>
      </w:r>
      <w:r>
        <w:rPr>
          <w:rFonts w:ascii="Arial" w:cs="Arial" w:eastAsia="Arial" w:hAnsi="Arial"/>
          <w:sz w:val="12"/>
          <w:szCs w:val="12"/>
          <w:color w:val="CC870F"/>
        </w:rPr>
        <w:t xml:space="preserve"> </w:t>
      </w:r>
      <w:r>
        <w:rPr>
          <w:rFonts w:ascii="Arial" w:cs="Arial" w:eastAsia="Arial" w:hAnsi="Arial"/>
          <w:sz w:val="12"/>
          <w:szCs w:val="12"/>
          <w:color w:val="262626"/>
        </w:rPr>
        <w:t>Services, and governance outreach, The Walt Disney Company; Executive Director, The Walt Disney Company Foundation</w:t>
      </w:r>
    </w:p>
    <w:p>
      <w:pPr>
        <w:spacing w:after="0" w:line="2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held various investment banking positions</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Prior service on the boards of TiVo, Jack in the Box, 9 Spokes and nonprofit PetSmart Charities</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2"/>
          <w:szCs w:val="12"/>
          <w:color w:val="262626"/>
        </w:rPr>
        <w:t>Ms. Webb graduated with a B.A. (with honors) from Smith College and received her M.B.A. from Harvard University.</w:t>
      </w: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CC870F"/>
        </w:rPr>
        <w:t>EXPERTISE</w:t>
      </w:r>
    </w:p>
    <w:p>
      <w:pPr>
        <w:spacing w:after="0" w:line="81" w:lineRule="exact"/>
        <w:rPr>
          <w:sz w:val="20"/>
          <w:szCs w:val="20"/>
          <w:color w:val="auto"/>
        </w:rPr>
      </w:pPr>
    </w:p>
    <w:p>
      <w:pPr>
        <w:ind w:left="1100"/>
        <w:spacing w:after="0" w:line="237" w:lineRule="auto"/>
        <w:rPr>
          <w:sz w:val="20"/>
          <w:szCs w:val="20"/>
          <w:color w:val="auto"/>
        </w:rPr>
      </w:pPr>
      <w:r>
        <w:rPr>
          <w:rFonts w:ascii="Arial" w:cs="Arial" w:eastAsia="Arial" w:hAnsi="Arial"/>
          <w:sz w:val="12"/>
          <w:szCs w:val="12"/>
          <w:color w:val="262626"/>
        </w:rPr>
        <w:t>Ms. Webb brings to our Board significant industry expertise in travel &amp; tourism, hospitality, food &amp; beverage, media &amp; entertainment, retailing,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Director Since</w:t>
      </w:r>
      <w:r>
        <w:rPr>
          <w:sz w:val="20"/>
          <w:szCs w:val="20"/>
          <w:color w:val="auto"/>
        </w:rPr>
        <w:tab/>
      </w:r>
      <w:r>
        <w:rPr>
          <w:rFonts w:ascii="Arial" w:cs="Arial" w:eastAsia="Arial" w:hAnsi="Arial"/>
          <w:sz w:val="10"/>
          <w:szCs w:val="10"/>
          <w:color w:val="CC870F"/>
        </w:rPr>
        <w:t>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Term Expires</w:t>
      </w:r>
      <w:r>
        <w:rPr>
          <w:sz w:val="20"/>
          <w:szCs w:val="20"/>
          <w:color w:val="auto"/>
        </w:rPr>
        <w:tab/>
      </w:r>
      <w:r>
        <w:rPr>
          <w:rFonts w:ascii="Arial" w:cs="Arial" w:eastAsia="Arial" w:hAnsi="Arial"/>
          <w:sz w:val="10"/>
          <w:szCs w:val="10"/>
          <w:color w:val="CC870F"/>
        </w:rPr>
        <w:t>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88900</wp:posOffset>
            </wp:positionV>
            <wp:extent cx="1698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89535</wp:posOffset>
            </wp:positionV>
            <wp:extent cx="16986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350" w:lineRule="exact"/>
        <w:rPr>
          <w:sz w:val="20"/>
          <w:szCs w:val="20"/>
          <w:color w:val="auto"/>
        </w:rPr>
      </w:pPr>
    </w:p>
    <w:p>
      <w:pPr>
        <w:spacing w:after="0"/>
        <w:tabs>
          <w:tab w:leader="none" w:pos="900" w:val="left"/>
        </w:tabs>
        <w:rPr>
          <w:sz w:val="20"/>
          <w:szCs w:val="20"/>
          <w:color w:val="auto"/>
        </w:rPr>
      </w:pPr>
      <w:r>
        <w:rPr>
          <w:rFonts w:ascii="Arial" w:cs="Arial" w:eastAsia="Arial" w:hAnsi="Arial"/>
          <w:sz w:val="11"/>
          <w:szCs w:val="11"/>
          <w:b w:val="1"/>
          <w:bCs w:val="1"/>
          <w:color w:val="CC870F"/>
        </w:rPr>
        <w:t>Board</w:t>
      </w:r>
      <w:r>
        <w:rPr>
          <w:sz w:val="20"/>
          <w:szCs w:val="20"/>
          <w:color w:val="auto"/>
        </w:rPr>
        <w:tab/>
      </w:r>
      <w:r>
        <w:rPr>
          <w:rFonts w:ascii="Arial" w:cs="Arial" w:eastAsia="Arial" w:hAnsi="Arial"/>
          <w:sz w:val="11"/>
          <w:szCs w:val="11"/>
          <w:color w:val="CC870F"/>
        </w:rPr>
        <w:t>Audit, Chair</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CC870F"/>
        </w:rPr>
        <w:t>Committees</w:t>
      </w:r>
    </w:p>
    <w:p>
      <w:pPr>
        <w:spacing w:after="0" w:line="200" w:lineRule="exact"/>
        <w:rPr>
          <w:sz w:val="20"/>
          <w:szCs w:val="20"/>
          <w:color w:val="auto"/>
        </w:rPr>
      </w:pPr>
    </w:p>
    <w:p>
      <w:pPr>
        <w:sectPr>
          <w:pgSz w:w="11900" w:h="16838" w:orient="portrait"/>
          <w:cols w:equalWidth="0" w:num="2">
            <w:col w:w="7460" w:space="600"/>
            <w:col w:w="2740"/>
          </w:cols>
          <w:pgMar w:left="240" w:top="453" w:right="859" w:bottom="1440" w:gutter="0" w:footer="0" w:header="0"/>
          <w:type w:val="continuous"/>
        </w:sect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COMMITTEES</w:t>
      </w:r>
    </w:p>
    <w:p>
      <w:pPr>
        <w:spacing w:after="0" w:line="118" w:lineRule="exact"/>
        <w:rPr>
          <w:sz w:val="20"/>
          <w:szCs w:val="20"/>
          <w:color w:val="auto"/>
        </w:rPr>
      </w:pPr>
    </w:p>
    <w:p>
      <w:pPr>
        <w:ind w:left="780" w:right="260"/>
        <w:spacing w:after="0" w:line="243" w:lineRule="auto"/>
        <w:rPr>
          <w:sz w:val="20"/>
          <w:szCs w:val="20"/>
          <w:color w:val="auto"/>
        </w:rPr>
      </w:pPr>
      <w:r>
        <w:rPr>
          <w:rFonts w:ascii="Arial" w:cs="Arial" w:eastAsia="Arial" w:hAnsi="Arial"/>
          <w:sz w:val="14"/>
          <w:szCs w:val="14"/>
          <w:color w:val="262626"/>
        </w:rPr>
        <w:t>The Board of Directors has three standing committees, each comprised solely of independent directors: the Audit Committee, the Compensation Committee, and the Nominating and Corporate Governance Committee. The written charters for these Committees are available on our website at http://www.wynnresorts.com under the heading “Corporate Governance” on the Company Information page.</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3540" w:type="dxa"/>
            <w:vAlign w:val="bottom"/>
            <w:shd w:val="clear" w:color="auto" w:fill="A39B8C"/>
          </w:tcPr>
          <w:p>
            <w:pPr>
              <w:spacing w:after="0"/>
              <w:rPr>
                <w:sz w:val="9"/>
                <w:szCs w:val="9"/>
                <w:color w:val="auto"/>
              </w:rPr>
            </w:pPr>
          </w:p>
        </w:tc>
        <w:tc>
          <w:tcPr>
            <w:tcW w:w="1860" w:type="dxa"/>
            <w:vAlign w:val="bottom"/>
            <w:shd w:val="clear" w:color="auto" w:fill="A39B8C"/>
          </w:tcPr>
          <w:p>
            <w:pPr>
              <w:spacing w:after="0"/>
              <w:rPr>
                <w:sz w:val="9"/>
                <w:szCs w:val="9"/>
                <w:color w:val="auto"/>
              </w:rPr>
            </w:pPr>
          </w:p>
        </w:tc>
        <w:tc>
          <w:tcPr>
            <w:tcW w:w="1580" w:type="dxa"/>
            <w:vAlign w:val="bottom"/>
            <w:shd w:val="clear" w:color="auto" w:fill="A39B8C"/>
          </w:tcPr>
          <w:p>
            <w:pPr>
              <w:spacing w:after="0"/>
              <w:rPr>
                <w:sz w:val="9"/>
                <w:szCs w:val="9"/>
                <w:color w:val="auto"/>
              </w:rPr>
            </w:pPr>
          </w:p>
        </w:tc>
        <w:tc>
          <w:tcPr>
            <w:tcW w:w="1380" w:type="dxa"/>
            <w:vAlign w:val="bottom"/>
            <w:shd w:val="clear" w:color="auto" w:fill="A39B8C"/>
          </w:tcPr>
          <w:p>
            <w:pPr>
              <w:spacing w:after="0"/>
              <w:rPr>
                <w:sz w:val="9"/>
                <w:szCs w:val="9"/>
                <w:color w:val="auto"/>
              </w:rPr>
            </w:pPr>
          </w:p>
        </w:tc>
        <w:tc>
          <w:tcPr>
            <w:tcW w:w="1500" w:type="dxa"/>
            <w:vAlign w:val="bottom"/>
            <w:shd w:val="clear" w:color="auto" w:fill="A39B8C"/>
          </w:tcPr>
          <w:p>
            <w:pPr>
              <w:jc w:val="center"/>
              <w:ind w:left="88"/>
              <w:spacing w:after="0"/>
              <w:rPr>
                <w:sz w:val="20"/>
                <w:szCs w:val="20"/>
                <w:color w:val="auto"/>
              </w:rPr>
            </w:pPr>
            <w:r>
              <w:rPr>
                <w:rFonts w:ascii="Arial" w:cs="Arial" w:eastAsia="Arial" w:hAnsi="Arial"/>
                <w:sz w:val="9"/>
                <w:szCs w:val="9"/>
                <w:b w:val="1"/>
                <w:bCs w:val="1"/>
                <w:color w:val="FFFFFF"/>
                <w:w w:val="96"/>
              </w:rPr>
              <w:t>NOMINATING</w:t>
            </w:r>
          </w:p>
        </w:tc>
        <w:tc>
          <w:tcPr>
            <w:tcW w:w="20" w:type="dxa"/>
            <w:vAlign w:val="bottom"/>
            <w:shd w:val="clear" w:color="auto" w:fill="A39B8C"/>
          </w:tcPr>
          <w:p>
            <w:pPr>
              <w:spacing w:after="0"/>
              <w:rPr>
                <w:sz w:val="9"/>
                <w:szCs w:val="9"/>
                <w:color w:val="auto"/>
              </w:rPr>
            </w:pPr>
          </w:p>
        </w:tc>
      </w:tr>
      <w:tr>
        <w:trPr>
          <w:trHeight w:val="103"/>
        </w:trPr>
        <w:tc>
          <w:tcPr>
            <w:tcW w:w="3540" w:type="dxa"/>
            <w:vAlign w:val="bottom"/>
            <w:shd w:val="clear" w:color="auto" w:fill="A39B8C"/>
          </w:tcPr>
          <w:p>
            <w:pPr>
              <w:spacing w:after="0"/>
              <w:rPr>
                <w:sz w:val="8"/>
                <w:szCs w:val="8"/>
                <w:color w:val="auto"/>
              </w:rPr>
            </w:pPr>
          </w:p>
        </w:tc>
        <w:tc>
          <w:tcPr>
            <w:tcW w:w="1860" w:type="dxa"/>
            <w:vAlign w:val="bottom"/>
            <w:shd w:val="clear" w:color="auto" w:fill="A39B8C"/>
          </w:tcPr>
          <w:p>
            <w:pPr>
              <w:jc w:val="center"/>
              <w:ind w:left="9"/>
              <w:spacing w:after="0"/>
              <w:rPr>
                <w:sz w:val="20"/>
                <w:szCs w:val="20"/>
                <w:color w:val="auto"/>
              </w:rPr>
            </w:pPr>
            <w:r>
              <w:rPr>
                <w:rFonts w:ascii="Arial" w:cs="Arial" w:eastAsia="Arial" w:hAnsi="Arial"/>
                <w:sz w:val="9"/>
                <w:szCs w:val="9"/>
                <w:b w:val="1"/>
                <w:bCs w:val="1"/>
                <w:color w:val="FFFFFF"/>
                <w:w w:val="99"/>
              </w:rPr>
              <w:t>INDEPENDENT</w:t>
            </w:r>
          </w:p>
        </w:tc>
        <w:tc>
          <w:tcPr>
            <w:tcW w:w="1580" w:type="dxa"/>
            <w:vAlign w:val="bottom"/>
            <w:shd w:val="clear" w:color="auto" w:fill="A39B8C"/>
          </w:tcPr>
          <w:p>
            <w:pPr>
              <w:jc w:val="center"/>
              <w:ind w:left="66"/>
              <w:spacing w:after="0"/>
              <w:rPr>
                <w:sz w:val="20"/>
                <w:szCs w:val="20"/>
                <w:color w:val="auto"/>
              </w:rPr>
            </w:pPr>
            <w:r>
              <w:rPr>
                <w:rFonts w:ascii="Arial" w:cs="Arial" w:eastAsia="Arial" w:hAnsi="Arial"/>
                <w:sz w:val="9"/>
                <w:szCs w:val="9"/>
                <w:b w:val="1"/>
                <w:bCs w:val="1"/>
                <w:color w:val="FFFFFF"/>
                <w:w w:val="94"/>
              </w:rPr>
              <w:t>AUDIT</w:t>
            </w:r>
          </w:p>
        </w:tc>
        <w:tc>
          <w:tcPr>
            <w:tcW w:w="1380" w:type="dxa"/>
            <w:vAlign w:val="bottom"/>
            <w:shd w:val="clear" w:color="auto" w:fill="A39B8C"/>
          </w:tcPr>
          <w:p>
            <w:pPr>
              <w:jc w:val="center"/>
              <w:ind w:left="227"/>
              <w:spacing w:after="0"/>
              <w:rPr>
                <w:sz w:val="20"/>
                <w:szCs w:val="20"/>
                <w:color w:val="auto"/>
              </w:rPr>
            </w:pPr>
            <w:r>
              <w:rPr>
                <w:rFonts w:ascii="Arial" w:cs="Arial" w:eastAsia="Arial" w:hAnsi="Arial"/>
                <w:sz w:val="9"/>
                <w:szCs w:val="9"/>
                <w:b w:val="1"/>
                <w:bCs w:val="1"/>
                <w:color w:val="FFFFFF"/>
                <w:w w:val="95"/>
              </w:rPr>
              <w:t>COMPENSATION</w:t>
            </w:r>
          </w:p>
        </w:tc>
        <w:tc>
          <w:tcPr>
            <w:tcW w:w="1500" w:type="dxa"/>
            <w:vAlign w:val="bottom"/>
            <w:shd w:val="clear" w:color="auto" w:fill="A39B8C"/>
          </w:tcPr>
          <w:p>
            <w:pPr>
              <w:jc w:val="center"/>
              <w:ind w:left="88"/>
              <w:spacing w:after="0"/>
              <w:rPr>
                <w:sz w:val="20"/>
                <w:szCs w:val="20"/>
                <w:color w:val="auto"/>
              </w:rPr>
            </w:pPr>
            <w:r>
              <w:rPr>
                <w:rFonts w:ascii="Arial" w:cs="Arial" w:eastAsia="Arial" w:hAnsi="Arial"/>
                <w:sz w:val="9"/>
                <w:szCs w:val="9"/>
                <w:b w:val="1"/>
                <w:bCs w:val="1"/>
                <w:color w:val="FFFFFF"/>
                <w:w w:val="95"/>
              </w:rPr>
              <w:t>AND CORPORATE</w:t>
            </w:r>
          </w:p>
        </w:tc>
        <w:tc>
          <w:tcPr>
            <w:tcW w:w="20" w:type="dxa"/>
            <w:vAlign w:val="bottom"/>
            <w:shd w:val="clear" w:color="auto" w:fill="A39B8C"/>
          </w:tcPr>
          <w:p>
            <w:pPr>
              <w:spacing w:after="0"/>
              <w:rPr>
                <w:sz w:val="8"/>
                <w:szCs w:val="8"/>
                <w:color w:val="auto"/>
              </w:rPr>
            </w:pPr>
          </w:p>
        </w:tc>
      </w:tr>
      <w:tr>
        <w:trPr>
          <w:trHeight w:val="139"/>
        </w:trPr>
        <w:tc>
          <w:tcPr>
            <w:tcW w:w="354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DIRECTOR</w:t>
            </w:r>
          </w:p>
        </w:tc>
        <w:tc>
          <w:tcPr>
            <w:tcW w:w="1860" w:type="dxa"/>
            <w:vAlign w:val="bottom"/>
            <w:tcBorders>
              <w:bottom w:val="single" w:sz="8" w:color="A39B8C"/>
            </w:tcBorders>
            <w:shd w:val="clear" w:color="auto" w:fill="A39B8C"/>
          </w:tcPr>
          <w:p>
            <w:pPr>
              <w:jc w:val="center"/>
              <w:spacing w:after="0"/>
              <w:rPr>
                <w:sz w:val="20"/>
                <w:szCs w:val="20"/>
                <w:color w:val="auto"/>
              </w:rPr>
            </w:pPr>
            <w:r>
              <w:rPr>
                <w:rFonts w:ascii="Arial" w:cs="Arial" w:eastAsia="Arial" w:hAnsi="Arial"/>
                <w:sz w:val="9"/>
                <w:szCs w:val="9"/>
                <w:b w:val="1"/>
                <w:bCs w:val="1"/>
                <w:color w:val="FFFFFF"/>
                <w:w w:val="97"/>
              </w:rPr>
              <w:t>DIRECTOR</w:t>
            </w:r>
          </w:p>
        </w:tc>
        <w:tc>
          <w:tcPr>
            <w:tcW w:w="1580" w:type="dxa"/>
            <w:vAlign w:val="bottom"/>
            <w:tcBorders>
              <w:bottom w:val="single" w:sz="8" w:color="A39B8C"/>
            </w:tcBorders>
            <w:shd w:val="clear" w:color="auto" w:fill="A39B8C"/>
          </w:tcPr>
          <w:p>
            <w:pPr>
              <w:jc w:val="center"/>
              <w:ind w:left="46"/>
              <w:spacing w:after="0"/>
              <w:rPr>
                <w:sz w:val="20"/>
                <w:szCs w:val="20"/>
                <w:color w:val="auto"/>
              </w:rPr>
            </w:pPr>
            <w:r>
              <w:rPr>
                <w:rFonts w:ascii="Arial" w:cs="Arial" w:eastAsia="Arial" w:hAnsi="Arial"/>
                <w:sz w:val="9"/>
                <w:szCs w:val="9"/>
                <w:b w:val="1"/>
                <w:bCs w:val="1"/>
                <w:color w:val="FFFFFF"/>
                <w:w w:val="96"/>
              </w:rPr>
              <w:t>COMMITTEE</w:t>
            </w:r>
          </w:p>
        </w:tc>
        <w:tc>
          <w:tcPr>
            <w:tcW w:w="1380" w:type="dxa"/>
            <w:vAlign w:val="bottom"/>
            <w:tcBorders>
              <w:bottom w:val="single" w:sz="8" w:color="A39B8C"/>
            </w:tcBorders>
            <w:shd w:val="clear" w:color="auto" w:fill="A39B8C"/>
          </w:tcPr>
          <w:p>
            <w:pPr>
              <w:jc w:val="center"/>
              <w:ind w:left="227"/>
              <w:spacing w:after="0"/>
              <w:rPr>
                <w:sz w:val="20"/>
                <w:szCs w:val="20"/>
                <w:color w:val="auto"/>
              </w:rPr>
            </w:pPr>
            <w:r>
              <w:rPr>
                <w:rFonts w:ascii="Arial" w:cs="Arial" w:eastAsia="Arial" w:hAnsi="Arial"/>
                <w:sz w:val="9"/>
                <w:szCs w:val="9"/>
                <w:b w:val="1"/>
                <w:bCs w:val="1"/>
                <w:color w:val="FFFFFF"/>
                <w:w w:val="99"/>
              </w:rPr>
              <w:t>COMMITTEE</w:t>
            </w:r>
          </w:p>
        </w:tc>
        <w:tc>
          <w:tcPr>
            <w:tcW w:w="1500" w:type="dxa"/>
            <w:vAlign w:val="bottom"/>
            <w:tcBorders>
              <w:bottom w:val="single" w:sz="8" w:color="A39B8C"/>
            </w:tcBorders>
            <w:shd w:val="clear" w:color="auto" w:fill="A39B8C"/>
          </w:tcPr>
          <w:p>
            <w:pPr>
              <w:ind w:left="180"/>
              <w:spacing w:after="0"/>
              <w:rPr>
                <w:sz w:val="20"/>
                <w:szCs w:val="20"/>
                <w:color w:val="auto"/>
              </w:rPr>
            </w:pPr>
            <w:r>
              <w:rPr>
                <w:rFonts w:ascii="Arial" w:cs="Arial" w:eastAsia="Arial" w:hAnsi="Arial"/>
                <w:sz w:val="9"/>
                <w:szCs w:val="9"/>
                <w:b w:val="1"/>
                <w:bCs w:val="1"/>
                <w:color w:val="FFFFFF"/>
              </w:rPr>
              <w:t>GOVERNANCE COMMITTEE</w:t>
            </w:r>
          </w:p>
        </w:tc>
        <w:tc>
          <w:tcPr>
            <w:tcW w:w="20" w:type="dxa"/>
            <w:vAlign w:val="bottom"/>
            <w:tcBorders>
              <w:bottom w:val="single" w:sz="8" w:color="A39B8C"/>
            </w:tcBorders>
            <w:shd w:val="clear" w:color="auto" w:fill="A39B8C"/>
          </w:tcPr>
          <w:p>
            <w:pPr>
              <w:spacing w:after="0"/>
              <w:rPr>
                <w:sz w:val="12"/>
                <w:szCs w:val="12"/>
                <w:color w:val="auto"/>
              </w:rPr>
            </w:pPr>
          </w:p>
        </w:tc>
      </w:tr>
      <w:tr>
        <w:trPr>
          <w:trHeight w:val="221"/>
        </w:trPr>
        <w:tc>
          <w:tcPr>
            <w:tcW w:w="3540" w:type="dxa"/>
            <w:vAlign w:val="bottom"/>
          </w:tcPr>
          <w:p>
            <w:pPr>
              <w:ind w:left="80"/>
              <w:spacing w:after="0"/>
              <w:rPr>
                <w:sz w:val="20"/>
                <w:szCs w:val="20"/>
                <w:color w:val="auto"/>
              </w:rPr>
            </w:pPr>
            <w:r>
              <w:rPr>
                <w:rFonts w:ascii="Arial" w:cs="Arial" w:eastAsia="Arial" w:hAnsi="Arial"/>
                <w:sz w:val="11"/>
                <w:szCs w:val="11"/>
                <w:color w:val="262626"/>
              </w:rPr>
              <w:t>Betsy S. Atkins</w:t>
            </w:r>
          </w:p>
        </w:tc>
        <w:tc>
          <w:tcPr>
            <w:tcW w:w="1860" w:type="dxa"/>
            <w:vAlign w:val="bottom"/>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Pr>
          <w:p>
            <w:pPr>
              <w:spacing w:after="0"/>
              <w:rPr>
                <w:sz w:val="19"/>
                <w:szCs w:val="19"/>
                <w:color w:val="auto"/>
              </w:rPr>
            </w:pPr>
          </w:p>
        </w:tc>
        <w:tc>
          <w:tcPr>
            <w:tcW w:w="1380" w:type="dxa"/>
            <w:vAlign w:val="bottom"/>
          </w:tcPr>
          <w:p>
            <w:pPr>
              <w:jc w:val="center"/>
              <w:ind w:left="227"/>
              <w:spacing w:after="0"/>
              <w:rPr>
                <w:sz w:val="20"/>
                <w:szCs w:val="20"/>
                <w:color w:val="auto"/>
              </w:rPr>
            </w:pPr>
            <w:r>
              <w:rPr>
                <w:rFonts w:ascii="Arial" w:cs="Arial" w:eastAsia="Arial" w:hAnsi="Arial"/>
                <w:sz w:val="12"/>
                <w:szCs w:val="12"/>
                <w:color w:val="262626"/>
              </w:rPr>
              <w:t>C</w:t>
            </w:r>
          </w:p>
        </w:tc>
        <w:tc>
          <w:tcPr>
            <w:tcW w:w="1500" w:type="dxa"/>
            <w:vAlign w:val="bottom"/>
          </w:tcPr>
          <w:p>
            <w:pPr>
              <w:jc w:val="center"/>
              <w:ind w:left="128"/>
              <w:spacing w:after="0"/>
              <w:rPr>
                <w:sz w:val="20"/>
                <w:szCs w:val="20"/>
                <w:color w:val="auto"/>
              </w:rPr>
            </w:pPr>
            <w:r>
              <w:rPr>
                <w:rFonts w:ascii="Arial" w:cs="Arial" w:eastAsia="Arial" w:hAnsi="Arial"/>
                <w:sz w:val="11"/>
                <w:szCs w:val="11"/>
                <w:color w:val="464646"/>
              </w:rPr>
              <w:t>•</w:t>
            </w:r>
          </w:p>
        </w:tc>
        <w:tc>
          <w:tcPr>
            <w:tcW w:w="20" w:type="dxa"/>
            <w:vAlign w:val="bottom"/>
          </w:tcPr>
          <w:p>
            <w:pPr>
              <w:spacing w:after="0"/>
              <w:rPr>
                <w:sz w:val="19"/>
                <w:szCs w:val="19"/>
                <w:color w:val="auto"/>
              </w:rPr>
            </w:pPr>
          </w:p>
        </w:tc>
      </w:tr>
      <w:tr>
        <w:trPr>
          <w:trHeight w:val="43"/>
        </w:trPr>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5"/>
        </w:trPr>
        <w:tc>
          <w:tcPr>
            <w:tcW w:w="35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Richard J. Byrne</w:t>
            </w:r>
          </w:p>
        </w:tc>
        <w:tc>
          <w:tcPr>
            <w:tcW w:w="1860" w:type="dxa"/>
            <w:vAlign w:val="bottom"/>
            <w:tcBorders>
              <w:bottom w:val="single" w:sz="8" w:color="ECEBE8"/>
            </w:tcBorders>
            <w:shd w:val="clear" w:color="auto" w:fill="ECEBE8"/>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Borders>
              <w:bottom w:val="single" w:sz="8" w:color="ECEBE8"/>
            </w:tcBorders>
            <w:shd w:val="clear" w:color="auto" w:fill="ECEBE8"/>
          </w:tcPr>
          <w:p>
            <w:pPr>
              <w:jc w:val="center"/>
              <w:ind w:left="46"/>
              <w:spacing w:after="0"/>
              <w:rPr>
                <w:sz w:val="20"/>
                <w:szCs w:val="20"/>
                <w:color w:val="auto"/>
              </w:rPr>
            </w:pPr>
            <w:r>
              <w:rPr>
                <w:rFonts w:ascii="Arial" w:cs="Arial" w:eastAsia="Arial" w:hAnsi="Arial"/>
                <w:sz w:val="12"/>
                <w:szCs w:val="12"/>
                <w:color w:val="262626"/>
              </w:rPr>
              <w:t>F</w:t>
            </w:r>
          </w:p>
        </w:tc>
        <w:tc>
          <w:tcPr>
            <w:tcW w:w="1380" w:type="dxa"/>
            <w:vAlign w:val="bottom"/>
            <w:tcBorders>
              <w:bottom w:val="single" w:sz="8" w:color="ECEBE8"/>
            </w:tcBorders>
            <w:shd w:val="clear" w:color="auto" w:fill="ECEBE8"/>
          </w:tcPr>
          <w:p>
            <w:pPr>
              <w:jc w:val="center"/>
              <w:ind w:left="207"/>
              <w:spacing w:after="0"/>
              <w:rPr>
                <w:sz w:val="20"/>
                <w:szCs w:val="20"/>
                <w:color w:val="auto"/>
              </w:rPr>
            </w:pPr>
            <w:r>
              <w:rPr>
                <w:rFonts w:ascii="Arial" w:cs="Arial" w:eastAsia="Arial" w:hAnsi="Arial"/>
                <w:sz w:val="11"/>
                <w:szCs w:val="11"/>
                <w:color w:val="464646"/>
              </w:rPr>
              <w:t>•</w:t>
            </w:r>
          </w:p>
        </w:tc>
        <w:tc>
          <w:tcPr>
            <w:tcW w:w="1500" w:type="dxa"/>
            <w:vAlign w:val="bottom"/>
            <w:tcBorders>
              <w:bottom w:val="single" w:sz="8" w:color="ECEBE8"/>
            </w:tcBorders>
            <w:shd w:val="clear" w:color="auto" w:fill="ECEBE8"/>
          </w:tcPr>
          <w:p>
            <w:pPr>
              <w:spacing w:after="0"/>
              <w:rPr>
                <w:sz w:val="21"/>
                <w:szCs w:val="21"/>
                <w:color w:val="auto"/>
              </w:rPr>
            </w:pPr>
          </w:p>
        </w:tc>
        <w:tc>
          <w:tcPr>
            <w:tcW w:w="20" w:type="dxa"/>
            <w:vAlign w:val="bottom"/>
          </w:tcPr>
          <w:p>
            <w:pPr>
              <w:spacing w:after="0"/>
              <w:rPr>
                <w:sz w:val="21"/>
                <w:szCs w:val="21"/>
                <w:color w:val="auto"/>
              </w:rPr>
            </w:pPr>
          </w:p>
        </w:tc>
      </w:tr>
      <w:tr>
        <w:trPr>
          <w:trHeight w:val="221"/>
        </w:trPr>
        <w:tc>
          <w:tcPr>
            <w:tcW w:w="3540" w:type="dxa"/>
            <w:vAlign w:val="bottom"/>
          </w:tcPr>
          <w:p>
            <w:pPr>
              <w:ind w:left="80"/>
              <w:spacing w:after="0"/>
              <w:rPr>
                <w:sz w:val="20"/>
                <w:szCs w:val="20"/>
                <w:color w:val="auto"/>
              </w:rPr>
            </w:pPr>
            <w:r>
              <w:rPr>
                <w:rFonts w:ascii="Arial" w:cs="Arial" w:eastAsia="Arial" w:hAnsi="Arial"/>
                <w:sz w:val="11"/>
                <w:szCs w:val="11"/>
                <w:color w:val="262626"/>
              </w:rPr>
              <w:t>Jay L. Johnson</w:t>
            </w:r>
          </w:p>
        </w:tc>
        <w:tc>
          <w:tcPr>
            <w:tcW w:w="1860" w:type="dxa"/>
            <w:vAlign w:val="bottom"/>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ind w:left="800"/>
              <w:spacing w:after="0"/>
              <w:rPr>
                <w:sz w:val="20"/>
                <w:szCs w:val="20"/>
                <w:color w:val="auto"/>
              </w:rPr>
            </w:pPr>
            <w:r>
              <w:rPr>
                <w:rFonts w:ascii="Arial" w:cs="Arial" w:eastAsia="Arial" w:hAnsi="Arial"/>
                <w:sz w:val="12"/>
                <w:szCs w:val="12"/>
                <w:color w:val="262626"/>
              </w:rPr>
              <w:t>C</w:t>
            </w:r>
          </w:p>
        </w:tc>
        <w:tc>
          <w:tcPr>
            <w:tcW w:w="20" w:type="dxa"/>
            <w:vAlign w:val="bottom"/>
          </w:tcPr>
          <w:p>
            <w:pPr>
              <w:spacing w:after="0"/>
              <w:rPr>
                <w:sz w:val="19"/>
                <w:szCs w:val="19"/>
                <w:color w:val="auto"/>
              </w:rPr>
            </w:pPr>
          </w:p>
        </w:tc>
      </w:tr>
      <w:tr>
        <w:trPr>
          <w:trHeight w:val="43"/>
        </w:trPr>
        <w:tc>
          <w:tcPr>
            <w:tcW w:w="35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2"/>
        </w:trPr>
        <w:tc>
          <w:tcPr>
            <w:tcW w:w="35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Patricia Mulroy</w:t>
            </w:r>
          </w:p>
        </w:tc>
        <w:tc>
          <w:tcPr>
            <w:tcW w:w="1860" w:type="dxa"/>
            <w:vAlign w:val="bottom"/>
            <w:tcBorders>
              <w:bottom w:val="single" w:sz="8" w:color="ECEBE8"/>
            </w:tcBorders>
            <w:shd w:val="clear" w:color="auto" w:fill="ECEBE8"/>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Borders>
              <w:bottom w:val="single" w:sz="8" w:color="ECEBE8"/>
            </w:tcBorders>
            <w:shd w:val="clear" w:color="auto" w:fill="ECEBE8"/>
          </w:tcPr>
          <w:p>
            <w:pPr>
              <w:jc w:val="center"/>
              <w:ind w:left="46"/>
              <w:spacing w:after="0"/>
              <w:rPr>
                <w:sz w:val="20"/>
                <w:szCs w:val="20"/>
                <w:color w:val="auto"/>
              </w:rPr>
            </w:pPr>
            <w:r>
              <w:rPr>
                <w:rFonts w:ascii="Arial" w:cs="Arial" w:eastAsia="Arial" w:hAnsi="Arial"/>
                <w:sz w:val="11"/>
                <w:szCs w:val="11"/>
                <w:color w:val="464646"/>
              </w:rPr>
              <w:t>•</w:t>
            </w:r>
          </w:p>
        </w:tc>
        <w:tc>
          <w:tcPr>
            <w:tcW w:w="1380" w:type="dxa"/>
            <w:vAlign w:val="bottom"/>
            <w:tcBorders>
              <w:bottom w:val="single" w:sz="8" w:color="ECEBE8"/>
            </w:tcBorders>
            <w:shd w:val="clear" w:color="auto" w:fill="ECEBE8"/>
          </w:tcPr>
          <w:p>
            <w:pPr>
              <w:spacing w:after="0"/>
              <w:rPr>
                <w:sz w:val="20"/>
                <w:szCs w:val="20"/>
                <w:color w:val="auto"/>
              </w:rPr>
            </w:pPr>
          </w:p>
        </w:tc>
        <w:tc>
          <w:tcPr>
            <w:tcW w:w="1500" w:type="dxa"/>
            <w:vAlign w:val="bottom"/>
            <w:tcBorders>
              <w:bottom w:val="single" w:sz="8" w:color="ECEBE8"/>
            </w:tcBorders>
            <w:shd w:val="clear" w:color="auto" w:fill="ECEBE8"/>
          </w:tcPr>
          <w:p>
            <w:pPr>
              <w:jc w:val="center"/>
              <w:ind w:left="128"/>
              <w:spacing w:after="0"/>
              <w:rPr>
                <w:sz w:val="20"/>
                <w:szCs w:val="20"/>
                <w:color w:val="auto"/>
              </w:rPr>
            </w:pPr>
            <w:r>
              <w:rPr>
                <w:rFonts w:ascii="Arial" w:cs="Arial" w:eastAsia="Arial" w:hAnsi="Arial"/>
                <w:sz w:val="11"/>
                <w:szCs w:val="11"/>
                <w:color w:val="464646"/>
              </w:rPr>
              <w:t>•</w:t>
            </w:r>
          </w:p>
        </w:tc>
        <w:tc>
          <w:tcPr>
            <w:tcW w:w="20" w:type="dxa"/>
            <w:vAlign w:val="bottom"/>
          </w:tcPr>
          <w:p>
            <w:pPr>
              <w:spacing w:after="0"/>
              <w:rPr>
                <w:sz w:val="20"/>
                <w:szCs w:val="20"/>
                <w:color w:val="auto"/>
              </w:rPr>
            </w:pPr>
          </w:p>
        </w:tc>
      </w:tr>
      <w:tr>
        <w:trPr>
          <w:trHeight w:val="202"/>
        </w:trPr>
        <w:tc>
          <w:tcPr>
            <w:tcW w:w="3540" w:type="dxa"/>
            <w:vAlign w:val="bottom"/>
          </w:tcPr>
          <w:p>
            <w:pPr>
              <w:ind w:left="80"/>
              <w:spacing w:after="0"/>
              <w:rPr>
                <w:sz w:val="20"/>
                <w:szCs w:val="20"/>
                <w:color w:val="auto"/>
              </w:rPr>
            </w:pPr>
            <w:r>
              <w:rPr>
                <w:rFonts w:ascii="Arial" w:cs="Arial" w:eastAsia="Arial" w:hAnsi="Arial"/>
                <w:sz w:val="11"/>
                <w:szCs w:val="11"/>
                <w:color w:val="262626"/>
              </w:rPr>
              <w:t>Margaret J. Myers</w:t>
            </w:r>
          </w:p>
        </w:tc>
        <w:tc>
          <w:tcPr>
            <w:tcW w:w="1860" w:type="dxa"/>
            <w:vAlign w:val="bottom"/>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Pr>
          <w:p>
            <w:pPr>
              <w:spacing w:after="0"/>
              <w:rPr>
                <w:sz w:val="17"/>
                <w:szCs w:val="17"/>
                <w:color w:val="auto"/>
              </w:rPr>
            </w:pPr>
          </w:p>
        </w:tc>
        <w:tc>
          <w:tcPr>
            <w:tcW w:w="1380" w:type="dxa"/>
            <w:vAlign w:val="bottom"/>
          </w:tcPr>
          <w:p>
            <w:pPr>
              <w:jc w:val="center"/>
              <w:ind w:left="207"/>
              <w:spacing w:after="0"/>
              <w:rPr>
                <w:sz w:val="20"/>
                <w:szCs w:val="20"/>
                <w:color w:val="auto"/>
              </w:rPr>
            </w:pPr>
            <w:r>
              <w:rPr>
                <w:rFonts w:ascii="Arial" w:cs="Arial" w:eastAsia="Arial" w:hAnsi="Arial"/>
                <w:sz w:val="11"/>
                <w:szCs w:val="11"/>
                <w:color w:val="464646"/>
              </w:rPr>
              <w:t>•</w:t>
            </w:r>
          </w:p>
        </w:tc>
        <w:tc>
          <w:tcPr>
            <w:tcW w:w="1500" w:type="dxa"/>
            <w:vAlign w:val="bottom"/>
          </w:tcPr>
          <w:p>
            <w:pPr>
              <w:jc w:val="center"/>
              <w:ind w:left="128"/>
              <w:spacing w:after="0"/>
              <w:rPr>
                <w:sz w:val="20"/>
                <w:szCs w:val="20"/>
                <w:color w:val="auto"/>
              </w:rPr>
            </w:pPr>
            <w:r>
              <w:rPr>
                <w:rFonts w:ascii="Arial" w:cs="Arial" w:eastAsia="Arial" w:hAnsi="Arial"/>
                <w:sz w:val="11"/>
                <w:szCs w:val="11"/>
                <w:color w:val="464646"/>
              </w:rPr>
              <w:t>•</w:t>
            </w:r>
          </w:p>
        </w:tc>
        <w:tc>
          <w:tcPr>
            <w:tcW w:w="20" w:type="dxa"/>
            <w:vAlign w:val="bottom"/>
          </w:tcPr>
          <w:p>
            <w:pPr>
              <w:spacing w:after="0"/>
              <w:rPr>
                <w:sz w:val="17"/>
                <w:szCs w:val="17"/>
                <w:color w:val="auto"/>
              </w:rPr>
            </w:pPr>
          </w:p>
        </w:tc>
      </w:tr>
      <w:tr>
        <w:trPr>
          <w:trHeight w:val="49"/>
        </w:trPr>
        <w:tc>
          <w:tcPr>
            <w:tcW w:w="35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2"/>
        </w:trPr>
        <w:tc>
          <w:tcPr>
            <w:tcW w:w="35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Clark T. Randt, Jr.</w:t>
            </w:r>
          </w:p>
        </w:tc>
        <w:tc>
          <w:tcPr>
            <w:tcW w:w="1860" w:type="dxa"/>
            <w:vAlign w:val="bottom"/>
            <w:tcBorders>
              <w:bottom w:val="single" w:sz="8" w:color="ECEBE8"/>
            </w:tcBorders>
            <w:shd w:val="clear" w:color="auto" w:fill="ECEBE8"/>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Borders>
              <w:bottom w:val="single" w:sz="8" w:color="ECEBE8"/>
            </w:tcBorders>
            <w:shd w:val="clear" w:color="auto" w:fill="ECEBE8"/>
          </w:tcPr>
          <w:p>
            <w:pPr>
              <w:spacing w:after="0"/>
              <w:rPr>
                <w:sz w:val="20"/>
                <w:szCs w:val="20"/>
                <w:color w:val="auto"/>
              </w:rPr>
            </w:pPr>
          </w:p>
        </w:tc>
        <w:tc>
          <w:tcPr>
            <w:tcW w:w="1380" w:type="dxa"/>
            <w:vAlign w:val="bottom"/>
            <w:tcBorders>
              <w:bottom w:val="single" w:sz="8" w:color="ECEBE8"/>
            </w:tcBorders>
            <w:shd w:val="clear" w:color="auto" w:fill="ECEBE8"/>
          </w:tcPr>
          <w:p>
            <w:pPr>
              <w:spacing w:after="0"/>
              <w:rPr>
                <w:sz w:val="20"/>
                <w:szCs w:val="20"/>
                <w:color w:val="auto"/>
              </w:rPr>
            </w:pPr>
          </w:p>
        </w:tc>
        <w:tc>
          <w:tcPr>
            <w:tcW w:w="1500" w:type="dxa"/>
            <w:vAlign w:val="bottom"/>
            <w:tcBorders>
              <w:bottom w:val="single" w:sz="8" w:color="ECEBE8"/>
            </w:tcBorders>
            <w:shd w:val="clear" w:color="auto" w:fill="ECEBE8"/>
          </w:tcPr>
          <w:p>
            <w:pPr>
              <w:jc w:val="center"/>
              <w:ind w:left="128"/>
              <w:spacing w:after="0"/>
              <w:rPr>
                <w:sz w:val="20"/>
                <w:szCs w:val="20"/>
                <w:color w:val="auto"/>
              </w:rPr>
            </w:pPr>
            <w:r>
              <w:rPr>
                <w:rFonts w:ascii="Arial" w:cs="Arial" w:eastAsia="Arial" w:hAnsi="Arial"/>
                <w:sz w:val="11"/>
                <w:szCs w:val="11"/>
                <w:color w:val="464646"/>
              </w:rPr>
              <w:t>•</w:t>
            </w:r>
          </w:p>
        </w:tc>
        <w:tc>
          <w:tcPr>
            <w:tcW w:w="20" w:type="dxa"/>
            <w:vAlign w:val="bottom"/>
          </w:tcPr>
          <w:p>
            <w:pPr>
              <w:spacing w:after="0"/>
              <w:rPr>
                <w:sz w:val="20"/>
                <w:szCs w:val="20"/>
                <w:color w:val="auto"/>
              </w:rPr>
            </w:pPr>
          </w:p>
        </w:tc>
      </w:tr>
      <w:tr>
        <w:trPr>
          <w:trHeight w:val="202"/>
        </w:trPr>
        <w:tc>
          <w:tcPr>
            <w:tcW w:w="3540" w:type="dxa"/>
            <w:vAlign w:val="bottom"/>
          </w:tcPr>
          <w:p>
            <w:pPr>
              <w:ind w:left="80"/>
              <w:spacing w:after="0"/>
              <w:rPr>
                <w:sz w:val="20"/>
                <w:szCs w:val="20"/>
                <w:color w:val="auto"/>
              </w:rPr>
            </w:pPr>
            <w:r>
              <w:rPr>
                <w:rFonts w:ascii="Arial" w:cs="Arial" w:eastAsia="Arial" w:hAnsi="Arial"/>
                <w:sz w:val="11"/>
                <w:szCs w:val="11"/>
                <w:color w:val="262626"/>
              </w:rPr>
              <w:t>Philip G. Satre</w:t>
            </w:r>
          </w:p>
        </w:tc>
        <w:tc>
          <w:tcPr>
            <w:tcW w:w="1860" w:type="dxa"/>
            <w:vAlign w:val="bottom"/>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jc w:val="center"/>
              <w:ind w:left="128"/>
              <w:spacing w:after="0"/>
              <w:rPr>
                <w:sz w:val="20"/>
                <w:szCs w:val="20"/>
                <w:color w:val="auto"/>
              </w:rPr>
            </w:pPr>
            <w:r>
              <w:rPr>
                <w:rFonts w:ascii="Arial" w:cs="Arial" w:eastAsia="Arial" w:hAnsi="Arial"/>
                <w:sz w:val="11"/>
                <w:szCs w:val="11"/>
                <w:color w:val="464646"/>
              </w:rPr>
              <w:t>•</w:t>
            </w:r>
          </w:p>
        </w:tc>
        <w:tc>
          <w:tcPr>
            <w:tcW w:w="20" w:type="dxa"/>
            <w:vAlign w:val="bottom"/>
          </w:tcPr>
          <w:p>
            <w:pPr>
              <w:spacing w:after="0"/>
              <w:rPr>
                <w:sz w:val="17"/>
                <w:szCs w:val="17"/>
                <w:color w:val="auto"/>
              </w:rPr>
            </w:pPr>
          </w:p>
        </w:tc>
      </w:tr>
      <w:tr>
        <w:trPr>
          <w:trHeight w:val="49"/>
        </w:trPr>
        <w:tc>
          <w:tcPr>
            <w:tcW w:w="35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5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Winifred M. Webb</w:t>
            </w:r>
          </w:p>
        </w:tc>
        <w:tc>
          <w:tcPr>
            <w:tcW w:w="1860" w:type="dxa"/>
            <w:vAlign w:val="bottom"/>
            <w:tcBorders>
              <w:bottom w:val="single" w:sz="8" w:color="ECEBE8"/>
            </w:tcBorders>
            <w:shd w:val="clear" w:color="auto" w:fill="ECEBE8"/>
          </w:tcPr>
          <w:p>
            <w:pPr>
              <w:jc w:val="center"/>
              <w:ind w:left="9"/>
              <w:spacing w:after="0"/>
              <w:rPr>
                <w:sz w:val="20"/>
                <w:szCs w:val="20"/>
                <w:color w:val="auto"/>
              </w:rPr>
            </w:pPr>
            <w:r>
              <w:rPr>
                <w:rFonts w:ascii="Arial" w:cs="Arial" w:eastAsia="Arial" w:hAnsi="Arial"/>
                <w:sz w:val="11"/>
                <w:szCs w:val="11"/>
                <w:color w:val="464646"/>
              </w:rPr>
              <w:t>•</w:t>
            </w:r>
          </w:p>
        </w:tc>
        <w:tc>
          <w:tcPr>
            <w:tcW w:w="1580" w:type="dxa"/>
            <w:vAlign w:val="bottom"/>
            <w:tcBorders>
              <w:bottom w:val="single" w:sz="8" w:color="ECEBE8"/>
            </w:tcBorders>
            <w:shd w:val="clear" w:color="auto" w:fill="ECEBE8"/>
          </w:tcPr>
          <w:p>
            <w:pPr>
              <w:jc w:val="center"/>
              <w:ind w:left="46"/>
              <w:spacing w:after="0"/>
              <w:rPr>
                <w:sz w:val="20"/>
                <w:szCs w:val="20"/>
                <w:color w:val="auto"/>
              </w:rPr>
            </w:pPr>
            <w:r>
              <w:rPr>
                <w:rFonts w:ascii="Arial" w:cs="Arial" w:eastAsia="Arial" w:hAnsi="Arial"/>
                <w:sz w:val="12"/>
                <w:szCs w:val="12"/>
                <w:color w:val="262626"/>
              </w:rPr>
              <w:t>C,F</w:t>
            </w:r>
          </w:p>
        </w:tc>
        <w:tc>
          <w:tcPr>
            <w:tcW w:w="1380" w:type="dxa"/>
            <w:vAlign w:val="bottom"/>
            <w:tcBorders>
              <w:bottom w:val="single" w:sz="8" w:color="ECEBE8"/>
            </w:tcBorders>
            <w:shd w:val="clear" w:color="auto" w:fill="ECEBE8"/>
          </w:tcPr>
          <w:p>
            <w:pPr>
              <w:spacing w:after="0"/>
              <w:rPr>
                <w:sz w:val="23"/>
                <w:szCs w:val="23"/>
                <w:color w:val="auto"/>
              </w:rPr>
            </w:pPr>
          </w:p>
        </w:tc>
        <w:tc>
          <w:tcPr>
            <w:tcW w:w="1500" w:type="dxa"/>
            <w:vAlign w:val="bottom"/>
            <w:tcBorders>
              <w:bottom w:val="single" w:sz="8" w:color="ECEBE8"/>
            </w:tcBorders>
            <w:shd w:val="clear" w:color="auto" w:fill="ECEBE8"/>
          </w:tcPr>
          <w:p>
            <w:pPr>
              <w:spacing w:after="0"/>
              <w:rPr>
                <w:sz w:val="23"/>
                <w:szCs w:val="23"/>
                <w:color w:val="auto"/>
              </w:rPr>
            </w:pPr>
          </w:p>
        </w:tc>
        <w:tc>
          <w:tcPr>
            <w:tcW w:w="20" w:type="dxa"/>
            <w:vAlign w:val="bottom"/>
          </w:tcPr>
          <w:p>
            <w:pPr>
              <w:spacing w:after="0"/>
              <w:rPr>
                <w:sz w:val="23"/>
                <w:szCs w:val="23"/>
                <w:color w:val="auto"/>
              </w:rPr>
            </w:pPr>
          </w:p>
        </w:tc>
      </w:tr>
      <w:tr>
        <w:trPr>
          <w:trHeight w:val="215"/>
        </w:trPr>
        <w:tc>
          <w:tcPr>
            <w:tcW w:w="3540" w:type="dxa"/>
            <w:vAlign w:val="bottom"/>
            <w:tcBorders>
              <w:top w:val="single" w:sz="8" w:color="929292"/>
            </w:tcBorders>
          </w:tcPr>
          <w:p>
            <w:pPr>
              <w:ind w:left="80"/>
              <w:spacing w:after="0"/>
              <w:rPr>
                <w:sz w:val="20"/>
                <w:szCs w:val="20"/>
                <w:color w:val="auto"/>
              </w:rPr>
            </w:pPr>
            <w:r>
              <w:rPr>
                <w:rFonts w:ascii="Arial" w:cs="Arial" w:eastAsia="Arial" w:hAnsi="Arial"/>
                <w:sz w:val="11"/>
                <w:szCs w:val="11"/>
                <w:b w:val="1"/>
                <w:bCs w:val="1"/>
                <w:color w:val="262626"/>
              </w:rPr>
              <w:t>Committee Meetings in 2018</w:t>
            </w:r>
          </w:p>
        </w:tc>
        <w:tc>
          <w:tcPr>
            <w:tcW w:w="1860" w:type="dxa"/>
            <w:vAlign w:val="bottom"/>
            <w:tcBorders>
              <w:top w:val="single" w:sz="8" w:color="929292"/>
            </w:tcBorders>
          </w:tcPr>
          <w:p>
            <w:pPr>
              <w:spacing w:after="0"/>
              <w:rPr>
                <w:sz w:val="18"/>
                <w:szCs w:val="18"/>
                <w:color w:val="auto"/>
              </w:rPr>
            </w:pPr>
          </w:p>
        </w:tc>
        <w:tc>
          <w:tcPr>
            <w:tcW w:w="1580" w:type="dxa"/>
            <w:vAlign w:val="bottom"/>
            <w:tcBorders>
              <w:top w:val="single" w:sz="8" w:color="929292"/>
            </w:tcBorders>
          </w:tcPr>
          <w:p>
            <w:pPr>
              <w:jc w:val="right"/>
              <w:ind w:right="646"/>
              <w:spacing w:after="0"/>
              <w:rPr>
                <w:sz w:val="20"/>
                <w:szCs w:val="20"/>
                <w:color w:val="auto"/>
              </w:rPr>
            </w:pPr>
            <w:r>
              <w:rPr>
                <w:rFonts w:ascii="Arial" w:cs="Arial" w:eastAsia="Arial" w:hAnsi="Arial"/>
                <w:sz w:val="12"/>
                <w:szCs w:val="12"/>
                <w:b w:val="1"/>
                <w:bCs w:val="1"/>
                <w:color w:val="464646"/>
              </w:rPr>
              <w:t>9</w:t>
            </w:r>
          </w:p>
        </w:tc>
        <w:tc>
          <w:tcPr>
            <w:tcW w:w="1380" w:type="dxa"/>
            <w:vAlign w:val="bottom"/>
            <w:tcBorders>
              <w:top w:val="single" w:sz="8" w:color="929292"/>
            </w:tcBorders>
          </w:tcPr>
          <w:p>
            <w:pPr>
              <w:jc w:val="center"/>
              <w:ind w:left="227"/>
              <w:spacing w:after="0"/>
              <w:rPr>
                <w:sz w:val="20"/>
                <w:szCs w:val="20"/>
                <w:color w:val="auto"/>
              </w:rPr>
            </w:pPr>
            <w:r>
              <w:rPr>
                <w:rFonts w:ascii="Arial" w:cs="Arial" w:eastAsia="Arial" w:hAnsi="Arial"/>
                <w:sz w:val="12"/>
                <w:szCs w:val="12"/>
                <w:b w:val="1"/>
                <w:bCs w:val="1"/>
                <w:color w:val="464646"/>
              </w:rPr>
              <w:t>14</w:t>
            </w:r>
          </w:p>
        </w:tc>
        <w:tc>
          <w:tcPr>
            <w:tcW w:w="1500" w:type="dxa"/>
            <w:vAlign w:val="bottom"/>
            <w:tcBorders>
              <w:top w:val="single" w:sz="8" w:color="929292"/>
            </w:tcBorders>
          </w:tcPr>
          <w:p>
            <w:pPr>
              <w:jc w:val="center"/>
              <w:ind w:left="128"/>
              <w:spacing w:after="0"/>
              <w:rPr>
                <w:sz w:val="20"/>
                <w:szCs w:val="20"/>
                <w:color w:val="auto"/>
              </w:rPr>
            </w:pPr>
            <w:r>
              <w:rPr>
                <w:rFonts w:ascii="Arial" w:cs="Arial" w:eastAsia="Arial" w:hAnsi="Arial"/>
                <w:sz w:val="12"/>
                <w:szCs w:val="12"/>
                <w:b w:val="1"/>
                <w:bCs w:val="1"/>
                <w:color w:val="464646"/>
              </w:rPr>
              <w:t>8</w:t>
            </w:r>
          </w:p>
        </w:tc>
        <w:tc>
          <w:tcPr>
            <w:tcW w:w="20" w:type="dxa"/>
            <w:vAlign w:val="bottom"/>
          </w:tcPr>
          <w:p>
            <w:pPr>
              <w:spacing w:after="0"/>
              <w:rPr>
                <w:sz w:val="18"/>
                <w:szCs w:val="18"/>
                <w:color w:val="auto"/>
              </w:rPr>
            </w:pPr>
          </w:p>
        </w:tc>
      </w:tr>
      <w:tr>
        <w:trPr>
          <w:trHeight w:val="43"/>
        </w:trPr>
        <w:tc>
          <w:tcPr>
            <w:tcW w:w="3540" w:type="dxa"/>
            <w:vAlign w:val="bottom"/>
            <w:tcBorders>
              <w:bottom w:val="single" w:sz="8" w:color="929292"/>
            </w:tcBorders>
          </w:tcPr>
          <w:p>
            <w:pPr>
              <w:spacing w:after="0"/>
              <w:rPr>
                <w:sz w:val="3"/>
                <w:szCs w:val="3"/>
                <w:color w:val="auto"/>
              </w:rPr>
            </w:pPr>
          </w:p>
        </w:tc>
        <w:tc>
          <w:tcPr>
            <w:tcW w:w="1860" w:type="dxa"/>
            <w:vAlign w:val="bottom"/>
            <w:tcBorders>
              <w:bottom w:val="single" w:sz="8" w:color="929292"/>
            </w:tcBorders>
          </w:tcPr>
          <w:p>
            <w:pPr>
              <w:spacing w:after="0"/>
              <w:rPr>
                <w:sz w:val="3"/>
                <w:szCs w:val="3"/>
                <w:color w:val="auto"/>
              </w:rPr>
            </w:pPr>
          </w:p>
        </w:tc>
        <w:tc>
          <w:tcPr>
            <w:tcW w:w="1580" w:type="dxa"/>
            <w:vAlign w:val="bottom"/>
            <w:tcBorders>
              <w:bottom w:val="single" w:sz="8" w:color="929292"/>
            </w:tcBorders>
          </w:tcPr>
          <w:p>
            <w:pPr>
              <w:spacing w:after="0"/>
              <w:rPr>
                <w:sz w:val="3"/>
                <w:szCs w:val="3"/>
                <w:color w:val="auto"/>
              </w:rPr>
            </w:pPr>
          </w:p>
        </w:tc>
        <w:tc>
          <w:tcPr>
            <w:tcW w:w="1380" w:type="dxa"/>
            <w:vAlign w:val="bottom"/>
            <w:tcBorders>
              <w:bottom w:val="single" w:sz="8" w:color="929292"/>
            </w:tcBorders>
          </w:tcPr>
          <w:p>
            <w:pPr>
              <w:spacing w:after="0"/>
              <w:rPr>
                <w:sz w:val="3"/>
                <w:szCs w:val="3"/>
                <w:color w:val="auto"/>
              </w:rPr>
            </w:pPr>
          </w:p>
        </w:tc>
        <w:tc>
          <w:tcPr>
            <w:tcW w:w="1500" w:type="dxa"/>
            <w:vAlign w:val="bottom"/>
            <w:tcBorders>
              <w:bottom w:val="single" w:sz="8" w:color="929292"/>
            </w:tcBorders>
          </w:tcPr>
          <w:p>
            <w:pPr>
              <w:spacing w:after="0"/>
              <w:rPr>
                <w:sz w:val="3"/>
                <w:szCs w:val="3"/>
                <w:color w:val="auto"/>
              </w:rPr>
            </w:pPr>
          </w:p>
        </w:tc>
        <w:tc>
          <w:tcPr>
            <w:tcW w:w="20" w:type="dxa"/>
            <w:vAlign w:val="bottom"/>
          </w:tcPr>
          <w:p>
            <w:pPr>
              <w:spacing w:after="0"/>
              <w:rPr>
                <w:sz w:val="3"/>
                <w:szCs w:val="3"/>
                <w:color w:val="auto"/>
              </w:rPr>
            </w:pPr>
          </w:p>
        </w:tc>
      </w:tr>
      <w:tr>
        <w:trPr>
          <w:trHeight w:val="156"/>
        </w:trPr>
        <w:tc>
          <w:tcPr>
            <w:tcW w:w="3540" w:type="dxa"/>
            <w:vAlign w:val="bottom"/>
          </w:tcPr>
          <w:p>
            <w:pPr>
              <w:spacing w:after="0"/>
              <w:rPr>
                <w:sz w:val="20"/>
                <w:szCs w:val="20"/>
                <w:color w:val="auto"/>
              </w:rPr>
            </w:pPr>
            <w:r>
              <w:rPr>
                <w:rFonts w:ascii="Arial" w:cs="Arial" w:eastAsia="Arial" w:hAnsi="Arial"/>
                <w:sz w:val="11"/>
                <w:szCs w:val="11"/>
                <w:b w:val="1"/>
                <w:bCs w:val="1"/>
                <w:color w:val="262626"/>
                <w:w w:val="99"/>
              </w:rPr>
              <w:t xml:space="preserve">C </w:t>
            </w:r>
            <w:r>
              <w:rPr>
                <w:rFonts w:ascii="Arial" w:cs="Arial" w:eastAsia="Arial" w:hAnsi="Arial"/>
                <w:sz w:val="11"/>
                <w:szCs w:val="11"/>
                <w:color w:val="262626"/>
                <w:w w:val="99"/>
              </w:rPr>
              <w:t>Chairperson; F Financial Expert within the meaning of SEC regulations</w:t>
            </w:r>
          </w:p>
        </w:tc>
        <w:tc>
          <w:tcPr>
            <w:tcW w:w="1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-1616075</wp:posOffset>
            </wp:positionV>
            <wp:extent cx="825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AUDIT COMMITTEE</w:t>
      </w:r>
    </w:p>
    <w:p>
      <w:pPr>
        <w:spacing w:after="0" w:line="98" w:lineRule="exact"/>
        <w:rPr>
          <w:sz w:val="20"/>
          <w:szCs w:val="20"/>
          <w:color w:val="auto"/>
        </w:rPr>
      </w:pPr>
    </w:p>
    <w:p>
      <w:pPr>
        <w:ind w:left="780" w:right="220"/>
        <w:spacing w:after="0"/>
        <w:rPr>
          <w:sz w:val="20"/>
          <w:szCs w:val="20"/>
          <w:color w:val="auto"/>
        </w:rPr>
      </w:pPr>
      <w:r>
        <w:rPr>
          <w:rFonts w:ascii="Arial" w:cs="Arial" w:eastAsia="Arial" w:hAnsi="Arial"/>
          <w:sz w:val="14"/>
          <w:szCs w:val="14"/>
          <w:color w:val="262626"/>
        </w:rPr>
        <w:t>At each regular meeting, the Audit Committee meets in executive session with the Company’s independent auditors, General Counsel, Chief Audit Executive, Chief Financial Officer, and Chief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60" w:val="left"/>
          <w:tab w:leader="none" w:pos="40" w:val="left"/>
        </w:tabs>
        <w:rPr>
          <w:sz w:val="20"/>
          <w:szCs w:val="20"/>
          <w:color w:val="auto"/>
        </w:rPr>
      </w:pPr>
      <w:r>
        <w:rPr>
          <w:rFonts w:ascii="Arial" w:cs="Arial" w:eastAsia="Arial" w:hAnsi="Arial"/>
          <w:sz w:val="9"/>
          <w:szCs w:val="9"/>
          <w:b w:val="1"/>
          <w:bCs w:val="1"/>
          <w:color w:val="262626"/>
        </w:rPr>
        <w:t>2019 PROXY STATEMENT</w:t>
        <w:tab/>
        <w:t>|</w:t>
        <w:tab/>
        <w:t>7</w:t>
      </w:r>
    </w:p>
    <w:p>
      <w:pPr>
        <w:sectPr>
          <w:pgSz w:w="11900" w:h="16838" w:orient="portrait"/>
          <w:cols w:equalWidth="0" w:num="1">
            <w:col w:w="10800"/>
          </w:cols>
          <w:pgMar w:left="240" w:top="453" w:right="8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Key Responsibilities</w:t>
      </w:r>
    </w:p>
    <w:p>
      <w:pPr>
        <w:spacing w:after="0" w:line="226"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appointing, retaining, overseeing, and approving the compensation of the independent auditors</w:t>
      </w:r>
    </w:p>
    <w:p>
      <w:pPr>
        <w:ind w:left="960" w:right="1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discussing with independent auditors and management the Company’s earnings releases and quarterly and annual reports to be filed with</w:t>
      </w:r>
      <w:r>
        <w:rPr>
          <w:rFonts w:ascii="Arial" w:cs="Arial" w:eastAsia="Arial" w:hAnsi="Arial"/>
          <w:sz w:val="14"/>
          <w:szCs w:val="14"/>
          <w:color w:val="CC870F"/>
        </w:rPr>
        <w:t xml:space="preserve"> </w:t>
      </w:r>
      <w:r>
        <w:rPr>
          <w:rFonts w:ascii="Arial" w:cs="Arial" w:eastAsia="Arial" w:hAnsi="Arial"/>
          <w:sz w:val="14"/>
          <w:szCs w:val="14"/>
          <w:color w:val="262626"/>
        </w:rPr>
        <w:t>the SEC</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the adequacy, effectiveness, scope, and results of the Company’s internal auditing procedures and practices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overseeing the Company’s legal and regulatory compliance programs and its policies and procedures for monitoring compliance</w:t>
      </w:r>
    </w:p>
    <w:p>
      <w:pPr>
        <w:ind w:left="960" w:right="1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meeting periodically with management to review the Company’s major risk exposures and the steps management has taken to monitor and control such</w:t>
      </w:r>
      <w:r>
        <w:rPr>
          <w:rFonts w:ascii="Arial" w:cs="Arial" w:eastAsia="Arial" w:hAnsi="Arial"/>
          <w:sz w:val="14"/>
          <w:szCs w:val="14"/>
          <w:color w:val="CC870F"/>
        </w:rPr>
        <w:t xml:space="preserve"> </w:t>
      </w:r>
      <w:r>
        <w:rPr>
          <w:rFonts w:ascii="Arial" w:cs="Arial" w:eastAsia="Arial" w:hAnsi="Arial"/>
          <w:sz w:val="14"/>
          <w:szCs w:val="14"/>
          <w:color w:val="262626"/>
        </w:rPr>
        <w:t>exposures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approving the Company’s decision to enter into certain swaps and other derivative transactions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COMPENSATION COMMITTEE</w:t>
      </w:r>
    </w:p>
    <w:p>
      <w:pPr>
        <w:spacing w:after="0" w:line="85" w:lineRule="exact"/>
        <w:rPr>
          <w:sz w:val="20"/>
          <w:szCs w:val="20"/>
          <w:color w:val="auto"/>
        </w:rPr>
      </w:pPr>
    </w:p>
    <w:p>
      <w:pPr>
        <w:ind w:left="780" w:right="320"/>
        <w:spacing w:after="0" w:line="243" w:lineRule="auto"/>
        <w:rPr>
          <w:sz w:val="20"/>
          <w:szCs w:val="20"/>
          <w:color w:val="auto"/>
        </w:rPr>
      </w:pPr>
      <w:r>
        <w:rPr>
          <w:rFonts w:ascii="Arial" w:cs="Arial" w:eastAsia="Arial" w:hAnsi="Arial"/>
          <w:sz w:val="14"/>
          <w:szCs w:val="14"/>
          <w:color w:val="262626"/>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160" w:lineRule="exact"/>
        <w:rPr>
          <w:sz w:val="20"/>
          <w:szCs w:val="20"/>
          <w:color w:val="auto"/>
        </w:rPr>
      </w:pPr>
    </w:p>
    <w:p>
      <w:pPr>
        <w:ind w:left="780" w:right="20"/>
        <w:spacing w:after="0" w:line="241" w:lineRule="auto"/>
        <w:rPr>
          <w:sz w:val="20"/>
          <w:szCs w:val="20"/>
          <w:color w:val="auto"/>
        </w:rPr>
      </w:pPr>
      <w:r>
        <w:rPr>
          <w:rFonts w:ascii="Arial" w:cs="Arial" w:eastAsia="Arial" w:hAnsi="Arial"/>
          <w:sz w:val="14"/>
          <w:szCs w:val="14"/>
          <w:color w:val="262626"/>
        </w:rPr>
        <w:t>The Compensation Committee considers the recommendations of the CEO in establishing compensation for all NEOs,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w:t>
      </w:r>
    </w:p>
    <w:p>
      <w:pPr>
        <w:spacing w:after="0" w:line="174" w:lineRule="exact"/>
        <w:rPr>
          <w:sz w:val="20"/>
          <w:szCs w:val="20"/>
          <w:color w:val="auto"/>
        </w:rPr>
      </w:pPr>
    </w:p>
    <w:p>
      <w:pPr>
        <w:ind w:left="780"/>
        <w:spacing w:after="0" w:line="238" w:lineRule="auto"/>
        <w:rPr>
          <w:sz w:val="20"/>
          <w:szCs w:val="20"/>
          <w:color w:val="auto"/>
        </w:rPr>
      </w:pPr>
      <w:r>
        <w:rPr>
          <w:rFonts w:ascii="Arial" w:cs="Arial" w:eastAsia="Arial" w:hAnsi="Arial"/>
          <w:sz w:val="14"/>
          <w:szCs w:val="14"/>
          <w:color w:val="262626"/>
        </w:rPr>
        <w:t>The Compensation Committee has the authority to retain compensation consulting firms exclusively to assist it in the evaluation of executive officer and employee compensation and benefit programs. In 2018, the Compensation Committee retained Radford, a business unit of AON plc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2018,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 the Compensation Committee bring a wealth of experience from their public and private board experience and their respective executive roles, which enables the Committee to effectively oversee the design and practice of linking executive compensation to company performance.</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Key Responsibilities</w:t>
      </w:r>
    </w:p>
    <w:p>
      <w:pPr>
        <w:spacing w:after="0" w:line="228" w:lineRule="exact"/>
        <w:rPr>
          <w:sz w:val="20"/>
          <w:szCs w:val="20"/>
          <w:color w:val="auto"/>
        </w:rPr>
      </w:pPr>
    </w:p>
    <w:p>
      <w:pPr>
        <w:ind w:left="960" w:right="1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the goals and objectives of the Company’s executive compensation plans, and, as appropriate, recommending that the Board adopt new plans</w:t>
      </w:r>
      <w:r>
        <w:rPr>
          <w:rFonts w:ascii="Arial" w:cs="Arial" w:eastAsia="Arial" w:hAnsi="Arial"/>
          <w:sz w:val="14"/>
          <w:szCs w:val="14"/>
          <w:color w:val="CC870F"/>
        </w:rPr>
        <w:t xml:space="preserve"> </w:t>
      </w:r>
      <w:r>
        <w:rPr>
          <w:rFonts w:ascii="Arial" w:cs="Arial" w:eastAsia="Arial" w:hAnsi="Arial"/>
          <w:sz w:val="14"/>
          <w:szCs w:val="14"/>
          <w:color w:val="262626"/>
        </w:rPr>
        <w:t>or amend existing plans</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assessing the Company’s most recent advisory vote on executive compensation</w:t>
      </w:r>
    </w:p>
    <w:p>
      <w:pPr>
        <w:ind w:left="960" w:right="4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appointing advisors retained by the Committee and assessing any potential conflicts of interest, overseeing and approving the compensation of any</w:t>
      </w:r>
      <w:r>
        <w:rPr>
          <w:rFonts w:ascii="Arial" w:cs="Arial" w:eastAsia="Arial" w:hAnsi="Arial"/>
          <w:sz w:val="14"/>
          <w:szCs w:val="14"/>
          <w:color w:val="CC870F"/>
        </w:rPr>
        <w:t xml:space="preserve"> </w:t>
      </w:r>
      <w:r>
        <w:rPr>
          <w:rFonts w:ascii="Arial" w:cs="Arial" w:eastAsia="Arial" w:hAnsi="Arial"/>
          <w:sz w:val="14"/>
          <w:szCs w:val="14"/>
          <w:color w:val="262626"/>
        </w:rPr>
        <w:t>advisors the Committee retains</w:t>
      </w:r>
    </w:p>
    <w:p>
      <w:pPr>
        <w:spacing w:after="0" w:line="1" w:lineRule="exact"/>
        <w:rPr>
          <w:sz w:val="20"/>
          <w:szCs w:val="20"/>
          <w:color w:val="auto"/>
        </w:rPr>
      </w:pPr>
    </w:p>
    <w:p>
      <w:pPr>
        <w:ind w:left="960" w:right="5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annually evaluating the performance of the CEO, overseeing the evaluation of performance of the other officers of the Company and its operating</w:t>
      </w:r>
      <w:r>
        <w:rPr>
          <w:rFonts w:ascii="Arial" w:cs="Arial" w:eastAsia="Arial" w:hAnsi="Arial"/>
          <w:sz w:val="14"/>
          <w:szCs w:val="14"/>
          <w:color w:val="CC870F"/>
        </w:rPr>
        <w:t xml:space="preserve"> </w:t>
      </w:r>
      <w:r>
        <w:rPr>
          <w:rFonts w:ascii="Arial" w:cs="Arial" w:eastAsia="Arial" w:hAnsi="Arial"/>
          <w:sz w:val="14"/>
          <w:szCs w:val="14"/>
          <w:color w:val="262626"/>
        </w:rPr>
        <w:t>subsidiaries, and setting compensation for the CEO, other NEOs, and other members of senior management</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approving equity awards and supervising administrative functions pursuant to the Company’s equity plans</w:t>
      </w:r>
    </w:p>
    <w:p>
      <w:pPr>
        <w:ind w:left="960" w:right="2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approving compensation arrangements for officers and other key employees in accordance with policies adopted by the Committee from</w:t>
      </w:r>
      <w:r>
        <w:rPr>
          <w:rFonts w:ascii="Arial" w:cs="Arial" w:eastAsia="Arial" w:hAnsi="Arial"/>
          <w:sz w:val="14"/>
          <w:szCs w:val="14"/>
          <w:color w:val="CC870F"/>
        </w:rPr>
        <w:t xml:space="preserve"> </w:t>
      </w:r>
      <w:r>
        <w:rPr>
          <w:rFonts w:ascii="Arial" w:cs="Arial" w:eastAsia="Arial" w:hAnsi="Arial"/>
          <w:sz w:val="14"/>
          <w:szCs w:val="14"/>
          <w:color w:val="262626"/>
        </w:rPr>
        <w:t>time to time</w:t>
      </w:r>
    </w:p>
    <w:p>
      <w:pPr>
        <w:spacing w:after="0" w:line="1" w:lineRule="exact"/>
        <w:rPr>
          <w:sz w:val="20"/>
          <w:szCs w:val="20"/>
          <w:color w:val="auto"/>
        </w:rPr>
      </w:pPr>
    </w:p>
    <w:p>
      <w:pPr>
        <w:ind w:left="960" w:right="1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recommending to the full Board the type and amount of compensation for Board and Committee service by non-management members of</w:t>
      </w:r>
      <w:r>
        <w:rPr>
          <w:rFonts w:ascii="Arial" w:cs="Arial" w:eastAsia="Arial" w:hAnsi="Arial"/>
          <w:sz w:val="14"/>
          <w:szCs w:val="14"/>
          <w:color w:val="CC870F"/>
        </w:rPr>
        <w:t xml:space="preserve"> </w:t>
      </w:r>
      <w:r>
        <w:rPr>
          <w:rFonts w:ascii="Arial" w:cs="Arial" w:eastAsia="Arial" w:hAnsi="Arial"/>
          <w:sz w:val="14"/>
          <w:szCs w:val="14"/>
          <w:color w:val="262626"/>
        </w:rPr>
        <w:t>the Board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discussing with management the Compensation Discussion and Analysis and related disclosures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332105</wp:posOffset>
            </wp:positionV>
            <wp:extent cx="521335" cy="2355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 w:hanging="152"/>
        <w:spacing w:after="0"/>
        <w:tabs>
          <w:tab w:leader="none" w:pos="780" w:val="left"/>
        </w:tabs>
        <w:numPr>
          <w:ilvl w:val="0"/>
          <w:numId w:val="20"/>
        </w:numPr>
        <w:rPr>
          <w:rFonts w:ascii="Arial" w:cs="Arial" w:eastAsia="Arial" w:hAnsi="Arial"/>
          <w:sz w:val="9"/>
          <w:szCs w:val="9"/>
          <w:b w:val="1"/>
          <w:bCs w:val="1"/>
          <w:color w:val="262626"/>
        </w:rPr>
      </w:pPr>
      <w:r>
        <w:rPr>
          <w:rFonts w:ascii="Arial" w:cs="Arial" w:eastAsia="Arial" w:hAnsi="Arial"/>
          <w:sz w:val="9"/>
          <w:szCs w:val="9"/>
          <w:b w:val="1"/>
          <w:bCs w:val="1"/>
          <w:color w:val="262626"/>
        </w:rPr>
        <w:t>|</w:t>
      </w:r>
    </w:p>
    <w:p>
      <w:pPr>
        <w:sectPr>
          <w:pgSz w:w="11900" w:h="16838" w:orient="portrait"/>
          <w:cols w:equalWidth="0" w:num="1">
            <w:col w:w="10580"/>
          </w:cols>
          <w:pgMar w:left="240" w:top="453"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Compensation Committee Interlocks and Insider Participation</w:t>
      </w:r>
    </w:p>
    <w:p>
      <w:pPr>
        <w:spacing w:after="0" w:line="95" w:lineRule="exact"/>
        <w:rPr>
          <w:sz w:val="20"/>
          <w:szCs w:val="20"/>
          <w:color w:val="auto"/>
        </w:rPr>
      </w:pPr>
    </w:p>
    <w:p>
      <w:pPr>
        <w:ind w:left="780" w:right="220"/>
        <w:spacing w:after="0" w:line="239" w:lineRule="auto"/>
        <w:rPr>
          <w:sz w:val="20"/>
          <w:szCs w:val="20"/>
          <w:color w:val="auto"/>
        </w:rPr>
      </w:pPr>
      <w:r>
        <w:rPr>
          <w:rFonts w:ascii="Arial" w:cs="Arial" w:eastAsia="Arial" w:hAnsi="Arial"/>
          <w:sz w:val="14"/>
          <w:szCs w:val="14"/>
          <w:color w:val="262626"/>
        </w:rPr>
        <w:t>The members of the Compensation Committee are appointed by the Board each year. The members of the Compensation Committee that served in 2018 were Ms. Atkins (as of May 16, 2018), Mr. Byrne (as of November 6, 2018), Ms. Myers (as of May 16, 2018), Ms. Webb (from May 16, 2018 until December 31, 2018), Admiral Johnson (until May 16, 2018), Mr. Hagenbuch (until May 16, 2018), Mr. Shoemaker (until May 16, 2018), and Mr. Virtue (until May 16, 2018).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NOMINATING AND CORPORATE GOVERNANCE COMMITTEE</w:t>
      </w:r>
    </w:p>
    <w:p>
      <w:pPr>
        <w:spacing w:after="0" w:line="98" w:lineRule="exact"/>
        <w:rPr>
          <w:sz w:val="20"/>
          <w:szCs w:val="20"/>
          <w:color w:val="auto"/>
        </w:rPr>
      </w:pPr>
    </w:p>
    <w:p>
      <w:pPr>
        <w:ind w:left="780" w:right="200"/>
        <w:spacing w:after="0" w:line="249" w:lineRule="auto"/>
        <w:rPr>
          <w:sz w:val="20"/>
          <w:szCs w:val="20"/>
          <w:color w:val="auto"/>
        </w:rPr>
      </w:pPr>
      <w:r>
        <w:rPr>
          <w:rFonts w:ascii="Arial" w:cs="Arial" w:eastAsia="Arial" w:hAnsi="Arial"/>
          <w:sz w:val="14"/>
          <w:szCs w:val="14"/>
          <w:color w:val="262626"/>
        </w:rPr>
        <w:t>The Nominating and Corporate Governance Committee seeks to have the Board represent a diversity of backgrounds and experience and assesses potential nominees in light of the Board’s current size and composition.</w:t>
      </w:r>
    </w:p>
    <w:p>
      <w:pPr>
        <w:spacing w:after="0" w:line="156" w:lineRule="exact"/>
        <w:rPr>
          <w:sz w:val="20"/>
          <w:szCs w:val="20"/>
          <w:color w:val="auto"/>
        </w:rPr>
      </w:pPr>
    </w:p>
    <w:p>
      <w:pPr>
        <w:ind w:left="780" w:right="180"/>
        <w:spacing w:after="0" w:line="239" w:lineRule="auto"/>
        <w:rPr>
          <w:sz w:val="20"/>
          <w:szCs w:val="20"/>
          <w:color w:val="auto"/>
        </w:rPr>
      </w:pPr>
      <w:r>
        <w:rPr>
          <w:rFonts w:ascii="Arial" w:cs="Arial" w:eastAsia="Arial" w:hAnsi="Arial"/>
          <w:sz w:val="14"/>
          <w:szCs w:val="14"/>
          <w:color w:val="262626"/>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robust engagement in the strategic planning process, and have a reputation for honest and ethical conduct in both his or her professional and personal activities. The Nominating and Corporate Governance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w:t>
      </w:r>
    </w:p>
    <w:p>
      <w:pPr>
        <w:spacing w:after="0" w:line="164" w:lineRule="exact"/>
        <w:rPr>
          <w:sz w:val="20"/>
          <w:szCs w:val="20"/>
          <w:color w:val="auto"/>
        </w:rPr>
      </w:pPr>
    </w:p>
    <w:p>
      <w:pPr>
        <w:ind w:left="780" w:right="180"/>
        <w:spacing w:after="0" w:line="238" w:lineRule="auto"/>
        <w:rPr>
          <w:sz w:val="20"/>
          <w:szCs w:val="20"/>
          <w:color w:val="auto"/>
        </w:rPr>
      </w:pPr>
      <w:r>
        <w:rPr>
          <w:rFonts w:ascii="Arial" w:cs="Arial" w:eastAsia="Arial" w:hAnsi="Arial"/>
          <w:sz w:val="14"/>
          <w:szCs w:val="14"/>
          <w:color w:val="262626"/>
        </w:rPr>
        <w:t>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Key Responsibilities</w:t>
      </w:r>
    </w:p>
    <w:p>
      <w:pPr>
        <w:spacing w:after="0" w:line="226"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identifying, evaluating and recommending qualified director candidates, including candidates recommended by shareholders or management</w:t>
      </w:r>
    </w:p>
    <w:p>
      <w:pPr>
        <w:ind w:left="960" w:right="3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assessing the qualifications, attributes, skills, experience, diversity and independence of Board members, taking into account appropriate considerations</w:t>
      </w:r>
      <w:r>
        <w:rPr>
          <w:rFonts w:ascii="Arial" w:cs="Arial" w:eastAsia="Arial" w:hAnsi="Arial"/>
          <w:sz w:val="14"/>
          <w:szCs w:val="14"/>
          <w:color w:val="CC870F"/>
        </w:rPr>
        <w:t xml:space="preserve"> </w:t>
      </w:r>
      <w:r>
        <w:rPr>
          <w:rFonts w:ascii="Arial" w:cs="Arial" w:eastAsia="Arial" w:hAnsi="Arial"/>
          <w:sz w:val="14"/>
          <w:szCs w:val="14"/>
          <w:color w:val="262626"/>
        </w:rPr>
        <w:t>such as the Company’s current and planned business, current and potential composition considerations, any planned director successions, and the qualifications required of directors under the gaming laws of jurisdictions where the Company operates</w:t>
      </w:r>
    </w:p>
    <w:p>
      <w:pPr>
        <w:spacing w:after="0" w:line="1" w:lineRule="exact"/>
        <w:rPr>
          <w:sz w:val="20"/>
          <w:szCs w:val="20"/>
          <w:color w:val="auto"/>
        </w:rPr>
      </w:pPr>
    </w:p>
    <w:p>
      <w:pPr>
        <w:ind w:left="960" w:right="4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the composition of the Board and its committees and recommending, as appropriate, measures to be taken for Board refreshment and Board</w:t>
      </w:r>
      <w:r>
        <w:rPr>
          <w:rFonts w:ascii="Arial" w:cs="Arial" w:eastAsia="Arial" w:hAnsi="Arial"/>
          <w:sz w:val="14"/>
          <w:szCs w:val="14"/>
          <w:color w:val="CC870F"/>
        </w:rPr>
        <w:t xml:space="preserve"> </w:t>
      </w:r>
      <w:r>
        <w:rPr>
          <w:rFonts w:ascii="Arial" w:cs="Arial" w:eastAsia="Arial" w:hAnsi="Arial"/>
          <w:sz w:val="14"/>
          <w:szCs w:val="14"/>
          <w:color w:val="262626"/>
        </w:rPr>
        <w:t>succession planning</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reviewing and making recommendations regarding the Board’s leadership structure</w:t>
      </w:r>
    </w:p>
    <w:p>
      <w:pPr>
        <w:ind w:left="960" w:right="7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overseeing corporate governance matters generally and developing and recommending to the Board Company-appropriate corporate governance</w:t>
      </w:r>
      <w:r>
        <w:rPr>
          <w:rFonts w:ascii="Arial" w:cs="Arial" w:eastAsia="Arial" w:hAnsi="Arial"/>
          <w:sz w:val="14"/>
          <w:szCs w:val="14"/>
          <w:color w:val="CC870F"/>
        </w:rPr>
        <w:t xml:space="preserve"> </w:t>
      </w:r>
      <w:r>
        <w:rPr>
          <w:rFonts w:ascii="Arial" w:cs="Arial" w:eastAsia="Arial" w:hAnsi="Arial"/>
          <w:sz w:val="14"/>
          <w:szCs w:val="14"/>
          <w:color w:val="262626"/>
        </w:rPr>
        <w:t>guidelines</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overseeing and, as it determines appropriate, designating directors to participate in the Company’s engagement with shareholders</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overseeing the annual evaluation of the Board and its standing committees</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160" w:val="left"/>
          <w:tab w:leader="none" w:pos="40" w:val="left"/>
        </w:tabs>
        <w:rPr>
          <w:sz w:val="20"/>
          <w:szCs w:val="20"/>
          <w:color w:val="auto"/>
        </w:rPr>
      </w:pPr>
      <w:r>
        <w:rPr>
          <w:rFonts w:ascii="Arial" w:cs="Arial" w:eastAsia="Arial" w:hAnsi="Arial"/>
          <w:sz w:val="9"/>
          <w:szCs w:val="9"/>
          <w:b w:val="1"/>
          <w:bCs w:val="1"/>
          <w:color w:val="262626"/>
        </w:rPr>
        <w:t>2019 PROXY STATEMENT</w:t>
        <w:tab/>
        <w:t>|</w:t>
        <w:tab/>
        <w:t>9</w:t>
      </w:r>
    </w:p>
    <w:p>
      <w:pPr>
        <w:sectPr>
          <w:pgSz w:w="11900" w:h="16838" w:orient="portrait"/>
          <w:cols w:equalWidth="0" w:num="1">
            <w:col w:w="10800"/>
          </w:cols>
          <w:pgMar w:left="240" w:top="453" w:right="8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Consideration of Candidates Recommended by Shareholders</w:t>
      </w:r>
    </w:p>
    <w:p>
      <w:pPr>
        <w:spacing w:after="0" w:line="188" w:lineRule="exact"/>
        <w:rPr>
          <w:sz w:val="20"/>
          <w:szCs w:val="20"/>
          <w:color w:val="auto"/>
        </w:rPr>
      </w:pPr>
    </w:p>
    <w:p>
      <w:pPr>
        <w:ind w:left="780" w:right="40"/>
        <w:spacing w:after="0" w:line="241" w:lineRule="auto"/>
        <w:rPr>
          <w:sz w:val="20"/>
          <w:szCs w:val="20"/>
          <w:color w:val="auto"/>
        </w:rPr>
      </w:pPr>
      <w:r>
        <w:rPr>
          <w:rFonts w:ascii="Arial" w:cs="Arial" w:eastAsia="Arial" w:hAnsi="Arial"/>
          <w:sz w:val="14"/>
          <w:szCs w:val="14"/>
          <w:color w:val="262626"/>
        </w:rPr>
        <w:t>Our Nominating and Corporate Governance Committee is pleased to consider director candidates recommended by shareholders.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should submit the recommendation in writing and include the following information:</w:t>
      </w:r>
    </w:p>
    <w:p>
      <w:pPr>
        <w:spacing w:after="0" w:line="201" w:lineRule="exact"/>
        <w:rPr>
          <w:sz w:val="20"/>
          <w:szCs w:val="20"/>
          <w:color w:val="auto"/>
        </w:rPr>
      </w:pPr>
    </w:p>
    <w:p>
      <w:pPr>
        <w:ind w:left="960" w:right="3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name of the shareholder and evidence of the shareholder’s ownership of Company stock, including the number of shares owned and the length of</w:t>
      </w:r>
      <w:r>
        <w:rPr>
          <w:rFonts w:ascii="Arial" w:cs="Arial" w:eastAsia="Arial" w:hAnsi="Arial"/>
          <w:sz w:val="14"/>
          <w:szCs w:val="14"/>
          <w:color w:val="CC870F"/>
        </w:rPr>
        <w:t xml:space="preserve"> </w:t>
      </w:r>
      <w:r>
        <w:rPr>
          <w:rFonts w:ascii="Arial" w:cs="Arial" w:eastAsia="Arial" w:hAnsi="Arial"/>
          <w:sz w:val="14"/>
          <w:szCs w:val="14"/>
          <w:color w:val="262626"/>
        </w:rPr>
        <w:t>time of ownership; and</w:t>
      </w:r>
    </w:p>
    <w:p>
      <w:pPr>
        <w:spacing w:after="0" w:line="1" w:lineRule="exact"/>
        <w:rPr>
          <w:sz w:val="20"/>
          <w:szCs w:val="20"/>
          <w:color w:val="auto"/>
        </w:rPr>
      </w:pPr>
    </w:p>
    <w:p>
      <w:pPr>
        <w:ind w:left="960" w:right="140" w:hanging="185"/>
        <w:spacing w:after="0" w:line="24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name of the candidate, the candidate’s resume or a listing of his or her qualifications to be a director of the Company, and the candidate’s consent to</w:t>
      </w:r>
      <w:r>
        <w:rPr>
          <w:rFonts w:ascii="Arial" w:cs="Arial" w:eastAsia="Arial" w:hAnsi="Arial"/>
          <w:sz w:val="14"/>
          <w:szCs w:val="14"/>
          <w:color w:val="CC870F"/>
        </w:rPr>
        <w:t xml:space="preserve"> </w:t>
      </w:r>
      <w:r>
        <w:rPr>
          <w:rFonts w:ascii="Arial" w:cs="Arial" w:eastAsia="Arial" w:hAnsi="Arial"/>
          <w:sz w:val="14"/>
          <w:szCs w:val="14"/>
          <w:color w:val="262626"/>
        </w:rPr>
        <w:t>being considered for nomination as a director if selected by the Nominating and Corporate Governance Committee.</w:t>
      </w:r>
    </w:p>
    <w:p>
      <w:pPr>
        <w:spacing w:after="0" w:line="169" w:lineRule="exact"/>
        <w:rPr>
          <w:sz w:val="20"/>
          <w:szCs w:val="20"/>
          <w:color w:val="auto"/>
        </w:rPr>
      </w:pPr>
    </w:p>
    <w:p>
      <w:pPr>
        <w:ind w:left="780" w:right="300"/>
        <w:spacing w:after="0" w:line="249" w:lineRule="auto"/>
        <w:rPr>
          <w:sz w:val="20"/>
          <w:szCs w:val="20"/>
          <w:color w:val="auto"/>
        </w:rPr>
      </w:pPr>
      <w:r>
        <w:rPr>
          <w:rFonts w:ascii="Arial" w:cs="Arial" w:eastAsia="Arial" w:hAnsi="Arial"/>
          <w:sz w:val="14"/>
          <w:szCs w:val="14"/>
          <w:color w:val="262626"/>
        </w:rPr>
        <w:t>The shareholder recommendation and information described above should be sent to Wynn Resorts, Limited, c/o Corporate Secretary at 3131 Las Vegas Boulevard South, Las Vegas, Nevada 89109.</w:t>
      </w:r>
    </w:p>
    <w:p>
      <w:pPr>
        <w:spacing w:after="0" w:line="156" w:lineRule="exact"/>
        <w:rPr>
          <w:sz w:val="20"/>
          <w:szCs w:val="20"/>
          <w:color w:val="auto"/>
        </w:rPr>
      </w:pPr>
    </w:p>
    <w:p>
      <w:pPr>
        <w:ind w:left="780"/>
        <w:spacing w:after="0" w:line="239" w:lineRule="auto"/>
        <w:rPr>
          <w:sz w:val="20"/>
          <w:szCs w:val="20"/>
          <w:color w:val="auto"/>
        </w:rPr>
      </w:pPr>
      <w:r>
        <w:rPr>
          <w:rFonts w:ascii="Arial" w:cs="Arial" w:eastAsia="Arial" w:hAnsi="Arial"/>
          <w:sz w:val="14"/>
          <w:szCs w:val="14"/>
          <w:color w:val="262626"/>
        </w:rPr>
        <w:t>If the Nominating and Corporate Governance Committee determines to pursue consideration of a person who has been identified as a potential candidate, the Nominating and Corporate Governance Committee may take any or all of the following steps: collect and review publicly available information regarding the person, contact the person and request information from the candidate, vet the candidate’s credentials, conduct one or more interviews with the candidate and contact one or more references provided by the candidate or other persons that may have greater first-hand knowledge of the candidate’s accomplishments. The Nominating and Corporate Governance Committee’s evaluation process takes into account the person’s accomplishments and qualifications, including in comparison to any other candidates that the Nominating and Corporate Governance Committee might be considering, and does not vary based on whether or not a candidate is recommended by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327025</wp:posOffset>
            </wp:positionV>
            <wp:extent cx="521335" cy="235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10</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WHY OUR BOARD GOVERNANCE IS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156210</wp:posOffset>
            </wp:positionV>
            <wp:extent cx="6815455" cy="6097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5455" cy="609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11</w:t>
      </w:r>
    </w:p>
    <w:p>
      <w:pPr>
        <w:sectPr>
          <w:pgSz w:w="11900" w:h="16838" w:orient="portrait"/>
          <w:cols w:equalWidth="0" w:num="1">
            <w:col w:w="10800"/>
          </w:cols>
          <w:pgMar w:left="240" w:top="453" w:right="8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ROLE IN RISK OVERSIGHT</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Board has an active role in overseeing the Company’s areas of risk.</w:t>
      </w:r>
    </w:p>
    <w:p>
      <w:pPr>
        <w:spacing w:after="0" w:line="210" w:lineRule="exact"/>
        <w:rPr>
          <w:sz w:val="20"/>
          <w:szCs w:val="20"/>
          <w:color w:val="auto"/>
        </w:rPr>
      </w:pPr>
    </w:p>
    <w:p>
      <w:pPr>
        <w:ind w:left="9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Board and its Committees, in consultation with management and the Company’s independent auditors, regularly review the Company’s risk profile and</w:t>
      </w:r>
      <w:r>
        <w:rPr>
          <w:rFonts w:ascii="Arial" w:cs="Arial" w:eastAsia="Arial" w:hAnsi="Arial"/>
          <w:sz w:val="14"/>
          <w:szCs w:val="14"/>
          <w:color w:val="CC870F"/>
        </w:rPr>
        <w:t xml:space="preserve"> </w:t>
      </w:r>
      <w:r>
        <w:rPr>
          <w:rFonts w:ascii="Arial" w:cs="Arial" w:eastAsia="Arial" w:hAnsi="Arial"/>
          <w:sz w:val="14"/>
          <w:szCs w:val="14"/>
          <w:color w:val="262626"/>
        </w:rPr>
        <w:t>have identified specific areas of risk including: regulatory compliance; legal and human resources; legislative and political conditions; capital availability and liquidity; gaming credit extension and collection; construction; catastrophic events; and succession planning.</w:t>
      </w:r>
    </w:p>
    <w:p>
      <w:pPr>
        <w:spacing w:after="0" w:line="1" w:lineRule="exact"/>
        <w:rPr>
          <w:sz w:val="20"/>
          <w:szCs w:val="20"/>
          <w:color w:val="auto"/>
        </w:rPr>
      </w:pPr>
    </w:p>
    <w:p>
      <w:pPr>
        <w:ind w:left="960" w:right="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Board (as a whole and through its Committees) has reviewed and approved management’s process for identifying, managing and mitigating these</w:t>
      </w:r>
      <w:r>
        <w:rPr>
          <w:rFonts w:ascii="Arial" w:cs="Arial" w:eastAsia="Arial" w:hAnsi="Arial"/>
          <w:sz w:val="14"/>
          <w:szCs w:val="14"/>
          <w:color w:val="CC870F"/>
        </w:rPr>
        <w:t xml:space="preserve"> </w:t>
      </w:r>
      <w:r>
        <w:rPr>
          <w:rFonts w:ascii="Arial" w:cs="Arial" w:eastAsia="Arial" w:hAnsi="Arial"/>
          <w:sz w:val="14"/>
          <w:szCs w:val="14"/>
          <w:color w:val="262626"/>
        </w:rPr>
        <w:t>risks. While the full Board has overall responsibility for risk oversight, the Board has assigned certain areas of risk oversight to its Committees as well as to the Company’s Compliance Committee.</w:t>
      </w:r>
    </w:p>
    <w:p>
      <w:pPr>
        <w:spacing w:after="0" w:line="1" w:lineRule="exact"/>
        <w:rPr>
          <w:sz w:val="20"/>
          <w:szCs w:val="20"/>
          <w:color w:val="auto"/>
        </w:rPr>
      </w:pPr>
    </w:p>
    <w:p>
      <w:pPr>
        <w:ind w:left="960" w:right="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Throughout the year, the Board, its Committees and the Company’s Compliance Committee receive reports from management that include information</w:t>
      </w:r>
      <w:r>
        <w:rPr>
          <w:rFonts w:ascii="Arial" w:cs="Arial" w:eastAsia="Arial" w:hAnsi="Arial"/>
          <w:sz w:val="14"/>
          <w:szCs w:val="14"/>
          <w:color w:val="CC870F"/>
        </w:rPr>
        <w:t xml:space="preserve"> </w:t>
      </w:r>
      <w:r>
        <w:rPr>
          <w:rFonts w:ascii="Arial" w:cs="Arial" w:eastAsia="Arial" w:hAnsi="Arial"/>
          <w:sz w:val="14"/>
          <w:szCs w:val="14"/>
          <w:color w:val="262626"/>
        </w:rPr>
        <w:t>regarding major risks and exposures facing the Company and the steps management has taken to monitor and control such risks and exposures. In 2018, the Board also implemented a process to allow for direct communication of risks and issues from employees to the Board of Directors.</w:t>
      </w:r>
    </w:p>
    <w:p>
      <w:pPr>
        <w:spacing w:after="0" w:line="1" w:lineRule="exact"/>
        <w:rPr>
          <w:sz w:val="20"/>
          <w:szCs w:val="20"/>
          <w:color w:val="auto"/>
        </w:rPr>
      </w:pPr>
    </w:p>
    <w:p>
      <w:pPr>
        <w:ind w:left="960" w:right="1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In addition, throughout the year, the Board, its Committees and the Company’s Compliance Committee dedicate a portion of their meetings to review and</w:t>
      </w:r>
      <w:r>
        <w:rPr>
          <w:rFonts w:ascii="Arial" w:cs="Arial" w:eastAsia="Arial" w:hAnsi="Arial"/>
          <w:sz w:val="14"/>
          <w:szCs w:val="14"/>
          <w:color w:val="CC870F"/>
        </w:rPr>
        <w:t xml:space="preserve"> </w:t>
      </w:r>
      <w:r>
        <w:rPr>
          <w:rFonts w:ascii="Arial" w:cs="Arial" w:eastAsia="Arial" w:hAnsi="Arial"/>
          <w:sz w:val="14"/>
          <w:szCs w:val="14"/>
          <w:color w:val="262626"/>
        </w:rPr>
        <w:t>discuss specific risk topics in greater detail.</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Audit Committee is primarily responsible for the oversight of credit, related party, information security, construction and general financial risks.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Company’s Compliance Committee primarily oversees risks relating to regulatory, security, workplace conduct, and political compliance.</w:t>
      </w:r>
    </w:p>
    <w:p>
      <w:pPr>
        <w:ind w:left="960" w:right="140" w:hanging="185"/>
        <w:spacing w:after="0" w:line="243"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For the 2018 fiscal year, management completed a review of the Company’s compensation policies and practices and presented its analysis to the</w:t>
      </w:r>
      <w:r>
        <w:rPr>
          <w:rFonts w:ascii="Arial" w:cs="Arial" w:eastAsia="Arial" w:hAnsi="Arial"/>
          <w:sz w:val="14"/>
          <w:szCs w:val="14"/>
          <w:color w:val="CC870F"/>
        </w:rPr>
        <w:t xml:space="preserve"> </w:t>
      </w:r>
      <w:r>
        <w:rPr>
          <w:rFonts w:ascii="Arial" w:cs="Arial" w:eastAsia="Arial" w:hAnsi="Arial"/>
          <w:sz w:val="14"/>
          <w:szCs w:val="14"/>
          <w:color w:val="262626"/>
        </w:rPr>
        <w:t>Compensation Committee. The Compensation Committee concurred with management’s conclusion that such policies and practices do not present risks that are reasonably likely to have a material adverse effect on the Company.</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COMPLIANCE COMMITTEE</w:t>
      </w:r>
    </w:p>
    <w:p>
      <w:pPr>
        <w:spacing w:after="0" w:line="85" w:lineRule="exact"/>
        <w:rPr>
          <w:sz w:val="20"/>
          <w:szCs w:val="20"/>
          <w:color w:val="auto"/>
        </w:rPr>
      </w:pPr>
    </w:p>
    <w:p>
      <w:pPr>
        <w:ind w:left="780"/>
        <w:spacing w:after="0" w:line="239" w:lineRule="auto"/>
        <w:rPr>
          <w:sz w:val="20"/>
          <w:szCs w:val="20"/>
          <w:color w:val="auto"/>
        </w:rPr>
      </w:pPr>
      <w:r>
        <w:rPr>
          <w:rFonts w:ascii="Arial" w:cs="Arial" w:eastAsia="Arial" w:hAnsi="Arial"/>
          <w:sz w:val="14"/>
          <w:szCs w:val="14"/>
          <w:color w:val="262626"/>
        </w:rPr>
        <w:t xml:space="preserve">In August 2018, the Company adopted a new Compliance Program that features a completely-independent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Michelle Chatigny, former Vice President, Global Regulatory and Product Compliance for International Game Technology; Thomas Peterman, former Senior Vice President and Chief Compliance Officer for MGM Resorts International (Chair); and Edward Davis, former Commissioner of the Boston Police Department. Chair Satre and Ms. Mulroy serve as </w:t>
      </w:r>
      <w:r>
        <w:rPr>
          <w:rFonts w:ascii="Arial" w:cs="Arial" w:eastAsia="Arial" w:hAnsi="Arial"/>
          <w:sz w:val="14"/>
          <w:szCs w:val="14"/>
          <w:i w:val="1"/>
          <w:iCs w:val="1"/>
          <w:color w:val="262626"/>
        </w:rPr>
        <w:t>ex officio</w:t>
      </w:r>
      <w:r>
        <w:rPr>
          <w:rFonts w:ascii="Arial" w:cs="Arial" w:eastAsia="Arial" w:hAnsi="Arial"/>
          <w:sz w:val="14"/>
          <w:szCs w:val="14"/>
          <w:color w:val="262626"/>
        </w:rPr>
        <w:t xml:space="preserve"> members of the Committee and representatives of the Board.</w:t>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MEETINGS/ANNUAL MEETING</w:t>
      </w:r>
    </w:p>
    <w:p>
      <w:pPr>
        <w:spacing w:after="0" w:line="118" w:lineRule="exact"/>
        <w:rPr>
          <w:sz w:val="20"/>
          <w:szCs w:val="20"/>
          <w:color w:val="auto"/>
        </w:rPr>
      </w:pPr>
    </w:p>
    <w:p>
      <w:pPr>
        <w:jc w:val="both"/>
        <w:ind w:left="780" w:right="120"/>
        <w:spacing w:after="0" w:line="243" w:lineRule="auto"/>
        <w:rPr>
          <w:sz w:val="20"/>
          <w:szCs w:val="20"/>
          <w:color w:val="auto"/>
        </w:rPr>
      </w:pPr>
      <w:r>
        <w:rPr>
          <w:rFonts w:ascii="Arial" w:cs="Arial" w:eastAsia="Arial" w:hAnsi="Arial"/>
          <w:sz w:val="14"/>
          <w:szCs w:val="14"/>
          <w:color w:val="262626"/>
        </w:rPr>
        <w:t>The Board met 30 times during 2018. All of the current members of our Board attended at least 75% of the meetings held by the Board and the Committees on which they served during the periods in which they served. In accordance with our Corporate Governance Guidelines, each of our directors is invited and encouraged to attend the Annual Meeting. All of our then-serving directors attended the 2018 Annual Meeting.</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COMMUNICATION AND ENGAGEMENT</w:t>
      </w:r>
    </w:p>
    <w:p>
      <w:pPr>
        <w:spacing w:after="0" w:line="118" w:lineRule="exact"/>
        <w:rPr>
          <w:sz w:val="20"/>
          <w:szCs w:val="20"/>
          <w:color w:val="auto"/>
        </w:rPr>
      </w:pPr>
    </w:p>
    <w:p>
      <w:pPr>
        <w:ind w:left="780" w:right="160"/>
        <w:spacing w:after="0" w:line="249" w:lineRule="auto"/>
        <w:rPr>
          <w:sz w:val="20"/>
          <w:szCs w:val="20"/>
          <w:color w:val="auto"/>
        </w:rPr>
      </w:pPr>
      <w:r>
        <w:rPr>
          <w:rFonts w:ascii="Arial" w:cs="Arial" w:eastAsia="Arial" w:hAnsi="Arial"/>
          <w:sz w:val="14"/>
          <w:szCs w:val="14"/>
          <w:color w:val="262626"/>
        </w:rPr>
        <w:t>Our Board believes in listening to and communicating with shareholders. We believe our work should be informed by input from those who share a financial stake in our success.</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We provide a number of ways for shareholders to communicate with the Board and management:</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Shareholders may attend our annual meeting in person where our directors are in attendance.</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Shareholders may speak with us when we reach out to engage both via governance communications and investor relations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332105</wp:posOffset>
            </wp:positionV>
            <wp:extent cx="521335" cy="2355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12</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20"/>
          </w:cols>
          <w:pgMar w:left="240" w:top="45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60" w:right="180" w:hanging="185"/>
        <w:spacing w:after="0" w:line="23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Shareholders who wish to communicate in writing with the Board or any director, or with any Committee of the Board, including the chair of any Committee,</w:t>
      </w:r>
      <w:r>
        <w:rPr>
          <w:rFonts w:ascii="Arial" w:cs="Arial" w:eastAsia="Arial" w:hAnsi="Arial"/>
          <w:sz w:val="14"/>
          <w:szCs w:val="14"/>
          <w:color w:val="CC870F"/>
        </w:rPr>
        <w:t xml:space="preserve"> </w:t>
      </w:r>
      <w:r>
        <w:rPr>
          <w:rFonts w:ascii="Arial" w:cs="Arial" w:eastAsia="Arial" w:hAnsi="Arial"/>
          <w:sz w:val="14"/>
          <w:szCs w:val="14"/>
          <w:color w:val="262626"/>
        </w:rPr>
        <w:t>may do so by writing to the following address: Wynn Resorts, Limited, c/o Corporate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SHAREHOLDER ENGAGEMENT IN 2018</w:t>
      </w:r>
    </w:p>
    <w:p>
      <w:pPr>
        <w:spacing w:after="0" w:line="118" w:lineRule="exact"/>
        <w:rPr>
          <w:sz w:val="20"/>
          <w:szCs w:val="20"/>
          <w:color w:val="auto"/>
        </w:rPr>
      </w:pPr>
    </w:p>
    <w:p>
      <w:pPr>
        <w:jc w:val="both"/>
        <w:ind w:left="780" w:right="260"/>
        <w:spacing w:after="0" w:line="243" w:lineRule="auto"/>
        <w:rPr>
          <w:sz w:val="20"/>
          <w:szCs w:val="20"/>
          <w:color w:val="auto"/>
        </w:rPr>
      </w:pPr>
      <w:r>
        <w:rPr>
          <w:rFonts w:ascii="Arial" w:cs="Arial" w:eastAsia="Arial" w:hAnsi="Arial"/>
          <w:sz w:val="14"/>
          <w:szCs w:val="14"/>
          <w:color w:val="262626"/>
        </w:rPr>
        <w:t>In 2018, the Board of Directors and Company management sought to meaningfully improve the Company’s shareholder engagement efforts, both in terms of frequency and quality of dialogue. In early 2018, subsequent to the publication of allegations against our former Chairman and CEO and associated volatility in our share price, we began a shareholder outreach program focused on transparency and direct requests for feedback.</w:t>
      </w:r>
    </w:p>
    <w:p>
      <w:pPr>
        <w:spacing w:after="0" w:line="173" w:lineRule="exact"/>
        <w:rPr>
          <w:sz w:val="20"/>
          <w:szCs w:val="20"/>
          <w:color w:val="auto"/>
        </w:rPr>
      </w:pPr>
    </w:p>
    <w:p>
      <w:pPr>
        <w:ind w:left="780" w:right="220"/>
        <w:spacing w:after="0" w:line="241" w:lineRule="auto"/>
        <w:rPr>
          <w:sz w:val="20"/>
          <w:szCs w:val="20"/>
          <w:color w:val="auto"/>
        </w:rPr>
      </w:pPr>
      <w:r>
        <w:rPr>
          <w:rFonts w:ascii="Arial" w:cs="Arial" w:eastAsia="Arial" w:hAnsi="Arial"/>
          <w:sz w:val="14"/>
          <w:szCs w:val="14"/>
          <w:color w:val="262626"/>
        </w:rPr>
        <w:t>In light of the on-going volatility in our share price and of the on-going media attention, we continued our extensive shareholder consultation through the 2018 Annual Meeting. Both before and after the 2018 Annual Meeting, the Board performed extensive analysis of shareholder feedback and shareholder voting results and made significant changes to governance and compensation practices. In the fourth quarter of 2018, we again solicited shareholder feedback on the Board and the Company’s 2018 transformation efforts.</w:t>
      </w:r>
    </w:p>
    <w:p>
      <w:pPr>
        <w:spacing w:after="0" w:line="161" w:lineRule="exact"/>
        <w:rPr>
          <w:sz w:val="20"/>
          <w:szCs w:val="20"/>
          <w:color w:val="auto"/>
        </w:rPr>
      </w:pPr>
    </w:p>
    <w:p>
      <w:pPr>
        <w:ind w:left="780" w:right="520"/>
        <w:spacing w:after="0" w:line="243" w:lineRule="auto"/>
        <w:rPr>
          <w:sz w:val="20"/>
          <w:szCs w:val="20"/>
          <w:color w:val="auto"/>
        </w:rPr>
      </w:pPr>
      <w:r>
        <w:rPr>
          <w:rFonts w:ascii="Arial" w:cs="Arial" w:eastAsia="Arial" w:hAnsi="Arial"/>
          <w:sz w:val="14"/>
          <w:szCs w:val="14"/>
          <w:color w:val="262626"/>
        </w:rPr>
        <w:t>The Board and Company management remain committed to frequent and robust shareholder engagement. We have made important updates to our pay plans and corporate governance documents and policies based on our changing needs and the input we have received from engagements with our shareholders. Each change supports our business model and the aligning of our compensation with our performance goals. These changes include:</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Separating the positions of Chairman of the Board and CEO, and electing an independent director as Board Chair</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Commencing a significant Board refreshment process to meet our evolving needs and strengthen our Board’s diversity, skills and experience</w:t>
      </w:r>
    </w:p>
    <w:p>
      <w:pPr>
        <w:ind w:left="960" w:right="1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Restructuring the Company’s long-term incentive program to eliminate multi-year, cliff-vested “mega grants”, to implement performance-based awards for a</w:t>
      </w:r>
      <w:r>
        <w:rPr>
          <w:rFonts w:ascii="Arial" w:cs="Arial" w:eastAsia="Arial" w:hAnsi="Arial"/>
          <w:sz w:val="14"/>
          <w:szCs w:val="14"/>
          <w:color w:val="CC870F"/>
        </w:rPr>
        <w:t xml:space="preserve"> </w:t>
      </w:r>
      <w:r>
        <w:rPr>
          <w:rFonts w:ascii="Arial" w:cs="Arial" w:eastAsia="Arial" w:hAnsi="Arial"/>
          <w:sz w:val="14"/>
          <w:szCs w:val="14"/>
          <w:color w:val="262626"/>
        </w:rPr>
        <w:t>portion of NEO compensation and to extend equity to line-level management</w:t>
      </w:r>
    </w:p>
    <w:p>
      <w:pPr>
        <w:spacing w:after="0" w:line="1" w:lineRule="exact"/>
        <w:rPr>
          <w:sz w:val="20"/>
          <w:szCs w:val="20"/>
          <w:color w:val="auto"/>
        </w:rPr>
      </w:pPr>
    </w:p>
    <w:p>
      <w:pPr>
        <w:ind w:left="960" w:right="5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Meaningfully reducing CEO compensation to align with peers and eliminating substantially all CEO perquisites (other than those generally available to</w:t>
      </w:r>
      <w:r>
        <w:rPr>
          <w:rFonts w:ascii="Arial" w:cs="Arial" w:eastAsia="Arial" w:hAnsi="Arial"/>
          <w:sz w:val="14"/>
          <w:szCs w:val="14"/>
          <w:color w:val="CC870F"/>
        </w:rPr>
        <w:t xml:space="preserve"> </w:t>
      </w:r>
      <w:r>
        <w:rPr>
          <w:rFonts w:ascii="Arial" w:cs="Arial" w:eastAsia="Arial" w:hAnsi="Arial"/>
          <w:sz w:val="14"/>
          <w:szCs w:val="14"/>
          <w:color w:val="262626"/>
        </w:rPr>
        <w:t>management of the Company)</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Implementing a director retirement age policy</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Eliminating all excise tax-gross ups</w:t>
      </w:r>
    </w:p>
    <w:p>
      <w:pPr>
        <w:spacing w:after="0" w:line="170" w:lineRule="exact"/>
        <w:rPr>
          <w:sz w:val="20"/>
          <w:szCs w:val="20"/>
          <w:color w:val="auto"/>
        </w:rPr>
      </w:pPr>
    </w:p>
    <w:p>
      <w:pPr>
        <w:ind w:left="780" w:right="600"/>
        <w:spacing w:after="0" w:line="249" w:lineRule="auto"/>
        <w:rPr>
          <w:sz w:val="20"/>
          <w:szCs w:val="20"/>
          <w:color w:val="auto"/>
        </w:rPr>
      </w:pPr>
      <w:r>
        <w:rPr>
          <w:rFonts w:ascii="Arial" w:cs="Arial" w:eastAsia="Arial" w:hAnsi="Arial"/>
          <w:sz w:val="14"/>
          <w:szCs w:val="14"/>
          <w:color w:val="262626"/>
        </w:rPr>
        <w:t>The Compensation Discussion &amp; Analysis (CD&amp;A) outlines specific feedback received during our 2018 outreach which was directly related to executive compensation, and details specific steps taken in response to this shareholder input.</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BOARD COMPENSATION</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Directors who are not employees of the Company currently receive fees for service on the Board and Committees as follows: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01"/>
        </w:trPr>
        <w:tc>
          <w:tcPr>
            <w:tcW w:w="4500" w:type="dxa"/>
            <w:vAlign w:val="bottom"/>
            <w:tcBorders>
              <w:top w:val="single" w:sz="8" w:color="929292"/>
            </w:tcBorders>
          </w:tcPr>
          <w:p>
            <w:pPr>
              <w:spacing w:after="0"/>
              <w:rPr>
                <w:sz w:val="20"/>
                <w:szCs w:val="20"/>
                <w:color w:val="auto"/>
              </w:rPr>
            </w:pPr>
            <w:r>
              <w:rPr>
                <w:rFonts w:ascii="Arial" w:cs="Arial" w:eastAsia="Arial" w:hAnsi="Arial"/>
                <w:sz w:val="14"/>
                <w:szCs w:val="14"/>
                <w:color w:val="262626"/>
              </w:rPr>
              <w:t>Board Service</w:t>
            </w:r>
          </w:p>
        </w:tc>
        <w:tc>
          <w:tcPr>
            <w:tcW w:w="5360" w:type="dxa"/>
            <w:vAlign w:val="bottom"/>
            <w:tcBorders>
              <w:top w:val="single" w:sz="8" w:color="929292"/>
            </w:tcBorders>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Member monthly fee of $5,000</w:t>
            </w:r>
          </w:p>
        </w:tc>
      </w:tr>
      <w:tr>
        <w:trPr>
          <w:trHeight w:val="37"/>
        </w:trPr>
        <w:tc>
          <w:tcPr>
            <w:tcW w:w="4500" w:type="dxa"/>
            <w:vAlign w:val="bottom"/>
            <w:tcBorders>
              <w:bottom w:val="single" w:sz="8" w:color="C8C8C8"/>
            </w:tcBorders>
          </w:tcPr>
          <w:p>
            <w:pPr>
              <w:spacing w:after="0"/>
              <w:rPr>
                <w:sz w:val="3"/>
                <w:szCs w:val="3"/>
                <w:color w:val="auto"/>
              </w:rPr>
            </w:pPr>
          </w:p>
        </w:tc>
        <w:tc>
          <w:tcPr>
            <w:tcW w:w="5360" w:type="dxa"/>
            <w:vAlign w:val="bottom"/>
            <w:tcBorders>
              <w:bottom w:val="single" w:sz="8" w:color="C8C8C8"/>
            </w:tcBorders>
          </w:tcPr>
          <w:p>
            <w:pPr>
              <w:spacing w:after="0"/>
              <w:rPr>
                <w:sz w:val="3"/>
                <w:szCs w:val="3"/>
                <w:color w:val="auto"/>
              </w:rPr>
            </w:pPr>
          </w:p>
        </w:tc>
      </w:tr>
      <w:tr>
        <w:trPr>
          <w:trHeight w:val="170"/>
        </w:trPr>
        <w:tc>
          <w:tcPr>
            <w:tcW w:w="4500" w:type="dxa"/>
            <w:vAlign w:val="bottom"/>
          </w:tcPr>
          <w:p>
            <w:pPr>
              <w:spacing w:after="0"/>
              <w:rPr>
                <w:sz w:val="20"/>
                <w:szCs w:val="20"/>
                <w:color w:val="auto"/>
              </w:rPr>
            </w:pPr>
            <w:r>
              <w:rPr>
                <w:rFonts w:ascii="Arial" w:cs="Arial" w:eastAsia="Arial" w:hAnsi="Arial"/>
                <w:sz w:val="14"/>
                <w:szCs w:val="14"/>
                <w:color w:val="262626"/>
              </w:rPr>
              <w:t>Audit Committee Service</w:t>
            </w:r>
          </w:p>
        </w:tc>
        <w:tc>
          <w:tcPr>
            <w:tcW w:w="5360" w:type="dxa"/>
            <w:vAlign w:val="bottom"/>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Member monthly fee of $1,250</w:t>
            </w:r>
          </w:p>
        </w:tc>
      </w:tr>
      <w:tr>
        <w:trPr>
          <w:trHeight w:val="170"/>
        </w:trPr>
        <w:tc>
          <w:tcPr>
            <w:tcW w:w="4500" w:type="dxa"/>
            <w:vAlign w:val="bottom"/>
          </w:tcPr>
          <w:p>
            <w:pPr>
              <w:spacing w:after="0"/>
              <w:rPr>
                <w:sz w:val="14"/>
                <w:szCs w:val="14"/>
                <w:color w:val="auto"/>
              </w:rPr>
            </w:pPr>
          </w:p>
        </w:tc>
        <w:tc>
          <w:tcPr>
            <w:tcW w:w="5360" w:type="dxa"/>
            <w:vAlign w:val="bottom"/>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Chairman monthly fee of $2,500</w:t>
            </w:r>
          </w:p>
        </w:tc>
      </w:tr>
      <w:tr>
        <w:trPr>
          <w:trHeight w:val="51"/>
        </w:trPr>
        <w:tc>
          <w:tcPr>
            <w:tcW w:w="4500" w:type="dxa"/>
            <w:vAlign w:val="bottom"/>
            <w:tcBorders>
              <w:bottom w:val="single" w:sz="8" w:color="C8C8C8"/>
            </w:tcBorders>
          </w:tcPr>
          <w:p>
            <w:pPr>
              <w:spacing w:after="0"/>
              <w:rPr>
                <w:sz w:val="4"/>
                <w:szCs w:val="4"/>
                <w:color w:val="auto"/>
              </w:rPr>
            </w:pPr>
          </w:p>
        </w:tc>
        <w:tc>
          <w:tcPr>
            <w:tcW w:w="5360" w:type="dxa"/>
            <w:vAlign w:val="bottom"/>
            <w:tcBorders>
              <w:bottom w:val="single" w:sz="8" w:color="C8C8C8"/>
            </w:tcBorders>
          </w:tcPr>
          <w:p>
            <w:pPr>
              <w:spacing w:after="0"/>
              <w:rPr>
                <w:sz w:val="4"/>
                <w:szCs w:val="4"/>
                <w:color w:val="auto"/>
              </w:rPr>
            </w:pPr>
          </w:p>
        </w:tc>
      </w:tr>
      <w:tr>
        <w:trPr>
          <w:trHeight w:val="170"/>
        </w:trPr>
        <w:tc>
          <w:tcPr>
            <w:tcW w:w="4500" w:type="dxa"/>
            <w:vAlign w:val="bottom"/>
          </w:tcPr>
          <w:p>
            <w:pPr>
              <w:spacing w:after="0"/>
              <w:rPr>
                <w:sz w:val="20"/>
                <w:szCs w:val="20"/>
                <w:color w:val="auto"/>
              </w:rPr>
            </w:pPr>
            <w:r>
              <w:rPr>
                <w:rFonts w:ascii="Arial" w:cs="Arial" w:eastAsia="Arial" w:hAnsi="Arial"/>
                <w:sz w:val="14"/>
                <w:szCs w:val="14"/>
                <w:color w:val="262626"/>
              </w:rPr>
              <w:t>Compensation Committee Service</w:t>
            </w:r>
          </w:p>
        </w:tc>
        <w:tc>
          <w:tcPr>
            <w:tcW w:w="5360" w:type="dxa"/>
            <w:vAlign w:val="bottom"/>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Member monthly fee of $1,000</w:t>
            </w:r>
          </w:p>
        </w:tc>
      </w:tr>
      <w:tr>
        <w:trPr>
          <w:trHeight w:val="170"/>
        </w:trPr>
        <w:tc>
          <w:tcPr>
            <w:tcW w:w="4500" w:type="dxa"/>
            <w:vAlign w:val="bottom"/>
          </w:tcPr>
          <w:p>
            <w:pPr>
              <w:spacing w:after="0"/>
              <w:rPr>
                <w:sz w:val="14"/>
                <w:szCs w:val="14"/>
                <w:color w:val="auto"/>
              </w:rPr>
            </w:pPr>
          </w:p>
        </w:tc>
        <w:tc>
          <w:tcPr>
            <w:tcW w:w="5360" w:type="dxa"/>
            <w:vAlign w:val="bottom"/>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Chairman monthly fee of $2,000</w:t>
            </w:r>
          </w:p>
        </w:tc>
      </w:tr>
      <w:tr>
        <w:trPr>
          <w:trHeight w:val="51"/>
        </w:trPr>
        <w:tc>
          <w:tcPr>
            <w:tcW w:w="4500" w:type="dxa"/>
            <w:vAlign w:val="bottom"/>
            <w:tcBorders>
              <w:bottom w:val="single" w:sz="8" w:color="C8C8C8"/>
            </w:tcBorders>
          </w:tcPr>
          <w:p>
            <w:pPr>
              <w:spacing w:after="0"/>
              <w:rPr>
                <w:sz w:val="4"/>
                <w:szCs w:val="4"/>
                <w:color w:val="auto"/>
              </w:rPr>
            </w:pPr>
          </w:p>
        </w:tc>
        <w:tc>
          <w:tcPr>
            <w:tcW w:w="5360" w:type="dxa"/>
            <w:vAlign w:val="bottom"/>
            <w:tcBorders>
              <w:bottom w:val="single" w:sz="8" w:color="C8C8C8"/>
            </w:tcBorders>
          </w:tcPr>
          <w:p>
            <w:pPr>
              <w:spacing w:after="0"/>
              <w:rPr>
                <w:sz w:val="4"/>
                <w:szCs w:val="4"/>
                <w:color w:val="auto"/>
              </w:rPr>
            </w:pPr>
          </w:p>
        </w:tc>
      </w:tr>
      <w:tr>
        <w:trPr>
          <w:trHeight w:val="170"/>
        </w:trPr>
        <w:tc>
          <w:tcPr>
            <w:tcW w:w="4500" w:type="dxa"/>
            <w:vAlign w:val="bottom"/>
          </w:tcPr>
          <w:p>
            <w:pPr>
              <w:spacing w:after="0"/>
              <w:rPr>
                <w:sz w:val="20"/>
                <w:szCs w:val="20"/>
                <w:color w:val="auto"/>
              </w:rPr>
            </w:pPr>
            <w:r>
              <w:rPr>
                <w:rFonts w:ascii="Arial" w:cs="Arial" w:eastAsia="Arial" w:hAnsi="Arial"/>
                <w:sz w:val="14"/>
                <w:szCs w:val="14"/>
                <w:color w:val="262626"/>
              </w:rPr>
              <w:t>Nominating and Corporate Governance Committee Service</w:t>
            </w:r>
          </w:p>
        </w:tc>
        <w:tc>
          <w:tcPr>
            <w:tcW w:w="5360" w:type="dxa"/>
            <w:vAlign w:val="bottom"/>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Member monthly fee of $1,000</w:t>
            </w:r>
          </w:p>
        </w:tc>
      </w:tr>
      <w:tr>
        <w:trPr>
          <w:trHeight w:val="167"/>
        </w:trPr>
        <w:tc>
          <w:tcPr>
            <w:tcW w:w="4500" w:type="dxa"/>
            <w:vAlign w:val="bottom"/>
            <w:tcBorders>
              <w:bottom w:val="single" w:sz="8" w:color="929292"/>
            </w:tcBorders>
          </w:tcPr>
          <w:p>
            <w:pPr>
              <w:spacing w:after="0"/>
              <w:rPr>
                <w:sz w:val="14"/>
                <w:szCs w:val="14"/>
                <w:color w:val="auto"/>
              </w:rPr>
            </w:pPr>
          </w:p>
        </w:tc>
        <w:tc>
          <w:tcPr>
            <w:tcW w:w="5360" w:type="dxa"/>
            <w:vAlign w:val="bottom"/>
            <w:tcBorders>
              <w:bottom w:val="single" w:sz="8" w:color="929292"/>
            </w:tcBorders>
          </w:tcPr>
          <w:p>
            <w:pPr>
              <w:ind w:left="80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Chairman monthly fee of $2,000</w:t>
            </w:r>
          </w:p>
        </w:tc>
      </w:tr>
    </w:tbl>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13</w:t>
      </w:r>
    </w:p>
    <w:p>
      <w:pPr>
        <w:sectPr>
          <w:pgSz w:w="11900" w:h="16838" w:orient="portrait"/>
          <w:cols w:equalWidth="0" w:num="1">
            <w:col w:w="10800"/>
          </w:cols>
          <w:pgMar w:left="240" w:top="453" w:right="8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board and corporate governance</w:t>
      </w:r>
    </w:p>
    <w:p>
      <w:pPr>
        <w:spacing w:after="0" w:line="318" w:lineRule="exact"/>
        <w:rPr>
          <w:sz w:val="20"/>
          <w:szCs w:val="20"/>
          <w:color w:val="auto"/>
        </w:rPr>
      </w:pPr>
    </w:p>
    <w:p>
      <w:pPr>
        <w:ind w:left="780" w:right="20"/>
        <w:spacing w:after="0" w:line="238" w:lineRule="auto"/>
        <w:rPr>
          <w:sz w:val="20"/>
          <w:szCs w:val="20"/>
          <w:color w:val="auto"/>
        </w:rPr>
      </w:pPr>
      <w:r>
        <w:rPr>
          <w:rFonts w:ascii="Arial" w:cs="Arial" w:eastAsia="Arial" w:hAnsi="Arial"/>
          <w:sz w:val="14"/>
          <w:szCs w:val="14"/>
          <w:color w:val="262626"/>
        </w:rPr>
        <w:t xml:space="preserve">Each non-employee director also receives a $1,500 meeting fee for each Board or Committee meeting he or she attends. In addition, non-employee directors are granted annual equity awards in the form of stock options or restricted stock determined annually at a meeting of the Board. For 2018, each non-employee director received a grant of restricted stock equal in value to $250,000 (determined as of the May 15, 2018 grant date) that vests 25% per year on each of the first four anniversaries of the date of grant, subject to continued service through each vesting date. </w:t>
      </w:r>
      <w:r>
        <w:rPr>
          <w:rFonts w:ascii="Arial" w:cs="Arial" w:eastAsia="Arial" w:hAnsi="Arial"/>
          <w:sz w:val="14"/>
          <w:szCs w:val="14"/>
          <w:i w:val="1"/>
          <w:iCs w:val="1"/>
          <w:color w:val="262626"/>
        </w:rPr>
        <w:t>Ex officio</w:t>
      </w:r>
      <w:r>
        <w:rPr>
          <w:rFonts w:ascii="Arial" w:cs="Arial" w:eastAsia="Arial" w:hAnsi="Arial"/>
          <w:sz w:val="14"/>
          <w:szCs w:val="14"/>
          <w:color w:val="262626"/>
        </w:rPr>
        <w:t xml:space="preserve"> members of the Compliance Committee receive an annual retainer of $75,000. The Chairman and Vice-Chairman, if any, of the Board each receive an annual retainer of $100,000. All directors are provided complimentary room, food and beverage privileges at our properties and are reimbursed for any other out of pocket expenses related to their attendance at Board or Committee meetings or other corporate events. Directors from time to time may receive other benefits as discussed in the table below under “All Other Compensation.” The Company does not provide non-equity incentive plan awards or deferred compensation or retirement plans for non-employee directors.</w:t>
      </w:r>
    </w:p>
    <w:p>
      <w:pPr>
        <w:spacing w:after="0" w:line="166" w:lineRule="exact"/>
        <w:rPr>
          <w:sz w:val="20"/>
          <w:szCs w:val="20"/>
          <w:color w:val="auto"/>
        </w:rPr>
      </w:pPr>
    </w:p>
    <w:p>
      <w:pPr>
        <w:ind w:left="780" w:right="20"/>
        <w:spacing w:after="0" w:line="239" w:lineRule="auto"/>
        <w:rPr>
          <w:sz w:val="20"/>
          <w:szCs w:val="20"/>
          <w:color w:val="auto"/>
        </w:rPr>
      </w:pPr>
      <w:r>
        <w:rPr>
          <w:rFonts w:ascii="Arial" w:cs="Arial" w:eastAsia="Arial" w:hAnsi="Arial"/>
          <w:sz w:val="14"/>
          <w:szCs w:val="14"/>
          <w:color w:val="262626"/>
        </w:rPr>
        <w:t>In January 2018, the Board formed a Special Committee comprised solely of independent directors to, among other things, investigate certain allegations regarding Stephen A. Wynn and to conduct a comprehensive review of the Company’s internal policies and procedures with the goal of employing best practices to maintain a safe and respectful workplace for all employees. Each director serving on the Special Committee received the following fees: $10,000 one-time retainer; $2,000 attendance fee for each meeting of the Special Committee attended by such director in his or her capacity as the Chair of the Special Committee; and $1,000 attendance fee for each meeting of the Special Committee attended by such director in his or her capacity as a member of the Special Committee. After it completed its review, the Special Committee was dissolved in February 2019.</w:t>
      </w:r>
    </w:p>
    <w:p>
      <w:pPr>
        <w:spacing w:after="0" w:line="177" w:lineRule="exact"/>
        <w:rPr>
          <w:sz w:val="20"/>
          <w:szCs w:val="20"/>
          <w:color w:val="auto"/>
        </w:rPr>
      </w:pPr>
    </w:p>
    <w:p>
      <w:pPr>
        <w:ind w:left="780" w:right="40"/>
        <w:spacing w:after="0" w:line="238" w:lineRule="auto"/>
        <w:rPr>
          <w:sz w:val="20"/>
          <w:szCs w:val="20"/>
          <w:color w:val="auto"/>
        </w:rPr>
      </w:pPr>
      <w:r>
        <w:rPr>
          <w:rFonts w:ascii="Arial" w:cs="Arial" w:eastAsia="Arial" w:hAnsi="Arial"/>
          <w:sz w:val="14"/>
          <w:szCs w:val="14"/>
          <w:color w:val="262626"/>
        </w:rPr>
        <w:t>In February 2018, the Board formed a Demand Review Committee comprised solely of independent directors to, among other things, review, investigate, and make recommendations to the Board concerning communications the Board or the Company receive from, or on behalf of shareholders, regarding allegations against Stephen A. Wynn or the Company, as well as any related facts, allegations or circumstances that came to the attention of the Demand Review Committee. The Demand Review Committee receives the following fees: $10,000 one-time retainer; $2,000 attendance fee for each meeting of the Demand Review Committee attended by such director in his or her capacity as the Chair of the Demand Review Committee; and $1,000 attendance fee for each meeting of the Demand Review Committee attended by such director in his or her capacity as a member of the Demand Review Committee. On December 17, 2018, the Board, upon the recommendation of the Demand Review Committee, suspended the work of the Demand Review Committee, pending the Special Litigation Committee’s investigation with respect to the plaintiffs’ derivative claims discussed under “Certain Legal Proceedings.”</w:t>
      </w:r>
    </w:p>
    <w:p>
      <w:pPr>
        <w:spacing w:after="0" w:line="166" w:lineRule="exact"/>
        <w:rPr>
          <w:sz w:val="20"/>
          <w:szCs w:val="20"/>
          <w:color w:val="auto"/>
        </w:rPr>
      </w:pPr>
    </w:p>
    <w:p>
      <w:pPr>
        <w:ind w:left="780" w:right="60"/>
        <w:spacing w:after="0" w:line="241" w:lineRule="auto"/>
        <w:rPr>
          <w:sz w:val="20"/>
          <w:szCs w:val="20"/>
          <w:color w:val="auto"/>
        </w:rPr>
      </w:pPr>
      <w:r>
        <w:rPr>
          <w:rFonts w:ascii="Arial" w:cs="Arial" w:eastAsia="Arial" w:hAnsi="Arial"/>
          <w:sz w:val="14"/>
          <w:szCs w:val="14"/>
          <w:color w:val="262626"/>
        </w:rPr>
        <w:t>In September 2018, the Board formed a Special Litigation Committee comprised solely of independent directors and a member of the Company’s Compliance Committee to, among other things, investigate the plaintiffs’ derivative claims discussed under “Certain Legal Proceedings” and determine whether it is in the Company’s best interest to pursue them. The Special Litigation Committee receives the following fees: $10,000 one-time retainer; $2,000 attendance fee for each meeting of the Special Litigation Committee attended by such director in his or her capacity as the Chair or member of the Special Litigation Committee.</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NON-EMPLOYEE DIRECTOR COMPENSATION TABLE</w:t>
      </w:r>
    </w:p>
    <w:p>
      <w:pPr>
        <w:spacing w:after="0" w:line="79" w:lineRule="exact"/>
        <w:rPr>
          <w:sz w:val="20"/>
          <w:szCs w:val="20"/>
          <w:color w:val="auto"/>
        </w:rPr>
      </w:pPr>
    </w:p>
    <w:p>
      <w:pPr>
        <w:ind w:left="780" w:right="760"/>
        <w:spacing w:after="0" w:line="249" w:lineRule="auto"/>
        <w:rPr>
          <w:sz w:val="20"/>
          <w:szCs w:val="20"/>
          <w:color w:val="auto"/>
        </w:rPr>
      </w:pPr>
      <w:r>
        <w:rPr>
          <w:rFonts w:ascii="Arial" w:cs="Arial" w:eastAsia="Arial" w:hAnsi="Arial"/>
          <w:sz w:val="14"/>
          <w:szCs w:val="14"/>
          <w:color w:val="262626"/>
        </w:rPr>
        <w:t>The table below summarizes the total compensation awarded to, earned by or paid to each of the non-employee directors for the fiscal year ended December 31, 2018.</w:t>
      </w:r>
    </w:p>
    <w:p>
      <w:pPr>
        <w:spacing w:after="0" w:line="218"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3680" w:type="dxa"/>
            <w:vAlign w:val="bottom"/>
            <w:shd w:val="clear" w:color="auto" w:fill="A39B8C"/>
          </w:tcPr>
          <w:p>
            <w:pPr>
              <w:spacing w:after="0"/>
              <w:rPr>
                <w:sz w:val="9"/>
                <w:szCs w:val="9"/>
                <w:color w:val="auto"/>
              </w:rPr>
            </w:pPr>
          </w:p>
        </w:tc>
        <w:tc>
          <w:tcPr>
            <w:tcW w:w="480" w:type="dxa"/>
            <w:vAlign w:val="bottom"/>
            <w:shd w:val="clear" w:color="auto" w:fill="A39B8C"/>
          </w:tcPr>
          <w:p>
            <w:pPr>
              <w:spacing w:after="0"/>
              <w:rPr>
                <w:sz w:val="9"/>
                <w:szCs w:val="9"/>
                <w:color w:val="auto"/>
              </w:rPr>
            </w:pPr>
          </w:p>
        </w:tc>
        <w:tc>
          <w:tcPr>
            <w:tcW w:w="660" w:type="dxa"/>
            <w:vAlign w:val="bottom"/>
            <w:shd w:val="clear" w:color="auto" w:fill="A39B8C"/>
          </w:tcPr>
          <w:p>
            <w:pPr>
              <w:jc w:val="right"/>
              <w:ind w:right="229"/>
              <w:spacing w:after="0"/>
              <w:rPr>
                <w:sz w:val="20"/>
                <w:szCs w:val="20"/>
                <w:color w:val="auto"/>
              </w:rPr>
            </w:pPr>
            <w:r>
              <w:rPr>
                <w:rFonts w:ascii="Arial" w:cs="Arial" w:eastAsia="Arial" w:hAnsi="Arial"/>
                <w:sz w:val="9"/>
                <w:szCs w:val="9"/>
                <w:b w:val="1"/>
                <w:bCs w:val="1"/>
                <w:color w:val="FFFFFF"/>
              </w:rPr>
              <w:t>FEES</w:t>
            </w:r>
          </w:p>
        </w:tc>
        <w:tc>
          <w:tcPr>
            <w:tcW w:w="500" w:type="dxa"/>
            <w:vAlign w:val="bottom"/>
            <w:shd w:val="clear" w:color="auto" w:fill="A39B8C"/>
          </w:tcPr>
          <w:p>
            <w:pPr>
              <w:spacing w:after="0"/>
              <w:rPr>
                <w:sz w:val="9"/>
                <w:szCs w:val="9"/>
                <w:color w:val="auto"/>
              </w:rPr>
            </w:pPr>
          </w:p>
        </w:tc>
        <w:tc>
          <w:tcPr>
            <w:tcW w:w="740" w:type="dxa"/>
            <w:vAlign w:val="bottom"/>
            <w:shd w:val="clear" w:color="auto" w:fill="A39B8C"/>
          </w:tcPr>
          <w:p>
            <w:pPr>
              <w:spacing w:after="0"/>
              <w:rPr>
                <w:sz w:val="9"/>
                <w:szCs w:val="9"/>
                <w:color w:val="auto"/>
              </w:rPr>
            </w:pPr>
          </w:p>
        </w:tc>
        <w:tc>
          <w:tcPr>
            <w:tcW w:w="440" w:type="dxa"/>
            <w:vAlign w:val="bottom"/>
            <w:shd w:val="clear" w:color="auto" w:fill="A39B8C"/>
          </w:tcPr>
          <w:p>
            <w:pPr>
              <w:spacing w:after="0"/>
              <w:rPr>
                <w:sz w:val="9"/>
                <w:szCs w:val="9"/>
                <w:color w:val="auto"/>
              </w:rPr>
            </w:pPr>
          </w:p>
        </w:tc>
        <w:tc>
          <w:tcPr>
            <w:tcW w:w="800" w:type="dxa"/>
            <w:vAlign w:val="bottom"/>
            <w:shd w:val="clear" w:color="auto" w:fill="A39B8C"/>
          </w:tcPr>
          <w:p>
            <w:pPr>
              <w:spacing w:after="0"/>
              <w:rPr>
                <w:sz w:val="9"/>
                <w:szCs w:val="9"/>
                <w:color w:val="auto"/>
              </w:rPr>
            </w:pPr>
          </w:p>
        </w:tc>
        <w:tc>
          <w:tcPr>
            <w:tcW w:w="780" w:type="dxa"/>
            <w:vAlign w:val="bottom"/>
            <w:shd w:val="clear" w:color="auto" w:fill="A39B8C"/>
          </w:tcPr>
          <w:p>
            <w:pPr>
              <w:spacing w:after="0"/>
              <w:rPr>
                <w:sz w:val="9"/>
                <w:szCs w:val="9"/>
                <w:color w:val="auto"/>
              </w:rPr>
            </w:pPr>
          </w:p>
        </w:tc>
        <w:tc>
          <w:tcPr>
            <w:tcW w:w="700" w:type="dxa"/>
            <w:vAlign w:val="bottom"/>
            <w:shd w:val="clear" w:color="auto" w:fill="A39B8C"/>
          </w:tcPr>
          <w:p>
            <w:pPr>
              <w:spacing w:after="0"/>
              <w:rPr>
                <w:sz w:val="9"/>
                <w:szCs w:val="9"/>
                <w:color w:val="auto"/>
              </w:rPr>
            </w:pPr>
          </w:p>
        </w:tc>
        <w:tc>
          <w:tcPr>
            <w:tcW w:w="460" w:type="dxa"/>
            <w:vAlign w:val="bottom"/>
            <w:shd w:val="clear" w:color="auto" w:fill="A39B8C"/>
          </w:tcPr>
          <w:p>
            <w:pPr>
              <w:spacing w:after="0"/>
              <w:rPr>
                <w:sz w:val="9"/>
                <w:szCs w:val="9"/>
                <w:color w:val="auto"/>
              </w:rPr>
            </w:pPr>
          </w:p>
        </w:tc>
        <w:tc>
          <w:tcPr>
            <w:tcW w:w="620" w:type="dxa"/>
            <w:vAlign w:val="bottom"/>
            <w:shd w:val="clear" w:color="auto" w:fill="A39B8C"/>
          </w:tcPr>
          <w:p>
            <w:pPr>
              <w:spacing w:after="0"/>
              <w:rPr>
                <w:sz w:val="9"/>
                <w:szCs w:val="9"/>
                <w:color w:val="auto"/>
              </w:rPr>
            </w:pPr>
          </w:p>
        </w:tc>
        <w:tc>
          <w:tcPr>
            <w:tcW w:w="20" w:type="dxa"/>
            <w:vAlign w:val="bottom"/>
            <w:shd w:val="clear" w:color="auto" w:fill="A39B8C"/>
          </w:tcPr>
          <w:p>
            <w:pPr>
              <w:spacing w:after="0"/>
              <w:rPr>
                <w:sz w:val="9"/>
                <w:szCs w:val="9"/>
                <w:color w:val="auto"/>
              </w:rPr>
            </w:pPr>
          </w:p>
        </w:tc>
      </w:tr>
      <w:tr>
        <w:trPr>
          <w:trHeight w:val="103"/>
        </w:trPr>
        <w:tc>
          <w:tcPr>
            <w:tcW w:w="3680" w:type="dxa"/>
            <w:vAlign w:val="bottom"/>
            <w:shd w:val="clear" w:color="auto" w:fill="A39B8C"/>
          </w:tcPr>
          <w:p>
            <w:pPr>
              <w:spacing w:after="0"/>
              <w:rPr>
                <w:sz w:val="8"/>
                <w:szCs w:val="8"/>
                <w:color w:val="auto"/>
              </w:rPr>
            </w:pPr>
          </w:p>
        </w:tc>
        <w:tc>
          <w:tcPr>
            <w:tcW w:w="1140" w:type="dxa"/>
            <w:vAlign w:val="bottom"/>
            <w:gridSpan w:val="2"/>
            <w:shd w:val="clear" w:color="auto" w:fill="A39B8C"/>
          </w:tcPr>
          <w:p>
            <w:pPr>
              <w:jc w:val="right"/>
              <w:ind w:right="229"/>
              <w:spacing w:after="0"/>
              <w:rPr>
                <w:sz w:val="20"/>
                <w:szCs w:val="20"/>
                <w:color w:val="auto"/>
              </w:rPr>
            </w:pPr>
            <w:r>
              <w:rPr>
                <w:rFonts w:ascii="Arial" w:cs="Arial" w:eastAsia="Arial" w:hAnsi="Arial"/>
                <w:sz w:val="9"/>
                <w:szCs w:val="9"/>
                <w:b w:val="1"/>
                <w:bCs w:val="1"/>
                <w:color w:val="FFFFFF"/>
              </w:rPr>
              <w:t>EARNED OR</w:t>
            </w:r>
          </w:p>
        </w:tc>
        <w:tc>
          <w:tcPr>
            <w:tcW w:w="500" w:type="dxa"/>
            <w:vAlign w:val="bottom"/>
            <w:shd w:val="clear" w:color="auto" w:fill="A39B8C"/>
          </w:tcPr>
          <w:p>
            <w:pPr>
              <w:spacing w:after="0"/>
              <w:rPr>
                <w:sz w:val="8"/>
                <w:szCs w:val="8"/>
                <w:color w:val="auto"/>
              </w:rPr>
            </w:pPr>
          </w:p>
        </w:tc>
        <w:tc>
          <w:tcPr>
            <w:tcW w:w="740" w:type="dxa"/>
            <w:vAlign w:val="bottom"/>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STOCK</w:t>
            </w:r>
          </w:p>
        </w:tc>
        <w:tc>
          <w:tcPr>
            <w:tcW w:w="440" w:type="dxa"/>
            <w:vAlign w:val="bottom"/>
            <w:shd w:val="clear" w:color="auto" w:fill="A39B8C"/>
          </w:tcPr>
          <w:p>
            <w:pPr>
              <w:spacing w:after="0"/>
              <w:rPr>
                <w:sz w:val="8"/>
                <w:szCs w:val="8"/>
                <w:color w:val="auto"/>
              </w:rPr>
            </w:pPr>
          </w:p>
        </w:tc>
        <w:tc>
          <w:tcPr>
            <w:tcW w:w="800" w:type="dxa"/>
            <w:vAlign w:val="bottom"/>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OPTION</w:t>
            </w:r>
          </w:p>
        </w:tc>
        <w:tc>
          <w:tcPr>
            <w:tcW w:w="1480" w:type="dxa"/>
            <w:vAlign w:val="bottom"/>
            <w:gridSpan w:val="2"/>
            <w:shd w:val="clear" w:color="auto" w:fill="A39B8C"/>
          </w:tcPr>
          <w:p>
            <w:pPr>
              <w:jc w:val="right"/>
              <w:ind w:right="348"/>
              <w:spacing w:after="0"/>
              <w:rPr>
                <w:sz w:val="20"/>
                <w:szCs w:val="20"/>
                <w:color w:val="auto"/>
              </w:rPr>
            </w:pPr>
            <w:r>
              <w:rPr>
                <w:rFonts w:ascii="Arial" w:cs="Arial" w:eastAsia="Arial" w:hAnsi="Arial"/>
                <w:sz w:val="9"/>
                <w:szCs w:val="9"/>
                <w:b w:val="1"/>
                <w:bCs w:val="1"/>
                <w:color w:val="FFFFFF"/>
              </w:rPr>
              <w:t>ALL OTHER</w:t>
            </w:r>
          </w:p>
        </w:tc>
        <w:tc>
          <w:tcPr>
            <w:tcW w:w="460" w:type="dxa"/>
            <w:vAlign w:val="bottom"/>
            <w:shd w:val="clear" w:color="auto" w:fill="A39B8C"/>
          </w:tcPr>
          <w:p>
            <w:pPr>
              <w:spacing w:after="0"/>
              <w:rPr>
                <w:sz w:val="8"/>
                <w:szCs w:val="8"/>
                <w:color w:val="auto"/>
              </w:rPr>
            </w:pPr>
          </w:p>
        </w:tc>
        <w:tc>
          <w:tcPr>
            <w:tcW w:w="620" w:type="dxa"/>
            <w:vAlign w:val="bottom"/>
            <w:shd w:val="clear" w:color="auto" w:fill="A39B8C"/>
          </w:tcPr>
          <w:p>
            <w:pPr>
              <w:spacing w:after="0"/>
              <w:rPr>
                <w:sz w:val="8"/>
                <w:szCs w:val="8"/>
                <w:color w:val="auto"/>
              </w:rPr>
            </w:pPr>
          </w:p>
        </w:tc>
        <w:tc>
          <w:tcPr>
            <w:tcW w:w="20" w:type="dxa"/>
            <w:vAlign w:val="bottom"/>
            <w:shd w:val="clear" w:color="auto" w:fill="A39B8C"/>
          </w:tcPr>
          <w:p>
            <w:pPr>
              <w:spacing w:after="0"/>
              <w:rPr>
                <w:sz w:val="8"/>
                <w:szCs w:val="8"/>
                <w:color w:val="auto"/>
              </w:rPr>
            </w:pPr>
          </w:p>
        </w:tc>
      </w:tr>
      <w:tr>
        <w:trPr>
          <w:trHeight w:val="93"/>
        </w:trPr>
        <w:tc>
          <w:tcPr>
            <w:tcW w:w="3680" w:type="dxa"/>
            <w:vAlign w:val="bottom"/>
            <w:shd w:val="clear" w:color="auto" w:fill="A39B8C"/>
          </w:tcPr>
          <w:p>
            <w:pPr>
              <w:spacing w:after="0"/>
              <w:rPr>
                <w:sz w:val="8"/>
                <w:szCs w:val="8"/>
                <w:color w:val="auto"/>
              </w:rPr>
            </w:pPr>
          </w:p>
        </w:tc>
        <w:tc>
          <w:tcPr>
            <w:tcW w:w="1140" w:type="dxa"/>
            <w:vAlign w:val="bottom"/>
            <w:gridSpan w:val="2"/>
            <w:shd w:val="clear" w:color="auto" w:fill="A39B8C"/>
          </w:tcPr>
          <w:p>
            <w:pPr>
              <w:jc w:val="right"/>
              <w:ind w:right="209"/>
              <w:spacing w:after="0" w:line="93" w:lineRule="exact"/>
              <w:rPr>
                <w:sz w:val="20"/>
                <w:szCs w:val="20"/>
                <w:color w:val="auto"/>
              </w:rPr>
            </w:pPr>
            <w:r>
              <w:rPr>
                <w:rFonts w:ascii="Arial" w:cs="Arial" w:eastAsia="Arial" w:hAnsi="Arial"/>
                <w:sz w:val="9"/>
                <w:szCs w:val="9"/>
                <w:b w:val="1"/>
                <w:bCs w:val="1"/>
                <w:color w:val="FFFFFF"/>
              </w:rPr>
              <w:t>PAID IN CASH</w:t>
            </w:r>
          </w:p>
        </w:tc>
        <w:tc>
          <w:tcPr>
            <w:tcW w:w="500" w:type="dxa"/>
            <w:vAlign w:val="bottom"/>
            <w:shd w:val="clear" w:color="auto" w:fill="A39B8C"/>
          </w:tcPr>
          <w:p>
            <w:pPr>
              <w:spacing w:after="0"/>
              <w:rPr>
                <w:sz w:val="8"/>
                <w:szCs w:val="8"/>
                <w:color w:val="auto"/>
              </w:rPr>
            </w:pPr>
          </w:p>
        </w:tc>
        <w:tc>
          <w:tcPr>
            <w:tcW w:w="740" w:type="dxa"/>
            <w:vAlign w:val="bottom"/>
            <w:shd w:val="clear" w:color="auto" w:fill="A39B8C"/>
          </w:tcPr>
          <w:p>
            <w:pPr>
              <w:jc w:val="right"/>
              <w:ind w:right="310"/>
              <w:spacing w:after="0" w:line="93" w:lineRule="exact"/>
              <w:rPr>
                <w:sz w:val="20"/>
                <w:szCs w:val="20"/>
                <w:color w:val="auto"/>
              </w:rPr>
            </w:pPr>
            <w:r>
              <w:rPr>
                <w:rFonts w:ascii="Arial" w:cs="Arial" w:eastAsia="Arial" w:hAnsi="Arial"/>
                <w:sz w:val="9"/>
                <w:szCs w:val="9"/>
                <w:b w:val="1"/>
                <w:bCs w:val="1"/>
                <w:color w:val="FFFFFF"/>
                <w:w w:val="88"/>
              </w:rPr>
              <w:t>AWARDS</w:t>
            </w:r>
          </w:p>
        </w:tc>
        <w:tc>
          <w:tcPr>
            <w:tcW w:w="440" w:type="dxa"/>
            <w:vAlign w:val="bottom"/>
            <w:shd w:val="clear" w:color="auto" w:fill="A39B8C"/>
          </w:tcPr>
          <w:p>
            <w:pPr>
              <w:spacing w:after="0"/>
              <w:rPr>
                <w:sz w:val="8"/>
                <w:szCs w:val="8"/>
                <w:color w:val="auto"/>
              </w:rPr>
            </w:pPr>
          </w:p>
        </w:tc>
        <w:tc>
          <w:tcPr>
            <w:tcW w:w="800" w:type="dxa"/>
            <w:vAlign w:val="bottom"/>
            <w:shd w:val="clear" w:color="auto" w:fill="A39B8C"/>
          </w:tcPr>
          <w:p>
            <w:pPr>
              <w:jc w:val="right"/>
              <w:ind w:right="310"/>
              <w:spacing w:after="0" w:line="93" w:lineRule="exact"/>
              <w:rPr>
                <w:sz w:val="20"/>
                <w:szCs w:val="20"/>
                <w:color w:val="auto"/>
              </w:rPr>
            </w:pPr>
            <w:r>
              <w:rPr>
                <w:rFonts w:ascii="Arial" w:cs="Arial" w:eastAsia="Arial" w:hAnsi="Arial"/>
                <w:sz w:val="9"/>
                <w:szCs w:val="9"/>
                <w:b w:val="1"/>
                <w:bCs w:val="1"/>
                <w:color w:val="FFFFFF"/>
              </w:rPr>
              <w:t>AWARDS</w:t>
            </w:r>
          </w:p>
        </w:tc>
        <w:tc>
          <w:tcPr>
            <w:tcW w:w="1480" w:type="dxa"/>
            <w:vAlign w:val="bottom"/>
            <w:gridSpan w:val="2"/>
            <w:shd w:val="clear" w:color="auto" w:fill="A39B8C"/>
          </w:tcPr>
          <w:p>
            <w:pPr>
              <w:jc w:val="center"/>
              <w:spacing w:after="0" w:line="93" w:lineRule="exact"/>
              <w:rPr>
                <w:sz w:val="20"/>
                <w:szCs w:val="20"/>
                <w:color w:val="auto"/>
              </w:rPr>
            </w:pPr>
            <w:r>
              <w:rPr>
                <w:rFonts w:ascii="Arial" w:cs="Arial" w:eastAsia="Arial" w:hAnsi="Arial"/>
                <w:sz w:val="9"/>
                <w:szCs w:val="9"/>
                <w:b w:val="1"/>
                <w:bCs w:val="1"/>
                <w:color w:val="FFFFFF"/>
                <w:w w:val="97"/>
              </w:rPr>
              <w:t>COMPENSATION</w:t>
            </w:r>
          </w:p>
        </w:tc>
        <w:tc>
          <w:tcPr>
            <w:tcW w:w="460" w:type="dxa"/>
            <w:vAlign w:val="bottom"/>
            <w:shd w:val="clear" w:color="auto" w:fill="A39B8C"/>
          </w:tcPr>
          <w:p>
            <w:pPr>
              <w:spacing w:after="0"/>
              <w:rPr>
                <w:sz w:val="8"/>
                <w:szCs w:val="8"/>
                <w:color w:val="auto"/>
              </w:rPr>
            </w:pPr>
          </w:p>
        </w:tc>
        <w:tc>
          <w:tcPr>
            <w:tcW w:w="620" w:type="dxa"/>
            <w:vAlign w:val="bottom"/>
            <w:shd w:val="clear" w:color="auto" w:fill="A39B8C"/>
          </w:tcPr>
          <w:p>
            <w:pPr>
              <w:jc w:val="right"/>
              <w:ind w:right="169"/>
              <w:spacing w:after="0" w:line="93" w:lineRule="exact"/>
              <w:rPr>
                <w:sz w:val="20"/>
                <w:szCs w:val="20"/>
                <w:color w:val="auto"/>
              </w:rPr>
            </w:pPr>
            <w:r>
              <w:rPr>
                <w:rFonts w:ascii="Arial" w:cs="Arial" w:eastAsia="Arial" w:hAnsi="Arial"/>
                <w:sz w:val="9"/>
                <w:szCs w:val="9"/>
                <w:b w:val="1"/>
                <w:bCs w:val="1"/>
                <w:color w:val="FFFFFF"/>
              </w:rPr>
              <w:t>TOTAL</w:t>
            </w:r>
          </w:p>
        </w:tc>
        <w:tc>
          <w:tcPr>
            <w:tcW w:w="20" w:type="dxa"/>
            <w:vAlign w:val="bottom"/>
            <w:shd w:val="clear" w:color="auto" w:fill="A39B8C"/>
          </w:tcPr>
          <w:p>
            <w:pPr>
              <w:spacing w:after="0"/>
              <w:rPr>
                <w:sz w:val="8"/>
                <w:szCs w:val="8"/>
                <w:color w:val="auto"/>
              </w:rPr>
            </w:pPr>
          </w:p>
        </w:tc>
      </w:tr>
      <w:tr>
        <w:trPr>
          <w:trHeight w:val="139"/>
        </w:trPr>
        <w:tc>
          <w:tcPr>
            <w:tcW w:w="36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w:t>
            </w:r>
          </w:p>
        </w:tc>
        <w:tc>
          <w:tcPr>
            <w:tcW w:w="480" w:type="dxa"/>
            <w:vAlign w:val="bottom"/>
            <w:tcBorders>
              <w:bottom w:val="single" w:sz="8" w:color="A39B8C"/>
            </w:tcBorders>
            <w:shd w:val="clear" w:color="auto" w:fill="A39B8C"/>
          </w:tcPr>
          <w:p>
            <w:pPr>
              <w:spacing w:after="0"/>
              <w:rPr>
                <w:sz w:val="12"/>
                <w:szCs w:val="12"/>
                <w:color w:val="auto"/>
              </w:rPr>
            </w:pPr>
          </w:p>
        </w:tc>
        <w:tc>
          <w:tcPr>
            <w:tcW w:w="660" w:type="dxa"/>
            <w:vAlign w:val="bottom"/>
            <w:tcBorders>
              <w:bottom w:val="single" w:sz="8" w:color="A39B8C"/>
            </w:tcBorders>
            <w:shd w:val="clear" w:color="auto" w:fill="A39B8C"/>
          </w:tcPr>
          <w:p>
            <w:pPr>
              <w:jc w:val="right"/>
              <w:ind w:right="229"/>
              <w:spacing w:after="0"/>
              <w:rPr>
                <w:sz w:val="20"/>
                <w:szCs w:val="20"/>
                <w:color w:val="auto"/>
              </w:rPr>
            </w:pPr>
            <w:r>
              <w:rPr>
                <w:rFonts w:ascii="Arial" w:cs="Arial" w:eastAsia="Arial" w:hAnsi="Arial"/>
                <w:sz w:val="9"/>
                <w:szCs w:val="9"/>
                <w:b w:val="1"/>
                <w:bCs w:val="1"/>
                <w:color w:val="FFFFFF"/>
              </w:rPr>
              <w:t>($)</w:t>
            </w:r>
          </w:p>
        </w:tc>
        <w:tc>
          <w:tcPr>
            <w:tcW w:w="500" w:type="dxa"/>
            <w:vAlign w:val="bottom"/>
            <w:tcBorders>
              <w:bottom w:val="single" w:sz="8" w:color="A39B8C"/>
            </w:tcBorders>
            <w:shd w:val="clear" w:color="auto" w:fill="A39B8C"/>
          </w:tcPr>
          <w:p>
            <w:pPr>
              <w:spacing w:after="0"/>
              <w:rPr>
                <w:sz w:val="12"/>
                <w:szCs w:val="12"/>
                <w:color w:val="auto"/>
              </w:rPr>
            </w:pPr>
          </w:p>
        </w:tc>
        <w:tc>
          <w:tcPr>
            <w:tcW w:w="740" w:type="dxa"/>
            <w:vAlign w:val="bottom"/>
            <w:tcBorders>
              <w:bottom w:val="single" w:sz="8" w:color="A39B8C"/>
            </w:tcBorders>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(1)</w:t>
            </w:r>
          </w:p>
        </w:tc>
        <w:tc>
          <w:tcPr>
            <w:tcW w:w="440" w:type="dxa"/>
            <w:vAlign w:val="bottom"/>
            <w:tcBorders>
              <w:bottom w:val="single" w:sz="8" w:color="A39B8C"/>
            </w:tcBorders>
            <w:shd w:val="clear" w:color="auto" w:fill="A39B8C"/>
          </w:tcPr>
          <w:p>
            <w:pPr>
              <w:spacing w:after="0"/>
              <w:rPr>
                <w:sz w:val="12"/>
                <w:szCs w:val="12"/>
                <w:color w:val="auto"/>
              </w:rPr>
            </w:pPr>
          </w:p>
        </w:tc>
        <w:tc>
          <w:tcPr>
            <w:tcW w:w="800" w:type="dxa"/>
            <w:vAlign w:val="bottom"/>
            <w:tcBorders>
              <w:bottom w:val="single" w:sz="8" w:color="A39B8C"/>
            </w:tcBorders>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(2)</w:t>
            </w:r>
          </w:p>
        </w:tc>
        <w:tc>
          <w:tcPr>
            <w:tcW w:w="780" w:type="dxa"/>
            <w:vAlign w:val="bottom"/>
            <w:tcBorders>
              <w:bottom w:val="single" w:sz="8" w:color="A39B8C"/>
            </w:tcBorders>
            <w:shd w:val="clear" w:color="auto" w:fill="A39B8C"/>
          </w:tcPr>
          <w:p>
            <w:pPr>
              <w:spacing w:after="0"/>
              <w:rPr>
                <w:sz w:val="12"/>
                <w:szCs w:val="12"/>
                <w:color w:val="auto"/>
              </w:rPr>
            </w:pPr>
          </w:p>
        </w:tc>
        <w:tc>
          <w:tcPr>
            <w:tcW w:w="700" w:type="dxa"/>
            <w:vAlign w:val="bottom"/>
            <w:tcBorders>
              <w:bottom w:val="single" w:sz="8" w:color="A39B8C"/>
            </w:tcBorders>
            <w:shd w:val="clear" w:color="auto" w:fill="A39B8C"/>
          </w:tcPr>
          <w:p>
            <w:pPr>
              <w:jc w:val="right"/>
              <w:ind w:right="328"/>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(3)</w:t>
            </w:r>
          </w:p>
        </w:tc>
        <w:tc>
          <w:tcPr>
            <w:tcW w:w="460" w:type="dxa"/>
            <w:vAlign w:val="bottom"/>
            <w:tcBorders>
              <w:bottom w:val="single" w:sz="8" w:color="A39B8C"/>
            </w:tcBorders>
            <w:shd w:val="clear" w:color="auto" w:fill="A39B8C"/>
          </w:tcPr>
          <w:p>
            <w:pPr>
              <w:spacing w:after="0"/>
              <w:rPr>
                <w:sz w:val="12"/>
                <w:szCs w:val="12"/>
                <w:color w:val="auto"/>
              </w:rPr>
            </w:pPr>
          </w:p>
        </w:tc>
        <w:tc>
          <w:tcPr>
            <w:tcW w:w="620" w:type="dxa"/>
            <w:vAlign w:val="bottom"/>
            <w:tcBorders>
              <w:bottom w:val="single" w:sz="8" w:color="A39B8C"/>
            </w:tcBorders>
            <w:shd w:val="clear" w:color="auto" w:fill="A39B8C"/>
          </w:tcPr>
          <w:p>
            <w:pPr>
              <w:jc w:val="right"/>
              <w:ind w:right="169"/>
              <w:spacing w:after="0"/>
              <w:rPr>
                <w:sz w:val="20"/>
                <w:szCs w:val="20"/>
                <w:color w:val="auto"/>
              </w:rPr>
            </w:pPr>
            <w:r>
              <w:rPr>
                <w:rFonts w:ascii="Arial" w:cs="Arial" w:eastAsia="Arial" w:hAnsi="Arial"/>
                <w:sz w:val="9"/>
                <w:szCs w:val="9"/>
                <w:b w:val="1"/>
                <w:bCs w:val="1"/>
                <w:color w:val="FFFFFF"/>
              </w:rPr>
              <w:t>($)</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9"/>
        </w:trPr>
        <w:tc>
          <w:tcPr>
            <w:tcW w:w="3680" w:type="dxa"/>
            <w:vAlign w:val="bottom"/>
          </w:tcPr>
          <w:p>
            <w:pPr>
              <w:ind w:left="80"/>
              <w:spacing w:after="0"/>
              <w:rPr>
                <w:sz w:val="20"/>
                <w:szCs w:val="20"/>
                <w:color w:val="auto"/>
              </w:rPr>
            </w:pPr>
            <w:r>
              <w:rPr>
                <w:rFonts w:ascii="Arial" w:cs="Arial" w:eastAsia="Arial" w:hAnsi="Arial"/>
                <w:sz w:val="11"/>
                <w:szCs w:val="11"/>
                <w:color w:val="262626"/>
              </w:rPr>
              <w:t>Betsy S. Atkins</w:t>
            </w:r>
            <w:r>
              <w:rPr>
                <w:rFonts w:ascii="Arial" w:cs="Arial" w:eastAsia="Arial" w:hAnsi="Arial"/>
                <w:sz w:val="9"/>
                <w:szCs w:val="9"/>
                <w:b w:val="1"/>
                <w:bCs w:val="1"/>
                <w:color w:val="262626"/>
              </w:rPr>
              <w:t>(4)</w:t>
            </w:r>
          </w:p>
        </w:tc>
        <w:tc>
          <w:tcPr>
            <w:tcW w:w="480" w:type="dxa"/>
            <w:vAlign w:val="bottom"/>
          </w:tcPr>
          <w:p>
            <w:pPr>
              <w:jc w:val="right"/>
              <w:spacing w:after="0"/>
              <w:rPr>
                <w:sz w:val="20"/>
                <w:szCs w:val="20"/>
                <w:color w:val="auto"/>
              </w:rPr>
            </w:pPr>
            <w:r>
              <w:rPr>
                <w:rFonts w:ascii="Arial" w:cs="Arial" w:eastAsia="Arial" w:hAnsi="Arial"/>
                <w:sz w:val="11"/>
                <w:szCs w:val="11"/>
                <w:color w:val="262626"/>
              </w:rPr>
              <w:t>$</w:t>
            </w:r>
          </w:p>
        </w:tc>
        <w:tc>
          <w:tcPr>
            <w:tcW w:w="660" w:type="dxa"/>
            <w:vAlign w:val="bottom"/>
          </w:tcPr>
          <w:p>
            <w:pPr>
              <w:jc w:val="right"/>
              <w:ind w:right="229"/>
              <w:spacing w:after="0"/>
              <w:rPr>
                <w:sz w:val="20"/>
                <w:szCs w:val="20"/>
                <w:color w:val="auto"/>
              </w:rPr>
            </w:pPr>
            <w:r>
              <w:rPr>
                <w:rFonts w:ascii="Arial" w:cs="Arial" w:eastAsia="Arial" w:hAnsi="Arial"/>
                <w:sz w:val="11"/>
                <w:szCs w:val="11"/>
                <w:color w:val="262626"/>
              </w:rPr>
              <w:t>93,382</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310"/>
              <w:spacing w:after="0"/>
              <w:rPr>
                <w:sz w:val="20"/>
                <w:szCs w:val="20"/>
                <w:color w:val="auto"/>
              </w:rPr>
            </w:pPr>
            <w:r>
              <w:rPr>
                <w:rFonts w:ascii="Arial" w:cs="Arial" w:eastAsia="Arial" w:hAnsi="Arial"/>
                <w:sz w:val="11"/>
                <w:szCs w:val="11"/>
                <w:color w:val="262626"/>
                <w:w w:val="90"/>
              </w:rPr>
              <w:t>631,754</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80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Pr>
          <w:p>
            <w:pPr>
              <w:jc w:val="right"/>
              <w:ind w:right="328"/>
              <w:spacing w:after="0"/>
              <w:rPr>
                <w:sz w:val="20"/>
                <w:szCs w:val="20"/>
                <w:color w:val="auto"/>
              </w:rPr>
            </w:pPr>
            <w:r>
              <w:rPr>
                <w:rFonts w:ascii="Arial" w:cs="Arial" w:eastAsia="Arial" w:hAnsi="Arial"/>
                <w:sz w:val="11"/>
                <w:szCs w:val="11"/>
                <w:color w:val="262626"/>
              </w:rPr>
              <w:t>2,945</w:t>
            </w:r>
          </w:p>
        </w:tc>
        <w:tc>
          <w:tcPr>
            <w:tcW w:w="460" w:type="dxa"/>
            <w:vAlign w:val="bottom"/>
          </w:tcPr>
          <w:p>
            <w:pPr>
              <w:jc w:val="right"/>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189"/>
              <w:spacing w:after="0"/>
              <w:rPr>
                <w:sz w:val="20"/>
                <w:szCs w:val="20"/>
                <w:color w:val="auto"/>
              </w:rPr>
            </w:pPr>
            <w:r>
              <w:rPr>
                <w:rFonts w:ascii="Arial" w:cs="Arial" w:eastAsia="Arial" w:hAnsi="Arial"/>
                <w:sz w:val="11"/>
                <w:szCs w:val="11"/>
                <w:color w:val="262626"/>
                <w:w w:val="90"/>
              </w:rPr>
              <w:t>728,081</w:t>
            </w:r>
          </w:p>
        </w:tc>
        <w:tc>
          <w:tcPr>
            <w:tcW w:w="20" w:type="dxa"/>
            <w:vAlign w:val="bottom"/>
          </w:tcPr>
          <w:p>
            <w:pPr>
              <w:spacing w:after="0"/>
              <w:rPr>
                <w:sz w:val="12"/>
                <w:szCs w:val="12"/>
                <w:color w:val="auto"/>
              </w:rPr>
            </w:pPr>
          </w:p>
        </w:tc>
      </w:tr>
      <w:tr>
        <w:trPr>
          <w:trHeight w:val="49"/>
        </w:trPr>
        <w:tc>
          <w:tcPr>
            <w:tcW w:w="3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6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Richard J. Byrne</w:t>
            </w:r>
            <w:r>
              <w:rPr>
                <w:rFonts w:ascii="Arial" w:cs="Arial" w:eastAsia="Arial" w:hAnsi="Arial"/>
                <w:sz w:val="9"/>
                <w:szCs w:val="9"/>
                <w:b w:val="1"/>
                <w:bCs w:val="1"/>
                <w:color w:val="262626"/>
              </w:rPr>
              <w:t>(5)</w:t>
            </w: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6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40,180</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w w:val="90"/>
              </w:rPr>
              <w:t>298,380</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0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Borders>
              <w:bottom w:val="single" w:sz="8" w:color="ECEBE8"/>
            </w:tcBorders>
            <w:shd w:val="clear" w:color="auto" w:fill="ECEBE8"/>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Borders>
              <w:bottom w:val="single" w:sz="8" w:color="ECEBE8"/>
            </w:tcBorders>
            <w:shd w:val="clear" w:color="auto" w:fill="ECEBE8"/>
          </w:tcPr>
          <w:p>
            <w:pPr>
              <w:jc w:val="right"/>
              <w:ind w:right="328"/>
              <w:spacing w:after="0"/>
              <w:rPr>
                <w:sz w:val="20"/>
                <w:szCs w:val="20"/>
                <w:color w:val="auto"/>
              </w:rPr>
            </w:pPr>
            <w:r>
              <w:rPr>
                <w:rFonts w:ascii="Arial" w:cs="Arial" w:eastAsia="Arial" w:hAnsi="Arial"/>
                <w:sz w:val="11"/>
                <w:szCs w:val="11"/>
                <w:color w:val="262626"/>
              </w:rPr>
              <w:t>—</w:t>
            </w:r>
          </w:p>
        </w:tc>
        <w:tc>
          <w:tcPr>
            <w:tcW w:w="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w w:val="90"/>
              </w:rPr>
              <w:t>338,560</w:t>
            </w:r>
          </w:p>
        </w:tc>
        <w:tc>
          <w:tcPr>
            <w:tcW w:w="20" w:type="dxa"/>
            <w:vAlign w:val="bottom"/>
          </w:tcPr>
          <w:p>
            <w:pPr>
              <w:spacing w:after="0"/>
              <w:rPr>
                <w:sz w:val="15"/>
                <w:szCs w:val="15"/>
                <w:color w:val="auto"/>
              </w:rPr>
            </w:pPr>
          </w:p>
        </w:tc>
      </w:tr>
      <w:tr>
        <w:trPr>
          <w:trHeight w:val="149"/>
        </w:trPr>
        <w:tc>
          <w:tcPr>
            <w:tcW w:w="3680" w:type="dxa"/>
            <w:vAlign w:val="bottom"/>
          </w:tcPr>
          <w:p>
            <w:pPr>
              <w:ind w:left="80"/>
              <w:spacing w:after="0"/>
              <w:rPr>
                <w:sz w:val="20"/>
                <w:szCs w:val="20"/>
                <w:color w:val="auto"/>
              </w:rPr>
            </w:pPr>
            <w:r>
              <w:rPr>
                <w:rFonts w:ascii="Arial" w:cs="Arial" w:eastAsia="Arial" w:hAnsi="Arial"/>
                <w:sz w:val="11"/>
                <w:szCs w:val="11"/>
                <w:color w:val="262626"/>
              </w:rPr>
              <w:t>John J. Hagenbuch</w:t>
            </w:r>
            <w:r>
              <w:rPr>
                <w:rFonts w:ascii="Arial" w:cs="Arial" w:eastAsia="Arial" w:hAnsi="Arial"/>
                <w:sz w:val="9"/>
                <w:szCs w:val="9"/>
                <w:b w:val="1"/>
                <w:bCs w:val="1"/>
                <w:color w:val="262626"/>
              </w:rPr>
              <w:t>(6)</w:t>
            </w:r>
          </w:p>
        </w:tc>
        <w:tc>
          <w:tcPr>
            <w:tcW w:w="480" w:type="dxa"/>
            <w:vAlign w:val="bottom"/>
          </w:tcPr>
          <w:p>
            <w:pPr>
              <w:jc w:val="right"/>
              <w:spacing w:after="0"/>
              <w:rPr>
                <w:sz w:val="20"/>
                <w:szCs w:val="20"/>
                <w:color w:val="auto"/>
              </w:rPr>
            </w:pPr>
            <w:r>
              <w:rPr>
                <w:rFonts w:ascii="Arial" w:cs="Arial" w:eastAsia="Arial" w:hAnsi="Arial"/>
                <w:sz w:val="11"/>
                <w:szCs w:val="11"/>
                <w:color w:val="262626"/>
              </w:rPr>
              <w:t>$</w:t>
            </w:r>
          </w:p>
        </w:tc>
        <w:tc>
          <w:tcPr>
            <w:tcW w:w="660" w:type="dxa"/>
            <w:vAlign w:val="bottom"/>
          </w:tcPr>
          <w:p>
            <w:pPr>
              <w:jc w:val="right"/>
              <w:ind w:right="229"/>
              <w:spacing w:after="0"/>
              <w:rPr>
                <w:sz w:val="20"/>
                <w:szCs w:val="20"/>
                <w:color w:val="auto"/>
              </w:rPr>
            </w:pPr>
            <w:r>
              <w:rPr>
                <w:rFonts w:ascii="Arial" w:cs="Arial" w:eastAsia="Arial" w:hAnsi="Arial"/>
                <w:sz w:val="11"/>
                <w:szCs w:val="11"/>
                <w:color w:val="262626"/>
                <w:w w:val="90"/>
              </w:rPr>
              <w:t>123,113</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80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Pr>
          <w:p>
            <w:pPr>
              <w:jc w:val="right"/>
              <w:ind w:right="328"/>
              <w:spacing w:after="0"/>
              <w:rPr>
                <w:sz w:val="20"/>
                <w:szCs w:val="20"/>
                <w:color w:val="auto"/>
              </w:rPr>
            </w:pPr>
            <w:r>
              <w:rPr>
                <w:rFonts w:ascii="Arial" w:cs="Arial" w:eastAsia="Arial" w:hAnsi="Arial"/>
                <w:sz w:val="11"/>
                <w:szCs w:val="11"/>
                <w:color w:val="262626"/>
              </w:rPr>
              <w:t>833</w:t>
            </w:r>
          </w:p>
        </w:tc>
        <w:tc>
          <w:tcPr>
            <w:tcW w:w="460" w:type="dxa"/>
            <w:vAlign w:val="bottom"/>
          </w:tcPr>
          <w:p>
            <w:pPr>
              <w:jc w:val="right"/>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189"/>
              <w:spacing w:after="0"/>
              <w:rPr>
                <w:sz w:val="20"/>
                <w:szCs w:val="20"/>
                <w:color w:val="auto"/>
              </w:rPr>
            </w:pPr>
            <w:r>
              <w:rPr>
                <w:rFonts w:ascii="Arial" w:cs="Arial" w:eastAsia="Arial" w:hAnsi="Arial"/>
                <w:sz w:val="11"/>
                <w:szCs w:val="11"/>
                <w:color w:val="262626"/>
                <w:w w:val="90"/>
              </w:rPr>
              <w:t>123,946</w:t>
            </w:r>
          </w:p>
        </w:tc>
        <w:tc>
          <w:tcPr>
            <w:tcW w:w="20" w:type="dxa"/>
            <w:vAlign w:val="bottom"/>
          </w:tcPr>
          <w:p>
            <w:pPr>
              <w:spacing w:after="0"/>
              <w:rPr>
                <w:sz w:val="12"/>
                <w:szCs w:val="12"/>
                <w:color w:val="auto"/>
              </w:rPr>
            </w:pPr>
          </w:p>
        </w:tc>
      </w:tr>
      <w:tr>
        <w:trPr>
          <w:trHeight w:val="49"/>
        </w:trPr>
        <w:tc>
          <w:tcPr>
            <w:tcW w:w="3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6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Dr. Ray R. Irani</w:t>
            </w:r>
            <w:r>
              <w:rPr>
                <w:rFonts w:ascii="Arial" w:cs="Arial" w:eastAsia="Arial" w:hAnsi="Arial"/>
                <w:sz w:val="9"/>
                <w:szCs w:val="9"/>
                <w:b w:val="1"/>
                <w:bCs w:val="1"/>
                <w:color w:val="262626"/>
              </w:rPr>
              <w:t>(7)</w:t>
            </w: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6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30,968</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rPr>
              <w:t>—</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0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Borders>
              <w:bottom w:val="single" w:sz="8" w:color="ECEBE8"/>
            </w:tcBorders>
            <w:shd w:val="clear" w:color="auto" w:fill="ECEBE8"/>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Borders>
              <w:bottom w:val="single" w:sz="8" w:color="ECEBE8"/>
            </w:tcBorders>
            <w:shd w:val="clear" w:color="auto" w:fill="ECEBE8"/>
          </w:tcPr>
          <w:p>
            <w:pPr>
              <w:jc w:val="right"/>
              <w:ind w:right="328"/>
              <w:spacing w:after="0"/>
              <w:rPr>
                <w:sz w:val="20"/>
                <w:szCs w:val="20"/>
                <w:color w:val="auto"/>
              </w:rPr>
            </w:pPr>
            <w:r>
              <w:rPr>
                <w:rFonts w:ascii="Arial" w:cs="Arial" w:eastAsia="Arial" w:hAnsi="Arial"/>
                <w:sz w:val="11"/>
                <w:szCs w:val="11"/>
                <w:color w:val="262626"/>
              </w:rPr>
              <w:t>—</w:t>
            </w:r>
          </w:p>
        </w:tc>
        <w:tc>
          <w:tcPr>
            <w:tcW w:w="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rPr>
              <w:t>30,968</w:t>
            </w:r>
          </w:p>
        </w:tc>
        <w:tc>
          <w:tcPr>
            <w:tcW w:w="20" w:type="dxa"/>
            <w:vAlign w:val="bottom"/>
          </w:tcPr>
          <w:p>
            <w:pPr>
              <w:spacing w:after="0"/>
              <w:rPr>
                <w:sz w:val="15"/>
                <w:szCs w:val="15"/>
                <w:color w:val="auto"/>
              </w:rPr>
            </w:pPr>
          </w:p>
        </w:tc>
      </w:tr>
      <w:tr>
        <w:trPr>
          <w:trHeight w:val="149"/>
        </w:trPr>
        <w:tc>
          <w:tcPr>
            <w:tcW w:w="3680" w:type="dxa"/>
            <w:vAlign w:val="bottom"/>
          </w:tcPr>
          <w:p>
            <w:pPr>
              <w:ind w:left="80"/>
              <w:spacing w:after="0"/>
              <w:rPr>
                <w:sz w:val="20"/>
                <w:szCs w:val="20"/>
                <w:color w:val="auto"/>
              </w:rPr>
            </w:pPr>
            <w:r>
              <w:rPr>
                <w:rFonts w:ascii="Arial" w:cs="Arial" w:eastAsia="Arial" w:hAnsi="Arial"/>
                <w:sz w:val="11"/>
                <w:szCs w:val="11"/>
                <w:color w:val="262626"/>
              </w:rPr>
              <w:t>Jay L. Johnson</w:t>
            </w:r>
          </w:p>
        </w:tc>
        <w:tc>
          <w:tcPr>
            <w:tcW w:w="480" w:type="dxa"/>
            <w:vAlign w:val="bottom"/>
          </w:tcPr>
          <w:p>
            <w:pPr>
              <w:jc w:val="right"/>
              <w:spacing w:after="0"/>
              <w:rPr>
                <w:sz w:val="20"/>
                <w:szCs w:val="20"/>
                <w:color w:val="auto"/>
              </w:rPr>
            </w:pPr>
            <w:r>
              <w:rPr>
                <w:rFonts w:ascii="Arial" w:cs="Arial" w:eastAsia="Arial" w:hAnsi="Arial"/>
                <w:sz w:val="11"/>
                <w:szCs w:val="11"/>
                <w:color w:val="262626"/>
              </w:rPr>
              <w:t>$</w:t>
            </w:r>
          </w:p>
        </w:tc>
        <w:tc>
          <w:tcPr>
            <w:tcW w:w="660" w:type="dxa"/>
            <w:vAlign w:val="bottom"/>
          </w:tcPr>
          <w:p>
            <w:pPr>
              <w:jc w:val="right"/>
              <w:ind w:right="229"/>
              <w:spacing w:after="0"/>
              <w:rPr>
                <w:sz w:val="20"/>
                <w:szCs w:val="20"/>
                <w:color w:val="auto"/>
              </w:rPr>
            </w:pPr>
            <w:r>
              <w:rPr>
                <w:rFonts w:ascii="Arial" w:cs="Arial" w:eastAsia="Arial" w:hAnsi="Arial"/>
                <w:sz w:val="11"/>
                <w:szCs w:val="11"/>
                <w:color w:val="262626"/>
                <w:w w:val="90"/>
              </w:rPr>
              <w:t>211,016</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310"/>
              <w:spacing w:after="0"/>
              <w:rPr>
                <w:sz w:val="20"/>
                <w:szCs w:val="20"/>
                <w:color w:val="auto"/>
              </w:rPr>
            </w:pPr>
            <w:r>
              <w:rPr>
                <w:rFonts w:ascii="Arial" w:cs="Arial" w:eastAsia="Arial" w:hAnsi="Arial"/>
                <w:sz w:val="11"/>
                <w:szCs w:val="11"/>
                <w:color w:val="262626"/>
                <w:w w:val="90"/>
              </w:rPr>
              <w:t>249,914</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80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Pr>
          <w:p>
            <w:pPr>
              <w:jc w:val="right"/>
              <w:ind w:right="328"/>
              <w:spacing w:after="0"/>
              <w:rPr>
                <w:sz w:val="20"/>
                <w:szCs w:val="20"/>
                <w:color w:val="auto"/>
              </w:rPr>
            </w:pPr>
            <w:r>
              <w:rPr>
                <w:rFonts w:ascii="Arial" w:cs="Arial" w:eastAsia="Arial" w:hAnsi="Arial"/>
                <w:sz w:val="11"/>
                <w:szCs w:val="11"/>
                <w:color w:val="262626"/>
              </w:rPr>
              <w:t>9,733</w:t>
            </w:r>
          </w:p>
        </w:tc>
        <w:tc>
          <w:tcPr>
            <w:tcW w:w="460" w:type="dxa"/>
            <w:vAlign w:val="bottom"/>
          </w:tcPr>
          <w:p>
            <w:pPr>
              <w:jc w:val="right"/>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189"/>
              <w:spacing w:after="0"/>
              <w:rPr>
                <w:sz w:val="20"/>
                <w:szCs w:val="20"/>
                <w:color w:val="auto"/>
              </w:rPr>
            </w:pPr>
            <w:r>
              <w:rPr>
                <w:rFonts w:ascii="Arial" w:cs="Arial" w:eastAsia="Arial" w:hAnsi="Arial"/>
                <w:sz w:val="11"/>
                <w:szCs w:val="11"/>
                <w:color w:val="262626"/>
                <w:w w:val="90"/>
              </w:rPr>
              <w:t>470,663</w:t>
            </w:r>
          </w:p>
        </w:tc>
        <w:tc>
          <w:tcPr>
            <w:tcW w:w="20" w:type="dxa"/>
            <w:vAlign w:val="bottom"/>
          </w:tcPr>
          <w:p>
            <w:pPr>
              <w:spacing w:after="0"/>
              <w:rPr>
                <w:sz w:val="12"/>
                <w:szCs w:val="12"/>
                <w:color w:val="auto"/>
              </w:rPr>
            </w:pPr>
          </w:p>
        </w:tc>
      </w:tr>
      <w:tr>
        <w:trPr>
          <w:trHeight w:val="49"/>
        </w:trPr>
        <w:tc>
          <w:tcPr>
            <w:tcW w:w="3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6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Robert J. Miller</w:t>
            </w:r>
            <w:r>
              <w:rPr>
                <w:rFonts w:ascii="Arial" w:cs="Arial" w:eastAsia="Arial" w:hAnsi="Arial"/>
                <w:sz w:val="9"/>
                <w:szCs w:val="9"/>
                <w:b w:val="1"/>
                <w:bCs w:val="1"/>
                <w:color w:val="262626"/>
              </w:rPr>
              <w:t>(8)</w:t>
            </w: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6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w w:val="90"/>
              </w:rPr>
              <w:t>155,739</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rPr>
              <w:t>—</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00" w:type="dxa"/>
            <w:vAlign w:val="bottom"/>
            <w:tcBorders>
              <w:bottom w:val="single" w:sz="8" w:color="ECEBE8"/>
            </w:tcBorders>
            <w:shd w:val="clear" w:color="auto" w:fill="ECEBE8"/>
          </w:tcPr>
          <w:p>
            <w:pPr>
              <w:jc w:val="right"/>
              <w:ind w:right="310"/>
              <w:spacing w:after="0"/>
              <w:rPr>
                <w:sz w:val="20"/>
                <w:szCs w:val="20"/>
                <w:color w:val="auto"/>
              </w:rPr>
            </w:pPr>
            <w:r>
              <w:rPr>
                <w:rFonts w:ascii="Arial" w:cs="Arial" w:eastAsia="Arial" w:hAnsi="Arial"/>
                <w:sz w:val="11"/>
                <w:szCs w:val="11"/>
                <w:color w:val="262626"/>
              </w:rPr>
              <w:t>—</w:t>
            </w:r>
          </w:p>
        </w:tc>
        <w:tc>
          <w:tcPr>
            <w:tcW w:w="780" w:type="dxa"/>
            <w:vAlign w:val="bottom"/>
            <w:tcBorders>
              <w:bottom w:val="single" w:sz="8" w:color="ECEBE8"/>
            </w:tcBorders>
            <w:shd w:val="clear" w:color="auto" w:fill="ECEBE8"/>
          </w:tcPr>
          <w:p>
            <w:pPr>
              <w:jc w:val="center"/>
              <w:ind w:left="589"/>
              <w:spacing w:after="0"/>
              <w:rPr>
                <w:sz w:val="20"/>
                <w:szCs w:val="20"/>
                <w:color w:val="auto"/>
              </w:rPr>
            </w:pPr>
            <w:r>
              <w:rPr>
                <w:rFonts w:ascii="Arial" w:cs="Arial" w:eastAsia="Arial" w:hAnsi="Arial"/>
                <w:sz w:val="11"/>
                <w:szCs w:val="11"/>
                <w:color w:val="262626"/>
                <w:w w:val="97"/>
              </w:rPr>
              <w:t>$</w:t>
            </w:r>
          </w:p>
        </w:tc>
        <w:tc>
          <w:tcPr>
            <w:tcW w:w="700" w:type="dxa"/>
            <w:vAlign w:val="bottom"/>
            <w:tcBorders>
              <w:bottom w:val="single" w:sz="8" w:color="ECEBE8"/>
            </w:tcBorders>
            <w:shd w:val="clear" w:color="auto" w:fill="ECEBE8"/>
          </w:tcPr>
          <w:p>
            <w:pPr>
              <w:jc w:val="right"/>
              <w:ind w:right="328"/>
              <w:spacing w:after="0"/>
              <w:rPr>
                <w:sz w:val="20"/>
                <w:szCs w:val="20"/>
                <w:color w:val="auto"/>
              </w:rPr>
            </w:pPr>
            <w:r>
              <w:rPr>
                <w:rFonts w:ascii="Arial" w:cs="Arial" w:eastAsia="Arial" w:hAnsi="Arial"/>
                <w:sz w:val="11"/>
                <w:szCs w:val="11"/>
                <w:color w:val="262626"/>
              </w:rPr>
              <w:t>833</w:t>
            </w:r>
          </w:p>
        </w:tc>
        <w:tc>
          <w:tcPr>
            <w:tcW w:w="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w w:val="90"/>
              </w:rPr>
              <w:t>156,572</w:t>
            </w:r>
          </w:p>
        </w:tc>
        <w:tc>
          <w:tcPr>
            <w:tcW w:w="20" w:type="dxa"/>
            <w:vAlign w:val="bottom"/>
          </w:tcPr>
          <w:p>
            <w:pPr>
              <w:spacing w:after="0"/>
              <w:rPr>
                <w:sz w:val="15"/>
                <w:szCs w:val="15"/>
                <w:color w:val="auto"/>
              </w:rPr>
            </w:pPr>
          </w:p>
        </w:tc>
      </w:tr>
      <w:tr>
        <w:trPr>
          <w:trHeight w:val="149"/>
        </w:trPr>
        <w:tc>
          <w:tcPr>
            <w:tcW w:w="3680" w:type="dxa"/>
            <w:vAlign w:val="bottom"/>
          </w:tcPr>
          <w:p>
            <w:pPr>
              <w:ind w:left="80"/>
              <w:spacing w:after="0"/>
              <w:rPr>
                <w:sz w:val="20"/>
                <w:szCs w:val="20"/>
                <w:color w:val="auto"/>
              </w:rPr>
            </w:pPr>
            <w:r>
              <w:rPr>
                <w:rFonts w:ascii="Arial" w:cs="Arial" w:eastAsia="Arial" w:hAnsi="Arial"/>
                <w:sz w:val="11"/>
                <w:szCs w:val="11"/>
                <w:color w:val="262626"/>
              </w:rPr>
              <w:t>Patricia Mulroy</w:t>
            </w:r>
          </w:p>
        </w:tc>
        <w:tc>
          <w:tcPr>
            <w:tcW w:w="480" w:type="dxa"/>
            <w:vAlign w:val="bottom"/>
          </w:tcPr>
          <w:p>
            <w:pPr>
              <w:jc w:val="right"/>
              <w:spacing w:after="0"/>
              <w:rPr>
                <w:sz w:val="20"/>
                <w:szCs w:val="20"/>
                <w:color w:val="auto"/>
              </w:rPr>
            </w:pPr>
            <w:r>
              <w:rPr>
                <w:rFonts w:ascii="Arial" w:cs="Arial" w:eastAsia="Arial" w:hAnsi="Arial"/>
                <w:sz w:val="11"/>
                <w:szCs w:val="11"/>
                <w:color w:val="262626"/>
              </w:rPr>
              <w:t>$</w:t>
            </w:r>
          </w:p>
        </w:tc>
        <w:tc>
          <w:tcPr>
            <w:tcW w:w="660" w:type="dxa"/>
            <w:vAlign w:val="bottom"/>
          </w:tcPr>
          <w:p>
            <w:pPr>
              <w:jc w:val="right"/>
              <w:ind w:right="229"/>
              <w:spacing w:after="0"/>
              <w:rPr>
                <w:sz w:val="20"/>
                <w:szCs w:val="20"/>
                <w:color w:val="auto"/>
              </w:rPr>
            </w:pPr>
            <w:r>
              <w:rPr>
                <w:rFonts w:ascii="Arial" w:cs="Arial" w:eastAsia="Arial" w:hAnsi="Arial"/>
                <w:sz w:val="11"/>
                <w:szCs w:val="11"/>
                <w:color w:val="262626"/>
                <w:w w:val="90"/>
              </w:rPr>
              <w:t>288,911</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310"/>
              <w:spacing w:after="0"/>
              <w:rPr>
                <w:sz w:val="20"/>
                <w:szCs w:val="20"/>
                <w:color w:val="auto"/>
              </w:rPr>
            </w:pPr>
            <w:r>
              <w:rPr>
                <w:rFonts w:ascii="Arial" w:cs="Arial" w:eastAsia="Arial" w:hAnsi="Arial"/>
                <w:sz w:val="11"/>
                <w:szCs w:val="11"/>
                <w:color w:val="262626"/>
                <w:w w:val="90"/>
              </w:rPr>
              <w:t>249,914</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80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1480" w:type="dxa"/>
            <w:vAlign w:val="bottom"/>
            <w:gridSpan w:val="2"/>
          </w:tcPr>
          <w:p>
            <w:pPr>
              <w:jc w:val="right"/>
              <w:ind w:right="328"/>
              <w:spacing w:after="0"/>
              <w:rPr>
                <w:sz w:val="20"/>
                <w:szCs w:val="20"/>
                <w:color w:val="auto"/>
              </w:rPr>
            </w:pPr>
            <w:r>
              <w:rPr>
                <w:rFonts w:ascii="Arial" w:cs="Arial" w:eastAsia="Arial" w:hAnsi="Arial"/>
                <w:sz w:val="11"/>
                <w:szCs w:val="11"/>
                <w:color w:val="262626"/>
              </w:rPr>
              <w:t>$ 10,904</w:t>
            </w:r>
          </w:p>
        </w:tc>
        <w:tc>
          <w:tcPr>
            <w:tcW w:w="460" w:type="dxa"/>
            <w:vAlign w:val="bottom"/>
          </w:tcPr>
          <w:p>
            <w:pPr>
              <w:jc w:val="right"/>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189"/>
              <w:spacing w:after="0"/>
              <w:rPr>
                <w:sz w:val="20"/>
                <w:szCs w:val="20"/>
                <w:color w:val="auto"/>
              </w:rPr>
            </w:pPr>
            <w:r>
              <w:rPr>
                <w:rFonts w:ascii="Arial" w:cs="Arial" w:eastAsia="Arial" w:hAnsi="Arial"/>
                <w:sz w:val="11"/>
                <w:szCs w:val="11"/>
                <w:color w:val="262626"/>
                <w:w w:val="90"/>
              </w:rPr>
              <w:t>549,729</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-868045</wp:posOffset>
            </wp:positionV>
            <wp:extent cx="825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367665</wp:posOffset>
            </wp:positionV>
            <wp:extent cx="521335" cy="2355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14</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3980" w:type="dxa"/>
            <w:vAlign w:val="bottom"/>
            <w:shd w:val="clear" w:color="auto" w:fill="A39B8C"/>
          </w:tcPr>
          <w:p>
            <w:pPr>
              <w:spacing w:after="0"/>
              <w:rPr>
                <w:sz w:val="9"/>
                <w:szCs w:val="9"/>
                <w:color w:val="auto"/>
              </w:rPr>
            </w:pPr>
          </w:p>
        </w:tc>
        <w:tc>
          <w:tcPr>
            <w:tcW w:w="500" w:type="dxa"/>
            <w:vAlign w:val="bottom"/>
            <w:shd w:val="clear" w:color="auto" w:fill="A39B8C"/>
          </w:tcPr>
          <w:p>
            <w:pPr>
              <w:spacing w:after="0"/>
              <w:rPr>
                <w:sz w:val="9"/>
                <w:szCs w:val="9"/>
                <w:color w:val="auto"/>
              </w:rPr>
            </w:pPr>
          </w:p>
        </w:tc>
        <w:tc>
          <w:tcPr>
            <w:tcW w:w="540" w:type="dxa"/>
            <w:vAlign w:val="bottom"/>
            <w:shd w:val="clear" w:color="auto" w:fill="A39B8C"/>
          </w:tcPr>
          <w:p>
            <w:pPr>
              <w:jc w:val="right"/>
              <w:ind w:right="109"/>
              <w:spacing w:after="0"/>
              <w:rPr>
                <w:sz w:val="20"/>
                <w:szCs w:val="20"/>
                <w:color w:val="auto"/>
              </w:rPr>
            </w:pPr>
            <w:r>
              <w:rPr>
                <w:rFonts w:ascii="Arial" w:cs="Arial" w:eastAsia="Arial" w:hAnsi="Arial"/>
                <w:sz w:val="9"/>
                <w:szCs w:val="9"/>
                <w:b w:val="1"/>
                <w:bCs w:val="1"/>
                <w:color w:val="FFFFFF"/>
              </w:rPr>
              <w:t>FEES</w:t>
            </w:r>
          </w:p>
        </w:tc>
        <w:tc>
          <w:tcPr>
            <w:tcW w:w="420" w:type="dxa"/>
            <w:vAlign w:val="bottom"/>
            <w:shd w:val="clear" w:color="auto" w:fill="A39B8C"/>
          </w:tcPr>
          <w:p>
            <w:pPr>
              <w:spacing w:after="0"/>
              <w:rPr>
                <w:sz w:val="9"/>
                <w:szCs w:val="9"/>
                <w:color w:val="auto"/>
              </w:rPr>
            </w:pPr>
          </w:p>
        </w:tc>
        <w:tc>
          <w:tcPr>
            <w:tcW w:w="740" w:type="dxa"/>
            <w:vAlign w:val="bottom"/>
            <w:shd w:val="clear" w:color="auto" w:fill="A39B8C"/>
          </w:tcPr>
          <w:p>
            <w:pPr>
              <w:spacing w:after="0"/>
              <w:rPr>
                <w:sz w:val="9"/>
                <w:szCs w:val="9"/>
                <w:color w:val="auto"/>
              </w:rPr>
            </w:pPr>
          </w:p>
        </w:tc>
        <w:tc>
          <w:tcPr>
            <w:tcW w:w="440" w:type="dxa"/>
            <w:vAlign w:val="bottom"/>
            <w:shd w:val="clear" w:color="auto" w:fill="A39B8C"/>
          </w:tcPr>
          <w:p>
            <w:pPr>
              <w:spacing w:after="0"/>
              <w:rPr>
                <w:sz w:val="9"/>
                <w:szCs w:val="9"/>
                <w:color w:val="auto"/>
              </w:rPr>
            </w:pPr>
          </w:p>
        </w:tc>
        <w:tc>
          <w:tcPr>
            <w:tcW w:w="760" w:type="dxa"/>
            <w:vAlign w:val="bottom"/>
            <w:shd w:val="clear" w:color="auto" w:fill="A39B8C"/>
          </w:tcPr>
          <w:p>
            <w:pPr>
              <w:spacing w:after="0"/>
              <w:rPr>
                <w:sz w:val="9"/>
                <w:szCs w:val="9"/>
                <w:color w:val="auto"/>
              </w:rPr>
            </w:pPr>
          </w:p>
        </w:tc>
        <w:tc>
          <w:tcPr>
            <w:tcW w:w="780" w:type="dxa"/>
            <w:vAlign w:val="bottom"/>
            <w:shd w:val="clear" w:color="auto" w:fill="A39B8C"/>
          </w:tcPr>
          <w:p>
            <w:pPr>
              <w:spacing w:after="0"/>
              <w:rPr>
                <w:sz w:val="9"/>
                <w:szCs w:val="9"/>
                <w:color w:val="auto"/>
              </w:rPr>
            </w:pPr>
          </w:p>
        </w:tc>
        <w:tc>
          <w:tcPr>
            <w:tcW w:w="620" w:type="dxa"/>
            <w:vAlign w:val="bottom"/>
            <w:shd w:val="clear" w:color="auto" w:fill="A39B8C"/>
          </w:tcPr>
          <w:p>
            <w:pPr>
              <w:spacing w:after="0"/>
              <w:rPr>
                <w:sz w:val="9"/>
                <w:szCs w:val="9"/>
                <w:color w:val="auto"/>
              </w:rPr>
            </w:pPr>
          </w:p>
        </w:tc>
        <w:tc>
          <w:tcPr>
            <w:tcW w:w="440" w:type="dxa"/>
            <w:vAlign w:val="bottom"/>
            <w:shd w:val="clear" w:color="auto" w:fill="A39B8C"/>
          </w:tcPr>
          <w:p>
            <w:pPr>
              <w:spacing w:after="0"/>
              <w:rPr>
                <w:sz w:val="9"/>
                <w:szCs w:val="9"/>
                <w:color w:val="auto"/>
              </w:rPr>
            </w:pPr>
          </w:p>
        </w:tc>
        <w:tc>
          <w:tcPr>
            <w:tcW w:w="640" w:type="dxa"/>
            <w:vAlign w:val="bottom"/>
            <w:shd w:val="clear" w:color="auto" w:fill="A39B8C"/>
          </w:tcPr>
          <w:p>
            <w:pPr>
              <w:spacing w:after="0"/>
              <w:rPr>
                <w:sz w:val="9"/>
                <w:szCs w:val="9"/>
                <w:color w:val="auto"/>
              </w:rPr>
            </w:pPr>
          </w:p>
        </w:tc>
        <w:tc>
          <w:tcPr>
            <w:tcW w:w="20" w:type="dxa"/>
            <w:vAlign w:val="bottom"/>
            <w:shd w:val="clear" w:color="auto" w:fill="A39B8C"/>
          </w:tcPr>
          <w:p>
            <w:pPr>
              <w:spacing w:after="0"/>
              <w:rPr>
                <w:sz w:val="9"/>
                <w:szCs w:val="9"/>
                <w:color w:val="auto"/>
              </w:rPr>
            </w:pPr>
          </w:p>
        </w:tc>
      </w:tr>
      <w:tr>
        <w:trPr>
          <w:trHeight w:val="103"/>
        </w:trPr>
        <w:tc>
          <w:tcPr>
            <w:tcW w:w="3980" w:type="dxa"/>
            <w:vAlign w:val="bottom"/>
            <w:shd w:val="clear" w:color="auto" w:fill="A39B8C"/>
          </w:tcPr>
          <w:p>
            <w:pPr>
              <w:spacing w:after="0"/>
              <w:rPr>
                <w:sz w:val="8"/>
                <w:szCs w:val="8"/>
                <w:color w:val="auto"/>
              </w:rPr>
            </w:pPr>
          </w:p>
        </w:tc>
        <w:tc>
          <w:tcPr>
            <w:tcW w:w="1040" w:type="dxa"/>
            <w:vAlign w:val="bottom"/>
            <w:gridSpan w:val="2"/>
            <w:shd w:val="clear" w:color="auto" w:fill="A39B8C"/>
          </w:tcPr>
          <w:p>
            <w:pPr>
              <w:jc w:val="right"/>
              <w:ind w:right="109"/>
              <w:spacing w:after="0"/>
              <w:rPr>
                <w:sz w:val="20"/>
                <w:szCs w:val="20"/>
                <w:color w:val="auto"/>
              </w:rPr>
            </w:pPr>
            <w:r>
              <w:rPr>
                <w:rFonts w:ascii="Arial" w:cs="Arial" w:eastAsia="Arial" w:hAnsi="Arial"/>
                <w:sz w:val="9"/>
                <w:szCs w:val="9"/>
                <w:b w:val="1"/>
                <w:bCs w:val="1"/>
                <w:color w:val="FFFFFF"/>
              </w:rPr>
              <w:t>EARNED OR</w:t>
            </w:r>
          </w:p>
        </w:tc>
        <w:tc>
          <w:tcPr>
            <w:tcW w:w="420" w:type="dxa"/>
            <w:vAlign w:val="bottom"/>
            <w:shd w:val="clear" w:color="auto" w:fill="A39B8C"/>
          </w:tcPr>
          <w:p>
            <w:pPr>
              <w:spacing w:after="0"/>
              <w:rPr>
                <w:sz w:val="8"/>
                <w:szCs w:val="8"/>
                <w:color w:val="auto"/>
              </w:rPr>
            </w:pPr>
          </w:p>
        </w:tc>
        <w:tc>
          <w:tcPr>
            <w:tcW w:w="740" w:type="dxa"/>
            <w:vAlign w:val="bottom"/>
            <w:shd w:val="clear" w:color="auto" w:fill="A39B8C"/>
          </w:tcPr>
          <w:p>
            <w:pPr>
              <w:jc w:val="right"/>
              <w:ind w:right="290"/>
              <w:spacing w:after="0"/>
              <w:rPr>
                <w:sz w:val="20"/>
                <w:szCs w:val="20"/>
                <w:color w:val="auto"/>
              </w:rPr>
            </w:pPr>
            <w:r>
              <w:rPr>
                <w:rFonts w:ascii="Arial" w:cs="Arial" w:eastAsia="Arial" w:hAnsi="Arial"/>
                <w:sz w:val="9"/>
                <w:szCs w:val="9"/>
                <w:b w:val="1"/>
                <w:bCs w:val="1"/>
                <w:color w:val="FFFFFF"/>
              </w:rPr>
              <w:t>STOCK</w:t>
            </w:r>
          </w:p>
        </w:tc>
        <w:tc>
          <w:tcPr>
            <w:tcW w:w="440" w:type="dxa"/>
            <w:vAlign w:val="bottom"/>
            <w:shd w:val="clear" w:color="auto" w:fill="A39B8C"/>
          </w:tcPr>
          <w:p>
            <w:pPr>
              <w:spacing w:after="0"/>
              <w:rPr>
                <w:sz w:val="8"/>
                <w:szCs w:val="8"/>
                <w:color w:val="auto"/>
              </w:rPr>
            </w:pPr>
          </w:p>
        </w:tc>
        <w:tc>
          <w:tcPr>
            <w:tcW w:w="760" w:type="dxa"/>
            <w:vAlign w:val="bottom"/>
            <w:shd w:val="clear" w:color="auto" w:fill="A39B8C"/>
          </w:tcPr>
          <w:p>
            <w:pPr>
              <w:jc w:val="right"/>
              <w:ind w:right="270"/>
              <w:spacing w:after="0"/>
              <w:rPr>
                <w:sz w:val="20"/>
                <w:szCs w:val="20"/>
                <w:color w:val="auto"/>
              </w:rPr>
            </w:pPr>
            <w:r>
              <w:rPr>
                <w:rFonts w:ascii="Arial" w:cs="Arial" w:eastAsia="Arial" w:hAnsi="Arial"/>
                <w:sz w:val="9"/>
                <w:szCs w:val="9"/>
                <w:b w:val="1"/>
                <w:bCs w:val="1"/>
                <w:color w:val="FFFFFF"/>
              </w:rPr>
              <w:t>OPTION</w:t>
            </w:r>
          </w:p>
        </w:tc>
        <w:tc>
          <w:tcPr>
            <w:tcW w:w="1400" w:type="dxa"/>
            <w:vAlign w:val="bottom"/>
            <w:gridSpan w:val="2"/>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ALL OTHER</w:t>
            </w:r>
          </w:p>
        </w:tc>
        <w:tc>
          <w:tcPr>
            <w:tcW w:w="440" w:type="dxa"/>
            <w:vAlign w:val="bottom"/>
            <w:shd w:val="clear" w:color="auto" w:fill="A39B8C"/>
          </w:tcPr>
          <w:p>
            <w:pPr>
              <w:spacing w:after="0"/>
              <w:rPr>
                <w:sz w:val="8"/>
                <w:szCs w:val="8"/>
                <w:color w:val="auto"/>
              </w:rPr>
            </w:pPr>
          </w:p>
        </w:tc>
        <w:tc>
          <w:tcPr>
            <w:tcW w:w="640" w:type="dxa"/>
            <w:vAlign w:val="bottom"/>
            <w:shd w:val="clear" w:color="auto" w:fill="A39B8C"/>
          </w:tcPr>
          <w:p>
            <w:pPr>
              <w:spacing w:after="0"/>
              <w:rPr>
                <w:sz w:val="8"/>
                <w:szCs w:val="8"/>
                <w:color w:val="auto"/>
              </w:rPr>
            </w:pPr>
          </w:p>
        </w:tc>
        <w:tc>
          <w:tcPr>
            <w:tcW w:w="20" w:type="dxa"/>
            <w:vAlign w:val="bottom"/>
            <w:shd w:val="clear" w:color="auto" w:fill="A39B8C"/>
          </w:tcPr>
          <w:p>
            <w:pPr>
              <w:spacing w:after="0"/>
              <w:rPr>
                <w:sz w:val="8"/>
                <w:szCs w:val="8"/>
                <w:color w:val="auto"/>
              </w:rPr>
            </w:pPr>
          </w:p>
        </w:tc>
      </w:tr>
      <w:tr>
        <w:trPr>
          <w:trHeight w:val="93"/>
        </w:trPr>
        <w:tc>
          <w:tcPr>
            <w:tcW w:w="3980" w:type="dxa"/>
            <w:vAlign w:val="bottom"/>
            <w:shd w:val="clear" w:color="auto" w:fill="A39B8C"/>
          </w:tcPr>
          <w:p>
            <w:pPr>
              <w:spacing w:after="0"/>
              <w:rPr>
                <w:sz w:val="8"/>
                <w:szCs w:val="8"/>
                <w:color w:val="auto"/>
              </w:rPr>
            </w:pPr>
          </w:p>
        </w:tc>
        <w:tc>
          <w:tcPr>
            <w:tcW w:w="1040" w:type="dxa"/>
            <w:vAlign w:val="bottom"/>
            <w:gridSpan w:val="2"/>
            <w:shd w:val="clear" w:color="auto" w:fill="A39B8C"/>
          </w:tcPr>
          <w:p>
            <w:pPr>
              <w:jc w:val="right"/>
              <w:ind w:right="109"/>
              <w:spacing w:after="0" w:line="93" w:lineRule="exact"/>
              <w:rPr>
                <w:sz w:val="20"/>
                <w:szCs w:val="20"/>
                <w:color w:val="auto"/>
              </w:rPr>
            </w:pPr>
            <w:r>
              <w:rPr>
                <w:rFonts w:ascii="Arial" w:cs="Arial" w:eastAsia="Arial" w:hAnsi="Arial"/>
                <w:sz w:val="9"/>
                <w:szCs w:val="9"/>
                <w:b w:val="1"/>
                <w:bCs w:val="1"/>
                <w:color w:val="FFFFFF"/>
              </w:rPr>
              <w:t>PAID IN CASH</w:t>
            </w:r>
          </w:p>
        </w:tc>
        <w:tc>
          <w:tcPr>
            <w:tcW w:w="420" w:type="dxa"/>
            <w:vAlign w:val="bottom"/>
            <w:shd w:val="clear" w:color="auto" w:fill="A39B8C"/>
          </w:tcPr>
          <w:p>
            <w:pPr>
              <w:spacing w:after="0"/>
              <w:rPr>
                <w:sz w:val="8"/>
                <w:szCs w:val="8"/>
                <w:color w:val="auto"/>
              </w:rPr>
            </w:pPr>
          </w:p>
        </w:tc>
        <w:tc>
          <w:tcPr>
            <w:tcW w:w="740" w:type="dxa"/>
            <w:vAlign w:val="bottom"/>
            <w:shd w:val="clear" w:color="auto" w:fill="A39B8C"/>
          </w:tcPr>
          <w:p>
            <w:pPr>
              <w:jc w:val="right"/>
              <w:ind w:right="290"/>
              <w:spacing w:after="0" w:line="93" w:lineRule="exact"/>
              <w:rPr>
                <w:sz w:val="20"/>
                <w:szCs w:val="20"/>
                <w:color w:val="auto"/>
              </w:rPr>
            </w:pPr>
            <w:r>
              <w:rPr>
                <w:rFonts w:ascii="Arial" w:cs="Arial" w:eastAsia="Arial" w:hAnsi="Arial"/>
                <w:sz w:val="9"/>
                <w:szCs w:val="9"/>
                <w:b w:val="1"/>
                <w:bCs w:val="1"/>
                <w:color w:val="FFFFFF"/>
                <w:w w:val="93"/>
              </w:rPr>
              <w:t>AWARDS</w:t>
            </w:r>
          </w:p>
        </w:tc>
        <w:tc>
          <w:tcPr>
            <w:tcW w:w="440" w:type="dxa"/>
            <w:vAlign w:val="bottom"/>
            <w:shd w:val="clear" w:color="auto" w:fill="A39B8C"/>
          </w:tcPr>
          <w:p>
            <w:pPr>
              <w:spacing w:after="0"/>
              <w:rPr>
                <w:sz w:val="8"/>
                <w:szCs w:val="8"/>
                <w:color w:val="auto"/>
              </w:rPr>
            </w:pPr>
          </w:p>
        </w:tc>
        <w:tc>
          <w:tcPr>
            <w:tcW w:w="760" w:type="dxa"/>
            <w:vAlign w:val="bottom"/>
            <w:shd w:val="clear" w:color="auto" w:fill="A39B8C"/>
          </w:tcPr>
          <w:p>
            <w:pPr>
              <w:jc w:val="right"/>
              <w:ind w:right="270"/>
              <w:spacing w:after="0" w:line="93" w:lineRule="exact"/>
              <w:rPr>
                <w:sz w:val="20"/>
                <w:szCs w:val="20"/>
                <w:color w:val="auto"/>
              </w:rPr>
            </w:pPr>
            <w:r>
              <w:rPr>
                <w:rFonts w:ascii="Arial" w:cs="Arial" w:eastAsia="Arial" w:hAnsi="Arial"/>
                <w:sz w:val="9"/>
                <w:szCs w:val="9"/>
                <w:b w:val="1"/>
                <w:bCs w:val="1"/>
                <w:color w:val="FFFFFF"/>
              </w:rPr>
              <w:t>AWARDS</w:t>
            </w:r>
          </w:p>
        </w:tc>
        <w:tc>
          <w:tcPr>
            <w:tcW w:w="1400" w:type="dxa"/>
            <w:vAlign w:val="bottom"/>
            <w:gridSpan w:val="2"/>
            <w:shd w:val="clear" w:color="auto" w:fill="A39B8C"/>
          </w:tcPr>
          <w:p>
            <w:pPr>
              <w:jc w:val="center"/>
              <w:spacing w:after="0" w:line="93" w:lineRule="exact"/>
              <w:rPr>
                <w:sz w:val="20"/>
                <w:szCs w:val="20"/>
                <w:color w:val="auto"/>
              </w:rPr>
            </w:pPr>
            <w:r>
              <w:rPr>
                <w:rFonts w:ascii="Arial" w:cs="Arial" w:eastAsia="Arial" w:hAnsi="Arial"/>
                <w:sz w:val="9"/>
                <w:szCs w:val="9"/>
                <w:b w:val="1"/>
                <w:bCs w:val="1"/>
                <w:color w:val="FFFFFF"/>
                <w:w w:val="97"/>
              </w:rPr>
              <w:t>COMPENSATION</w:t>
            </w:r>
          </w:p>
        </w:tc>
        <w:tc>
          <w:tcPr>
            <w:tcW w:w="440" w:type="dxa"/>
            <w:vAlign w:val="bottom"/>
            <w:shd w:val="clear" w:color="auto" w:fill="A39B8C"/>
          </w:tcPr>
          <w:p>
            <w:pPr>
              <w:spacing w:after="0"/>
              <w:rPr>
                <w:sz w:val="8"/>
                <w:szCs w:val="8"/>
                <w:color w:val="auto"/>
              </w:rPr>
            </w:pPr>
          </w:p>
        </w:tc>
        <w:tc>
          <w:tcPr>
            <w:tcW w:w="640" w:type="dxa"/>
            <w:vAlign w:val="bottom"/>
            <w:shd w:val="clear" w:color="auto" w:fill="A39B8C"/>
          </w:tcPr>
          <w:p>
            <w:pPr>
              <w:jc w:val="right"/>
              <w:ind w:right="189"/>
              <w:spacing w:after="0" w:line="93" w:lineRule="exact"/>
              <w:rPr>
                <w:sz w:val="20"/>
                <w:szCs w:val="20"/>
                <w:color w:val="auto"/>
              </w:rPr>
            </w:pPr>
            <w:r>
              <w:rPr>
                <w:rFonts w:ascii="Arial" w:cs="Arial" w:eastAsia="Arial" w:hAnsi="Arial"/>
                <w:sz w:val="9"/>
                <w:szCs w:val="9"/>
                <w:b w:val="1"/>
                <w:bCs w:val="1"/>
                <w:color w:val="FFFFFF"/>
              </w:rPr>
              <w:t>TOTAL</w:t>
            </w:r>
          </w:p>
        </w:tc>
        <w:tc>
          <w:tcPr>
            <w:tcW w:w="20" w:type="dxa"/>
            <w:vAlign w:val="bottom"/>
            <w:shd w:val="clear" w:color="auto" w:fill="A39B8C"/>
          </w:tcPr>
          <w:p>
            <w:pPr>
              <w:spacing w:after="0"/>
              <w:rPr>
                <w:sz w:val="8"/>
                <w:szCs w:val="8"/>
                <w:color w:val="auto"/>
              </w:rPr>
            </w:pPr>
          </w:p>
        </w:tc>
      </w:tr>
      <w:tr>
        <w:trPr>
          <w:trHeight w:val="139"/>
        </w:trPr>
        <w:tc>
          <w:tcPr>
            <w:tcW w:w="39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w:t>
            </w:r>
          </w:p>
        </w:tc>
        <w:tc>
          <w:tcPr>
            <w:tcW w:w="500" w:type="dxa"/>
            <w:vAlign w:val="bottom"/>
            <w:tcBorders>
              <w:bottom w:val="single" w:sz="8" w:color="A39B8C"/>
            </w:tcBorders>
            <w:shd w:val="clear" w:color="auto" w:fill="A39B8C"/>
          </w:tcPr>
          <w:p>
            <w:pPr>
              <w:spacing w:after="0"/>
              <w:rPr>
                <w:sz w:val="12"/>
                <w:szCs w:val="12"/>
                <w:color w:val="auto"/>
              </w:rPr>
            </w:pPr>
          </w:p>
        </w:tc>
        <w:tc>
          <w:tcPr>
            <w:tcW w:w="540" w:type="dxa"/>
            <w:vAlign w:val="bottom"/>
            <w:tcBorders>
              <w:bottom w:val="single" w:sz="8" w:color="A39B8C"/>
            </w:tcBorders>
            <w:shd w:val="clear" w:color="auto" w:fill="A39B8C"/>
          </w:tcPr>
          <w:p>
            <w:pPr>
              <w:jc w:val="right"/>
              <w:ind w:right="109"/>
              <w:spacing w:after="0"/>
              <w:rPr>
                <w:sz w:val="20"/>
                <w:szCs w:val="20"/>
                <w:color w:val="auto"/>
              </w:rPr>
            </w:pPr>
            <w:r>
              <w:rPr>
                <w:rFonts w:ascii="Arial" w:cs="Arial" w:eastAsia="Arial" w:hAnsi="Arial"/>
                <w:sz w:val="9"/>
                <w:szCs w:val="9"/>
                <w:b w:val="1"/>
                <w:bCs w:val="1"/>
                <w:color w:val="FFFFFF"/>
              </w:rPr>
              <w:t>($)</w:t>
            </w:r>
          </w:p>
        </w:tc>
        <w:tc>
          <w:tcPr>
            <w:tcW w:w="420" w:type="dxa"/>
            <w:vAlign w:val="bottom"/>
            <w:tcBorders>
              <w:bottom w:val="single" w:sz="8" w:color="A39B8C"/>
            </w:tcBorders>
            <w:shd w:val="clear" w:color="auto" w:fill="A39B8C"/>
          </w:tcPr>
          <w:p>
            <w:pPr>
              <w:spacing w:after="0"/>
              <w:rPr>
                <w:sz w:val="12"/>
                <w:szCs w:val="12"/>
                <w:color w:val="auto"/>
              </w:rPr>
            </w:pPr>
          </w:p>
        </w:tc>
        <w:tc>
          <w:tcPr>
            <w:tcW w:w="740" w:type="dxa"/>
            <w:vAlign w:val="bottom"/>
            <w:tcBorders>
              <w:bottom w:val="single" w:sz="8" w:color="A39B8C"/>
            </w:tcBorders>
            <w:shd w:val="clear" w:color="auto" w:fill="A39B8C"/>
          </w:tcPr>
          <w:p>
            <w:pPr>
              <w:jc w:val="right"/>
              <w:ind w:right="290"/>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(1)</w:t>
            </w:r>
          </w:p>
        </w:tc>
        <w:tc>
          <w:tcPr>
            <w:tcW w:w="440" w:type="dxa"/>
            <w:vAlign w:val="bottom"/>
            <w:tcBorders>
              <w:bottom w:val="single" w:sz="8" w:color="A39B8C"/>
            </w:tcBorders>
            <w:shd w:val="clear" w:color="auto" w:fill="A39B8C"/>
          </w:tcPr>
          <w:p>
            <w:pPr>
              <w:spacing w:after="0"/>
              <w:rPr>
                <w:sz w:val="12"/>
                <w:szCs w:val="12"/>
                <w:color w:val="auto"/>
              </w:rPr>
            </w:pPr>
          </w:p>
        </w:tc>
        <w:tc>
          <w:tcPr>
            <w:tcW w:w="760" w:type="dxa"/>
            <w:vAlign w:val="bottom"/>
            <w:tcBorders>
              <w:bottom w:val="single" w:sz="8" w:color="A39B8C"/>
            </w:tcBorders>
            <w:shd w:val="clear" w:color="auto" w:fill="A39B8C"/>
          </w:tcPr>
          <w:p>
            <w:pPr>
              <w:jc w:val="right"/>
              <w:ind w:right="270"/>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(2)</w:t>
            </w:r>
          </w:p>
        </w:tc>
        <w:tc>
          <w:tcPr>
            <w:tcW w:w="780" w:type="dxa"/>
            <w:vAlign w:val="bottom"/>
            <w:tcBorders>
              <w:bottom w:val="single" w:sz="8" w:color="A39B8C"/>
            </w:tcBorders>
            <w:shd w:val="clear" w:color="auto" w:fill="A39B8C"/>
          </w:tcPr>
          <w:p>
            <w:pPr>
              <w:spacing w:after="0"/>
              <w:rPr>
                <w:sz w:val="12"/>
                <w:szCs w:val="12"/>
                <w:color w:val="auto"/>
              </w:rPr>
            </w:pPr>
          </w:p>
        </w:tc>
        <w:tc>
          <w:tcPr>
            <w:tcW w:w="620" w:type="dxa"/>
            <w:vAlign w:val="bottom"/>
            <w:tcBorders>
              <w:bottom w:val="single" w:sz="8" w:color="A39B8C"/>
            </w:tcBorders>
            <w:shd w:val="clear" w:color="auto" w:fill="A39B8C"/>
          </w:tcPr>
          <w:p>
            <w:pPr>
              <w:jc w:val="right"/>
              <w:ind w:right="310"/>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(3)</w:t>
            </w:r>
          </w:p>
        </w:tc>
        <w:tc>
          <w:tcPr>
            <w:tcW w:w="440" w:type="dxa"/>
            <w:vAlign w:val="bottom"/>
            <w:tcBorders>
              <w:bottom w:val="single" w:sz="8" w:color="A39B8C"/>
            </w:tcBorders>
            <w:shd w:val="clear" w:color="auto" w:fill="A39B8C"/>
          </w:tcPr>
          <w:p>
            <w:pPr>
              <w:spacing w:after="0"/>
              <w:rPr>
                <w:sz w:val="12"/>
                <w:szCs w:val="12"/>
                <w:color w:val="auto"/>
              </w:rPr>
            </w:pPr>
          </w:p>
        </w:tc>
        <w:tc>
          <w:tcPr>
            <w:tcW w:w="640" w:type="dxa"/>
            <w:vAlign w:val="bottom"/>
            <w:tcBorders>
              <w:bottom w:val="single" w:sz="8" w:color="A39B8C"/>
            </w:tcBorders>
            <w:shd w:val="clear" w:color="auto" w:fill="A39B8C"/>
          </w:tcPr>
          <w:p>
            <w:pPr>
              <w:jc w:val="right"/>
              <w:ind w:right="189"/>
              <w:spacing w:after="0"/>
              <w:rPr>
                <w:sz w:val="20"/>
                <w:szCs w:val="20"/>
                <w:color w:val="auto"/>
              </w:rPr>
            </w:pPr>
            <w:r>
              <w:rPr>
                <w:rFonts w:ascii="Arial" w:cs="Arial" w:eastAsia="Arial" w:hAnsi="Arial"/>
                <w:sz w:val="9"/>
                <w:szCs w:val="9"/>
                <w:b w:val="1"/>
                <w:bCs w:val="1"/>
                <w:color w:val="FFFFFF"/>
              </w:rPr>
              <w:t>($)</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9"/>
        </w:trPr>
        <w:tc>
          <w:tcPr>
            <w:tcW w:w="3980" w:type="dxa"/>
            <w:vAlign w:val="bottom"/>
          </w:tcPr>
          <w:p>
            <w:pPr>
              <w:ind w:left="80"/>
              <w:spacing w:after="0"/>
              <w:rPr>
                <w:sz w:val="20"/>
                <w:szCs w:val="20"/>
                <w:color w:val="auto"/>
              </w:rPr>
            </w:pPr>
            <w:r>
              <w:rPr>
                <w:rFonts w:ascii="Arial" w:cs="Arial" w:eastAsia="Arial" w:hAnsi="Arial"/>
                <w:sz w:val="11"/>
                <w:szCs w:val="11"/>
                <w:color w:val="262626"/>
              </w:rPr>
              <w:t>Margaret J. Myers</w:t>
            </w:r>
            <w:r>
              <w:rPr>
                <w:rFonts w:ascii="Arial" w:cs="Arial" w:eastAsia="Arial" w:hAnsi="Arial"/>
                <w:sz w:val="9"/>
                <w:szCs w:val="9"/>
                <w:b w:val="1"/>
                <w:bCs w:val="1"/>
                <w:color w:val="262626"/>
              </w:rPr>
              <w:t>(9)</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109"/>
              <w:spacing w:after="0"/>
              <w:rPr>
                <w:sz w:val="20"/>
                <w:szCs w:val="20"/>
                <w:color w:val="auto"/>
              </w:rPr>
            </w:pPr>
            <w:r>
              <w:rPr>
                <w:rFonts w:ascii="Arial" w:cs="Arial" w:eastAsia="Arial" w:hAnsi="Arial"/>
                <w:sz w:val="11"/>
                <w:szCs w:val="11"/>
                <w:color w:val="262626"/>
                <w:w w:val="90"/>
              </w:rPr>
              <w:t>100,866</w:t>
            </w:r>
          </w:p>
        </w:tc>
        <w:tc>
          <w:tcPr>
            <w:tcW w:w="42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290"/>
              <w:spacing w:after="0"/>
              <w:rPr>
                <w:sz w:val="20"/>
                <w:szCs w:val="20"/>
                <w:color w:val="auto"/>
              </w:rPr>
            </w:pPr>
            <w:r>
              <w:rPr>
                <w:rFonts w:ascii="Arial" w:cs="Arial" w:eastAsia="Arial" w:hAnsi="Arial"/>
                <w:sz w:val="11"/>
                <w:szCs w:val="11"/>
                <w:color w:val="262626"/>
                <w:w w:val="95"/>
              </w:rPr>
              <w:t>631,754</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70"/>
              <w:spacing w:after="0"/>
              <w:rPr>
                <w:sz w:val="20"/>
                <w:szCs w:val="20"/>
                <w:color w:val="auto"/>
              </w:rPr>
            </w:pPr>
            <w:r>
              <w:rPr>
                <w:rFonts w:ascii="Arial" w:cs="Arial" w:eastAsia="Arial" w:hAnsi="Arial"/>
                <w:sz w:val="11"/>
                <w:szCs w:val="11"/>
                <w:color w:val="262626"/>
              </w:rPr>
              <w:t>—</w:t>
            </w:r>
          </w:p>
        </w:tc>
        <w:tc>
          <w:tcPr>
            <w:tcW w:w="1400" w:type="dxa"/>
            <w:vAlign w:val="bottom"/>
            <w:gridSpan w:val="2"/>
          </w:tcPr>
          <w:p>
            <w:pPr>
              <w:jc w:val="right"/>
              <w:ind w:right="310"/>
              <w:spacing w:after="0"/>
              <w:rPr>
                <w:sz w:val="20"/>
                <w:szCs w:val="20"/>
                <w:color w:val="auto"/>
              </w:rPr>
            </w:pPr>
            <w:r>
              <w:rPr>
                <w:rFonts w:ascii="Arial" w:cs="Arial" w:eastAsia="Arial" w:hAnsi="Arial"/>
                <w:sz w:val="11"/>
                <w:szCs w:val="11"/>
                <w:color w:val="262626"/>
              </w:rPr>
              <w:t>$ 2,945</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89"/>
              <w:spacing w:after="0"/>
              <w:rPr>
                <w:sz w:val="20"/>
                <w:szCs w:val="20"/>
                <w:color w:val="auto"/>
              </w:rPr>
            </w:pPr>
            <w:r>
              <w:rPr>
                <w:rFonts w:ascii="Arial" w:cs="Arial" w:eastAsia="Arial" w:hAnsi="Arial"/>
                <w:sz w:val="11"/>
                <w:szCs w:val="11"/>
                <w:color w:val="262626"/>
                <w:w w:val="95"/>
              </w:rPr>
              <w:t>735,565</w:t>
            </w:r>
          </w:p>
        </w:tc>
        <w:tc>
          <w:tcPr>
            <w:tcW w:w="20" w:type="dxa"/>
            <w:vAlign w:val="bottom"/>
          </w:tcPr>
          <w:p>
            <w:pPr>
              <w:spacing w:after="0"/>
              <w:rPr>
                <w:sz w:val="12"/>
                <w:szCs w:val="12"/>
                <w:color w:val="auto"/>
              </w:rPr>
            </w:pPr>
          </w:p>
        </w:tc>
      </w:tr>
      <w:tr>
        <w:trPr>
          <w:trHeight w:val="49"/>
        </w:trPr>
        <w:tc>
          <w:tcPr>
            <w:tcW w:w="3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9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Clark T. Randt, Jr.</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40" w:type="dxa"/>
            <w:vAlign w:val="bottom"/>
            <w:tcBorders>
              <w:bottom w:val="single" w:sz="8" w:color="ECEBE8"/>
            </w:tcBorders>
            <w:shd w:val="clear" w:color="auto" w:fill="ECEBE8"/>
          </w:tcPr>
          <w:p>
            <w:pPr>
              <w:jc w:val="right"/>
              <w:ind w:right="109"/>
              <w:spacing w:after="0"/>
              <w:rPr>
                <w:sz w:val="20"/>
                <w:szCs w:val="20"/>
                <w:color w:val="auto"/>
              </w:rPr>
            </w:pPr>
            <w:r>
              <w:rPr>
                <w:rFonts w:ascii="Arial" w:cs="Arial" w:eastAsia="Arial" w:hAnsi="Arial"/>
                <w:sz w:val="11"/>
                <w:szCs w:val="11"/>
                <w:color w:val="262626"/>
                <w:w w:val="90"/>
              </w:rPr>
              <w:t>103,833</w:t>
            </w:r>
          </w:p>
        </w:tc>
        <w:tc>
          <w:tcPr>
            <w:tcW w:w="4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290"/>
              <w:spacing w:after="0"/>
              <w:rPr>
                <w:sz w:val="20"/>
                <w:szCs w:val="20"/>
                <w:color w:val="auto"/>
              </w:rPr>
            </w:pPr>
            <w:r>
              <w:rPr>
                <w:rFonts w:ascii="Arial" w:cs="Arial" w:eastAsia="Arial" w:hAnsi="Arial"/>
                <w:sz w:val="11"/>
                <w:szCs w:val="11"/>
                <w:color w:val="262626"/>
                <w:w w:val="95"/>
              </w:rPr>
              <w:t>249,914</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60" w:type="dxa"/>
            <w:vAlign w:val="bottom"/>
            <w:tcBorders>
              <w:bottom w:val="single" w:sz="8" w:color="ECEBE8"/>
            </w:tcBorders>
            <w:shd w:val="clear" w:color="auto" w:fill="ECEBE8"/>
          </w:tcPr>
          <w:p>
            <w:pPr>
              <w:jc w:val="right"/>
              <w:ind w:right="270"/>
              <w:spacing w:after="0"/>
              <w:rPr>
                <w:sz w:val="20"/>
                <w:szCs w:val="20"/>
                <w:color w:val="auto"/>
              </w:rPr>
            </w:pPr>
            <w:r>
              <w:rPr>
                <w:rFonts w:ascii="Arial" w:cs="Arial" w:eastAsia="Arial" w:hAnsi="Arial"/>
                <w:sz w:val="11"/>
                <w:szCs w:val="11"/>
                <w:color w:val="262626"/>
              </w:rPr>
              <w:t>—</w:t>
            </w:r>
          </w:p>
        </w:tc>
        <w:tc>
          <w:tcPr>
            <w:tcW w:w="1400" w:type="dxa"/>
            <w:vAlign w:val="bottom"/>
            <w:tcBorders>
              <w:bottom w:val="single" w:sz="8" w:color="ECEBE8"/>
            </w:tcBorders>
            <w:gridSpan w:val="2"/>
            <w:shd w:val="clear" w:color="auto" w:fill="ECEBE8"/>
          </w:tcPr>
          <w:p>
            <w:pPr>
              <w:jc w:val="right"/>
              <w:ind w:right="310"/>
              <w:spacing w:after="0"/>
              <w:rPr>
                <w:sz w:val="20"/>
                <w:szCs w:val="20"/>
                <w:color w:val="auto"/>
              </w:rPr>
            </w:pPr>
            <w:r>
              <w:rPr>
                <w:rFonts w:ascii="Arial" w:cs="Arial" w:eastAsia="Arial" w:hAnsi="Arial"/>
                <w:sz w:val="11"/>
                <w:szCs w:val="11"/>
                <w:color w:val="262626"/>
              </w:rPr>
              <w:t>$10,904</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w w:val="95"/>
              </w:rPr>
              <w:t>364,651</w:t>
            </w:r>
          </w:p>
        </w:tc>
        <w:tc>
          <w:tcPr>
            <w:tcW w:w="20" w:type="dxa"/>
            <w:vAlign w:val="bottom"/>
          </w:tcPr>
          <w:p>
            <w:pPr>
              <w:spacing w:after="0"/>
              <w:rPr>
                <w:sz w:val="15"/>
                <w:szCs w:val="15"/>
                <w:color w:val="auto"/>
              </w:rPr>
            </w:pPr>
          </w:p>
        </w:tc>
      </w:tr>
      <w:tr>
        <w:trPr>
          <w:trHeight w:val="149"/>
        </w:trPr>
        <w:tc>
          <w:tcPr>
            <w:tcW w:w="3980" w:type="dxa"/>
            <w:vAlign w:val="bottom"/>
          </w:tcPr>
          <w:p>
            <w:pPr>
              <w:ind w:left="80"/>
              <w:spacing w:after="0"/>
              <w:rPr>
                <w:sz w:val="20"/>
                <w:szCs w:val="20"/>
                <w:color w:val="auto"/>
              </w:rPr>
            </w:pPr>
            <w:r>
              <w:rPr>
                <w:rFonts w:ascii="Arial" w:cs="Arial" w:eastAsia="Arial" w:hAnsi="Arial"/>
                <w:sz w:val="11"/>
                <w:szCs w:val="11"/>
                <w:color w:val="262626"/>
              </w:rPr>
              <w:t>Philip G. Satre</w:t>
            </w:r>
            <w:r>
              <w:rPr>
                <w:rFonts w:ascii="Arial" w:cs="Arial" w:eastAsia="Arial" w:hAnsi="Arial"/>
                <w:sz w:val="9"/>
                <w:szCs w:val="9"/>
                <w:b w:val="1"/>
                <w:bCs w:val="1"/>
                <w:color w:val="262626"/>
              </w:rPr>
              <w:t>(10)</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109"/>
              <w:spacing w:after="0"/>
              <w:rPr>
                <w:sz w:val="20"/>
                <w:szCs w:val="20"/>
                <w:color w:val="auto"/>
              </w:rPr>
            </w:pPr>
            <w:r>
              <w:rPr>
                <w:rFonts w:ascii="Arial" w:cs="Arial" w:eastAsia="Arial" w:hAnsi="Arial"/>
                <w:sz w:val="11"/>
                <w:szCs w:val="11"/>
                <w:color w:val="262626"/>
                <w:w w:val="90"/>
              </w:rPr>
              <w:t>127,089</w:t>
            </w:r>
          </w:p>
        </w:tc>
        <w:tc>
          <w:tcPr>
            <w:tcW w:w="42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290"/>
              <w:spacing w:after="0"/>
              <w:rPr>
                <w:sz w:val="20"/>
                <w:szCs w:val="20"/>
                <w:color w:val="auto"/>
              </w:rPr>
            </w:pPr>
            <w:r>
              <w:rPr>
                <w:rFonts w:ascii="Arial" w:cs="Arial" w:eastAsia="Arial" w:hAnsi="Arial"/>
                <w:sz w:val="11"/>
                <w:szCs w:val="11"/>
                <w:color w:val="262626"/>
                <w:w w:val="95"/>
              </w:rPr>
              <w:t>298,380</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70"/>
              <w:spacing w:after="0"/>
              <w:rPr>
                <w:sz w:val="20"/>
                <w:szCs w:val="20"/>
                <w:color w:val="auto"/>
              </w:rPr>
            </w:pPr>
            <w:r>
              <w:rPr>
                <w:rFonts w:ascii="Arial" w:cs="Arial" w:eastAsia="Arial" w:hAnsi="Arial"/>
                <w:sz w:val="11"/>
                <w:szCs w:val="11"/>
                <w:color w:val="262626"/>
              </w:rPr>
              <w:t>—</w:t>
            </w:r>
          </w:p>
        </w:tc>
        <w:tc>
          <w:tcPr>
            <w:tcW w:w="780" w:type="dxa"/>
            <w:vAlign w:val="bottom"/>
          </w:tcPr>
          <w:p>
            <w:pPr>
              <w:jc w:val="center"/>
              <w:ind w:left="509"/>
              <w:spacing w:after="0"/>
              <w:rPr>
                <w:sz w:val="20"/>
                <w:szCs w:val="20"/>
                <w:color w:val="auto"/>
              </w:rPr>
            </w:pPr>
            <w:r>
              <w:rPr>
                <w:rFonts w:ascii="Arial" w:cs="Arial" w:eastAsia="Arial" w:hAnsi="Arial"/>
                <w:sz w:val="11"/>
                <w:szCs w:val="11"/>
                <w:color w:val="262626"/>
                <w:w w:val="97"/>
              </w:rPr>
              <w:t>$</w:t>
            </w:r>
          </w:p>
        </w:tc>
        <w:tc>
          <w:tcPr>
            <w:tcW w:w="620" w:type="dxa"/>
            <w:vAlign w:val="bottom"/>
          </w:tcPr>
          <w:p>
            <w:pPr>
              <w:jc w:val="right"/>
              <w:ind w:right="310"/>
              <w:spacing w:after="0"/>
              <w:rPr>
                <w:sz w:val="20"/>
                <w:szCs w:val="20"/>
                <w:color w:val="auto"/>
              </w:rPr>
            </w:pPr>
            <w:r>
              <w:rPr>
                <w:rFonts w:ascii="Arial" w:cs="Arial" w:eastAsia="Arial" w:hAnsi="Arial"/>
                <w:sz w:val="11"/>
                <w:szCs w:val="11"/>
                <w:color w:val="262626"/>
              </w:rPr>
              <w:t>—</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89"/>
              <w:spacing w:after="0"/>
              <w:rPr>
                <w:sz w:val="20"/>
                <w:szCs w:val="20"/>
                <w:color w:val="auto"/>
              </w:rPr>
            </w:pPr>
            <w:r>
              <w:rPr>
                <w:rFonts w:ascii="Arial" w:cs="Arial" w:eastAsia="Arial" w:hAnsi="Arial"/>
                <w:sz w:val="11"/>
                <w:szCs w:val="11"/>
                <w:color w:val="262626"/>
                <w:w w:val="95"/>
              </w:rPr>
              <w:t>425,469</w:t>
            </w:r>
          </w:p>
        </w:tc>
        <w:tc>
          <w:tcPr>
            <w:tcW w:w="20" w:type="dxa"/>
            <w:vAlign w:val="bottom"/>
          </w:tcPr>
          <w:p>
            <w:pPr>
              <w:spacing w:after="0"/>
              <w:rPr>
                <w:sz w:val="12"/>
                <w:szCs w:val="12"/>
                <w:color w:val="auto"/>
              </w:rPr>
            </w:pPr>
          </w:p>
        </w:tc>
      </w:tr>
      <w:tr>
        <w:trPr>
          <w:trHeight w:val="49"/>
        </w:trPr>
        <w:tc>
          <w:tcPr>
            <w:tcW w:w="3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9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Alvin V. Shoemaker</w:t>
            </w:r>
            <w:r>
              <w:rPr>
                <w:rFonts w:ascii="Arial" w:cs="Arial" w:eastAsia="Arial" w:hAnsi="Arial"/>
                <w:sz w:val="9"/>
                <w:szCs w:val="9"/>
                <w:b w:val="1"/>
                <w:bCs w:val="1"/>
                <w:color w:val="262626"/>
              </w:rPr>
              <w:t>(11)</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40" w:type="dxa"/>
            <w:vAlign w:val="bottom"/>
            <w:tcBorders>
              <w:bottom w:val="single" w:sz="8" w:color="ECEBE8"/>
            </w:tcBorders>
            <w:shd w:val="clear" w:color="auto" w:fill="ECEBE8"/>
          </w:tcPr>
          <w:p>
            <w:pPr>
              <w:jc w:val="right"/>
              <w:ind w:right="109"/>
              <w:spacing w:after="0"/>
              <w:rPr>
                <w:sz w:val="20"/>
                <w:szCs w:val="20"/>
                <w:color w:val="auto"/>
              </w:rPr>
            </w:pPr>
            <w:r>
              <w:rPr>
                <w:rFonts w:ascii="Arial" w:cs="Arial" w:eastAsia="Arial" w:hAnsi="Arial"/>
                <w:sz w:val="11"/>
                <w:szCs w:val="11"/>
                <w:color w:val="262626"/>
                <w:w w:val="90"/>
              </w:rPr>
              <w:t>153,379</w:t>
            </w:r>
          </w:p>
        </w:tc>
        <w:tc>
          <w:tcPr>
            <w:tcW w:w="4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290"/>
              <w:spacing w:after="0"/>
              <w:rPr>
                <w:sz w:val="20"/>
                <w:szCs w:val="20"/>
                <w:color w:val="auto"/>
              </w:rPr>
            </w:pPr>
            <w:r>
              <w:rPr>
                <w:rFonts w:ascii="Arial" w:cs="Arial" w:eastAsia="Arial" w:hAnsi="Arial"/>
                <w:sz w:val="11"/>
                <w:szCs w:val="11"/>
                <w:color w:val="262626"/>
              </w:rPr>
              <w:t>88,987</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60" w:type="dxa"/>
            <w:vAlign w:val="bottom"/>
            <w:tcBorders>
              <w:bottom w:val="single" w:sz="8" w:color="ECEBE8"/>
            </w:tcBorders>
            <w:shd w:val="clear" w:color="auto" w:fill="ECEBE8"/>
          </w:tcPr>
          <w:p>
            <w:pPr>
              <w:jc w:val="right"/>
              <w:ind w:right="270"/>
              <w:spacing w:after="0"/>
              <w:rPr>
                <w:sz w:val="20"/>
                <w:szCs w:val="20"/>
                <w:color w:val="auto"/>
              </w:rPr>
            </w:pPr>
            <w:r>
              <w:rPr>
                <w:rFonts w:ascii="Arial" w:cs="Arial" w:eastAsia="Arial" w:hAnsi="Arial"/>
                <w:sz w:val="11"/>
                <w:szCs w:val="11"/>
                <w:color w:val="262626"/>
              </w:rPr>
              <w:t>—</w:t>
            </w:r>
          </w:p>
        </w:tc>
        <w:tc>
          <w:tcPr>
            <w:tcW w:w="1400" w:type="dxa"/>
            <w:vAlign w:val="bottom"/>
            <w:tcBorders>
              <w:bottom w:val="single" w:sz="8" w:color="ECEBE8"/>
            </w:tcBorders>
            <w:gridSpan w:val="2"/>
            <w:shd w:val="clear" w:color="auto" w:fill="ECEBE8"/>
          </w:tcPr>
          <w:p>
            <w:pPr>
              <w:jc w:val="right"/>
              <w:ind w:right="310"/>
              <w:spacing w:after="0"/>
              <w:rPr>
                <w:sz w:val="20"/>
                <w:szCs w:val="20"/>
                <w:color w:val="auto"/>
              </w:rPr>
            </w:pPr>
            <w:r>
              <w:rPr>
                <w:rFonts w:ascii="Arial" w:cs="Arial" w:eastAsia="Arial" w:hAnsi="Arial"/>
                <w:sz w:val="11"/>
                <w:szCs w:val="11"/>
                <w:color w:val="262626"/>
              </w:rPr>
              <w:t>$12,645</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w w:val="95"/>
              </w:rPr>
              <w:t>255,011</w:t>
            </w:r>
          </w:p>
        </w:tc>
        <w:tc>
          <w:tcPr>
            <w:tcW w:w="20" w:type="dxa"/>
            <w:vAlign w:val="bottom"/>
          </w:tcPr>
          <w:p>
            <w:pPr>
              <w:spacing w:after="0"/>
              <w:rPr>
                <w:sz w:val="15"/>
                <w:szCs w:val="15"/>
                <w:color w:val="auto"/>
              </w:rPr>
            </w:pPr>
          </w:p>
        </w:tc>
      </w:tr>
      <w:tr>
        <w:trPr>
          <w:trHeight w:val="149"/>
        </w:trPr>
        <w:tc>
          <w:tcPr>
            <w:tcW w:w="3980" w:type="dxa"/>
            <w:vAlign w:val="bottom"/>
          </w:tcPr>
          <w:p>
            <w:pPr>
              <w:ind w:left="80"/>
              <w:spacing w:after="0"/>
              <w:rPr>
                <w:sz w:val="20"/>
                <w:szCs w:val="20"/>
                <w:color w:val="auto"/>
              </w:rPr>
            </w:pPr>
            <w:r>
              <w:rPr>
                <w:rFonts w:ascii="Arial" w:cs="Arial" w:eastAsia="Arial" w:hAnsi="Arial"/>
                <w:sz w:val="11"/>
                <w:szCs w:val="11"/>
                <w:color w:val="262626"/>
              </w:rPr>
              <w:t>J. Edward Virtue</w:t>
            </w:r>
            <w:r>
              <w:rPr>
                <w:rFonts w:ascii="Arial" w:cs="Arial" w:eastAsia="Arial" w:hAnsi="Arial"/>
                <w:sz w:val="9"/>
                <w:szCs w:val="9"/>
                <w:b w:val="1"/>
                <w:bCs w:val="1"/>
                <w:color w:val="262626"/>
              </w:rPr>
              <w:t>(12)</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109"/>
              <w:spacing w:after="0"/>
              <w:rPr>
                <w:sz w:val="20"/>
                <w:szCs w:val="20"/>
                <w:color w:val="auto"/>
              </w:rPr>
            </w:pPr>
            <w:r>
              <w:rPr>
                <w:rFonts w:ascii="Arial" w:cs="Arial" w:eastAsia="Arial" w:hAnsi="Arial"/>
                <w:sz w:val="11"/>
                <w:szCs w:val="11"/>
                <w:color w:val="262626"/>
              </w:rPr>
              <w:t>79,371</w:t>
            </w:r>
          </w:p>
        </w:tc>
        <w:tc>
          <w:tcPr>
            <w:tcW w:w="42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290"/>
              <w:spacing w:after="0"/>
              <w:rPr>
                <w:sz w:val="20"/>
                <w:szCs w:val="20"/>
                <w:color w:val="auto"/>
              </w:rPr>
            </w:pPr>
            <w:r>
              <w:rPr>
                <w:rFonts w:ascii="Arial" w:cs="Arial" w:eastAsia="Arial" w:hAnsi="Arial"/>
                <w:sz w:val="11"/>
                <w:szCs w:val="11"/>
                <w:color w:val="262626"/>
              </w:rPr>
              <w:t>—</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70"/>
              <w:spacing w:after="0"/>
              <w:rPr>
                <w:sz w:val="20"/>
                <w:szCs w:val="20"/>
                <w:color w:val="auto"/>
              </w:rPr>
            </w:pPr>
            <w:r>
              <w:rPr>
                <w:rFonts w:ascii="Arial" w:cs="Arial" w:eastAsia="Arial" w:hAnsi="Arial"/>
                <w:sz w:val="11"/>
                <w:szCs w:val="11"/>
                <w:color w:val="262626"/>
              </w:rPr>
              <w:t>—</w:t>
            </w:r>
          </w:p>
        </w:tc>
        <w:tc>
          <w:tcPr>
            <w:tcW w:w="780" w:type="dxa"/>
            <w:vAlign w:val="bottom"/>
          </w:tcPr>
          <w:p>
            <w:pPr>
              <w:jc w:val="center"/>
              <w:ind w:left="549"/>
              <w:spacing w:after="0"/>
              <w:rPr>
                <w:sz w:val="20"/>
                <w:szCs w:val="20"/>
                <w:color w:val="auto"/>
              </w:rPr>
            </w:pPr>
            <w:r>
              <w:rPr>
                <w:rFonts w:ascii="Arial" w:cs="Arial" w:eastAsia="Arial" w:hAnsi="Arial"/>
                <w:sz w:val="11"/>
                <w:szCs w:val="11"/>
                <w:color w:val="262626"/>
                <w:w w:val="97"/>
              </w:rPr>
              <w:t>$</w:t>
            </w:r>
          </w:p>
        </w:tc>
        <w:tc>
          <w:tcPr>
            <w:tcW w:w="620" w:type="dxa"/>
            <w:vAlign w:val="bottom"/>
          </w:tcPr>
          <w:p>
            <w:pPr>
              <w:jc w:val="right"/>
              <w:ind w:right="310"/>
              <w:spacing w:after="0"/>
              <w:rPr>
                <w:sz w:val="20"/>
                <w:szCs w:val="20"/>
                <w:color w:val="auto"/>
              </w:rPr>
            </w:pPr>
            <w:r>
              <w:rPr>
                <w:rFonts w:ascii="Arial" w:cs="Arial" w:eastAsia="Arial" w:hAnsi="Arial"/>
                <w:sz w:val="11"/>
                <w:szCs w:val="11"/>
                <w:color w:val="262626"/>
              </w:rPr>
              <w:t>833</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89"/>
              <w:spacing w:after="0"/>
              <w:rPr>
                <w:sz w:val="20"/>
                <w:szCs w:val="20"/>
                <w:color w:val="auto"/>
              </w:rPr>
            </w:pPr>
            <w:r>
              <w:rPr>
                <w:rFonts w:ascii="Arial" w:cs="Arial" w:eastAsia="Arial" w:hAnsi="Arial"/>
                <w:sz w:val="11"/>
                <w:szCs w:val="11"/>
                <w:color w:val="262626"/>
              </w:rPr>
              <w:t>80,204</w:t>
            </w:r>
          </w:p>
        </w:tc>
        <w:tc>
          <w:tcPr>
            <w:tcW w:w="20" w:type="dxa"/>
            <w:vAlign w:val="bottom"/>
          </w:tcPr>
          <w:p>
            <w:pPr>
              <w:spacing w:after="0"/>
              <w:rPr>
                <w:sz w:val="12"/>
                <w:szCs w:val="12"/>
                <w:color w:val="auto"/>
              </w:rPr>
            </w:pPr>
          </w:p>
        </w:tc>
      </w:tr>
      <w:tr>
        <w:trPr>
          <w:trHeight w:val="49"/>
        </w:trPr>
        <w:tc>
          <w:tcPr>
            <w:tcW w:w="3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9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D. Boone Wayson</w:t>
            </w:r>
            <w:r>
              <w:rPr>
                <w:rFonts w:ascii="Arial" w:cs="Arial" w:eastAsia="Arial" w:hAnsi="Arial"/>
                <w:sz w:val="9"/>
                <w:szCs w:val="9"/>
                <w:b w:val="1"/>
                <w:bCs w:val="1"/>
                <w:color w:val="262626"/>
              </w:rPr>
              <w:t>(13)</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40" w:type="dxa"/>
            <w:vAlign w:val="bottom"/>
            <w:tcBorders>
              <w:bottom w:val="single" w:sz="8" w:color="ECEBE8"/>
            </w:tcBorders>
            <w:shd w:val="clear" w:color="auto" w:fill="ECEBE8"/>
          </w:tcPr>
          <w:p>
            <w:pPr>
              <w:jc w:val="right"/>
              <w:ind w:right="109"/>
              <w:spacing w:after="0"/>
              <w:rPr>
                <w:sz w:val="20"/>
                <w:szCs w:val="20"/>
                <w:color w:val="auto"/>
              </w:rPr>
            </w:pPr>
            <w:r>
              <w:rPr>
                <w:rFonts w:ascii="Arial" w:cs="Arial" w:eastAsia="Arial" w:hAnsi="Arial"/>
                <w:sz w:val="11"/>
                <w:szCs w:val="11"/>
                <w:color w:val="262626"/>
                <w:w w:val="90"/>
              </w:rPr>
              <w:t>202,926</w:t>
            </w:r>
          </w:p>
        </w:tc>
        <w:tc>
          <w:tcPr>
            <w:tcW w:w="4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290"/>
              <w:spacing w:after="0"/>
              <w:rPr>
                <w:sz w:val="20"/>
                <w:szCs w:val="20"/>
                <w:color w:val="auto"/>
              </w:rPr>
            </w:pPr>
            <w:r>
              <w:rPr>
                <w:rFonts w:ascii="Arial" w:cs="Arial" w:eastAsia="Arial" w:hAnsi="Arial"/>
                <w:sz w:val="11"/>
                <w:szCs w:val="11"/>
                <w:color w:val="262626"/>
                <w:w w:val="95"/>
              </w:rPr>
              <w:t>139,556</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60" w:type="dxa"/>
            <w:vAlign w:val="bottom"/>
            <w:tcBorders>
              <w:bottom w:val="single" w:sz="8" w:color="ECEBE8"/>
            </w:tcBorders>
            <w:shd w:val="clear" w:color="auto" w:fill="ECEBE8"/>
          </w:tcPr>
          <w:p>
            <w:pPr>
              <w:jc w:val="right"/>
              <w:ind w:right="270"/>
              <w:spacing w:after="0"/>
              <w:rPr>
                <w:sz w:val="20"/>
                <w:szCs w:val="20"/>
                <w:color w:val="auto"/>
              </w:rPr>
            </w:pPr>
            <w:r>
              <w:rPr>
                <w:rFonts w:ascii="Arial" w:cs="Arial" w:eastAsia="Arial" w:hAnsi="Arial"/>
                <w:sz w:val="11"/>
                <w:szCs w:val="11"/>
                <w:color w:val="262626"/>
              </w:rPr>
              <w:t>—</w:t>
            </w:r>
          </w:p>
        </w:tc>
        <w:tc>
          <w:tcPr>
            <w:tcW w:w="1400" w:type="dxa"/>
            <w:vAlign w:val="bottom"/>
            <w:tcBorders>
              <w:bottom w:val="single" w:sz="8" w:color="ECEBE8"/>
            </w:tcBorders>
            <w:gridSpan w:val="2"/>
            <w:shd w:val="clear" w:color="auto" w:fill="ECEBE8"/>
          </w:tcPr>
          <w:p>
            <w:pPr>
              <w:jc w:val="right"/>
              <w:ind w:right="310"/>
              <w:spacing w:after="0"/>
              <w:rPr>
                <w:sz w:val="20"/>
                <w:szCs w:val="20"/>
                <w:color w:val="auto"/>
              </w:rPr>
            </w:pPr>
            <w:r>
              <w:rPr>
                <w:rFonts w:ascii="Arial" w:cs="Arial" w:eastAsia="Arial" w:hAnsi="Arial"/>
                <w:sz w:val="11"/>
                <w:szCs w:val="11"/>
                <w:color w:val="262626"/>
              </w:rPr>
              <w:t>$15,446</w:t>
            </w:r>
          </w:p>
        </w:tc>
        <w:tc>
          <w:tcPr>
            <w:tcW w:w="4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w w:val="95"/>
              </w:rPr>
              <w:t>357,928</w:t>
            </w:r>
          </w:p>
        </w:tc>
        <w:tc>
          <w:tcPr>
            <w:tcW w:w="20" w:type="dxa"/>
            <w:vAlign w:val="bottom"/>
          </w:tcPr>
          <w:p>
            <w:pPr>
              <w:spacing w:after="0"/>
              <w:rPr>
                <w:sz w:val="15"/>
                <w:szCs w:val="15"/>
                <w:color w:val="auto"/>
              </w:rPr>
            </w:pPr>
          </w:p>
        </w:tc>
      </w:tr>
      <w:tr>
        <w:trPr>
          <w:trHeight w:val="149"/>
        </w:trPr>
        <w:tc>
          <w:tcPr>
            <w:tcW w:w="3980" w:type="dxa"/>
            <w:vAlign w:val="bottom"/>
          </w:tcPr>
          <w:p>
            <w:pPr>
              <w:ind w:left="80"/>
              <w:spacing w:after="0"/>
              <w:rPr>
                <w:sz w:val="20"/>
                <w:szCs w:val="20"/>
                <w:color w:val="auto"/>
              </w:rPr>
            </w:pPr>
            <w:r>
              <w:rPr>
                <w:rFonts w:ascii="Arial" w:cs="Arial" w:eastAsia="Arial" w:hAnsi="Arial"/>
                <w:sz w:val="11"/>
                <w:szCs w:val="11"/>
                <w:color w:val="262626"/>
              </w:rPr>
              <w:t>Winifred M. Webb</w:t>
            </w:r>
            <w:r>
              <w:rPr>
                <w:rFonts w:ascii="Arial" w:cs="Arial" w:eastAsia="Arial" w:hAnsi="Arial"/>
                <w:sz w:val="9"/>
                <w:szCs w:val="9"/>
                <w:b w:val="1"/>
                <w:bCs w:val="1"/>
                <w:color w:val="262626"/>
              </w:rPr>
              <w:t>(14)</w:t>
            </w: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109"/>
              <w:spacing w:after="0"/>
              <w:rPr>
                <w:sz w:val="20"/>
                <w:szCs w:val="20"/>
                <w:color w:val="auto"/>
              </w:rPr>
            </w:pPr>
            <w:r>
              <w:rPr>
                <w:rFonts w:ascii="Arial" w:cs="Arial" w:eastAsia="Arial" w:hAnsi="Arial"/>
                <w:sz w:val="11"/>
                <w:szCs w:val="11"/>
                <w:color w:val="262626"/>
              </w:rPr>
              <w:t>89,245</w:t>
            </w:r>
          </w:p>
        </w:tc>
        <w:tc>
          <w:tcPr>
            <w:tcW w:w="420" w:type="dxa"/>
            <w:vAlign w:val="bottom"/>
          </w:tcPr>
          <w:p>
            <w:pPr>
              <w:jc w:val="right"/>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290"/>
              <w:spacing w:after="0"/>
              <w:rPr>
                <w:sz w:val="20"/>
                <w:szCs w:val="20"/>
                <w:color w:val="auto"/>
              </w:rPr>
            </w:pPr>
            <w:r>
              <w:rPr>
                <w:rFonts w:ascii="Arial" w:cs="Arial" w:eastAsia="Arial" w:hAnsi="Arial"/>
                <w:sz w:val="11"/>
                <w:szCs w:val="11"/>
                <w:color w:val="262626"/>
                <w:w w:val="95"/>
              </w:rPr>
              <w:t>631,754</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70"/>
              <w:spacing w:after="0"/>
              <w:rPr>
                <w:sz w:val="20"/>
                <w:szCs w:val="20"/>
                <w:color w:val="auto"/>
              </w:rPr>
            </w:pPr>
            <w:r>
              <w:rPr>
                <w:rFonts w:ascii="Arial" w:cs="Arial" w:eastAsia="Arial" w:hAnsi="Arial"/>
                <w:sz w:val="11"/>
                <w:szCs w:val="11"/>
                <w:color w:val="262626"/>
              </w:rPr>
              <w:t>—</w:t>
            </w:r>
          </w:p>
        </w:tc>
        <w:tc>
          <w:tcPr>
            <w:tcW w:w="1400" w:type="dxa"/>
            <w:vAlign w:val="bottom"/>
            <w:gridSpan w:val="2"/>
          </w:tcPr>
          <w:p>
            <w:pPr>
              <w:jc w:val="right"/>
              <w:ind w:right="310"/>
              <w:spacing w:after="0"/>
              <w:rPr>
                <w:sz w:val="20"/>
                <w:szCs w:val="20"/>
                <w:color w:val="auto"/>
              </w:rPr>
            </w:pPr>
            <w:r>
              <w:rPr>
                <w:rFonts w:ascii="Arial" w:cs="Arial" w:eastAsia="Arial" w:hAnsi="Arial"/>
                <w:sz w:val="11"/>
                <w:szCs w:val="11"/>
                <w:color w:val="262626"/>
              </w:rPr>
              <w:t>$ 2,945</w:t>
            </w:r>
          </w:p>
        </w:tc>
        <w:tc>
          <w:tcPr>
            <w:tcW w:w="44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89"/>
              <w:spacing w:after="0"/>
              <w:rPr>
                <w:sz w:val="20"/>
                <w:szCs w:val="20"/>
                <w:color w:val="auto"/>
              </w:rPr>
            </w:pPr>
            <w:r>
              <w:rPr>
                <w:rFonts w:ascii="Arial" w:cs="Arial" w:eastAsia="Arial" w:hAnsi="Arial"/>
                <w:sz w:val="11"/>
                <w:szCs w:val="11"/>
                <w:color w:val="262626"/>
                <w:w w:val="95"/>
              </w:rPr>
              <w:t>723,944</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-868045</wp:posOffset>
            </wp:positionV>
            <wp:extent cx="825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66" w:lineRule="exact"/>
        <w:rPr>
          <w:sz w:val="20"/>
          <w:szCs w:val="20"/>
          <w:color w:val="auto"/>
        </w:rPr>
      </w:pPr>
    </w:p>
    <w:p>
      <w:pPr>
        <w:ind w:left="780" w:right="200" w:firstLine="1"/>
        <w:spacing w:after="0" w:line="228" w:lineRule="auto"/>
        <w:tabs>
          <w:tab w:leader="none" w:pos="919" w:val="left"/>
        </w:tabs>
        <w:numPr>
          <w:ilvl w:val="0"/>
          <w:numId w:val="27"/>
        </w:numPr>
        <w:rPr>
          <w:rFonts w:ascii="Arial" w:cs="Arial" w:eastAsia="Arial" w:hAnsi="Arial"/>
          <w:sz w:val="9"/>
          <w:szCs w:val="9"/>
          <w:color w:val="262626"/>
        </w:rPr>
      </w:pPr>
      <w:r>
        <w:rPr>
          <w:rFonts w:ascii="Arial" w:cs="Arial" w:eastAsia="Arial" w:hAnsi="Arial"/>
          <w:sz w:val="11"/>
          <w:szCs w:val="11"/>
          <w:color w:val="262626"/>
        </w:rPr>
        <w:t>The amounts set forth in this column reflect the aggregate grant date fair value of 1,309 restricted stock awards granted to each director other than Dr. Irani, Governor Miller, and Messrs. Satre, Byrne, Hagenbuch, and Virtue on May 15, 2018. In addition, 2,000 shares of fully vested stock were granted to Directors appointed to the Board in 2018: Ms. Atkins, Ms. Myers, Ms. Webb, Mr. Satre and Mr. Byrne. The amounts set forth in this column for Messrs. Wayson and Shoemaker include the effect of the revaluing of their unvested award balances of 4,691 each at the time of the accelerated vesting of such awards in connection with their respective departures from the Board. The aggregate number of unvested stock awards held by each director at December 31, 2018, is as follows: Ms. Atkins, Ms. Myers and Ms. Webb, 1,309 each; Ms. Mulroy and Ambassador Randt, 4,203 each; and Admiral Johnson, 2,923. Upon their respective departures from the Board, Dr. Irani, Governor Miller, and Messrs. Hagenbuch and Virtue each forfeited the unvested balances of their previously granted restricted stock awards of 5,048, 3,382, 3,382, and 3,382, respectively.</w:t>
      </w:r>
    </w:p>
    <w:p>
      <w:pPr>
        <w:spacing w:after="0" w:line="33" w:lineRule="exact"/>
        <w:rPr>
          <w:rFonts w:ascii="Arial" w:cs="Arial" w:eastAsia="Arial" w:hAnsi="Arial"/>
          <w:sz w:val="9"/>
          <w:szCs w:val="9"/>
          <w:color w:val="262626"/>
        </w:rPr>
      </w:pPr>
    </w:p>
    <w:p>
      <w:pPr>
        <w:ind w:left="780" w:right="340" w:firstLine="1"/>
        <w:spacing w:after="0" w:line="230" w:lineRule="auto"/>
        <w:tabs>
          <w:tab w:leader="none" w:pos="919" w:val="left"/>
        </w:tabs>
        <w:numPr>
          <w:ilvl w:val="0"/>
          <w:numId w:val="27"/>
        </w:numPr>
        <w:rPr>
          <w:rFonts w:ascii="Arial" w:cs="Arial" w:eastAsia="Arial" w:hAnsi="Arial"/>
          <w:sz w:val="9"/>
          <w:szCs w:val="9"/>
          <w:color w:val="262626"/>
        </w:rPr>
      </w:pPr>
      <w:r>
        <w:rPr>
          <w:rFonts w:ascii="Arial" w:cs="Arial" w:eastAsia="Arial" w:hAnsi="Arial"/>
          <w:sz w:val="11"/>
          <w:szCs w:val="11"/>
          <w:color w:val="262626"/>
        </w:rPr>
        <w:t>The aggregate number of outstanding option awards held by each director at December 31, 2018, is as follows: Mr. Wayson 14,200 vested; Mr. Shoemaker 21,890 vested; Admiral Johnson 10,000 vested; Ambassador Randt 7,000 vested; and Ms. Mulroy 6,700 vested. Options not exercised within 90 days of a director’s departure are forfeited. On February 5, 2019, Mr. Wayson forfeited 14,200 stock options. Mr. Shoemaker has 90 days from his departure date to exercise his options or they will be forfeited.</w:t>
      </w:r>
    </w:p>
    <w:p>
      <w:pPr>
        <w:spacing w:after="0" w:line="20" w:lineRule="exact"/>
        <w:rPr>
          <w:rFonts w:ascii="Arial" w:cs="Arial" w:eastAsia="Arial" w:hAnsi="Arial"/>
          <w:sz w:val="9"/>
          <w:szCs w:val="9"/>
          <w:color w:val="262626"/>
        </w:rPr>
      </w:pPr>
    </w:p>
    <w:p>
      <w:pPr>
        <w:ind w:left="780" w:right="300" w:firstLine="1"/>
        <w:spacing w:after="0" w:line="232" w:lineRule="auto"/>
        <w:tabs>
          <w:tab w:leader="none" w:pos="919" w:val="left"/>
        </w:tabs>
        <w:numPr>
          <w:ilvl w:val="0"/>
          <w:numId w:val="27"/>
        </w:numPr>
        <w:rPr>
          <w:rFonts w:ascii="Arial" w:cs="Arial" w:eastAsia="Arial" w:hAnsi="Arial"/>
          <w:sz w:val="9"/>
          <w:szCs w:val="9"/>
          <w:color w:val="262626"/>
        </w:rPr>
      </w:pPr>
      <w:r>
        <w:rPr>
          <w:rFonts w:ascii="Arial" w:cs="Arial" w:eastAsia="Arial" w:hAnsi="Arial"/>
          <w:sz w:val="11"/>
          <w:szCs w:val="11"/>
          <w:color w:val="262626"/>
        </w:rPr>
        <w:t>For each director other than Admiral Johnson, Mr. Shoemaker, and Mr. Wayson, “All Other Compensation” consists entirely of cash dividends accrued on unvested stock, which is paid if and when the stock vests.</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1"/>
          <w:szCs w:val="11"/>
          <w:color w:val="262626"/>
        </w:rPr>
        <w:t>The following amounts are included in “All Other Compensation” for Admiral Johnson:</w:t>
      </w:r>
    </w:p>
    <w:p>
      <w:pPr>
        <w:spacing w:after="0" w:line="26" w:lineRule="exact"/>
        <w:rPr>
          <w:sz w:val="20"/>
          <w:szCs w:val="20"/>
          <w:color w:val="auto"/>
        </w:rPr>
      </w:pPr>
    </w:p>
    <w:p>
      <w:pPr>
        <w:ind w:left="1260" w:hanging="188"/>
        <w:spacing w:after="0"/>
        <w:tabs>
          <w:tab w:leader="none" w:pos="1260" w:val="left"/>
        </w:tabs>
        <w:numPr>
          <w:ilvl w:val="0"/>
          <w:numId w:val="28"/>
        </w:numPr>
        <w:rPr>
          <w:rFonts w:ascii="Arial" w:cs="Arial" w:eastAsia="Arial" w:hAnsi="Arial"/>
          <w:sz w:val="11"/>
          <w:szCs w:val="11"/>
          <w:color w:val="262626"/>
        </w:rPr>
      </w:pPr>
      <w:r>
        <w:rPr>
          <w:rFonts w:ascii="Arial" w:cs="Arial" w:eastAsia="Arial" w:hAnsi="Arial"/>
          <w:sz w:val="11"/>
          <w:szCs w:val="11"/>
          <w:color w:val="262626"/>
        </w:rPr>
        <w:t>personal use of aircraft of $2,349;</w:t>
      </w:r>
    </w:p>
    <w:p>
      <w:pPr>
        <w:ind w:left="1260" w:hanging="188"/>
        <w:spacing w:after="0"/>
        <w:tabs>
          <w:tab w:leader="none" w:pos="1260" w:val="left"/>
        </w:tabs>
        <w:numPr>
          <w:ilvl w:val="0"/>
          <w:numId w:val="28"/>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$7,384.</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1"/>
          <w:szCs w:val="11"/>
          <w:color w:val="262626"/>
        </w:rPr>
        <w:t>The following amounts are included in “All Other Compensation” for Mr. Shoemaker:</w:t>
      </w:r>
    </w:p>
    <w:p>
      <w:pPr>
        <w:spacing w:after="0" w:line="26" w:lineRule="exact"/>
        <w:rPr>
          <w:sz w:val="20"/>
          <w:szCs w:val="20"/>
          <w:color w:val="auto"/>
        </w:rPr>
      </w:pPr>
    </w:p>
    <w:p>
      <w:pPr>
        <w:ind w:left="1260" w:hanging="188"/>
        <w:spacing w:after="0"/>
        <w:tabs>
          <w:tab w:leader="none" w:pos="1260" w:val="left"/>
        </w:tabs>
        <w:numPr>
          <w:ilvl w:val="0"/>
          <w:numId w:val="29"/>
        </w:numPr>
        <w:rPr>
          <w:rFonts w:ascii="Arial" w:cs="Arial" w:eastAsia="Arial" w:hAnsi="Arial"/>
          <w:sz w:val="11"/>
          <w:szCs w:val="11"/>
          <w:color w:val="262626"/>
        </w:rPr>
      </w:pPr>
      <w:r>
        <w:rPr>
          <w:rFonts w:ascii="Arial" w:cs="Arial" w:eastAsia="Arial" w:hAnsi="Arial"/>
          <w:sz w:val="11"/>
          <w:szCs w:val="11"/>
          <w:color w:val="262626"/>
        </w:rPr>
        <w:t>personal use of aircraft of $399;</w:t>
      </w:r>
    </w:p>
    <w:p>
      <w:pPr>
        <w:ind w:left="1260" w:hanging="188"/>
        <w:spacing w:after="0"/>
        <w:tabs>
          <w:tab w:leader="none" w:pos="1260" w:val="left"/>
        </w:tabs>
        <w:numPr>
          <w:ilvl w:val="0"/>
          <w:numId w:val="29"/>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$12,246.</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1"/>
          <w:szCs w:val="11"/>
          <w:color w:val="262626"/>
        </w:rPr>
        <w:t>The following amounts are included in “All Other Compensation” for Mr. Wayson:</w:t>
      </w:r>
    </w:p>
    <w:p>
      <w:pPr>
        <w:spacing w:after="0" w:line="26" w:lineRule="exact"/>
        <w:rPr>
          <w:sz w:val="20"/>
          <w:szCs w:val="20"/>
          <w:color w:val="auto"/>
        </w:rPr>
      </w:pPr>
    </w:p>
    <w:p>
      <w:pPr>
        <w:ind w:left="1260" w:hanging="188"/>
        <w:spacing w:after="0"/>
        <w:tabs>
          <w:tab w:leader="none" w:pos="1260" w:val="left"/>
        </w:tabs>
        <w:numPr>
          <w:ilvl w:val="1"/>
          <w:numId w:val="30"/>
        </w:numPr>
        <w:rPr>
          <w:rFonts w:ascii="Arial" w:cs="Arial" w:eastAsia="Arial" w:hAnsi="Arial"/>
          <w:sz w:val="11"/>
          <w:szCs w:val="11"/>
          <w:color w:val="262626"/>
        </w:rPr>
      </w:pPr>
      <w:r>
        <w:rPr>
          <w:rFonts w:ascii="Arial" w:cs="Arial" w:eastAsia="Arial" w:hAnsi="Arial"/>
          <w:sz w:val="11"/>
          <w:szCs w:val="11"/>
          <w:color w:val="262626"/>
        </w:rPr>
        <w:t>personal use of aircraft of $3,200;</w:t>
      </w:r>
    </w:p>
    <w:p>
      <w:pPr>
        <w:ind w:left="1260" w:hanging="188"/>
        <w:spacing w:after="0"/>
        <w:tabs>
          <w:tab w:leader="none" w:pos="1260" w:val="left"/>
        </w:tabs>
        <w:numPr>
          <w:ilvl w:val="1"/>
          <w:numId w:val="30"/>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$12,246.</w:t>
      </w:r>
    </w:p>
    <w:p>
      <w:pPr>
        <w:spacing w:after="0" w:line="31" w:lineRule="exact"/>
        <w:rPr>
          <w:rFonts w:ascii="Arial" w:cs="Arial" w:eastAsia="Arial" w:hAnsi="Arial"/>
          <w:sz w:val="11"/>
          <w:szCs w:val="11"/>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Ms. Atkins was appointed to the Board effective April 17,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Byrne was appointed to the Board effective August 3, 2018.</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Hagenbuch resigned from the Board effective May 16,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Dr. Irani resigned from the Board effective March 5,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Governor Miller resigned from the Board effective May 14, 2018.</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Ms. Myers was appointed to the Board effective April 17, 2018.</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Satre was appointed to the Board effective August 3, 2018, and was elected Non-Executive Chairman of the Board on November 6, 2018.</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Shoemaker retired from the Board effective December 31, 2018.</w:t>
      </w:r>
    </w:p>
    <w:p>
      <w:pPr>
        <w:spacing w:after="0" w:line="19" w:lineRule="exact"/>
        <w:rPr>
          <w:rFonts w:ascii="Arial" w:cs="Arial" w:eastAsia="Arial" w:hAnsi="Arial"/>
          <w:sz w:val="9"/>
          <w:szCs w:val="9"/>
          <w:color w:val="262626"/>
        </w:rPr>
      </w:pPr>
    </w:p>
    <w:p>
      <w:pPr>
        <w:ind w:left="980" w:hanging="199"/>
        <w:spacing w:after="0"/>
        <w:tabs>
          <w:tab w:leader="none" w:pos="98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Virtue resigned from the Board effective May 16, 2018.</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Mr. Wayson retired from the Board effective November 6, 2018.</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31"/>
        </w:numPr>
        <w:rPr>
          <w:rFonts w:ascii="Arial" w:cs="Arial" w:eastAsia="Arial" w:hAnsi="Arial"/>
          <w:sz w:val="9"/>
          <w:szCs w:val="9"/>
          <w:color w:val="262626"/>
        </w:rPr>
      </w:pPr>
      <w:r>
        <w:rPr>
          <w:rFonts w:ascii="Arial" w:cs="Arial" w:eastAsia="Arial" w:hAnsi="Arial"/>
          <w:sz w:val="11"/>
          <w:szCs w:val="11"/>
          <w:color w:val="262626"/>
        </w:rPr>
        <w:t>Ms. Webb was appointed to the Board effective April 17, 2018.</w:t>
      </w:r>
    </w:p>
    <w:p>
      <w:pPr>
        <w:spacing w:after="0" w:line="200" w:lineRule="exact"/>
        <w:rPr>
          <w:sz w:val="20"/>
          <w:szCs w:val="20"/>
          <w:color w:val="auto"/>
        </w:rPr>
      </w:pPr>
    </w:p>
    <w:p>
      <w:pPr>
        <w:spacing w:after="0" w:line="316"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15</w:t>
      </w:r>
    </w:p>
    <w:p>
      <w:pPr>
        <w:sectPr>
          <w:pgSz w:w="11900" w:h="16838" w:orient="portrait"/>
          <w:cols w:equalWidth="0" w:num="1">
            <w:col w:w="10800"/>
          </w:cols>
          <w:pgMar w:left="240" w:top="453"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262626"/>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3931285</wp:posOffset>
            </wp:positionV>
            <wp:extent cx="521335" cy="2355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16</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219"/>
          </w:cols>
          <w:pgMar w:left="240" w:top="453"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INTRODUCTION</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In this section we will tell you about:</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Our Cultural Transformation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Our People</w:t>
      </w:r>
    </w:p>
    <w:p>
      <w:pPr>
        <w:ind w:left="1060" w:hanging="186"/>
        <w:spacing w:after="0" w:line="221" w:lineRule="auto"/>
        <w:tabs>
          <w:tab w:leader="none" w:pos="1060" w:val="left"/>
        </w:tabs>
        <w:numPr>
          <w:ilvl w:val="1"/>
          <w:numId w:val="32"/>
        </w:numPr>
        <w:rPr>
          <w:rFonts w:ascii="Arial" w:cs="Arial" w:eastAsia="Arial" w:hAnsi="Arial"/>
          <w:sz w:val="16"/>
          <w:szCs w:val="16"/>
          <w:color w:val="CC870F"/>
        </w:rPr>
      </w:pPr>
      <w:r>
        <w:rPr>
          <w:rFonts w:ascii="Arial" w:cs="Arial" w:eastAsia="Arial" w:hAnsi="Arial"/>
          <w:sz w:val="14"/>
          <w:szCs w:val="14"/>
          <w:color w:val="262626"/>
        </w:rPr>
        <w:t>Exceptional Employee Benefits</w:t>
      </w:r>
    </w:p>
    <w:p>
      <w:pPr>
        <w:spacing w:after="0" w:line="17" w:lineRule="exact"/>
        <w:rPr>
          <w:rFonts w:ascii="Arial" w:cs="Arial" w:eastAsia="Arial" w:hAnsi="Arial"/>
          <w:sz w:val="16"/>
          <w:szCs w:val="16"/>
          <w:color w:val="CC870F"/>
        </w:rPr>
      </w:pPr>
    </w:p>
    <w:p>
      <w:pPr>
        <w:ind w:left="1060" w:hanging="186"/>
        <w:spacing w:after="0" w:line="236" w:lineRule="auto"/>
        <w:tabs>
          <w:tab w:leader="none" w:pos="1060" w:val="left"/>
        </w:tabs>
        <w:numPr>
          <w:ilvl w:val="1"/>
          <w:numId w:val="32"/>
        </w:numPr>
        <w:rPr>
          <w:rFonts w:ascii="Arial" w:cs="Arial" w:eastAsia="Arial" w:hAnsi="Arial"/>
          <w:sz w:val="16"/>
          <w:szCs w:val="16"/>
          <w:color w:val="CC870F"/>
        </w:rPr>
      </w:pPr>
      <w:r>
        <w:rPr>
          <w:rFonts w:ascii="Arial" w:cs="Arial" w:eastAsia="Arial" w:hAnsi="Arial"/>
          <w:sz w:val="14"/>
          <w:szCs w:val="14"/>
          <w:color w:val="262626"/>
        </w:rPr>
        <w:t>Employee Training, Talent Management</w:t>
      </w:r>
    </w:p>
    <w:p>
      <w:pPr>
        <w:spacing w:after="0" w:line="17" w:lineRule="exact"/>
        <w:rPr>
          <w:rFonts w:ascii="Arial" w:cs="Arial" w:eastAsia="Arial" w:hAnsi="Arial"/>
          <w:sz w:val="16"/>
          <w:szCs w:val="16"/>
          <w:color w:val="CC870F"/>
        </w:rPr>
      </w:pPr>
    </w:p>
    <w:p>
      <w:pPr>
        <w:ind w:left="1060" w:hanging="186"/>
        <w:spacing w:after="0" w:line="236" w:lineRule="auto"/>
        <w:tabs>
          <w:tab w:leader="none" w:pos="1060" w:val="left"/>
        </w:tabs>
        <w:numPr>
          <w:ilvl w:val="1"/>
          <w:numId w:val="32"/>
        </w:numPr>
        <w:rPr>
          <w:rFonts w:ascii="Arial" w:cs="Arial" w:eastAsia="Arial" w:hAnsi="Arial"/>
          <w:sz w:val="16"/>
          <w:szCs w:val="16"/>
          <w:color w:val="CC870F"/>
        </w:rPr>
      </w:pPr>
      <w:r>
        <w:rPr>
          <w:rFonts w:ascii="Arial" w:cs="Arial" w:eastAsia="Arial" w:hAnsi="Arial"/>
          <w:sz w:val="14"/>
          <w:szCs w:val="14"/>
          <w:color w:val="262626"/>
        </w:rPr>
        <w:t>Employee Retention and Satisfaction</w:t>
      </w:r>
    </w:p>
    <w:p>
      <w:pPr>
        <w:spacing w:after="0" w:line="17" w:lineRule="exact"/>
        <w:rPr>
          <w:rFonts w:ascii="Arial" w:cs="Arial" w:eastAsia="Arial" w:hAnsi="Arial"/>
          <w:sz w:val="16"/>
          <w:szCs w:val="16"/>
          <w:color w:val="CC870F"/>
        </w:rPr>
      </w:pPr>
    </w:p>
    <w:p>
      <w:pPr>
        <w:ind w:left="1060" w:hanging="186"/>
        <w:spacing w:after="0" w:line="236" w:lineRule="auto"/>
        <w:tabs>
          <w:tab w:leader="none" w:pos="1060" w:val="left"/>
        </w:tabs>
        <w:numPr>
          <w:ilvl w:val="1"/>
          <w:numId w:val="32"/>
        </w:numPr>
        <w:rPr>
          <w:rFonts w:ascii="Arial" w:cs="Arial" w:eastAsia="Arial" w:hAnsi="Arial"/>
          <w:sz w:val="16"/>
          <w:szCs w:val="16"/>
          <w:color w:val="CC870F"/>
        </w:rPr>
      </w:pPr>
      <w:r>
        <w:rPr>
          <w:rFonts w:ascii="Arial" w:cs="Arial" w:eastAsia="Arial" w:hAnsi="Arial"/>
          <w:sz w:val="14"/>
          <w:szCs w:val="14"/>
          <w:color w:val="262626"/>
        </w:rPr>
        <w:t>Employee and Supply Chain Diversity and Inclusion</w:t>
      </w:r>
    </w:p>
    <w:p>
      <w:pPr>
        <w:spacing w:after="0" w:line="27" w:lineRule="exact"/>
        <w:rPr>
          <w:rFonts w:ascii="Arial" w:cs="Arial" w:eastAsia="Arial" w:hAnsi="Arial"/>
          <w:sz w:val="16"/>
          <w:szCs w:val="16"/>
          <w:color w:val="CC870F"/>
        </w:rPr>
      </w:pPr>
    </w:p>
    <w:p>
      <w:pPr>
        <w:ind w:left="780"/>
        <w:spacing w:after="0"/>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Our Communities</w:t>
      </w:r>
    </w:p>
    <w:p>
      <w:pPr>
        <w:ind w:left="780"/>
        <w:spacing w:after="0"/>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Our Planet</w:t>
      </w:r>
    </w:p>
    <w:p>
      <w:pPr>
        <w:spacing w:after="0" w:line="183" w:lineRule="exact"/>
        <w:rPr>
          <w:sz w:val="20"/>
          <w:szCs w:val="20"/>
          <w:color w:val="auto"/>
        </w:rPr>
      </w:pPr>
    </w:p>
    <w:p>
      <w:pPr>
        <w:ind w:left="780" w:right="340"/>
        <w:spacing w:after="0" w:line="241" w:lineRule="auto"/>
        <w:rPr>
          <w:sz w:val="20"/>
          <w:szCs w:val="20"/>
          <w:color w:val="auto"/>
        </w:rPr>
      </w:pPr>
      <w:r>
        <w:rPr>
          <w:rFonts w:ascii="Arial" w:cs="Arial" w:eastAsia="Arial" w:hAnsi="Arial"/>
          <w:sz w:val="14"/>
          <w:szCs w:val="14"/>
          <w:color w:val="262626"/>
        </w:rPr>
        <w:t>Simply put, excellence is the keystone of the Wynn Resorts business model. Many companies talk about it, some aspire to it, but at Wynn Resorts the drive for excellence, and the absolute unwillingness to accept anything short of that, is in our DNA. Wynn Resorts is the preeminent designer, developer, and operator of integrated resorts. Our resorts combine exquisite hotel rooms, high-end retail, meeting space, and an array of dining and entertainment options, including gaming.</w:t>
      </w:r>
    </w:p>
    <w:p>
      <w:pPr>
        <w:spacing w:after="0" w:line="161" w:lineRule="exact"/>
        <w:rPr>
          <w:sz w:val="20"/>
          <w:szCs w:val="20"/>
          <w:color w:val="auto"/>
        </w:rPr>
      </w:pPr>
    </w:p>
    <w:p>
      <w:pPr>
        <w:ind w:left="780" w:right="340"/>
        <w:spacing w:after="0" w:line="243" w:lineRule="auto"/>
        <w:rPr>
          <w:sz w:val="20"/>
          <w:szCs w:val="20"/>
          <w:color w:val="auto"/>
        </w:rPr>
      </w:pPr>
      <w:r>
        <w:rPr>
          <w:rFonts w:ascii="Arial" w:cs="Arial" w:eastAsia="Arial" w:hAnsi="Arial"/>
          <w:sz w:val="14"/>
          <w:szCs w:val="14"/>
          <w:color w:val="262626"/>
        </w:rPr>
        <w:t>The legendary design and quality of our resorts serve as a platform for the most important thing we do: create outstanding guest experiences. Guest experience is everything to us. It is so essential to us that we incorporate achievement of Forbes Five-Star distinctions in hotel, food and beverage, and spa categories into our compensation metrics. Our desire to be best-in-class extends beyond integrated resorts to the global hospitality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123825</wp:posOffset>
            </wp:positionV>
            <wp:extent cx="8255" cy="866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6614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300355</wp:posOffset>
            </wp:positionV>
            <wp:extent cx="630555" cy="689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555" cy="68961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199390</wp:posOffset>
            </wp:positionV>
            <wp:extent cx="815975" cy="782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5975" cy="78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80" w:right="300"/>
        <w:spacing w:after="0" w:line="241" w:lineRule="auto"/>
        <w:rPr>
          <w:sz w:val="20"/>
          <w:szCs w:val="20"/>
          <w:color w:val="auto"/>
        </w:rPr>
      </w:pPr>
      <w:r>
        <w:rPr>
          <w:rFonts w:ascii="Arial" w:cs="Arial" w:eastAsia="Arial" w:hAnsi="Arial"/>
          <w:sz w:val="14"/>
          <w:szCs w:val="14"/>
          <w:color w:val="262626"/>
        </w:rPr>
        <w:t>And we have delivered: We have developed three of the world’s most recognized integrated resorts, and collectively, Wynn Resorts has more Forbes Travel Guide Five-Star awards than any other independent hotel company in the world. Wynn Macau enjoys 8 Forbes Five Stars, making it one of the two highest rated resorts internationally. We were ranked as the highest casino resort on FORTUNE Magazine’s list of 2019 World’s Most Admired Companies, and ranked first overall for Quality of Products among all international hotel companies.</w:t>
      </w:r>
    </w:p>
    <w:p>
      <w:pPr>
        <w:spacing w:after="0" w:line="174" w:lineRule="exact"/>
        <w:rPr>
          <w:sz w:val="20"/>
          <w:szCs w:val="20"/>
          <w:color w:val="auto"/>
        </w:rPr>
      </w:pPr>
    </w:p>
    <w:p>
      <w:pPr>
        <w:ind w:left="780" w:right="160"/>
        <w:spacing w:after="0" w:line="243" w:lineRule="auto"/>
        <w:rPr>
          <w:sz w:val="20"/>
          <w:szCs w:val="20"/>
          <w:color w:val="auto"/>
        </w:rPr>
      </w:pPr>
      <w:r>
        <w:rPr>
          <w:rFonts w:ascii="Arial" w:cs="Arial" w:eastAsia="Arial" w:hAnsi="Arial"/>
          <w:sz w:val="14"/>
          <w:szCs w:val="14"/>
          <w:color w:val="262626"/>
        </w:rPr>
        <w:t>We are confident no company tries harder to show our more than 26,000 employees that each is essential to our reputation for excellence—our business is dependent on repeat visits from our guests and their experiences with our employees are a significant factor in their desire to return. Five-star service, in other words, depends on five-star employees feeling five-star valued by a company they can believe in.</w:t>
      </w:r>
    </w:p>
    <w:p>
      <w:pPr>
        <w:spacing w:after="0" w:line="160" w:lineRule="exact"/>
        <w:rPr>
          <w:sz w:val="20"/>
          <w:szCs w:val="20"/>
          <w:color w:val="auto"/>
        </w:rPr>
      </w:pPr>
    </w:p>
    <w:p>
      <w:pPr>
        <w:ind w:left="780" w:right="480"/>
        <w:spacing w:after="0" w:line="249" w:lineRule="auto"/>
        <w:rPr>
          <w:sz w:val="20"/>
          <w:szCs w:val="20"/>
          <w:color w:val="auto"/>
        </w:rPr>
      </w:pPr>
      <w:r>
        <w:rPr>
          <w:rFonts w:ascii="Arial" w:cs="Arial" w:eastAsia="Arial" w:hAnsi="Arial"/>
          <w:sz w:val="14"/>
          <w:szCs w:val="14"/>
          <w:color w:val="262626"/>
        </w:rPr>
        <w:t>Here are some of the things we do to be good stewards of human capital, good stewards of the environment, and good corporate citizens, beginning with changes to our corporate culture.</w:t>
      </w:r>
    </w:p>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17</w:t>
      </w:r>
    </w:p>
    <w:p>
      <w:pPr>
        <w:sectPr>
          <w:pgSz w:w="11900" w:h="16838" w:orient="portrait"/>
          <w:cols w:equalWidth="0" w:num="1">
            <w:col w:w="10800"/>
          </w:cols>
          <w:pgMar w:left="240" w:top="453" w:right="8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people and our stewardship</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OUR CULTURAL TRANSFORMATION</w:t>
      </w:r>
    </w:p>
    <w:p>
      <w:pPr>
        <w:spacing w:after="0" w:line="118" w:lineRule="exact"/>
        <w:rPr>
          <w:sz w:val="20"/>
          <w:szCs w:val="20"/>
          <w:color w:val="auto"/>
        </w:rPr>
      </w:pPr>
    </w:p>
    <w:p>
      <w:pPr>
        <w:ind w:left="780" w:right="140"/>
        <w:spacing w:after="0" w:line="249" w:lineRule="auto"/>
        <w:rPr>
          <w:sz w:val="20"/>
          <w:szCs w:val="20"/>
          <w:color w:val="auto"/>
        </w:rPr>
      </w:pPr>
      <w:r>
        <w:rPr>
          <w:rFonts w:ascii="Arial" w:cs="Arial" w:eastAsia="Arial" w:hAnsi="Arial"/>
          <w:sz w:val="14"/>
          <w:szCs w:val="14"/>
          <w:color w:val="262626"/>
        </w:rPr>
        <w:t>Over the past 12 months, under the leadership of our newly organized Board of Directors and CEO Matt Maddox, Wynn Resorts has undergone a corporate transformation.</w:t>
      </w:r>
    </w:p>
    <w:p>
      <w:pPr>
        <w:spacing w:after="0" w:line="156" w:lineRule="exact"/>
        <w:rPr>
          <w:sz w:val="20"/>
          <w:szCs w:val="20"/>
          <w:color w:val="auto"/>
        </w:rPr>
      </w:pPr>
    </w:p>
    <w:p>
      <w:pPr>
        <w:ind w:left="780" w:right="260"/>
        <w:spacing w:after="0" w:line="243" w:lineRule="auto"/>
        <w:rPr>
          <w:sz w:val="20"/>
          <w:szCs w:val="20"/>
          <w:color w:val="auto"/>
        </w:rPr>
      </w:pPr>
      <w:r>
        <w:rPr>
          <w:rFonts w:ascii="Arial" w:cs="Arial" w:eastAsia="Arial" w:hAnsi="Arial"/>
          <w:sz w:val="14"/>
          <w:szCs w:val="14"/>
          <w:color w:val="262626"/>
        </w:rPr>
        <w:t>In the wake of allegations against and the departure of our founder, we embarked on a comprehensive self-examination of our Company, its management, and our workplace policies, procedures, and culture. We have examined each aspect of the way we work and made major changes at every level of key decision-making in the Company.</w:t>
      </w:r>
    </w:p>
    <w:p>
      <w:pPr>
        <w:spacing w:after="0" w:line="173" w:lineRule="exact"/>
        <w:rPr>
          <w:sz w:val="20"/>
          <w:szCs w:val="20"/>
          <w:color w:val="auto"/>
        </w:rPr>
      </w:pPr>
    </w:p>
    <w:p>
      <w:pPr>
        <w:ind w:left="780"/>
        <w:spacing w:after="0" w:line="243" w:lineRule="auto"/>
        <w:rPr>
          <w:sz w:val="20"/>
          <w:szCs w:val="20"/>
          <w:color w:val="auto"/>
        </w:rPr>
      </w:pPr>
      <w:r>
        <w:rPr>
          <w:rFonts w:ascii="Arial" w:cs="Arial" w:eastAsia="Arial" w:hAnsi="Arial"/>
          <w:sz w:val="14"/>
          <w:szCs w:val="14"/>
          <w:color w:val="262626"/>
        </w:rPr>
        <w:t>Any employee identified as having been aware of allegations of sexual assault against the Company’s former chairman and who did not investigate or report it is no longer with the Company. We have made meaningful changes to policies, practices, and procedures to ensure the Company has a safe, healthy and supportive workplace culture. Chief among these actions are that the Board:</w:t>
      </w:r>
    </w:p>
    <w:p>
      <w:pPr>
        <w:spacing w:after="0" w:line="200" w:lineRule="exact"/>
        <w:rPr>
          <w:sz w:val="20"/>
          <w:szCs w:val="20"/>
          <w:color w:val="auto"/>
        </w:rPr>
      </w:pPr>
    </w:p>
    <w:p>
      <w:pPr>
        <w:ind w:left="960" w:right="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Immediately established a Special Committee to review who at the Company was aware of the allegations against Mr. Wynn as well as a sweeping review</w:t>
      </w:r>
      <w:r>
        <w:rPr>
          <w:rFonts w:ascii="Arial" w:cs="Arial" w:eastAsia="Arial" w:hAnsi="Arial"/>
          <w:sz w:val="14"/>
          <w:szCs w:val="14"/>
          <w:color w:val="CC870F"/>
        </w:rPr>
        <w:t xml:space="preserve"> </w:t>
      </w:r>
      <w:r>
        <w:rPr>
          <w:rFonts w:ascii="Arial" w:cs="Arial" w:eastAsia="Arial" w:hAnsi="Arial"/>
          <w:sz w:val="14"/>
          <w:szCs w:val="14"/>
          <w:color w:val="262626"/>
        </w:rPr>
        <w:t>of the Company’s workplace policies and procedures.</w:t>
      </w:r>
    </w:p>
    <w:p>
      <w:pPr>
        <w:spacing w:after="0" w:line="1" w:lineRule="exact"/>
        <w:rPr>
          <w:sz w:val="20"/>
          <w:szCs w:val="20"/>
          <w:color w:val="auto"/>
        </w:rPr>
      </w:pPr>
    </w:p>
    <w:p>
      <w:pPr>
        <w:ind w:left="960" w:right="1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Changed the leadership of Wynn Resorts. The Company separated the roles of CEO and Chairman of the Board, consistent with best corporate practice.</w:t>
      </w:r>
      <w:r>
        <w:rPr>
          <w:rFonts w:ascii="Arial" w:cs="Arial" w:eastAsia="Arial" w:hAnsi="Arial"/>
          <w:sz w:val="14"/>
          <w:szCs w:val="14"/>
          <w:color w:val="CC870F"/>
        </w:rPr>
        <w:t xml:space="preserve"> </w:t>
      </w:r>
      <w:r>
        <w:rPr>
          <w:rFonts w:ascii="Arial" w:cs="Arial" w:eastAsia="Arial" w:hAnsi="Arial"/>
          <w:sz w:val="14"/>
          <w:szCs w:val="14"/>
          <w:color w:val="262626"/>
        </w:rPr>
        <w:t>Matt Maddox was appointed CEO of Wynn Resorts and the Company fully separated from Mr. Wynn.</w:t>
      </w:r>
    </w:p>
    <w:p>
      <w:pPr>
        <w:spacing w:after="0" w:line="1" w:lineRule="exact"/>
        <w:rPr>
          <w:sz w:val="20"/>
          <w:szCs w:val="20"/>
          <w:color w:val="auto"/>
        </w:rPr>
      </w:pPr>
    </w:p>
    <w:p>
      <w:pPr>
        <w:ind w:left="960" w:right="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Commenced a robust Board refreshment process that has brought the median tenure of our independent directors down to less than two years, even as it</w:t>
      </w:r>
      <w:r>
        <w:rPr>
          <w:rFonts w:ascii="Arial" w:cs="Arial" w:eastAsia="Arial" w:hAnsi="Arial"/>
          <w:sz w:val="14"/>
          <w:szCs w:val="14"/>
          <w:color w:val="CC870F"/>
        </w:rPr>
        <w:t xml:space="preserve"> </w:t>
      </w:r>
      <w:r>
        <w:rPr>
          <w:rFonts w:ascii="Arial" w:cs="Arial" w:eastAsia="Arial" w:hAnsi="Arial"/>
          <w:sz w:val="14"/>
          <w:szCs w:val="14"/>
          <w:color w:val="262626"/>
        </w:rPr>
        <w:t>increased the corporate governance expertise on the Board. Half of the independent directors are women, and the Board is now chaired by an independent director with extensive industry and boardroom experience, Philip G. Satre, who joined subsequent to the last Annual Meeting.</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Appointed Ellen Whittemore, a recognized expert in gaming regulatory and gaming compliance matters, as General Counsel.</w:t>
      </w:r>
    </w:p>
    <w:p>
      <w:pPr>
        <w:ind w:left="960" w:right="6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Appointed Rose Huddleston, a seasoned human resources executive, to the newly created corporate position of Senior Vice President of Human</w:t>
      </w:r>
      <w:r>
        <w:rPr>
          <w:rFonts w:ascii="Arial" w:cs="Arial" w:eastAsia="Arial" w:hAnsi="Arial"/>
          <w:sz w:val="14"/>
          <w:szCs w:val="14"/>
          <w:color w:val="CC870F"/>
        </w:rPr>
        <w:t xml:space="preserve"> </w:t>
      </w:r>
      <w:r>
        <w:rPr>
          <w:rFonts w:ascii="Arial" w:cs="Arial" w:eastAsia="Arial" w:hAnsi="Arial"/>
          <w:sz w:val="14"/>
          <w:szCs w:val="14"/>
          <w:color w:val="262626"/>
        </w:rPr>
        <w:t>Resources- North America.</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Appointed Marilyn Spiegel, an executive with significant hospitality and human resources experience, as President of Wynn Las Vegas.</w:t>
      </w:r>
    </w:p>
    <w:p>
      <w:pPr>
        <w:spacing w:after="0" w:line="170" w:lineRule="exact"/>
        <w:rPr>
          <w:sz w:val="20"/>
          <w:szCs w:val="20"/>
          <w:color w:val="auto"/>
        </w:rPr>
      </w:pPr>
    </w:p>
    <w:p>
      <w:pPr>
        <w:ind w:left="780" w:right="640"/>
        <w:spacing w:after="0" w:line="249" w:lineRule="auto"/>
        <w:rPr>
          <w:sz w:val="20"/>
          <w:szCs w:val="20"/>
          <w:color w:val="auto"/>
        </w:rPr>
      </w:pPr>
      <w:r>
        <w:rPr>
          <w:rFonts w:ascii="Arial" w:cs="Arial" w:eastAsia="Arial" w:hAnsi="Arial"/>
          <w:sz w:val="14"/>
          <w:szCs w:val="14"/>
          <w:color w:val="262626"/>
        </w:rPr>
        <w:t>Under the leadership of CEO Matt Maddox, the Company has taken additional steps to further transform its workplace environment, and reinforce in numerous ways that we value our employees, their diversity, and their contributions to the Company’s success: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Refocused efforts on the Company’s workplace culture by making it a priority for the Company’s new Human Resources leadership.</w:t>
      </w:r>
    </w:p>
    <w:p>
      <w:pPr>
        <w:ind w:left="960" w:right="5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enhanced Workplace Compliance and Prevention of Sexual Harassment training for all employees, designed by a third-party expert and</w:t>
      </w:r>
      <w:r>
        <w:rPr>
          <w:rFonts w:ascii="Arial" w:cs="Arial" w:eastAsia="Arial" w:hAnsi="Arial"/>
          <w:sz w:val="14"/>
          <w:szCs w:val="14"/>
          <w:color w:val="CC870F"/>
        </w:rPr>
        <w:t xml:space="preserve"> </w:t>
      </w:r>
      <w:r>
        <w:rPr>
          <w:rFonts w:ascii="Arial" w:cs="Arial" w:eastAsia="Arial" w:hAnsi="Arial"/>
          <w:sz w:val="14"/>
          <w:szCs w:val="14"/>
          <w:color w:val="262626"/>
        </w:rPr>
        <w:t>delivered in-person to all employees.</w:t>
      </w:r>
    </w:p>
    <w:p>
      <w:pPr>
        <w:spacing w:after="0" w:line="1" w:lineRule="exact"/>
        <w:rPr>
          <w:sz w:val="20"/>
          <w:szCs w:val="20"/>
          <w:color w:val="auto"/>
        </w:rPr>
      </w:pPr>
    </w:p>
    <w:p>
      <w:pPr>
        <w:ind w:left="960" w:right="2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a Women’s Leadership Council to promote equality within the workplace. The group’s first activity was to produce a speaker series, “Women</w:t>
      </w:r>
      <w:r>
        <w:rPr>
          <w:rFonts w:ascii="Arial" w:cs="Arial" w:eastAsia="Arial" w:hAnsi="Arial"/>
          <w:sz w:val="14"/>
          <w:szCs w:val="14"/>
          <w:color w:val="CC870F"/>
        </w:rPr>
        <w:t xml:space="preserve"> </w:t>
      </w:r>
      <w:r>
        <w:rPr>
          <w:rFonts w:ascii="Arial" w:cs="Arial" w:eastAsia="Arial" w:hAnsi="Arial"/>
          <w:sz w:val="14"/>
          <w:szCs w:val="14"/>
          <w:color w:val="262626"/>
        </w:rPr>
        <w:t>Who Thrive,” to educate and inspire employees through powerful female role models.</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Commissioned pay and promotion equity studies to measure pay equality among men and women in the workforce.</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a new Paid Parental Leave program that provides paid time off to new parents.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Implemented new Diversity, Inclusion and Unconscious Bias training for all employees, including senior executives, taught by third-party experts.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the Great Places to Work survey and focus groups which measure employee engagement against the Fortune “100 Best Places to Work.”</w:t>
      </w:r>
    </w:p>
    <w:p>
      <w:pPr>
        <w:ind w:left="960" w:right="1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a new Wynn Employee Foundation Scholarship Program, an annual grant each year to ten qualifying Wynn Las Vegas employees or family</w:t>
      </w:r>
      <w:r>
        <w:rPr>
          <w:rFonts w:ascii="Arial" w:cs="Arial" w:eastAsia="Arial" w:hAnsi="Arial"/>
          <w:sz w:val="14"/>
          <w:szCs w:val="14"/>
          <w:color w:val="CC870F"/>
        </w:rPr>
        <w:t xml:space="preserve"> </w:t>
      </w:r>
      <w:r>
        <w:rPr>
          <w:rFonts w:ascii="Arial" w:cs="Arial" w:eastAsia="Arial" w:hAnsi="Arial"/>
          <w:sz w:val="14"/>
          <w:szCs w:val="14"/>
          <w:color w:val="262626"/>
        </w:rPr>
        <w:t>members of up to $7,500 (renewable for up to four academic years) to be used towards earning a degree in any field of study at any Nevada university or college. Encore Boston Harbor employees will be eligible for similar grants for public higher education in Massachusetts.</w:t>
      </w:r>
    </w:p>
    <w:p>
      <w:pPr>
        <w:spacing w:after="0" w:line="1" w:lineRule="exact"/>
        <w:rPr>
          <w:sz w:val="20"/>
          <w:szCs w:val="20"/>
          <w:color w:val="auto"/>
        </w:rPr>
      </w:pPr>
    </w:p>
    <w:p>
      <w:pPr>
        <w:ind w:left="960" w:right="120" w:hanging="185"/>
        <w:spacing w:after="0" w:line="241"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By establishing new reporting requirements and investigation processes, increasing workplace oversight, and mandating updated training, including</w:t>
      </w:r>
      <w:r>
        <w:rPr>
          <w:rFonts w:ascii="Arial" w:cs="Arial" w:eastAsia="Arial" w:hAnsi="Arial"/>
          <w:sz w:val="14"/>
          <w:szCs w:val="14"/>
          <w:color w:val="CC870F"/>
        </w:rPr>
        <w:t xml:space="preserve"> </w:t>
      </w:r>
      <w:r>
        <w:rPr>
          <w:rFonts w:ascii="Arial" w:cs="Arial" w:eastAsia="Arial" w:hAnsi="Arial"/>
          <w:sz w:val="14"/>
          <w:szCs w:val="14"/>
          <w:color w:val="262626"/>
        </w:rPr>
        <w:t>training around sexual harassment, we have reestablished a culture in which employees are encouraged to come forward and employees at all levels are held accountable. We are making clear, in both policy and action: every employee is entitled to a safe and respectful workplace and no employee, at any level of our Company, is above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326390</wp:posOffset>
            </wp:positionV>
            <wp:extent cx="521335" cy="235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18</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OUR PEOPLE</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impact of the investments we make in our people show up in some of the key drivers of sustainable success.</w:t>
      </w:r>
    </w:p>
    <w:p>
      <w:pPr>
        <w:spacing w:after="0" w:line="210" w:lineRule="exact"/>
        <w:rPr>
          <w:sz w:val="20"/>
          <w:szCs w:val="20"/>
          <w:color w:val="auto"/>
        </w:rPr>
      </w:pPr>
    </w:p>
    <w:p>
      <w:pPr>
        <w:ind w:left="960" w:right="2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Our voluntary employee turnover rates are significantly lower than the industry average – 18% in 2018 versus 22% across all consumer services globally,</w:t>
      </w:r>
      <w:r>
        <w:rPr>
          <w:rFonts w:ascii="Arial" w:cs="Arial" w:eastAsia="Arial" w:hAnsi="Arial"/>
          <w:sz w:val="14"/>
          <w:szCs w:val="14"/>
          <w:color w:val="CC870F"/>
        </w:rPr>
        <w:t xml:space="preserve"> </w:t>
      </w:r>
      <w:r>
        <w:rPr>
          <w:rFonts w:ascii="Arial" w:cs="Arial" w:eastAsia="Arial" w:hAnsi="Arial"/>
          <w:sz w:val="14"/>
          <w:szCs w:val="14"/>
          <w:color w:val="262626"/>
        </w:rPr>
        <w:t>according to data from the 2018 US Mercer Turnover Survey – our employees consistently choose to stay with Wynn even in an era when job-hopping is common.</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We invest in our talent—51% of our jobs were filled with current employees in 2018.</w:t>
      </w:r>
    </w:p>
    <w:p>
      <w:pPr>
        <w:ind w:left="960" w:right="420" w:hanging="185"/>
        <w:spacing w:after="0" w:line="24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We were named among this year’s Best Employers for Diversity by Forbes Magazine, which recognizes the top employers in the United States for their</w:t>
      </w:r>
      <w:r>
        <w:rPr>
          <w:rFonts w:ascii="Arial" w:cs="Arial" w:eastAsia="Arial" w:hAnsi="Arial"/>
          <w:sz w:val="14"/>
          <w:szCs w:val="14"/>
          <w:color w:val="CC870F"/>
        </w:rPr>
        <w:t xml:space="preserve"> </w:t>
      </w:r>
      <w:r>
        <w:rPr>
          <w:rFonts w:ascii="Arial" w:cs="Arial" w:eastAsia="Arial" w:hAnsi="Arial"/>
          <w:sz w:val="14"/>
          <w:szCs w:val="14"/>
          <w:color w:val="262626"/>
        </w:rPr>
        <w:t>commitment to diversity and workplace culture. Wynn Resorts was one of only 13 hotel companies to be recognized in these rankings.</w:t>
      </w:r>
    </w:p>
    <w:p>
      <w:pPr>
        <w:spacing w:after="0" w:line="27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EMPLOYEE BENEFITS</w:t>
      </w:r>
    </w:p>
    <w:p>
      <w:pPr>
        <w:spacing w:after="0" w:line="132" w:lineRule="exact"/>
        <w:rPr>
          <w:sz w:val="20"/>
          <w:szCs w:val="20"/>
          <w:color w:val="auto"/>
        </w:rPr>
      </w:pPr>
    </w:p>
    <w:p>
      <w:pPr>
        <w:ind w:left="960" w:right="2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Medical, prescription, dental and vision insurance for all full-time employees and their families, and all part-time employees who average 30 or more hours</w:t>
      </w:r>
      <w:r>
        <w:rPr>
          <w:rFonts w:ascii="Arial" w:cs="Arial" w:eastAsia="Arial" w:hAnsi="Arial"/>
          <w:sz w:val="14"/>
          <w:szCs w:val="14"/>
          <w:color w:val="CC870F"/>
        </w:rPr>
        <w:t xml:space="preserve"> </w:t>
      </w:r>
      <w:r>
        <w:rPr>
          <w:rFonts w:ascii="Arial" w:cs="Arial" w:eastAsia="Arial" w:hAnsi="Arial"/>
          <w:sz w:val="14"/>
          <w:szCs w:val="14"/>
          <w:color w:val="262626"/>
        </w:rPr>
        <w:t>per week</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401(k) plan with Company match incentive</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Paid time off for holidays, perfect attendance, floating holiday, and vacation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On-site wellness facilities including health coaches and 24-hour wellness centers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Six weeks paid parental leave and a Perfect Start program, giving $250 to new parents to help with early childhood expenses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Employee Assistance Program with generous benefits and extensive work-life resources, including private counseling sessions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Financial guidance, including free legal advice, relocation advice, and financial and tax information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Employer paid life insurance benefits, which include added value benefits of identify theft protection and travel assistance plan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Group discounts for supplemental coverage, including disability, auto/home, legal, pet, additional life, critical illness, etc.</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Free meals in our employee dining rooms, including healthy options</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We Save employee discount program, including child-care facilities discounts and fitness center memberships</w:t>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EMPLOYEE EDUCATION AND TRAINING</w:t>
      </w:r>
    </w:p>
    <w:p>
      <w:pPr>
        <w:spacing w:after="0" w:line="130"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Tuition reimbursement program with a focus on continuing education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Sponsorship of 12-week courses to prepare employees for US citizenship test</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English as a second language program</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On site leadership and self-development classes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Compliance training</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Code of Business Conduct and Ethics training</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Responsible Gaming training</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19</w:t>
      </w:r>
    </w:p>
    <w:p>
      <w:pPr>
        <w:sectPr>
          <w:pgSz w:w="11900" w:h="16838" w:orient="portrait"/>
          <w:cols w:equalWidth="0" w:num="1">
            <w:col w:w="10800"/>
          </w:cols>
          <w:pgMar w:left="240" w:top="453" w:right="8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people and our stewardship</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EMPLOYEE AND SUPPLY CHAIN DIVERSITY AND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Recognizing that women are traditionally under-represented in the building trades, Wynn and Minuteman High School founded the Massachusetts “Girls in</w:t>
      </w:r>
      <w:r>
        <w:rPr>
          <w:rFonts w:ascii="Arial" w:cs="Arial" w:eastAsia="Arial" w:hAnsi="Arial"/>
          <w:sz w:val="14"/>
          <w:szCs w:val="14"/>
          <w:color w:val="CC870F"/>
        </w:rPr>
        <w:t xml:space="preserve"> </w:t>
      </w:r>
      <w:r>
        <w:rPr>
          <w:rFonts w:ascii="Arial" w:cs="Arial" w:eastAsia="Arial" w:hAnsi="Arial"/>
          <w:sz w:val="14"/>
          <w:szCs w:val="14"/>
          <w:color w:val="262626"/>
        </w:rPr>
        <w:t>Trade” Advisory Group to work with developers, contractors, building trades unions and government officials to increase career opportunities for women in construction in Massachusetts</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Affinity groups for employees, including our Diversity Council and LGBT Focus Group</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Supplier diversity program and purchasing guidelines:</w:t>
      </w:r>
    </w:p>
    <w:p>
      <w:pPr>
        <w:ind w:left="1160" w:hanging="194"/>
        <w:spacing w:after="0" w:line="221" w:lineRule="auto"/>
        <w:tabs>
          <w:tab w:leader="none" w:pos="1160" w:val="left"/>
        </w:tabs>
        <w:numPr>
          <w:ilvl w:val="1"/>
          <w:numId w:val="38"/>
        </w:numPr>
        <w:rPr>
          <w:rFonts w:ascii="Arial" w:cs="Arial" w:eastAsia="Arial" w:hAnsi="Arial"/>
          <w:sz w:val="16"/>
          <w:szCs w:val="16"/>
          <w:color w:val="CC870F"/>
        </w:rPr>
      </w:pPr>
      <w:r>
        <w:rPr>
          <w:rFonts w:ascii="Arial" w:cs="Arial" w:eastAsia="Arial" w:hAnsi="Arial"/>
          <w:sz w:val="14"/>
          <w:szCs w:val="14"/>
          <w:color w:val="262626"/>
        </w:rPr>
        <w:t>248 minority, women or veteran owned business partners receive over $34 million in annual procurement spending from Wynn Las Vegas</w:t>
      </w:r>
    </w:p>
    <w:p>
      <w:pPr>
        <w:spacing w:after="0" w:line="29" w:lineRule="exact"/>
        <w:rPr>
          <w:rFonts w:ascii="Arial" w:cs="Arial" w:eastAsia="Arial" w:hAnsi="Arial"/>
          <w:sz w:val="16"/>
          <w:szCs w:val="16"/>
          <w:color w:val="CC870F"/>
        </w:rPr>
      </w:pPr>
    </w:p>
    <w:p>
      <w:pPr>
        <w:jc w:val="both"/>
        <w:ind w:left="1160" w:right="480" w:hanging="194"/>
        <w:spacing w:after="0" w:line="231" w:lineRule="auto"/>
        <w:tabs>
          <w:tab w:leader="none" w:pos="1160" w:val="left"/>
        </w:tabs>
        <w:numPr>
          <w:ilvl w:val="1"/>
          <w:numId w:val="38"/>
        </w:numPr>
        <w:rPr>
          <w:rFonts w:ascii="Arial" w:cs="Arial" w:eastAsia="Arial" w:hAnsi="Arial"/>
          <w:sz w:val="16"/>
          <w:szCs w:val="16"/>
          <w:color w:val="CC870F"/>
        </w:rPr>
      </w:pPr>
      <w:r>
        <w:rPr>
          <w:rFonts w:ascii="Arial" w:cs="Arial" w:eastAsia="Arial" w:hAnsi="Arial"/>
          <w:sz w:val="14"/>
          <w:szCs w:val="14"/>
          <w:color w:val="262626"/>
        </w:rPr>
        <w:t>Encore Boston Harbor has issued over $256 million in construction and design contracts to minority, women, or veteran-owned businesses, and exceeded its commitments to the Commonwealth of Massachusetts in the construction of Encore Boston Harbor regarding women, minority and veteran participation in its workforce and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217805</wp:posOffset>
            </wp:positionV>
            <wp:extent cx="5693410" cy="4288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93410" cy="428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20</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00"/>
          </w:cols>
          <w:pgMar w:left="240" w:top="453"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OUR COMMUNITIES</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Support for over 100 diverse community organizations including:</w:t>
      </w:r>
    </w:p>
    <w:p>
      <w:pPr>
        <w:spacing w:after="0" w:line="210"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 45,000 hours of community service at our resorts in Las Vegas, Macau, and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222885</wp:posOffset>
            </wp:positionV>
            <wp:extent cx="5609590" cy="2926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9590" cy="292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Wynn Las Vegas:</w:t>
      </w:r>
    </w:p>
    <w:p>
      <w:pPr>
        <w:spacing w:after="0" w:line="228" w:lineRule="exact"/>
        <w:rPr>
          <w:sz w:val="20"/>
          <w:szCs w:val="20"/>
          <w:color w:val="auto"/>
        </w:rPr>
      </w:pPr>
    </w:p>
    <w:p>
      <w:pPr>
        <w:jc w:val="both"/>
        <w:ind w:left="960" w:right="2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Rallied over 80 local businesses and pledged $1.5 million for large-scale facility upgrades to The Shade Tree, a 24-hour crisis shelter which focuses on</w:t>
      </w:r>
      <w:r>
        <w:rPr>
          <w:rFonts w:ascii="Arial" w:cs="Arial" w:eastAsia="Arial" w:hAnsi="Arial"/>
          <w:sz w:val="14"/>
          <w:szCs w:val="14"/>
          <w:color w:val="CC870F"/>
        </w:rPr>
        <w:t xml:space="preserve"> </w:t>
      </w:r>
      <w:r>
        <w:rPr>
          <w:rFonts w:ascii="Arial" w:cs="Arial" w:eastAsia="Arial" w:hAnsi="Arial"/>
          <w:sz w:val="14"/>
          <w:szCs w:val="14"/>
          <w:color w:val="262626"/>
        </w:rPr>
        <w:t>homeless and abused children in crisis, including victims of domestic violence and human trafficking. The unique ‘hybrid’ approach also included over 800 pro-bono volunteer hours by Wynn employees providing professional services in several areas including: Marketing/Advertising, Engineering/Construction, and Strategic Consulting.</w:t>
      </w:r>
    </w:p>
    <w:p>
      <w:pPr>
        <w:spacing w:after="0" w:line="2" w:lineRule="exact"/>
        <w:rPr>
          <w:sz w:val="20"/>
          <w:szCs w:val="20"/>
          <w:color w:val="auto"/>
        </w:rPr>
      </w:pPr>
    </w:p>
    <w:p>
      <w:pPr>
        <w:ind w:left="960" w:right="240" w:hanging="185"/>
        <w:spacing w:after="0" w:line="243"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Since 2015, the innovative “Adopt-A-Classroom” program at Dean Petersen Elementary School has provided student and teacher support inside of the</w:t>
      </w:r>
      <w:r>
        <w:rPr>
          <w:rFonts w:ascii="Arial" w:cs="Arial" w:eastAsia="Arial" w:hAnsi="Arial"/>
          <w:sz w:val="14"/>
          <w:szCs w:val="14"/>
          <w:color w:val="CC870F"/>
        </w:rPr>
        <w:t xml:space="preserve"> </w:t>
      </w:r>
      <w:r>
        <w:rPr>
          <w:rFonts w:ascii="Arial" w:cs="Arial" w:eastAsia="Arial" w:hAnsi="Arial"/>
          <w:sz w:val="14"/>
          <w:szCs w:val="14"/>
          <w:color w:val="262626"/>
        </w:rPr>
        <w:t>classroom, including: tutoring, literacy programs, translation service for English language learners, career days, and mentoring. In 2018, Wynn employees adopted 50+ classrooms and engaged weekly with the students.</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Encore Boston Harbor:</w:t>
      </w:r>
    </w:p>
    <w:p>
      <w:pPr>
        <w:spacing w:after="0" w:line="228" w:lineRule="exact"/>
        <w:rPr>
          <w:sz w:val="20"/>
          <w:szCs w:val="20"/>
          <w:color w:val="auto"/>
        </w:rPr>
      </w:pPr>
    </w:p>
    <w:p>
      <w:pPr>
        <w:ind w:left="960" w:right="4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Launched a partnership with the highly regarded Connors Family Office to donate $10 million over the next four years to support a wide range of social</w:t>
      </w:r>
      <w:r>
        <w:rPr>
          <w:rFonts w:ascii="Arial" w:cs="Arial" w:eastAsia="Arial" w:hAnsi="Arial"/>
          <w:sz w:val="14"/>
          <w:szCs w:val="14"/>
          <w:color w:val="CC870F"/>
        </w:rPr>
        <w:t xml:space="preserve"> </w:t>
      </w:r>
      <w:r>
        <w:rPr>
          <w:rFonts w:ascii="Arial" w:cs="Arial" w:eastAsia="Arial" w:hAnsi="Arial"/>
          <w:sz w:val="14"/>
          <w:szCs w:val="14"/>
          <w:color w:val="262626"/>
        </w:rPr>
        <w:t>programs and civic institutions that will help those in need and improve the lives of residents throughout the Boston area.</w:t>
      </w:r>
    </w:p>
    <w:p>
      <w:pPr>
        <w:spacing w:after="0" w:line="1" w:lineRule="exact"/>
        <w:rPr>
          <w:sz w:val="20"/>
          <w:szCs w:val="20"/>
          <w:color w:val="auto"/>
        </w:rPr>
      </w:pPr>
    </w:p>
    <w:p>
      <w:pPr>
        <w:ind w:left="960" w:right="340" w:hanging="185"/>
        <w:spacing w:after="0" w:line="24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Encore’s first official fundraiser in Boston raised more than $360,000 for the New England Center for Arts and Technology (NECAT), an organization that</w:t>
      </w:r>
      <w:r>
        <w:rPr>
          <w:rFonts w:ascii="Arial" w:cs="Arial" w:eastAsia="Arial" w:hAnsi="Arial"/>
          <w:sz w:val="14"/>
          <w:szCs w:val="14"/>
          <w:color w:val="CC870F"/>
        </w:rPr>
        <w:t xml:space="preserve"> </w:t>
      </w:r>
      <w:r>
        <w:rPr>
          <w:rFonts w:ascii="Arial" w:cs="Arial" w:eastAsia="Arial" w:hAnsi="Arial"/>
          <w:sz w:val="14"/>
          <w:szCs w:val="14"/>
          <w:color w:val="262626"/>
        </w:rPr>
        <w:t>provides at-risk and resource-limited adults with a pathway to stable, long-term careers in the food services industry.</w:t>
      </w:r>
    </w:p>
    <w:p>
      <w:pPr>
        <w:spacing w:after="0" w:line="13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Wynn Macau:</w:t>
      </w:r>
    </w:p>
    <w:p>
      <w:pPr>
        <w:spacing w:after="0" w:line="228" w:lineRule="exact"/>
        <w:rPr>
          <w:sz w:val="20"/>
          <w:szCs w:val="20"/>
          <w:color w:val="auto"/>
        </w:rPr>
      </w:pPr>
    </w:p>
    <w:p>
      <w:pPr>
        <w:ind w:left="960" w:right="1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Support for the sixth consecutive year to the Welfare Shop Project of Macau Holy House of Mercy (SCMM), including a donation of MOP300,000 to</w:t>
      </w:r>
      <w:r>
        <w:rPr>
          <w:rFonts w:ascii="Arial" w:cs="Arial" w:eastAsia="Arial" w:hAnsi="Arial"/>
          <w:sz w:val="14"/>
          <w:szCs w:val="14"/>
          <w:color w:val="CC870F"/>
        </w:rPr>
        <w:t xml:space="preserve"> </w:t>
      </w:r>
      <w:r>
        <w:rPr>
          <w:rFonts w:ascii="Arial" w:cs="Arial" w:eastAsia="Arial" w:hAnsi="Arial"/>
          <w:sz w:val="14"/>
          <w:szCs w:val="14"/>
          <w:color w:val="262626"/>
        </w:rPr>
        <w:t>finance the distribution of food hampers to over 360 underprivileged families. Wynn has donated an accumulated total of MOP1,700,000 since the founding of the project in 2013.</w:t>
      </w:r>
    </w:p>
    <w:p>
      <w:pPr>
        <w:spacing w:after="0" w:line="1" w:lineRule="exact"/>
        <w:rPr>
          <w:sz w:val="20"/>
          <w:szCs w:val="20"/>
          <w:color w:val="auto"/>
        </w:rPr>
      </w:pPr>
    </w:p>
    <w:p>
      <w:pPr>
        <w:ind w:left="960" w:right="380" w:hanging="185"/>
        <w:spacing w:after="0" w:line="24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Education engagement continues to increase, with scholarships totaling MOP300,000 distributed to 35 students attending classes at the Universidad de</w:t>
      </w:r>
      <w:r>
        <w:rPr>
          <w:rFonts w:ascii="Arial" w:cs="Arial" w:eastAsia="Arial" w:hAnsi="Arial"/>
          <w:sz w:val="14"/>
          <w:szCs w:val="14"/>
          <w:color w:val="CC870F"/>
        </w:rPr>
        <w:t xml:space="preserve"> </w:t>
      </w:r>
      <w:r>
        <w:rPr>
          <w:rFonts w:ascii="Arial" w:cs="Arial" w:eastAsia="Arial" w:hAnsi="Arial"/>
          <w:sz w:val="14"/>
          <w:szCs w:val="14"/>
          <w:color w:val="262626"/>
        </w:rPr>
        <w:t>Macau, Institute for Tourism Studies, and the Polytechnic Institute.</w:t>
      </w:r>
    </w:p>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21</w:t>
      </w:r>
    </w:p>
    <w:p>
      <w:pPr>
        <w:sectPr>
          <w:pgSz w:w="11900" w:h="16838" w:orient="portrait"/>
          <w:cols w:equalWidth="0" w:num="1">
            <w:col w:w="10800"/>
          </w:cols>
          <w:pgMar w:left="240" w:top="453" w:right="8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Our people and our stewardship</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Impact of Wynn Resorts Properties</w:t>
      </w:r>
    </w:p>
    <w:p>
      <w:pPr>
        <w:spacing w:after="0" w:line="188" w:lineRule="exact"/>
        <w:rPr>
          <w:sz w:val="20"/>
          <w:szCs w:val="20"/>
          <w:color w:val="auto"/>
        </w:rPr>
      </w:pPr>
    </w:p>
    <w:p>
      <w:pPr>
        <w:ind w:left="780" w:right="300"/>
        <w:spacing w:after="0" w:line="249" w:lineRule="auto"/>
        <w:rPr>
          <w:sz w:val="20"/>
          <w:szCs w:val="20"/>
          <w:color w:val="auto"/>
        </w:rPr>
      </w:pPr>
      <w:r>
        <w:rPr>
          <w:rFonts w:ascii="Arial" w:cs="Arial" w:eastAsia="Arial" w:hAnsi="Arial"/>
          <w:sz w:val="14"/>
          <w:szCs w:val="14"/>
          <w:color w:val="262626"/>
        </w:rPr>
        <w:t>Every new Wynn development has the potential to transform a local economy. When Wynn Las Vegas opened in 2005, it triggered the largest increase in non-gaming revenue in Las Vegas history. Encore Boston Harbor is also demonstrating how we develop shared goals with host cities to:</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Stimulate economic growth and create local jobs</w:t>
      </w:r>
    </w:p>
    <w:p>
      <w:pPr>
        <w:ind w:left="960" w:right="60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Fund local infrastructure improvements, including the transformation of unproductive and environmentally damaged local sites into productive city</w:t>
      </w:r>
      <w:r>
        <w:rPr>
          <w:rFonts w:ascii="Arial" w:cs="Arial" w:eastAsia="Arial" w:hAnsi="Arial"/>
          <w:sz w:val="14"/>
          <w:szCs w:val="14"/>
          <w:color w:val="CC870F"/>
        </w:rPr>
        <w:t xml:space="preserve"> </w:t>
      </w:r>
      <w:r>
        <w:rPr>
          <w:rFonts w:ascii="Arial" w:cs="Arial" w:eastAsia="Arial" w:hAnsi="Arial"/>
          <w:sz w:val="14"/>
          <w:szCs w:val="14"/>
          <w:color w:val="262626"/>
        </w:rPr>
        <w:t>amenities</w:t>
      </w:r>
    </w:p>
    <w:p>
      <w:pPr>
        <w:spacing w:after="0" w:line="1" w:lineRule="exact"/>
        <w:rPr>
          <w:sz w:val="20"/>
          <w:szCs w:val="20"/>
          <w:color w:val="auto"/>
        </w:rPr>
      </w:pP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Provide a financial boost to existing cultural and entertainment assets, including via cross marketing opportunities and enhanced local customer traffic</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Partner with national and local authorities to establish world-class regulatory frameworks</w:t>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OUR PLANET</w:t>
      </w:r>
    </w:p>
    <w:p>
      <w:pPr>
        <w:spacing w:after="0" w:line="118" w:lineRule="exact"/>
        <w:rPr>
          <w:sz w:val="20"/>
          <w:szCs w:val="20"/>
          <w:color w:val="auto"/>
        </w:rPr>
      </w:pPr>
    </w:p>
    <w:p>
      <w:pPr>
        <w:ind w:left="780" w:right="40"/>
        <w:spacing w:after="0" w:line="249" w:lineRule="auto"/>
        <w:rPr>
          <w:sz w:val="20"/>
          <w:szCs w:val="20"/>
          <w:color w:val="auto"/>
        </w:rPr>
      </w:pPr>
      <w:r>
        <w:rPr>
          <w:rFonts w:ascii="Arial" w:cs="Arial" w:eastAsia="Arial" w:hAnsi="Arial"/>
          <w:sz w:val="14"/>
          <w:szCs w:val="14"/>
          <w:color w:val="262626"/>
        </w:rPr>
        <w:t>In 2018 Wynn Las Vegas was awarded Four Green Globes (equivalent to LEED Platinum) under the Green Globes for Existing Buildings criteria. Additionally, we</w:t>
      </w:r>
    </w:p>
    <w:p>
      <w:pPr>
        <w:spacing w:after="0" w:line="196" w:lineRule="exact"/>
        <w:rPr>
          <w:sz w:val="20"/>
          <w:szCs w:val="20"/>
          <w:color w:val="auto"/>
        </w:rPr>
      </w:pPr>
    </w:p>
    <w:p>
      <w:pPr>
        <w:ind w:left="960" w:right="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Made significant investments in solar. The combined output of Wynn Resorts’ solar projects will offset approximately 34,000 metric tons of greenhouse gas</w:t>
      </w:r>
      <w:r>
        <w:rPr>
          <w:rFonts w:ascii="Arial" w:cs="Arial" w:eastAsia="Arial" w:hAnsi="Arial"/>
          <w:sz w:val="14"/>
          <w:szCs w:val="14"/>
          <w:color w:val="CC870F"/>
        </w:rPr>
        <w:t xml:space="preserve"> </w:t>
      </w:r>
      <w:r>
        <w:rPr>
          <w:rFonts w:ascii="Arial" w:cs="Arial" w:eastAsia="Arial" w:hAnsi="Arial"/>
          <w:sz w:val="14"/>
          <w:szCs w:val="14"/>
          <w:color w:val="262626"/>
        </w:rPr>
        <w:t>emissions annually, which is equivalent to the annual energy use of approximately 4,113 residential homes. These projects include:</w:t>
      </w:r>
    </w:p>
    <w:p>
      <w:pPr>
        <w:spacing w:after="0" w:line="1" w:lineRule="exact"/>
        <w:rPr>
          <w:sz w:val="20"/>
          <w:szCs w:val="20"/>
          <w:color w:val="auto"/>
        </w:rPr>
      </w:pPr>
    </w:p>
    <w:p>
      <w:pPr>
        <w:jc w:val="both"/>
        <w:ind w:left="1060" w:right="180" w:hanging="186"/>
        <w:spacing w:after="0" w:line="226" w:lineRule="auto"/>
        <w:tabs>
          <w:tab w:leader="none" w:pos="1060" w:val="left"/>
        </w:tabs>
        <w:numPr>
          <w:ilvl w:val="1"/>
          <w:numId w:val="44"/>
        </w:numPr>
        <w:rPr>
          <w:rFonts w:ascii="Arial" w:cs="Arial" w:eastAsia="Arial" w:hAnsi="Arial"/>
          <w:sz w:val="16"/>
          <w:szCs w:val="16"/>
          <w:color w:val="CC870F"/>
        </w:rPr>
      </w:pPr>
      <w:r>
        <w:rPr>
          <w:rFonts w:ascii="Arial" w:cs="Arial" w:eastAsia="Arial" w:hAnsi="Arial"/>
          <w:sz w:val="14"/>
          <w:szCs w:val="14"/>
          <w:color w:val="262626"/>
        </w:rPr>
        <w:t>An agreement with Enel Green Power to purchase 20 megawatts of solar power from the 160-acre Wynn Solar Facility in Fallon, Nevada for the direct consumption at Wynn Las Vegas for a term of seven years. The output delivered from this facility is enough to offset 75% of the Wynn Las Vegas peak demand needs during the summer months, and greater during off-peak months.</w:t>
      </w:r>
    </w:p>
    <w:p>
      <w:pPr>
        <w:ind w:left="1060" w:right="80" w:hanging="186"/>
        <w:spacing w:after="0" w:line="221" w:lineRule="auto"/>
        <w:tabs>
          <w:tab w:leader="none" w:pos="1060" w:val="left"/>
        </w:tabs>
        <w:numPr>
          <w:ilvl w:val="1"/>
          <w:numId w:val="44"/>
        </w:numPr>
        <w:rPr>
          <w:rFonts w:ascii="Arial" w:cs="Arial" w:eastAsia="Arial" w:hAnsi="Arial"/>
          <w:sz w:val="16"/>
          <w:szCs w:val="16"/>
          <w:color w:val="CC870F"/>
        </w:rPr>
      </w:pPr>
      <w:r>
        <w:rPr>
          <w:rFonts w:ascii="Arial" w:cs="Arial" w:eastAsia="Arial" w:hAnsi="Arial"/>
          <w:sz w:val="14"/>
          <w:szCs w:val="14"/>
          <w:color w:val="262626"/>
        </w:rPr>
        <w:t>Installed approximately 1 megawatt of behind-the-meter rooftop solar on Wynn Las Vegas to further offset the resort’s demand on the electrical grid, and provide clean reliable power for our facilities use.</w:t>
      </w:r>
    </w:p>
    <w:p>
      <w:pPr>
        <w:ind w:left="1060" w:hanging="186"/>
        <w:spacing w:after="0" w:line="221" w:lineRule="auto"/>
        <w:tabs>
          <w:tab w:leader="none" w:pos="1060" w:val="left"/>
        </w:tabs>
        <w:numPr>
          <w:ilvl w:val="1"/>
          <w:numId w:val="44"/>
        </w:numPr>
        <w:rPr>
          <w:rFonts w:ascii="Arial" w:cs="Arial" w:eastAsia="Arial" w:hAnsi="Arial"/>
          <w:sz w:val="16"/>
          <w:szCs w:val="16"/>
          <w:color w:val="CC870F"/>
        </w:rPr>
      </w:pPr>
      <w:r>
        <w:rPr>
          <w:rFonts w:ascii="Arial" w:cs="Arial" w:eastAsia="Arial" w:hAnsi="Arial"/>
          <w:sz w:val="14"/>
          <w:szCs w:val="14"/>
          <w:color w:val="262626"/>
        </w:rPr>
        <w:t>Installing approximately 1 megawatt of rooftop solar at Encore Boston Harbor, that will be utilized on-site and integrated into the resort’s power supply.</w:t>
      </w:r>
    </w:p>
    <w:p>
      <w:pPr>
        <w:spacing w:after="0" w:line="29" w:lineRule="exact"/>
        <w:rPr>
          <w:rFonts w:ascii="Arial" w:cs="Arial" w:eastAsia="Arial" w:hAnsi="Arial"/>
          <w:sz w:val="16"/>
          <w:szCs w:val="16"/>
          <w:color w:val="CC870F"/>
        </w:rPr>
      </w:pPr>
    </w:p>
    <w:p>
      <w:pPr>
        <w:ind w:left="960" w:right="360" w:hanging="185"/>
        <w:spacing w:after="0" w:line="236" w:lineRule="auto"/>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Commissioning 4MW/8MWh of battery storage used for peak demand reduction, back-up power and ancillary services at Encore Boston Harbor. This</w:t>
      </w:r>
      <w:r>
        <w:rPr>
          <w:rFonts w:ascii="Arial" w:cs="Arial" w:eastAsia="Arial" w:hAnsi="Arial"/>
          <w:sz w:val="14"/>
          <w:szCs w:val="14"/>
          <w:color w:val="CC870F"/>
        </w:rPr>
        <w:t xml:space="preserve"> </w:t>
      </w:r>
      <w:r>
        <w:rPr>
          <w:rFonts w:ascii="Arial" w:cs="Arial" w:eastAsia="Arial" w:hAnsi="Arial"/>
          <w:sz w:val="14"/>
          <w:szCs w:val="14"/>
          <w:color w:val="262626"/>
        </w:rPr>
        <w:t>creates a behind-the-meter micro-grid for our Boston resort—an industry first.</w:t>
      </w:r>
    </w:p>
    <w:p>
      <w:pPr>
        <w:spacing w:after="0" w:line="1" w:lineRule="exact"/>
        <w:rPr>
          <w:rFonts w:ascii="Arial" w:cs="Arial" w:eastAsia="Arial" w:hAnsi="Arial"/>
          <w:sz w:val="16"/>
          <w:szCs w:val="16"/>
          <w:color w:val="CC870F"/>
        </w:rPr>
      </w:pPr>
    </w:p>
    <w:p>
      <w:pPr>
        <w:ind w:left="780"/>
        <w:spacing w:after="0" w:line="236" w:lineRule="auto"/>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Installed 3 megawatts of combined heat and power (CHP) co-generation for energy production and building heating requirements.</w:t>
      </w:r>
    </w:p>
    <w:p>
      <w:pPr>
        <w:ind w:left="960" w:right="80" w:hanging="185"/>
        <w:spacing w:after="0" w:line="236" w:lineRule="auto"/>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Established a full remediation program for the abandoned industrial site in Boston, that is now home to Encore Boston Harbor, including development of a</w:t>
      </w:r>
      <w:r>
        <w:rPr>
          <w:rFonts w:ascii="Arial" w:cs="Arial" w:eastAsia="Arial" w:hAnsi="Arial"/>
          <w:sz w:val="14"/>
          <w:szCs w:val="14"/>
          <w:color w:val="CC870F"/>
        </w:rPr>
        <w:t xml:space="preserve"> </w:t>
      </w:r>
      <w:r>
        <w:rPr>
          <w:rFonts w:ascii="Arial" w:cs="Arial" w:eastAsia="Arial" w:hAnsi="Arial"/>
          <w:sz w:val="14"/>
          <w:szCs w:val="14"/>
          <w:color w:val="262626"/>
        </w:rPr>
        <w:t>living shoreline.</w:t>
      </w:r>
    </w:p>
    <w:p>
      <w:pPr>
        <w:spacing w:after="0" w:line="1" w:lineRule="exact"/>
        <w:rPr>
          <w:rFonts w:ascii="Arial" w:cs="Arial" w:eastAsia="Arial" w:hAnsi="Arial"/>
          <w:sz w:val="16"/>
          <w:szCs w:val="16"/>
          <w:color w:val="CC870F"/>
        </w:rPr>
      </w:pPr>
    </w:p>
    <w:p>
      <w:pPr>
        <w:ind w:left="960" w:right="220" w:hanging="185"/>
        <w:spacing w:after="0" w:line="236" w:lineRule="auto"/>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Established eco-efficiency programs throughout Wynn Las Vegas, which have offset over 100,000 metric tons of greenhouse gas emissions. This is the</w:t>
      </w:r>
      <w:r>
        <w:rPr>
          <w:rFonts w:ascii="Arial" w:cs="Arial" w:eastAsia="Arial" w:hAnsi="Arial"/>
          <w:sz w:val="14"/>
          <w:szCs w:val="14"/>
          <w:color w:val="CC870F"/>
        </w:rPr>
        <w:t xml:space="preserve"> </w:t>
      </w:r>
      <w:r>
        <w:rPr>
          <w:rFonts w:ascii="Arial" w:cs="Arial" w:eastAsia="Arial" w:hAnsi="Arial"/>
          <w:sz w:val="14"/>
          <w:szCs w:val="14"/>
          <w:color w:val="262626"/>
        </w:rPr>
        <w:t>equivalent to saving 9.9 million gallons of gasoline.</w:t>
      </w:r>
    </w:p>
    <w:p>
      <w:pPr>
        <w:spacing w:after="0" w:line="1" w:lineRule="exact"/>
        <w:rPr>
          <w:rFonts w:ascii="Arial" w:cs="Arial" w:eastAsia="Arial" w:hAnsi="Arial"/>
          <w:sz w:val="16"/>
          <w:szCs w:val="16"/>
          <w:color w:val="CC870F"/>
        </w:rPr>
      </w:pPr>
    </w:p>
    <w:p>
      <w:pPr>
        <w:ind w:left="960" w:hanging="185"/>
        <w:spacing w:after="0" w:line="243" w:lineRule="auto"/>
        <w:rPr>
          <w:rFonts w:ascii="Arial" w:cs="Arial" w:eastAsia="Arial" w:hAnsi="Arial"/>
          <w:sz w:val="16"/>
          <w:szCs w:val="16"/>
          <w:color w:val="CC870F"/>
        </w:rPr>
      </w:pPr>
      <w:r>
        <w:rPr>
          <w:rFonts w:ascii="Arial" w:cs="Arial" w:eastAsia="Arial" w:hAnsi="Arial"/>
          <w:sz w:val="14"/>
          <w:szCs w:val="14"/>
          <w:color w:val="CC870F"/>
        </w:rPr>
        <w:t xml:space="preserve">– </w:t>
      </w:r>
      <w:r>
        <w:rPr>
          <w:rFonts w:ascii="Arial" w:cs="Arial" w:eastAsia="Arial" w:hAnsi="Arial"/>
          <w:sz w:val="14"/>
          <w:szCs w:val="14"/>
          <w:color w:val="262626"/>
        </w:rPr>
        <w:t>Attributable to an ongoing investment in energy efficient measures, stabilization of energy demand, and equipment upgrades, reduced energy consumption</w:t>
      </w:r>
      <w:r>
        <w:rPr>
          <w:rFonts w:ascii="Arial" w:cs="Arial" w:eastAsia="Arial" w:hAnsi="Arial"/>
          <w:sz w:val="14"/>
          <w:szCs w:val="14"/>
          <w:color w:val="CC870F"/>
        </w:rPr>
        <w:t xml:space="preserve"> </w:t>
      </w:r>
      <w:r>
        <w:rPr>
          <w:rFonts w:ascii="Arial" w:cs="Arial" w:eastAsia="Arial" w:hAnsi="Arial"/>
          <w:sz w:val="14"/>
          <w:szCs w:val="14"/>
          <w:color w:val="262626"/>
        </w:rPr>
        <w:t>per square meter at Wynn Macau by 27% from 2015 through 2017 (which is the last full year for which data is currently available), resulting in the reduction of Wynn Macau’s greenhouse gas emissions by over 13,000 metric 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325755</wp:posOffset>
            </wp:positionV>
            <wp:extent cx="521335" cy="2355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22</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20"/>
          </w:cols>
          <w:pgMar w:left="240" w:top="45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199390</wp:posOffset>
            </wp:positionV>
            <wp:extent cx="5012055" cy="3380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12055" cy="338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Emissions- and waste-reductions programs throughout properties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Energy and water use monitoring programs</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Single stream recycling at Wynn Las Vegas</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23</w:t>
      </w:r>
    </w:p>
    <w:p>
      <w:pPr>
        <w:sectPr>
          <w:pgSz w:w="11900" w:h="16838" w:orient="portrait"/>
          <w:cols w:equalWidth="0" w:num="1">
            <w:col w:w="10800"/>
          </w:cols>
          <w:pgMar w:left="240" w:top="453" w:right="8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7"/>
          <w:szCs w:val="7"/>
          <w:b w:val="1"/>
          <w:bCs w:val="1"/>
          <w:color w:val="262626"/>
        </w:rPr>
        <w:t>B U I L D I N G T H E N E W W Y N N</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Our Executive Officers and certain key management personnel as of March 11, 2019 are as follows:</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179"/>
        </w:trPr>
        <w:tc>
          <w:tcPr>
            <w:tcW w:w="3540" w:type="dxa"/>
            <w:vAlign w:val="bottom"/>
            <w:tcBorders>
              <w:bottom w:val="single" w:sz="8" w:color="A39B8C"/>
            </w:tcBorders>
            <w:shd w:val="clear" w:color="auto" w:fill="A39B8C"/>
          </w:tcPr>
          <w:p>
            <w:pPr>
              <w:ind w:left="120"/>
              <w:spacing w:after="0"/>
              <w:rPr>
                <w:sz w:val="20"/>
                <w:szCs w:val="20"/>
                <w:color w:val="auto"/>
              </w:rPr>
            </w:pPr>
            <w:r>
              <w:rPr>
                <w:rFonts w:ascii="Arial" w:cs="Arial" w:eastAsia="Arial" w:hAnsi="Arial"/>
                <w:sz w:val="9"/>
                <w:szCs w:val="9"/>
                <w:b w:val="1"/>
                <w:bCs w:val="1"/>
                <w:color w:val="FFFFFF"/>
              </w:rPr>
              <w:t>NAME</w:t>
            </w:r>
          </w:p>
        </w:tc>
        <w:tc>
          <w:tcPr>
            <w:tcW w:w="320" w:type="dxa"/>
            <w:vAlign w:val="bottom"/>
            <w:tcBorders>
              <w:bottom w:val="single" w:sz="8" w:color="A39B8C"/>
            </w:tcBorders>
            <w:shd w:val="clear" w:color="auto" w:fill="A39B8C"/>
          </w:tcPr>
          <w:p>
            <w:pPr>
              <w:jc w:val="center"/>
              <w:ind w:left="9"/>
              <w:spacing w:after="0"/>
              <w:rPr>
                <w:sz w:val="20"/>
                <w:szCs w:val="20"/>
                <w:color w:val="auto"/>
              </w:rPr>
            </w:pPr>
            <w:r>
              <w:rPr>
                <w:rFonts w:ascii="Arial" w:cs="Arial" w:eastAsia="Arial" w:hAnsi="Arial"/>
                <w:sz w:val="9"/>
                <w:szCs w:val="9"/>
                <w:b w:val="1"/>
                <w:bCs w:val="1"/>
                <w:color w:val="FFFFFF"/>
                <w:w w:val="92"/>
              </w:rPr>
              <w:t>AGE</w:t>
            </w:r>
          </w:p>
        </w:tc>
        <w:tc>
          <w:tcPr>
            <w:tcW w:w="6000" w:type="dxa"/>
            <w:vAlign w:val="bottom"/>
            <w:tcBorders>
              <w:bottom w:val="single" w:sz="8" w:color="A39B8C"/>
            </w:tcBorders>
            <w:shd w:val="clear" w:color="auto" w:fill="A39B8C"/>
          </w:tcPr>
          <w:p>
            <w:pPr>
              <w:ind w:left="200"/>
              <w:spacing w:after="0"/>
              <w:rPr>
                <w:sz w:val="20"/>
                <w:szCs w:val="20"/>
                <w:color w:val="auto"/>
              </w:rPr>
            </w:pPr>
            <w:r>
              <w:rPr>
                <w:rFonts w:ascii="Arial" w:cs="Arial" w:eastAsia="Arial" w:hAnsi="Arial"/>
                <w:sz w:val="9"/>
                <w:szCs w:val="9"/>
                <w:b w:val="1"/>
                <w:bCs w:val="1"/>
                <w:color w:val="FFFFFF"/>
              </w:rPr>
              <w:t>POSITION</w:t>
            </w:r>
          </w:p>
        </w:tc>
      </w:tr>
      <w:tr>
        <w:trPr>
          <w:trHeight w:val="189"/>
        </w:trPr>
        <w:tc>
          <w:tcPr>
            <w:tcW w:w="3540" w:type="dxa"/>
            <w:vAlign w:val="bottom"/>
          </w:tcPr>
          <w:p>
            <w:pPr>
              <w:ind w:left="120"/>
              <w:spacing w:after="0"/>
              <w:rPr>
                <w:sz w:val="20"/>
                <w:szCs w:val="20"/>
                <w:color w:val="auto"/>
              </w:rPr>
            </w:pPr>
            <w:r>
              <w:rPr>
                <w:rFonts w:ascii="Arial" w:cs="Arial" w:eastAsia="Arial" w:hAnsi="Arial"/>
                <w:sz w:val="11"/>
                <w:szCs w:val="11"/>
                <w:color w:val="262626"/>
              </w:rPr>
              <w:t>Matt Maddox</w:t>
            </w:r>
          </w:p>
        </w:tc>
        <w:tc>
          <w:tcPr>
            <w:tcW w:w="320" w:type="dxa"/>
            <w:vAlign w:val="bottom"/>
          </w:tcPr>
          <w:p>
            <w:pPr>
              <w:jc w:val="center"/>
              <w:spacing w:after="0"/>
              <w:rPr>
                <w:sz w:val="20"/>
                <w:szCs w:val="20"/>
                <w:color w:val="auto"/>
              </w:rPr>
            </w:pPr>
            <w:r>
              <w:rPr>
                <w:rFonts w:ascii="Arial" w:cs="Arial" w:eastAsia="Arial" w:hAnsi="Arial"/>
                <w:sz w:val="11"/>
                <w:szCs w:val="11"/>
                <w:color w:val="262626"/>
                <w:w w:val="97"/>
              </w:rPr>
              <w:t>43</w:t>
            </w:r>
          </w:p>
        </w:tc>
        <w:tc>
          <w:tcPr>
            <w:tcW w:w="6000" w:type="dxa"/>
            <w:vAlign w:val="bottom"/>
          </w:tcPr>
          <w:p>
            <w:pPr>
              <w:ind w:left="200"/>
              <w:spacing w:after="0"/>
              <w:rPr>
                <w:sz w:val="20"/>
                <w:szCs w:val="20"/>
                <w:color w:val="auto"/>
              </w:rPr>
            </w:pPr>
            <w:r>
              <w:rPr>
                <w:rFonts w:ascii="Arial" w:cs="Arial" w:eastAsia="Arial" w:hAnsi="Arial"/>
                <w:sz w:val="11"/>
                <w:szCs w:val="11"/>
                <w:color w:val="262626"/>
              </w:rPr>
              <w:t>Director, Chief Executive Officer and President</w:t>
            </w:r>
          </w:p>
        </w:tc>
      </w:tr>
      <w:tr>
        <w:trPr>
          <w:trHeight w:val="49"/>
        </w:trPr>
        <w:tc>
          <w:tcPr>
            <w:tcW w:w="3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0" w:type="dxa"/>
            <w:vAlign w:val="bottom"/>
          </w:tcPr>
          <w:p>
            <w:pPr>
              <w:spacing w:after="0"/>
              <w:rPr>
                <w:sz w:val="4"/>
                <w:szCs w:val="4"/>
                <w:color w:val="auto"/>
              </w:rPr>
            </w:pPr>
          </w:p>
        </w:tc>
      </w:tr>
      <w:tr>
        <w:trPr>
          <w:trHeight w:val="218"/>
        </w:trPr>
        <w:tc>
          <w:tcPr>
            <w:tcW w:w="354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Craig Billings</w:t>
            </w:r>
          </w:p>
        </w:tc>
        <w:tc>
          <w:tcPr>
            <w:tcW w:w="320" w:type="dxa"/>
            <w:vAlign w:val="bottom"/>
            <w:tcBorders>
              <w:bottom w:val="single" w:sz="8" w:color="ECEBE8"/>
            </w:tcBorders>
            <w:shd w:val="clear" w:color="auto" w:fill="ECEBE8"/>
          </w:tcPr>
          <w:p>
            <w:pPr>
              <w:jc w:val="center"/>
              <w:spacing w:after="0"/>
              <w:rPr>
                <w:sz w:val="20"/>
                <w:szCs w:val="20"/>
                <w:color w:val="auto"/>
              </w:rPr>
            </w:pPr>
            <w:r>
              <w:rPr>
                <w:rFonts w:ascii="Arial" w:cs="Arial" w:eastAsia="Arial" w:hAnsi="Arial"/>
                <w:sz w:val="11"/>
                <w:szCs w:val="11"/>
                <w:color w:val="262626"/>
                <w:w w:val="97"/>
              </w:rPr>
              <w:t>46</w:t>
            </w:r>
          </w:p>
        </w:tc>
        <w:tc>
          <w:tcPr>
            <w:tcW w:w="6000" w:type="dxa"/>
            <w:vAlign w:val="bottom"/>
            <w:tcBorders>
              <w:bottom w:val="single" w:sz="8" w:color="ECEBE8"/>
            </w:tcBorders>
            <w:shd w:val="clear" w:color="auto" w:fill="ECEBE8"/>
          </w:tcPr>
          <w:p>
            <w:pPr>
              <w:ind w:left="200"/>
              <w:spacing w:after="0"/>
              <w:rPr>
                <w:sz w:val="20"/>
                <w:szCs w:val="20"/>
                <w:color w:val="auto"/>
              </w:rPr>
            </w:pPr>
            <w:r>
              <w:rPr>
                <w:rFonts w:ascii="Arial" w:cs="Arial" w:eastAsia="Arial" w:hAnsi="Arial"/>
                <w:sz w:val="11"/>
                <w:szCs w:val="11"/>
                <w:color w:val="262626"/>
              </w:rPr>
              <w:t>Chief Financial Officer and Treasurer</w:t>
            </w:r>
          </w:p>
        </w:tc>
      </w:tr>
      <w:tr>
        <w:trPr>
          <w:trHeight w:val="189"/>
        </w:trPr>
        <w:tc>
          <w:tcPr>
            <w:tcW w:w="3540" w:type="dxa"/>
            <w:vAlign w:val="bottom"/>
          </w:tcPr>
          <w:p>
            <w:pPr>
              <w:ind w:left="120"/>
              <w:spacing w:after="0"/>
              <w:rPr>
                <w:sz w:val="20"/>
                <w:szCs w:val="20"/>
                <w:color w:val="auto"/>
              </w:rPr>
            </w:pPr>
            <w:r>
              <w:rPr>
                <w:rFonts w:ascii="Arial" w:cs="Arial" w:eastAsia="Arial" w:hAnsi="Arial"/>
                <w:sz w:val="11"/>
                <w:szCs w:val="11"/>
                <w:color w:val="262626"/>
              </w:rPr>
              <w:t>Ellen F. Whittemore</w:t>
            </w:r>
          </w:p>
        </w:tc>
        <w:tc>
          <w:tcPr>
            <w:tcW w:w="320" w:type="dxa"/>
            <w:vAlign w:val="bottom"/>
          </w:tcPr>
          <w:p>
            <w:pPr>
              <w:jc w:val="center"/>
              <w:spacing w:after="0"/>
              <w:rPr>
                <w:sz w:val="20"/>
                <w:szCs w:val="20"/>
                <w:color w:val="auto"/>
              </w:rPr>
            </w:pPr>
            <w:r>
              <w:rPr>
                <w:rFonts w:ascii="Arial" w:cs="Arial" w:eastAsia="Arial" w:hAnsi="Arial"/>
                <w:sz w:val="11"/>
                <w:szCs w:val="11"/>
                <w:color w:val="262626"/>
                <w:w w:val="97"/>
              </w:rPr>
              <w:t>62</w:t>
            </w:r>
          </w:p>
        </w:tc>
        <w:tc>
          <w:tcPr>
            <w:tcW w:w="6000" w:type="dxa"/>
            <w:vAlign w:val="bottom"/>
          </w:tcPr>
          <w:p>
            <w:pPr>
              <w:ind w:left="200"/>
              <w:spacing w:after="0"/>
              <w:rPr>
                <w:sz w:val="20"/>
                <w:szCs w:val="20"/>
                <w:color w:val="auto"/>
              </w:rPr>
            </w:pPr>
            <w:r>
              <w:rPr>
                <w:rFonts w:ascii="Arial" w:cs="Arial" w:eastAsia="Arial" w:hAnsi="Arial"/>
                <w:sz w:val="11"/>
                <w:szCs w:val="11"/>
                <w:color w:val="262626"/>
              </w:rPr>
              <w:t>Executive Vice President, General Counsel and Secretary</w:t>
            </w:r>
          </w:p>
        </w:tc>
      </w:tr>
      <w:tr>
        <w:trPr>
          <w:trHeight w:val="49"/>
        </w:trPr>
        <w:tc>
          <w:tcPr>
            <w:tcW w:w="3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0" w:type="dxa"/>
            <w:vAlign w:val="bottom"/>
          </w:tcPr>
          <w:p>
            <w:pPr>
              <w:spacing w:after="0"/>
              <w:rPr>
                <w:sz w:val="4"/>
                <w:szCs w:val="4"/>
                <w:color w:val="auto"/>
              </w:rPr>
            </w:pPr>
          </w:p>
        </w:tc>
      </w:tr>
      <w:tr>
        <w:trPr>
          <w:trHeight w:val="218"/>
        </w:trPr>
        <w:tc>
          <w:tcPr>
            <w:tcW w:w="354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Linda Chen</w:t>
            </w:r>
          </w:p>
        </w:tc>
        <w:tc>
          <w:tcPr>
            <w:tcW w:w="320" w:type="dxa"/>
            <w:vAlign w:val="bottom"/>
            <w:tcBorders>
              <w:bottom w:val="single" w:sz="8" w:color="ECEBE8"/>
            </w:tcBorders>
            <w:shd w:val="clear" w:color="auto" w:fill="ECEBE8"/>
          </w:tcPr>
          <w:p>
            <w:pPr>
              <w:jc w:val="center"/>
              <w:spacing w:after="0"/>
              <w:rPr>
                <w:sz w:val="20"/>
                <w:szCs w:val="20"/>
                <w:color w:val="auto"/>
              </w:rPr>
            </w:pPr>
            <w:r>
              <w:rPr>
                <w:rFonts w:ascii="Arial" w:cs="Arial" w:eastAsia="Arial" w:hAnsi="Arial"/>
                <w:sz w:val="11"/>
                <w:szCs w:val="11"/>
                <w:color w:val="262626"/>
                <w:w w:val="97"/>
              </w:rPr>
              <w:t>52</w:t>
            </w:r>
          </w:p>
        </w:tc>
        <w:tc>
          <w:tcPr>
            <w:tcW w:w="6000" w:type="dxa"/>
            <w:vAlign w:val="bottom"/>
            <w:tcBorders>
              <w:bottom w:val="single" w:sz="8" w:color="ECEBE8"/>
            </w:tcBorders>
            <w:shd w:val="clear" w:color="auto" w:fill="ECEBE8"/>
          </w:tcPr>
          <w:p>
            <w:pPr>
              <w:ind w:left="200"/>
              <w:spacing w:after="0"/>
              <w:rPr>
                <w:sz w:val="20"/>
                <w:szCs w:val="20"/>
                <w:color w:val="auto"/>
              </w:rPr>
            </w:pPr>
            <w:r>
              <w:rPr>
                <w:rFonts w:ascii="Arial" w:cs="Arial" w:eastAsia="Arial" w:hAnsi="Arial"/>
                <w:sz w:val="11"/>
                <w:szCs w:val="11"/>
                <w:color w:val="262626"/>
              </w:rPr>
              <w:t>Vice Chairman and Executive Director—Wynn Macau, Limited</w:t>
            </w:r>
          </w:p>
        </w:tc>
      </w:tr>
      <w:tr>
        <w:trPr>
          <w:trHeight w:val="189"/>
        </w:trPr>
        <w:tc>
          <w:tcPr>
            <w:tcW w:w="3540" w:type="dxa"/>
            <w:vAlign w:val="bottom"/>
          </w:tcPr>
          <w:p>
            <w:pPr>
              <w:ind w:left="120"/>
              <w:spacing w:after="0"/>
              <w:rPr>
                <w:sz w:val="20"/>
                <w:szCs w:val="20"/>
                <w:color w:val="auto"/>
              </w:rPr>
            </w:pPr>
            <w:r>
              <w:rPr>
                <w:rFonts w:ascii="Arial" w:cs="Arial" w:eastAsia="Arial" w:hAnsi="Arial"/>
                <w:sz w:val="11"/>
                <w:szCs w:val="11"/>
                <w:color w:val="262626"/>
              </w:rPr>
              <w:t>Ian Michael Coughlan</w:t>
            </w:r>
          </w:p>
        </w:tc>
        <w:tc>
          <w:tcPr>
            <w:tcW w:w="320" w:type="dxa"/>
            <w:vAlign w:val="bottom"/>
          </w:tcPr>
          <w:p>
            <w:pPr>
              <w:jc w:val="center"/>
              <w:spacing w:after="0"/>
              <w:rPr>
                <w:sz w:val="20"/>
                <w:szCs w:val="20"/>
                <w:color w:val="auto"/>
              </w:rPr>
            </w:pPr>
            <w:r>
              <w:rPr>
                <w:rFonts w:ascii="Arial" w:cs="Arial" w:eastAsia="Arial" w:hAnsi="Arial"/>
                <w:sz w:val="11"/>
                <w:szCs w:val="11"/>
                <w:color w:val="262626"/>
                <w:w w:val="97"/>
              </w:rPr>
              <w:t>59</w:t>
            </w:r>
          </w:p>
        </w:tc>
        <w:tc>
          <w:tcPr>
            <w:tcW w:w="6000" w:type="dxa"/>
            <w:vAlign w:val="bottom"/>
          </w:tcPr>
          <w:p>
            <w:pPr>
              <w:ind w:left="200"/>
              <w:spacing w:after="0"/>
              <w:rPr>
                <w:sz w:val="20"/>
                <w:szCs w:val="20"/>
                <w:color w:val="auto"/>
              </w:rPr>
            </w:pPr>
            <w:r>
              <w:rPr>
                <w:rFonts w:ascii="Arial" w:cs="Arial" w:eastAsia="Arial" w:hAnsi="Arial"/>
                <w:sz w:val="11"/>
                <w:szCs w:val="11"/>
                <w:color w:val="262626"/>
              </w:rPr>
              <w:t>President and Executive Director—Wynn Macau, Limited</w:t>
            </w:r>
          </w:p>
        </w:tc>
      </w:tr>
    </w:tbl>
    <w:p>
      <w:pPr>
        <w:spacing w:after="0" w:line="22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Our executive officers are appointed by the Board and serve at the discretion of the Board, subject to applicable employment agreements.</w:t>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NON-DIRECTOR EXECUTIVE OFFICERS AND KEY MANAGEMENT</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Craig Billings</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137160</wp:posOffset>
            </wp:positionV>
            <wp:extent cx="62566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96" w:lineRule="exact"/>
        <w:rPr>
          <w:sz w:val="20"/>
          <w:szCs w:val="20"/>
          <w:color w:val="auto"/>
        </w:rPr>
      </w:pPr>
    </w:p>
    <w:p>
      <w:pPr>
        <w:ind w:left="780" w:right="280"/>
        <w:spacing w:after="0" w:line="271" w:lineRule="auto"/>
        <w:rPr>
          <w:sz w:val="20"/>
          <w:szCs w:val="20"/>
          <w:color w:val="auto"/>
        </w:rPr>
      </w:pPr>
      <w:r>
        <w:rPr>
          <w:rFonts w:ascii="Arial" w:cs="Arial" w:eastAsia="Arial" w:hAnsi="Arial"/>
          <w:sz w:val="12"/>
          <w:szCs w:val="12"/>
          <w:b w:val="1"/>
          <w:bCs w:val="1"/>
          <w:color w:val="262626"/>
        </w:rPr>
        <w:t xml:space="preserve">Mr. Billings </w:t>
      </w:r>
      <w:r>
        <w:rPr>
          <w:rFonts w:ascii="Arial" w:cs="Arial" w:eastAsia="Arial" w:hAnsi="Arial"/>
          <w:sz w:val="12"/>
          <w:szCs w:val="12"/>
          <w:color w:val="262626"/>
        </w:rPr>
        <w:t>is the Company’s Chief Financial Officer and Treasurer, a position he has held since March 2017. On August 17, 2018, Mr. Billings was appointed a Non-Executive</w:t>
      </w:r>
      <w:r>
        <w:rPr>
          <w:rFonts w:ascii="Arial" w:cs="Arial" w:eastAsia="Arial" w:hAnsi="Arial"/>
          <w:sz w:val="12"/>
          <w:szCs w:val="12"/>
          <w:b w:val="1"/>
          <w:bCs w:val="1"/>
          <w:color w:val="262626"/>
        </w:rPr>
        <w:t xml:space="preserve"> </w:t>
      </w:r>
      <w:r>
        <w:rPr>
          <w:rFonts w:ascii="Arial" w:cs="Arial" w:eastAsia="Arial" w:hAnsi="Arial"/>
          <w:sz w:val="12"/>
          <w:szCs w:val="12"/>
          <w:color w:val="262626"/>
        </w:rPr>
        <w:t>Director of Wynn Macau, Limited, a majority owned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134620</wp:posOffset>
            </wp:positionV>
            <wp:extent cx="6248400" cy="1673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48400" cy="1673860"/>
                    </a:xfrm>
                    <a:prstGeom prst="rect">
                      <a:avLst/>
                    </a:prstGeom>
                    <a:noFill/>
                  </pic:spPr>
                </pic:pic>
              </a:graphicData>
            </a:graphic>
          </wp:anchor>
        </w:drawing>
      </w:r>
    </w:p>
    <w:p>
      <w:pPr>
        <w:sectPr>
          <w:pgSz w:w="11900" w:h="16838" w:orient="portrait"/>
          <w:cols w:equalWidth="0" w:num="1">
            <w:col w:w="10640"/>
          </w:cols>
          <w:pgMar w:left="240" w:top="453" w:right="1019" w:bottom="1440" w:gutter="0" w:footer="0" w:header="0"/>
        </w:sectPr>
      </w:pPr>
    </w:p>
    <w:p>
      <w:pPr>
        <w:spacing w:after="0" w:line="395"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2015 to 2017: Gaming industry independent advisor and investor</w:t>
      </w:r>
    </w:p>
    <w:p>
      <w:pPr>
        <w:spacing w:after="0" w:line="34" w:lineRule="exact"/>
        <w:rPr>
          <w:sz w:val="20"/>
          <w:szCs w:val="20"/>
          <w:color w:val="auto"/>
        </w:rPr>
      </w:pPr>
    </w:p>
    <w:p>
      <w:pPr>
        <w:ind w:left="1300" w:right="38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2012 to 2015: Chief Digital Officer, Strategy &amp; Business Development Managing Director, various roles, Aristocrat</w:t>
      </w:r>
      <w:r>
        <w:rPr>
          <w:rFonts w:ascii="Arial" w:cs="Arial" w:eastAsia="Arial" w:hAnsi="Arial"/>
          <w:sz w:val="12"/>
          <w:szCs w:val="12"/>
          <w:color w:val="CC870F"/>
        </w:rPr>
        <w:t xml:space="preserve"> </w:t>
      </w:r>
      <w:r>
        <w:rPr>
          <w:rFonts w:ascii="Arial" w:cs="Arial" w:eastAsia="Arial" w:hAnsi="Arial"/>
          <w:sz w:val="12"/>
          <w:szCs w:val="12"/>
          <w:color w:val="262626"/>
        </w:rPr>
        <w:t>Leisure Ltd</w:t>
      </w:r>
    </w:p>
    <w:p>
      <w:pPr>
        <w:spacing w:after="0" w:line="20" w:lineRule="exact"/>
        <w:rPr>
          <w:sz w:val="20"/>
          <w:szCs w:val="20"/>
          <w:color w:val="auto"/>
        </w:rPr>
      </w:pPr>
    </w:p>
    <w:p>
      <w:pPr>
        <w:ind w:left="130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Vice President in the Investment Banking Division of Goldman Sachs in both New York and London, covering</w:t>
      </w:r>
      <w:r>
        <w:rPr>
          <w:rFonts w:ascii="Arial" w:cs="Arial" w:eastAsia="Arial" w:hAnsi="Arial"/>
          <w:sz w:val="12"/>
          <w:szCs w:val="12"/>
          <w:color w:val="CC870F"/>
        </w:rPr>
        <w:t xml:space="preserve"> </w:t>
      </w:r>
      <w:r>
        <w:rPr>
          <w:rFonts w:ascii="Arial" w:cs="Arial" w:eastAsia="Arial" w:hAnsi="Arial"/>
          <w:sz w:val="12"/>
          <w:szCs w:val="12"/>
          <w:color w:val="262626"/>
        </w:rPr>
        <w:t>the gaming industry</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Manager in the Audit Division of Deloitte &amp; Touche in Las Vegas, NV</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2015 to 2018: Director and Non-Executive Chairman, NYX Gaming Group (now part of Scientific Games)</w:t>
      </w:r>
    </w:p>
    <w:p>
      <w:pPr>
        <w:spacing w:after="0" w:line="356"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40" w:right="120"/>
        <w:spacing w:after="0" w:line="247" w:lineRule="auto"/>
        <w:rPr>
          <w:sz w:val="20"/>
          <w:szCs w:val="20"/>
          <w:color w:val="auto"/>
        </w:rPr>
      </w:pPr>
      <w:r>
        <w:rPr>
          <w:rFonts w:ascii="Arial" w:cs="Arial" w:eastAsia="Arial" w:hAnsi="Arial"/>
          <w:sz w:val="12"/>
          <w:szCs w:val="12"/>
          <w:color w:val="262626"/>
        </w:rPr>
        <w:t>Mr. Billings graduated with a B.S. (Cum Laude) in Accounting from the University of Nevada, Las Vegas, and received an M.B.A. from Columbia Business School. Mr. Billings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756920</wp:posOffset>
            </wp:positionV>
            <wp:extent cx="521335" cy="235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b w:val="1"/>
          <w:bCs w:val="1"/>
          <w:color w:val="CC870F"/>
        </w:rPr>
        <w:t>Joined Wynn</w:t>
      </w:r>
      <w:r>
        <w:rPr>
          <w:sz w:val="20"/>
          <w:szCs w:val="20"/>
          <w:color w:val="auto"/>
        </w:rPr>
        <w:tab/>
      </w:r>
      <w:r>
        <w:rPr>
          <w:rFonts w:ascii="Arial" w:cs="Arial" w:eastAsia="Arial" w:hAnsi="Arial"/>
          <w:sz w:val="10"/>
          <w:szCs w:val="10"/>
          <w:color w:val="CC870F"/>
        </w:rPr>
        <w:t>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88900</wp:posOffset>
            </wp:positionV>
            <wp:extent cx="1682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spacing w:after="0" w:line="237"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46</w:t>
      </w:r>
    </w:p>
    <w:p>
      <w:pPr>
        <w:spacing w:after="0" w:line="200" w:lineRule="exact"/>
        <w:rPr>
          <w:sz w:val="20"/>
          <w:szCs w:val="20"/>
          <w:color w:val="auto"/>
        </w:rPr>
      </w:pPr>
    </w:p>
    <w:p>
      <w:pPr>
        <w:sectPr>
          <w:pgSz w:w="11900" w:h="16838" w:orient="portrait"/>
          <w:cols w:equalWidth="0" w:num="2">
            <w:col w:w="7860" w:space="220"/>
            <w:col w:w="2560"/>
          </w:cols>
          <w:pgMar w:left="240" w:top="453"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24</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Ellen F. Whittemore</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137160</wp:posOffset>
            </wp:positionV>
            <wp:extent cx="62566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96"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262626"/>
        </w:rPr>
        <w:t xml:space="preserve">Ms. Whittemore </w:t>
      </w:r>
      <w:r>
        <w:rPr>
          <w:rFonts w:ascii="Arial" w:cs="Arial" w:eastAsia="Arial" w:hAnsi="Arial"/>
          <w:sz w:val="12"/>
          <w:szCs w:val="12"/>
          <w:color w:val="262626"/>
        </w:rPr>
        <w:t>is the Company’s Executive Vice President, General Counsel and Secretary, a position she has held since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160655</wp:posOffset>
            </wp:positionV>
            <wp:extent cx="6248400" cy="13627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48400" cy="13627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2016 to 2018: Shareholder of Brownstein Hyatt Farber Schreck LLP</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2014 to 2016: Sole manager of the Whittemore Gaming Group, LLC</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of counsel in the Las Vegas office of the law firm Lionel Sawyer &amp; Collins for more than 20 years</w:t>
      </w:r>
    </w:p>
    <w:p>
      <w:pPr>
        <w:spacing w:after="0" w:line="356"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1140" w:right="3140"/>
        <w:spacing w:after="0" w:line="247" w:lineRule="auto"/>
        <w:rPr>
          <w:sz w:val="20"/>
          <w:szCs w:val="20"/>
          <w:color w:val="auto"/>
        </w:rPr>
      </w:pPr>
      <w:r>
        <w:rPr>
          <w:rFonts w:ascii="Arial" w:cs="Arial" w:eastAsia="Arial" w:hAnsi="Arial"/>
          <w:sz w:val="12"/>
          <w:szCs w:val="12"/>
          <w:color w:val="262626"/>
        </w:rPr>
        <w:t>Ms. Whittemore graduated with a B.A. from the University of Nevada, Reno and received her J.D. from the University of San Diego School of Law. She is admitted to practice before the United States Supreme Court.</w:t>
      </w:r>
    </w:p>
    <w:p>
      <w:pPr>
        <w:spacing w:after="0" w:line="197" w:lineRule="exact"/>
        <w:rPr>
          <w:sz w:val="20"/>
          <w:szCs w:val="20"/>
          <w:color w:val="auto"/>
        </w:rPr>
      </w:pPr>
    </w:p>
    <w:p>
      <w:pPr>
        <w:ind w:left="8080"/>
        <w:spacing w:after="0"/>
        <w:tabs>
          <w:tab w:leader="none" w:pos="9600" w:val="left"/>
        </w:tabs>
        <w:rPr>
          <w:sz w:val="20"/>
          <w:szCs w:val="20"/>
          <w:color w:val="auto"/>
        </w:rPr>
      </w:pPr>
      <w:r>
        <w:rPr>
          <w:rFonts w:ascii="Arial" w:cs="Arial" w:eastAsia="Arial" w:hAnsi="Arial"/>
          <w:sz w:val="11"/>
          <w:szCs w:val="11"/>
          <w:b w:val="1"/>
          <w:bCs w:val="1"/>
          <w:color w:val="CC870F"/>
        </w:rPr>
        <w:t>Joined Wynn</w:t>
      </w:r>
      <w:r>
        <w:rPr>
          <w:sz w:val="20"/>
          <w:szCs w:val="20"/>
          <w:color w:val="auto"/>
        </w:rPr>
        <w:tab/>
      </w:r>
      <w:r>
        <w:rPr>
          <w:rFonts w:ascii="Arial" w:cs="Arial" w:eastAsia="Arial" w:hAnsi="Arial"/>
          <w:sz w:val="10"/>
          <w:szCs w:val="10"/>
          <w:color w:val="CC870F"/>
        </w:rPr>
        <w:t>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64135</wp:posOffset>
            </wp:positionV>
            <wp:extent cx="1682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spacing w:after="0" w:line="171" w:lineRule="exact"/>
        <w:rPr>
          <w:sz w:val="20"/>
          <w:szCs w:val="20"/>
          <w:color w:val="auto"/>
        </w:rPr>
      </w:pPr>
    </w:p>
    <w:p>
      <w:pPr>
        <w:ind w:left="8080"/>
        <w:spacing w:after="0"/>
        <w:tabs>
          <w:tab w:leader="none" w:pos="9600" w:val="left"/>
        </w:tabs>
        <w:rPr>
          <w:sz w:val="20"/>
          <w:szCs w:val="20"/>
          <w:color w:val="auto"/>
        </w:rPr>
      </w:pPr>
      <w:r>
        <w:rPr>
          <w:rFonts w:ascii="Arial" w:cs="Arial" w:eastAsia="Arial" w:hAnsi="Arial"/>
          <w:sz w:val="11"/>
          <w:szCs w:val="11"/>
          <w:b w:val="1"/>
          <w:bCs w:val="1"/>
          <w:color w:val="CC870F"/>
        </w:rPr>
        <w:t>Age</w:t>
      </w:r>
      <w:r>
        <w:rPr>
          <w:sz w:val="20"/>
          <w:szCs w:val="20"/>
          <w:color w:val="auto"/>
        </w:rPr>
        <w:tab/>
      </w:r>
      <w:r>
        <w:rPr>
          <w:rFonts w:ascii="Arial" w:cs="Arial" w:eastAsia="Arial" w:hAnsi="Arial"/>
          <w:sz w:val="11"/>
          <w:szCs w:val="11"/>
          <w:color w:val="CC870F"/>
        </w:rPr>
        <w:t>62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Linda Chen</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Vice Chairman and Executive Director—Wynn Macau, Limited, President—Wynn International Marketing,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right="280"/>
        <w:spacing w:after="0"/>
        <w:rPr>
          <w:sz w:val="20"/>
          <w:szCs w:val="20"/>
          <w:color w:val="auto"/>
        </w:rPr>
      </w:pPr>
      <w:r>
        <w:rPr>
          <w:rFonts w:ascii="Arial" w:cs="Arial" w:eastAsia="Arial" w:hAnsi="Arial"/>
          <w:sz w:val="12"/>
          <w:szCs w:val="12"/>
          <w:b w:val="1"/>
          <w:bCs w:val="1"/>
          <w:color w:val="262626"/>
        </w:rPr>
        <w:t xml:space="preserve">Ms. Chen </w:t>
      </w:r>
      <w:r>
        <w:rPr>
          <w:rFonts w:ascii="Arial" w:cs="Arial" w:eastAsia="Arial" w:hAnsi="Arial"/>
          <w:sz w:val="12"/>
          <w:szCs w:val="12"/>
          <w:color w:val="262626"/>
        </w:rPr>
        <w:t>serves as Vice Chairman and Executive Director of Wynn Macau, Limited and serves as the President of Wynn International Marketing, Limited, a position she has held</w:t>
      </w:r>
      <w:r>
        <w:rPr>
          <w:rFonts w:ascii="Arial" w:cs="Arial" w:eastAsia="Arial" w:hAnsi="Arial"/>
          <w:sz w:val="12"/>
          <w:szCs w:val="12"/>
          <w:b w:val="1"/>
          <w:bCs w:val="1"/>
          <w:color w:val="262626"/>
        </w:rPr>
        <w:t xml:space="preserve"> </w:t>
      </w:r>
      <w:r>
        <w:rPr>
          <w:rFonts w:ascii="Arial" w:cs="Arial" w:eastAsia="Arial" w:hAnsi="Arial"/>
          <w:sz w:val="12"/>
          <w:szCs w:val="12"/>
          <w:color w:val="262626"/>
        </w:rPr>
        <w:t>since January 2005. She has also held the position of President and Executive Director of Wynn Resorts (Macau), S.A. since March 2017, and the position of Chief Operating Officer of Wynn Macau, Limited since 2009. She was appointed to serve as Vice Chairman of the Board of Wynn Macau, Limited in April 2018 and has been an Executive Director of Wynn Macau, Limited since 2009. In addition, Ms. Chen is a member of the Nanjing Committee of the Chinese People’s Political Consultative Conference (Macau). Ms. Chen served on the Board of Directors of Wynn Resorts from 2007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146050</wp:posOffset>
            </wp:positionV>
            <wp:extent cx="6240145" cy="1177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40145" cy="1177290"/>
                    </a:xfrm>
                    <a:prstGeom prst="rect">
                      <a:avLst/>
                    </a:prstGeom>
                    <a:noFill/>
                  </pic:spPr>
                </pic:pic>
              </a:graphicData>
            </a:graphic>
          </wp:anchor>
        </w:drawing>
      </w:r>
    </w:p>
    <w:p>
      <w:pPr>
        <w:spacing w:after="0" w:line="394" w:lineRule="exact"/>
        <w:rPr>
          <w:sz w:val="20"/>
          <w:szCs w:val="20"/>
          <w:color w:val="auto"/>
        </w:rPr>
      </w:pPr>
    </w:p>
    <w:p>
      <w:pPr>
        <w:ind w:left="86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020" w:right="316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2000 to 2002: Executive Vice President, International Marketing, responsible for international marketing for the integrated</w:t>
      </w:r>
      <w:r>
        <w:rPr>
          <w:rFonts w:ascii="Arial" w:cs="Arial" w:eastAsia="Arial" w:hAnsi="Arial"/>
          <w:sz w:val="12"/>
          <w:szCs w:val="12"/>
          <w:color w:val="CC870F"/>
        </w:rPr>
        <w:t xml:space="preserve"> </w:t>
      </w:r>
      <w:r>
        <w:rPr>
          <w:rFonts w:ascii="Arial" w:cs="Arial" w:eastAsia="Arial" w:hAnsi="Arial"/>
          <w:sz w:val="12"/>
          <w:szCs w:val="12"/>
          <w:color w:val="262626"/>
        </w:rPr>
        <w:t>resorts MGM Grand, Bellagio and The Mirage</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Executive Vice President, International Marketing at Bellagio, including opening the resort in 1998</w:t>
      </w:r>
    </w:p>
    <w:p>
      <w:pPr>
        <w:spacing w:after="0" w:line="34" w:lineRule="exact"/>
        <w:rPr>
          <w:sz w:val="20"/>
          <w:szCs w:val="20"/>
          <w:color w:val="auto"/>
        </w:rPr>
      </w:pPr>
    </w:p>
    <w:p>
      <w:pPr>
        <w:ind w:left="86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involved in the opening of the MGM Grand in 1993 and The Mirage in 1989</w:t>
      </w:r>
    </w:p>
    <w:p>
      <w:pPr>
        <w:spacing w:after="0" w:line="356" w:lineRule="exact"/>
        <w:rPr>
          <w:sz w:val="20"/>
          <w:szCs w:val="20"/>
          <w:color w:val="auto"/>
        </w:rPr>
      </w:pPr>
    </w:p>
    <w:p>
      <w:pPr>
        <w:ind w:left="86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2"/>
          <w:szCs w:val="12"/>
          <w:color w:val="262626"/>
        </w:rPr>
        <w:t>Ms. Chen graduated with a B.S. in Hotel Administration from Cornell University.</w:t>
      </w:r>
    </w:p>
    <w:p>
      <w:pPr>
        <w:spacing w:after="0" w:line="171" w:lineRule="exact"/>
        <w:rPr>
          <w:sz w:val="20"/>
          <w:szCs w:val="20"/>
          <w:color w:val="auto"/>
        </w:rPr>
      </w:pPr>
    </w:p>
    <w:tbl>
      <w:tblPr>
        <w:tblLayout w:type="fixed"/>
        <w:tblInd w:w="7960" w:type="dxa"/>
        <w:tblCellMar>
          <w:top w:w="0" w:type="dxa"/>
          <w:left w:w="0" w:type="dxa"/>
          <w:bottom w:w="0" w:type="dxa"/>
          <w:right w:w="0" w:type="dxa"/>
        </w:tblCellMar>
      </w:tblPr>
      <w:tr>
        <w:trPr>
          <w:trHeight w:val="138"/>
        </w:trPr>
        <w:tc>
          <w:tcPr>
            <w:tcW w:w="1300" w:type="dxa"/>
            <w:vAlign w:val="bottom"/>
          </w:tcPr>
          <w:p>
            <w:pPr>
              <w:ind w:left="100"/>
              <w:spacing w:after="0"/>
              <w:rPr>
                <w:sz w:val="20"/>
                <w:szCs w:val="20"/>
                <w:color w:val="auto"/>
              </w:rPr>
            </w:pPr>
            <w:r>
              <w:rPr>
                <w:rFonts w:ascii="Arial" w:cs="Arial" w:eastAsia="Arial" w:hAnsi="Arial"/>
                <w:sz w:val="11"/>
                <w:szCs w:val="11"/>
                <w:b w:val="1"/>
                <w:bCs w:val="1"/>
                <w:color w:val="CC870F"/>
              </w:rPr>
              <w:t>Joined Wynn</w:t>
            </w:r>
          </w:p>
        </w:tc>
        <w:tc>
          <w:tcPr>
            <w:tcW w:w="1540" w:type="dxa"/>
            <w:vAlign w:val="bottom"/>
            <w:gridSpan w:val="2"/>
          </w:tcPr>
          <w:p>
            <w:pPr>
              <w:ind w:left="420"/>
              <w:spacing w:after="0"/>
              <w:rPr>
                <w:sz w:val="20"/>
                <w:szCs w:val="20"/>
                <w:color w:val="auto"/>
              </w:rPr>
            </w:pPr>
            <w:r>
              <w:rPr>
                <w:rFonts w:ascii="Arial" w:cs="Arial" w:eastAsia="Arial" w:hAnsi="Arial"/>
                <w:sz w:val="11"/>
                <w:szCs w:val="11"/>
                <w:b w:val="1"/>
                <w:bCs w:val="1"/>
                <w:color w:val="CC870F"/>
              </w:rPr>
              <w:t>June 2002</w:t>
            </w:r>
          </w:p>
        </w:tc>
      </w:tr>
      <w:tr>
        <w:trPr>
          <w:trHeight w:val="49"/>
        </w:trPr>
        <w:tc>
          <w:tcPr>
            <w:tcW w:w="1300" w:type="dxa"/>
            <w:vAlign w:val="bottom"/>
            <w:tcBorders>
              <w:bottom w:val="single" w:sz="8" w:color="F7F7E5"/>
            </w:tcBorders>
          </w:tcPr>
          <w:p>
            <w:pPr>
              <w:spacing w:after="0"/>
              <w:rPr>
                <w:sz w:val="4"/>
                <w:szCs w:val="4"/>
                <w:color w:val="auto"/>
              </w:rPr>
            </w:pPr>
          </w:p>
        </w:tc>
        <w:tc>
          <w:tcPr>
            <w:tcW w:w="1380" w:type="dxa"/>
            <w:vAlign w:val="bottom"/>
            <w:tcBorders>
              <w:bottom w:val="single" w:sz="8" w:color="F7F7E5"/>
            </w:tcBorders>
          </w:tcPr>
          <w:p>
            <w:pPr>
              <w:spacing w:after="0"/>
              <w:rPr>
                <w:sz w:val="4"/>
                <w:szCs w:val="4"/>
                <w:color w:val="auto"/>
              </w:rPr>
            </w:pPr>
          </w:p>
        </w:tc>
        <w:tc>
          <w:tcPr>
            <w:tcW w:w="160" w:type="dxa"/>
            <w:vAlign w:val="bottom"/>
          </w:tcPr>
          <w:p>
            <w:pPr>
              <w:spacing w:after="0"/>
              <w:rPr>
                <w:sz w:val="4"/>
                <w:szCs w:val="4"/>
                <w:color w:val="auto"/>
              </w:rPr>
            </w:pPr>
          </w:p>
        </w:tc>
      </w:tr>
      <w:tr>
        <w:trPr>
          <w:trHeight w:val="177"/>
        </w:trPr>
        <w:tc>
          <w:tcPr>
            <w:tcW w:w="1300" w:type="dxa"/>
            <w:vAlign w:val="bottom"/>
          </w:tcPr>
          <w:p>
            <w:pPr>
              <w:ind w:left="100"/>
              <w:spacing w:after="0"/>
              <w:rPr>
                <w:sz w:val="20"/>
                <w:szCs w:val="20"/>
                <w:color w:val="auto"/>
              </w:rPr>
            </w:pPr>
            <w:r>
              <w:rPr>
                <w:rFonts w:ascii="Arial" w:cs="Arial" w:eastAsia="Arial" w:hAnsi="Arial"/>
                <w:sz w:val="11"/>
                <w:szCs w:val="11"/>
                <w:b w:val="1"/>
                <w:bCs w:val="1"/>
                <w:color w:val="CC870F"/>
              </w:rPr>
              <w:t>Appointed in Current</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38"/>
        </w:trPr>
        <w:tc>
          <w:tcPr>
            <w:tcW w:w="1300" w:type="dxa"/>
            <w:vAlign w:val="bottom"/>
          </w:tcPr>
          <w:p>
            <w:pPr>
              <w:ind w:left="100"/>
              <w:spacing w:after="0"/>
              <w:rPr>
                <w:sz w:val="20"/>
                <w:szCs w:val="20"/>
                <w:color w:val="auto"/>
              </w:rPr>
            </w:pPr>
            <w:r>
              <w:rPr>
                <w:rFonts w:ascii="Arial" w:cs="Arial" w:eastAsia="Arial" w:hAnsi="Arial"/>
                <w:sz w:val="11"/>
                <w:szCs w:val="11"/>
                <w:b w:val="1"/>
                <w:bCs w:val="1"/>
                <w:color w:val="CC870F"/>
              </w:rPr>
              <w:t>Position</w:t>
            </w:r>
          </w:p>
        </w:tc>
        <w:tc>
          <w:tcPr>
            <w:tcW w:w="1540" w:type="dxa"/>
            <w:vAlign w:val="bottom"/>
            <w:gridSpan w:val="2"/>
          </w:tcPr>
          <w:p>
            <w:pPr>
              <w:ind w:left="420"/>
              <w:spacing w:after="0"/>
              <w:rPr>
                <w:sz w:val="20"/>
                <w:szCs w:val="20"/>
                <w:color w:val="auto"/>
              </w:rPr>
            </w:pPr>
            <w:r>
              <w:rPr>
                <w:rFonts w:ascii="Arial" w:cs="Arial" w:eastAsia="Arial" w:hAnsi="Arial"/>
                <w:sz w:val="11"/>
                <w:szCs w:val="11"/>
                <w:color w:val="CC870F"/>
              </w:rPr>
              <w:t>January 2005</w:t>
            </w:r>
          </w:p>
        </w:tc>
      </w:tr>
      <w:tr>
        <w:trPr>
          <w:trHeight w:val="129"/>
        </w:trPr>
        <w:tc>
          <w:tcPr>
            <w:tcW w:w="1300" w:type="dxa"/>
            <w:vAlign w:val="bottom"/>
            <w:tcBorders>
              <w:bottom w:val="single" w:sz="8" w:color="F7F7E5"/>
            </w:tcBorders>
          </w:tcPr>
          <w:p>
            <w:pPr>
              <w:spacing w:after="0"/>
              <w:rPr>
                <w:sz w:val="11"/>
                <w:szCs w:val="11"/>
                <w:color w:val="auto"/>
              </w:rPr>
            </w:pPr>
          </w:p>
        </w:tc>
        <w:tc>
          <w:tcPr>
            <w:tcW w:w="1380" w:type="dxa"/>
            <w:vAlign w:val="bottom"/>
            <w:tcBorders>
              <w:bottom w:val="single" w:sz="8" w:color="F7F7E5"/>
            </w:tcBorders>
          </w:tcPr>
          <w:p>
            <w:pPr>
              <w:spacing w:after="0"/>
              <w:rPr>
                <w:sz w:val="11"/>
                <w:szCs w:val="11"/>
                <w:color w:val="auto"/>
              </w:rPr>
            </w:pPr>
          </w:p>
        </w:tc>
        <w:tc>
          <w:tcPr>
            <w:tcW w:w="160" w:type="dxa"/>
            <w:vAlign w:val="bottom"/>
          </w:tcPr>
          <w:p>
            <w:pPr>
              <w:spacing w:after="0"/>
              <w:rPr>
                <w:sz w:val="11"/>
                <w:szCs w:val="11"/>
                <w:color w:val="auto"/>
              </w:rPr>
            </w:pPr>
          </w:p>
        </w:tc>
      </w:tr>
      <w:tr>
        <w:trPr>
          <w:trHeight w:val="248"/>
        </w:trPr>
        <w:tc>
          <w:tcPr>
            <w:tcW w:w="1300" w:type="dxa"/>
            <w:vAlign w:val="bottom"/>
          </w:tcPr>
          <w:p>
            <w:pPr>
              <w:ind w:left="100"/>
              <w:spacing w:after="0"/>
              <w:rPr>
                <w:sz w:val="20"/>
                <w:szCs w:val="20"/>
                <w:color w:val="auto"/>
              </w:rPr>
            </w:pPr>
            <w:r>
              <w:rPr>
                <w:rFonts w:ascii="Arial" w:cs="Arial" w:eastAsia="Arial" w:hAnsi="Arial"/>
                <w:sz w:val="11"/>
                <w:szCs w:val="11"/>
                <w:b w:val="1"/>
                <w:bCs w:val="1"/>
                <w:color w:val="CC870F"/>
              </w:rPr>
              <w:t>Age</w:t>
            </w:r>
          </w:p>
        </w:tc>
        <w:tc>
          <w:tcPr>
            <w:tcW w:w="1380" w:type="dxa"/>
            <w:vAlign w:val="bottom"/>
          </w:tcPr>
          <w:p>
            <w:pPr>
              <w:ind w:left="420"/>
              <w:spacing w:after="0"/>
              <w:rPr>
                <w:sz w:val="20"/>
                <w:szCs w:val="20"/>
                <w:color w:val="auto"/>
              </w:rPr>
            </w:pPr>
            <w:r>
              <w:rPr>
                <w:rFonts w:ascii="Arial" w:cs="Arial" w:eastAsia="Arial" w:hAnsi="Arial"/>
                <w:sz w:val="11"/>
                <w:szCs w:val="11"/>
                <w:b w:val="1"/>
                <w:bCs w:val="1"/>
                <w:color w:val="CC870F"/>
              </w:rPr>
              <w:t>52</w:t>
            </w:r>
          </w:p>
        </w:tc>
        <w:tc>
          <w:tcPr>
            <w:tcW w:w="160" w:type="dxa"/>
            <w:vAlign w:val="bottom"/>
          </w:tcPr>
          <w:p>
            <w:pPr>
              <w:spacing w:after="0"/>
              <w:rPr>
                <w:sz w:val="21"/>
                <w:szCs w:val="21"/>
                <w:color w:val="auto"/>
              </w:rPr>
            </w:pPr>
          </w:p>
        </w:tc>
      </w:tr>
      <w:tr>
        <w:trPr>
          <w:trHeight w:val="632"/>
        </w:trPr>
        <w:tc>
          <w:tcPr>
            <w:tcW w:w="130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9"/>
                <w:szCs w:val="9"/>
                <w:b w:val="1"/>
                <w:bCs w:val="1"/>
                <w:color w:val="262626"/>
              </w:rPr>
              <w:t>2019 PROXY STATEMENT  |  25</w:t>
            </w:r>
          </w:p>
        </w:tc>
      </w:tr>
    </w:tbl>
    <w:p>
      <w:pPr>
        <w:sectPr>
          <w:pgSz w:w="11900" w:h="16838" w:orient="portrait"/>
          <w:cols w:equalWidth="0" w:num="1">
            <w:col w:w="10800"/>
          </w:cols>
          <w:pgMar w:left="240" w:top="453" w:right="8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Executive officers</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Ian Michael Coughlan</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050505"/>
        </w:rPr>
        <w:t>President and Executive Director—Wynn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128905</wp:posOffset>
            </wp:positionV>
            <wp:extent cx="6256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83" w:lineRule="exact"/>
        <w:rPr>
          <w:sz w:val="20"/>
          <w:szCs w:val="20"/>
          <w:color w:val="auto"/>
        </w:rPr>
      </w:pPr>
    </w:p>
    <w:p>
      <w:pPr>
        <w:ind w:left="780" w:right="40"/>
        <w:spacing w:after="0" w:line="244" w:lineRule="auto"/>
        <w:rPr>
          <w:sz w:val="20"/>
          <w:szCs w:val="20"/>
          <w:color w:val="auto"/>
        </w:rPr>
      </w:pPr>
      <w:r>
        <w:rPr>
          <w:rFonts w:ascii="Arial" w:cs="Arial" w:eastAsia="Arial" w:hAnsi="Arial"/>
          <w:sz w:val="12"/>
          <w:szCs w:val="12"/>
          <w:b w:val="1"/>
          <w:bCs w:val="1"/>
          <w:color w:val="262626"/>
        </w:rPr>
        <w:t xml:space="preserve">Mr. Coughlan </w:t>
      </w:r>
      <w:r>
        <w:rPr>
          <w:rFonts w:ascii="Arial" w:cs="Arial" w:eastAsia="Arial" w:hAnsi="Arial"/>
          <w:sz w:val="12"/>
          <w:szCs w:val="12"/>
          <w:color w:val="262626"/>
        </w:rPr>
        <w:t>has been the President of Wynn Macau, Limited since September 2016 and oversees all operations and development activities for Wynn Macau and Wynn Palace.</w:t>
      </w:r>
      <w:r>
        <w:rPr>
          <w:rFonts w:ascii="Arial" w:cs="Arial" w:eastAsia="Arial" w:hAnsi="Arial"/>
          <w:sz w:val="12"/>
          <w:szCs w:val="12"/>
          <w:b w:val="1"/>
          <w:bCs w:val="1"/>
          <w:color w:val="262626"/>
        </w:rPr>
        <w:t xml:space="preserve"> </w:t>
      </w:r>
      <w:r>
        <w:rPr>
          <w:rFonts w:ascii="Arial" w:cs="Arial" w:eastAsia="Arial" w:hAnsi="Arial"/>
          <w:sz w:val="12"/>
          <w:szCs w:val="12"/>
          <w:color w:val="262626"/>
        </w:rPr>
        <w:t>Mr. Coughlan is also an Executive Director of Wynn Macau, Limited, a position he has held since Wynn Macau, Limited’s formation in September 2009. He also served as President of Wynn Resorts (Macau), S.A. from July 2007 until March 2017 and relinquished this role after his appointment as President of Wynn Macau, Limited. Mr. Coughlan initially served as Director of Hotel Operations Worldwide for Wynn Resorts during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144145</wp:posOffset>
            </wp:positionV>
            <wp:extent cx="6240145" cy="1244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40145" cy="1244600"/>
                    </a:xfrm>
                    <a:prstGeom prst="rect">
                      <a:avLst/>
                    </a:prstGeom>
                    <a:noFill/>
                  </pic:spPr>
                </pic:pic>
              </a:graphicData>
            </a:graphic>
          </wp:anchor>
        </w:drawing>
      </w:r>
    </w:p>
    <w:p>
      <w:pPr>
        <w:spacing w:after="0" w:line="390" w:lineRule="exact"/>
        <w:rPr>
          <w:sz w:val="20"/>
          <w:szCs w:val="20"/>
          <w:color w:val="auto"/>
        </w:rPr>
      </w:pPr>
    </w:p>
    <w:p>
      <w:pPr>
        <w:ind w:left="1020"/>
        <w:spacing w:after="0"/>
        <w:rPr>
          <w:sz w:val="20"/>
          <w:szCs w:val="20"/>
          <w:color w:val="auto"/>
        </w:rPr>
      </w:pPr>
      <w:r>
        <w:rPr>
          <w:rFonts w:ascii="Arial" w:cs="Arial" w:eastAsia="Arial" w:hAnsi="Arial"/>
          <w:sz w:val="11"/>
          <w:szCs w:val="11"/>
          <w:b w:val="1"/>
          <w:bCs w:val="1"/>
          <w:color w:val="CC870F"/>
        </w:rPr>
        <w:t>PREVIOUS EXPERIENCE</w:t>
      </w:r>
    </w:p>
    <w:p>
      <w:pPr>
        <w:spacing w:after="0" w:line="81" w:lineRule="exact"/>
        <w:rPr>
          <w:sz w:val="20"/>
          <w:szCs w:val="20"/>
          <w:color w:val="auto"/>
        </w:rPr>
      </w:pPr>
    </w:p>
    <w:p>
      <w:pPr>
        <w:ind w:left="102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2004 to 2007: General Manager, The Peninsula Hong Kong</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1999 to 2004: General Manager, The Peninsula Bangkok</w:t>
      </w:r>
    </w:p>
    <w:p>
      <w:pPr>
        <w:spacing w:after="0" w:line="34" w:lineRule="exact"/>
        <w:rPr>
          <w:sz w:val="20"/>
          <w:szCs w:val="20"/>
          <w:color w:val="auto"/>
        </w:rPr>
      </w:pPr>
    </w:p>
    <w:p>
      <w:pPr>
        <w:ind w:left="1180" w:right="2920" w:hanging="159"/>
        <w:spacing w:after="0" w:line="247" w:lineRule="auto"/>
        <w:rPr>
          <w:sz w:val="20"/>
          <w:szCs w:val="20"/>
          <w:color w:val="auto"/>
        </w:rPr>
      </w:pPr>
      <w:r>
        <w:rPr>
          <w:rFonts w:ascii="Arial" w:cs="Arial" w:eastAsia="Arial" w:hAnsi="Arial"/>
          <w:sz w:val="12"/>
          <w:szCs w:val="12"/>
          <w:color w:val="CC870F"/>
        </w:rPr>
        <w:t xml:space="preserve">– </w:t>
      </w:r>
      <w:r>
        <w:rPr>
          <w:rFonts w:ascii="Arial" w:cs="Arial" w:eastAsia="Arial" w:hAnsi="Arial"/>
          <w:sz w:val="12"/>
          <w:szCs w:val="12"/>
          <w:color w:val="262626"/>
        </w:rPr>
        <w:t>Previously held senior management positions with Mandarin Oriental Singapore, and the Ritz-Carlton Hotel Company in</w:t>
      </w:r>
      <w:r>
        <w:rPr>
          <w:rFonts w:ascii="Arial" w:cs="Arial" w:eastAsia="Arial" w:hAnsi="Arial"/>
          <w:sz w:val="12"/>
          <w:szCs w:val="12"/>
          <w:color w:val="CC870F"/>
        </w:rPr>
        <w:t xml:space="preserve"> </w:t>
      </w:r>
      <w:r>
        <w:rPr>
          <w:rFonts w:ascii="Arial" w:cs="Arial" w:eastAsia="Arial" w:hAnsi="Arial"/>
          <w:sz w:val="12"/>
          <w:szCs w:val="12"/>
          <w:color w:val="262626"/>
        </w:rPr>
        <w:t>Hawaii, New York, Palm Springs, and Atlanta</w:t>
      </w:r>
    </w:p>
    <w:p>
      <w:pPr>
        <w:spacing w:after="0" w:line="342" w:lineRule="exact"/>
        <w:rPr>
          <w:sz w:val="20"/>
          <w:szCs w:val="20"/>
          <w:color w:val="auto"/>
        </w:rPr>
      </w:pPr>
    </w:p>
    <w:p>
      <w:pPr>
        <w:ind w:left="1020"/>
        <w:spacing w:after="0"/>
        <w:rPr>
          <w:sz w:val="20"/>
          <w:szCs w:val="20"/>
          <w:color w:val="auto"/>
        </w:rPr>
      </w:pPr>
      <w:r>
        <w:rPr>
          <w:rFonts w:ascii="Arial" w:cs="Arial" w:eastAsia="Arial" w:hAnsi="Arial"/>
          <w:sz w:val="11"/>
          <w:szCs w:val="11"/>
          <w:b w:val="1"/>
          <w:bCs w:val="1"/>
          <w:color w:val="CC870F"/>
        </w:rPr>
        <w:t>EDUCATION</w:t>
      </w:r>
    </w:p>
    <w:p>
      <w:pPr>
        <w:spacing w:after="0" w:line="81" w:lineRule="exact"/>
        <w:rPr>
          <w:sz w:val="20"/>
          <w:szCs w:val="20"/>
          <w:color w:val="auto"/>
        </w:rPr>
      </w:pPr>
    </w:p>
    <w:p>
      <w:pPr>
        <w:jc w:val="center"/>
        <w:ind w:right="2060"/>
        <w:spacing w:after="0"/>
        <w:rPr>
          <w:sz w:val="20"/>
          <w:szCs w:val="20"/>
          <w:color w:val="auto"/>
        </w:rPr>
      </w:pPr>
      <w:r>
        <w:rPr>
          <w:rFonts w:ascii="Arial" w:cs="Arial" w:eastAsia="Arial" w:hAnsi="Arial"/>
          <w:sz w:val="12"/>
          <w:szCs w:val="12"/>
          <w:color w:val="262626"/>
        </w:rPr>
        <w:t>Mr. Coughlan received his Diploma in Hotel Management from Shannon College of Hotel Management, Ireland.</w:t>
      </w:r>
    </w:p>
    <w:p>
      <w:pPr>
        <w:spacing w:after="0" w:line="356" w:lineRule="exact"/>
        <w:rPr>
          <w:sz w:val="20"/>
          <w:szCs w:val="20"/>
          <w:color w:val="auto"/>
        </w:rPr>
      </w:pPr>
    </w:p>
    <w:tbl>
      <w:tblPr>
        <w:tblLayout w:type="fixed"/>
        <w:tblInd w:w="7960" w:type="dxa"/>
        <w:tblCellMar>
          <w:top w:w="0" w:type="dxa"/>
          <w:left w:w="0" w:type="dxa"/>
          <w:bottom w:w="0" w:type="dxa"/>
          <w:right w:w="0" w:type="dxa"/>
        </w:tblCellMar>
      </w:tblPr>
      <w:tr>
        <w:trPr>
          <w:trHeight w:val="138"/>
        </w:trPr>
        <w:tc>
          <w:tcPr>
            <w:tcW w:w="1700" w:type="dxa"/>
            <w:vAlign w:val="bottom"/>
          </w:tcPr>
          <w:p>
            <w:pPr>
              <w:ind w:left="100"/>
              <w:spacing w:after="0"/>
              <w:rPr>
                <w:sz w:val="20"/>
                <w:szCs w:val="20"/>
                <w:color w:val="auto"/>
              </w:rPr>
            </w:pPr>
            <w:r>
              <w:rPr>
                <w:rFonts w:ascii="Arial" w:cs="Arial" w:eastAsia="Arial" w:hAnsi="Arial"/>
                <w:sz w:val="11"/>
                <w:szCs w:val="11"/>
                <w:b w:val="1"/>
                <w:bCs w:val="1"/>
                <w:color w:val="CC870F"/>
              </w:rPr>
              <w:t>Joined Wynn</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CC870F"/>
              </w:rPr>
              <w:t>January 2007</w:t>
            </w:r>
          </w:p>
        </w:tc>
      </w:tr>
      <w:tr>
        <w:trPr>
          <w:trHeight w:val="129"/>
        </w:trPr>
        <w:tc>
          <w:tcPr>
            <w:tcW w:w="1700" w:type="dxa"/>
            <w:vAlign w:val="bottom"/>
            <w:tcBorders>
              <w:bottom w:val="single" w:sz="8" w:color="F7F7E5"/>
            </w:tcBorders>
          </w:tcPr>
          <w:p>
            <w:pPr>
              <w:spacing w:after="0"/>
              <w:rPr>
                <w:sz w:val="11"/>
                <w:szCs w:val="11"/>
                <w:color w:val="auto"/>
              </w:rPr>
            </w:pPr>
          </w:p>
        </w:tc>
        <w:tc>
          <w:tcPr>
            <w:tcW w:w="980" w:type="dxa"/>
            <w:vAlign w:val="bottom"/>
            <w:tcBorders>
              <w:bottom w:val="single" w:sz="8" w:color="F7F7E5"/>
            </w:tcBorders>
          </w:tcPr>
          <w:p>
            <w:pPr>
              <w:spacing w:after="0"/>
              <w:rPr>
                <w:sz w:val="11"/>
                <w:szCs w:val="11"/>
                <w:color w:val="auto"/>
              </w:rPr>
            </w:pPr>
          </w:p>
        </w:tc>
      </w:tr>
      <w:tr>
        <w:trPr>
          <w:trHeight w:val="235"/>
        </w:trPr>
        <w:tc>
          <w:tcPr>
            <w:tcW w:w="1700" w:type="dxa"/>
            <w:vAlign w:val="bottom"/>
          </w:tcPr>
          <w:p>
            <w:pPr>
              <w:ind w:left="100"/>
              <w:spacing w:after="0"/>
              <w:rPr>
                <w:sz w:val="20"/>
                <w:szCs w:val="20"/>
                <w:color w:val="auto"/>
              </w:rPr>
            </w:pPr>
            <w:r>
              <w:rPr>
                <w:rFonts w:ascii="Arial" w:cs="Arial" w:eastAsia="Arial" w:hAnsi="Arial"/>
                <w:sz w:val="11"/>
                <w:szCs w:val="11"/>
                <w:b w:val="1"/>
                <w:bCs w:val="1"/>
                <w:color w:val="CC870F"/>
              </w:rPr>
              <w:t>Appointed in Current Position</w:t>
            </w:r>
          </w:p>
        </w:tc>
        <w:tc>
          <w:tcPr>
            <w:tcW w:w="980" w:type="dxa"/>
            <w:vAlign w:val="bottom"/>
          </w:tcPr>
          <w:p>
            <w:pPr>
              <w:ind w:left="100"/>
              <w:spacing w:after="0"/>
              <w:rPr>
                <w:sz w:val="20"/>
                <w:szCs w:val="20"/>
                <w:color w:val="auto"/>
              </w:rPr>
            </w:pPr>
            <w:r>
              <w:rPr>
                <w:rFonts w:ascii="Arial" w:cs="Arial" w:eastAsia="Arial" w:hAnsi="Arial"/>
                <w:sz w:val="11"/>
                <w:szCs w:val="11"/>
                <w:color w:val="CC870F"/>
              </w:rPr>
              <w:t>September 2016</w:t>
            </w:r>
          </w:p>
        </w:tc>
      </w:tr>
      <w:tr>
        <w:trPr>
          <w:trHeight w:val="129"/>
        </w:trPr>
        <w:tc>
          <w:tcPr>
            <w:tcW w:w="1700" w:type="dxa"/>
            <w:vAlign w:val="bottom"/>
            <w:tcBorders>
              <w:bottom w:val="single" w:sz="8" w:color="F7F7E5"/>
            </w:tcBorders>
          </w:tcPr>
          <w:p>
            <w:pPr>
              <w:spacing w:after="0"/>
              <w:rPr>
                <w:sz w:val="11"/>
                <w:szCs w:val="11"/>
                <w:color w:val="auto"/>
              </w:rPr>
            </w:pPr>
          </w:p>
        </w:tc>
        <w:tc>
          <w:tcPr>
            <w:tcW w:w="980" w:type="dxa"/>
            <w:vAlign w:val="bottom"/>
            <w:tcBorders>
              <w:bottom w:val="single" w:sz="8" w:color="F7F7E5"/>
            </w:tcBorders>
          </w:tcPr>
          <w:p>
            <w:pPr>
              <w:spacing w:after="0"/>
              <w:rPr>
                <w:sz w:val="11"/>
                <w:szCs w:val="11"/>
                <w:color w:val="auto"/>
              </w:rPr>
            </w:pPr>
          </w:p>
        </w:tc>
      </w:tr>
      <w:tr>
        <w:trPr>
          <w:trHeight w:val="235"/>
        </w:trPr>
        <w:tc>
          <w:tcPr>
            <w:tcW w:w="1700" w:type="dxa"/>
            <w:vAlign w:val="bottom"/>
          </w:tcPr>
          <w:p>
            <w:pPr>
              <w:ind w:left="100"/>
              <w:spacing w:after="0"/>
              <w:rPr>
                <w:sz w:val="20"/>
                <w:szCs w:val="20"/>
                <w:color w:val="auto"/>
              </w:rPr>
            </w:pPr>
            <w:r>
              <w:rPr>
                <w:rFonts w:ascii="Arial" w:cs="Arial" w:eastAsia="Arial" w:hAnsi="Arial"/>
                <w:sz w:val="11"/>
                <w:szCs w:val="11"/>
                <w:b w:val="1"/>
                <w:bCs w:val="1"/>
                <w:color w:val="CC870F"/>
              </w:rPr>
              <w:t>Age</w:t>
            </w:r>
          </w:p>
        </w:tc>
        <w:tc>
          <w:tcPr>
            <w:tcW w:w="980" w:type="dxa"/>
            <w:vAlign w:val="bottom"/>
          </w:tcPr>
          <w:p>
            <w:pPr>
              <w:ind w:left="100"/>
              <w:spacing w:after="0"/>
              <w:rPr>
                <w:sz w:val="20"/>
                <w:szCs w:val="20"/>
                <w:color w:val="auto"/>
              </w:rPr>
            </w:pPr>
            <w:r>
              <w:rPr>
                <w:rFonts w:ascii="Arial" w:cs="Arial" w:eastAsia="Arial" w:hAnsi="Arial"/>
                <w:sz w:val="11"/>
                <w:szCs w:val="11"/>
                <w:color w:val="CC870F"/>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418465</wp:posOffset>
            </wp:positionV>
            <wp:extent cx="521335" cy="235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26</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200"/>
        <w:spacing w:after="0" w:line="241" w:lineRule="auto"/>
        <w:rPr>
          <w:sz w:val="20"/>
          <w:szCs w:val="20"/>
          <w:color w:val="auto"/>
        </w:rPr>
      </w:pPr>
      <w:r>
        <w:rPr>
          <w:rFonts w:ascii="Arial" w:cs="Arial" w:eastAsia="Arial" w:hAnsi="Arial"/>
          <w:sz w:val="14"/>
          <w:szCs w:val="14"/>
          <w:color w:val="262626"/>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more than 26,000 employees. Our operations in Las Vegas and Macau (and at Encore Boston Harbor, which is expected to open in June 2019) are designed to attract a wide range of domestic and international customers.</w:t>
      </w:r>
    </w:p>
    <w:p>
      <w:pPr>
        <w:spacing w:after="0" w:line="174" w:lineRule="exact"/>
        <w:rPr>
          <w:sz w:val="20"/>
          <w:szCs w:val="20"/>
          <w:color w:val="auto"/>
        </w:rPr>
      </w:pPr>
    </w:p>
    <w:p>
      <w:pPr>
        <w:ind w:left="780" w:right="880"/>
        <w:spacing w:after="0" w:line="249" w:lineRule="auto"/>
        <w:rPr>
          <w:sz w:val="20"/>
          <w:szCs w:val="20"/>
          <w:color w:val="auto"/>
        </w:rPr>
      </w:pPr>
      <w:r>
        <w:rPr>
          <w:rFonts w:ascii="Arial" w:cs="Arial" w:eastAsia="Arial" w:hAnsi="Arial"/>
          <w:sz w:val="14"/>
          <w:szCs w:val="14"/>
          <w:color w:val="262626"/>
        </w:rPr>
        <w:t>As we continue our transition from a founder-led company, the Compensation Committee aims to transform executive compensation to incorporate best-in-class practices that reward executives and all employees for actions that create long-term shareholder value.</w:t>
      </w:r>
    </w:p>
    <w:p>
      <w:pPr>
        <w:spacing w:after="0" w:line="156" w:lineRule="exact"/>
        <w:rPr>
          <w:sz w:val="20"/>
          <w:szCs w:val="20"/>
          <w:color w:val="auto"/>
        </w:rPr>
      </w:pPr>
    </w:p>
    <w:p>
      <w:pPr>
        <w:ind w:left="780" w:right="520"/>
        <w:spacing w:after="0" w:line="249" w:lineRule="auto"/>
        <w:rPr>
          <w:sz w:val="20"/>
          <w:szCs w:val="20"/>
          <w:color w:val="auto"/>
        </w:rPr>
      </w:pPr>
      <w:r>
        <w:rPr>
          <w:rFonts w:ascii="Arial" w:cs="Arial" w:eastAsia="Arial" w:hAnsi="Arial"/>
          <w:sz w:val="14"/>
          <w:szCs w:val="14"/>
          <w:color w:val="262626"/>
        </w:rPr>
        <w:t>In this compensation discussion and analysis, or CD&amp;A, we describe our philosophy and renewed approach to executive compensation, and discuss the changes we have made to our compensation program based on engagement with our shareholders during 2018.</w:t>
      </w:r>
    </w:p>
    <w:p>
      <w:pPr>
        <w:spacing w:after="0" w:line="156" w:lineRule="exact"/>
        <w:rPr>
          <w:sz w:val="20"/>
          <w:szCs w:val="20"/>
          <w:color w:val="auto"/>
        </w:rPr>
      </w:pPr>
    </w:p>
    <w:p>
      <w:pPr>
        <w:ind w:left="780" w:right="420"/>
        <w:spacing w:after="0" w:line="249" w:lineRule="auto"/>
        <w:rPr>
          <w:sz w:val="20"/>
          <w:szCs w:val="20"/>
          <w:color w:val="auto"/>
        </w:rPr>
      </w:pPr>
      <w:r>
        <w:rPr>
          <w:rFonts w:ascii="Arial" w:cs="Arial" w:eastAsia="Arial" w:hAnsi="Arial"/>
          <w:sz w:val="14"/>
          <w:szCs w:val="14"/>
          <w:color w:val="262626"/>
        </w:rPr>
        <w:t>We understand the importance of executive compensation decisions to our shareholders and that the annual proposal to approve the compensation of our named executive officers gives shareholders the opportunity to evaluate our compensation approach.</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For fiscal 2018, our NEOs were:</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286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w:t>
            </w:r>
          </w:p>
        </w:tc>
        <w:tc>
          <w:tcPr>
            <w:tcW w:w="7000" w:type="dxa"/>
            <w:vAlign w:val="bottom"/>
            <w:tcBorders>
              <w:bottom w:val="single" w:sz="8" w:color="A39B8C"/>
            </w:tcBorders>
            <w:shd w:val="clear" w:color="auto" w:fill="A39B8C"/>
          </w:tcPr>
          <w:p>
            <w:pPr>
              <w:ind w:left="400"/>
              <w:spacing w:after="0"/>
              <w:rPr>
                <w:sz w:val="20"/>
                <w:szCs w:val="20"/>
                <w:color w:val="auto"/>
              </w:rPr>
            </w:pPr>
            <w:r>
              <w:rPr>
                <w:rFonts w:ascii="Arial" w:cs="Arial" w:eastAsia="Arial" w:hAnsi="Arial"/>
                <w:sz w:val="9"/>
                <w:szCs w:val="9"/>
                <w:b w:val="1"/>
                <w:bCs w:val="1"/>
                <w:color w:val="FFFFFF"/>
              </w:rPr>
              <w:t>TITLE</w:t>
            </w:r>
          </w:p>
        </w:tc>
        <w:tc>
          <w:tcPr>
            <w:tcW w:w="20" w:type="dxa"/>
            <w:vAlign w:val="bottom"/>
            <w:tcBorders>
              <w:bottom w:val="single" w:sz="8" w:color="A39B8C"/>
            </w:tcBorders>
            <w:shd w:val="clear" w:color="auto" w:fill="A39B8C"/>
          </w:tcPr>
          <w:p>
            <w:pPr>
              <w:spacing w:after="0"/>
              <w:rPr>
                <w:sz w:val="17"/>
                <w:szCs w:val="17"/>
                <w:color w:val="auto"/>
              </w:rPr>
            </w:pPr>
          </w:p>
        </w:tc>
      </w:tr>
      <w:tr>
        <w:trPr>
          <w:trHeight w:val="189"/>
        </w:trPr>
        <w:tc>
          <w:tcPr>
            <w:tcW w:w="2860" w:type="dxa"/>
            <w:vAlign w:val="bottom"/>
          </w:tcPr>
          <w:p>
            <w:pPr>
              <w:ind w:left="80"/>
              <w:spacing w:after="0"/>
              <w:rPr>
                <w:sz w:val="20"/>
                <w:szCs w:val="20"/>
                <w:color w:val="auto"/>
              </w:rPr>
            </w:pPr>
            <w:r>
              <w:rPr>
                <w:rFonts w:ascii="Arial" w:cs="Arial" w:eastAsia="Arial" w:hAnsi="Arial"/>
                <w:sz w:val="11"/>
                <w:szCs w:val="11"/>
                <w:color w:val="262626"/>
              </w:rPr>
              <w:t>Matt Maddox</w:t>
            </w:r>
          </w:p>
        </w:tc>
        <w:tc>
          <w:tcPr>
            <w:tcW w:w="7000" w:type="dxa"/>
            <w:vAlign w:val="bottom"/>
          </w:tcPr>
          <w:p>
            <w:pPr>
              <w:ind w:left="400"/>
              <w:spacing w:after="0"/>
              <w:rPr>
                <w:sz w:val="20"/>
                <w:szCs w:val="20"/>
                <w:color w:val="auto"/>
              </w:rPr>
            </w:pPr>
            <w:r>
              <w:rPr>
                <w:rFonts w:ascii="Arial" w:cs="Arial" w:eastAsia="Arial" w:hAnsi="Arial"/>
                <w:sz w:val="11"/>
                <w:szCs w:val="11"/>
                <w:color w:val="262626"/>
              </w:rPr>
              <w:t>Chief Executive Officer (as of February 6, 2018) and President</w:t>
            </w:r>
          </w:p>
        </w:tc>
        <w:tc>
          <w:tcPr>
            <w:tcW w:w="20" w:type="dxa"/>
            <w:vAlign w:val="bottom"/>
          </w:tcPr>
          <w:p>
            <w:pPr>
              <w:spacing w:after="0"/>
              <w:rPr>
                <w:sz w:val="16"/>
                <w:szCs w:val="16"/>
                <w:color w:val="auto"/>
              </w:rPr>
            </w:pPr>
          </w:p>
        </w:tc>
      </w:tr>
      <w:tr>
        <w:trPr>
          <w:trHeight w:val="49"/>
        </w:trPr>
        <w:tc>
          <w:tcPr>
            <w:tcW w:w="2860" w:type="dxa"/>
            <w:vAlign w:val="bottom"/>
          </w:tcPr>
          <w:p>
            <w:pPr>
              <w:spacing w:after="0"/>
              <w:rPr>
                <w:sz w:val="4"/>
                <w:szCs w:val="4"/>
                <w:color w:val="auto"/>
              </w:rPr>
            </w:pPr>
          </w:p>
        </w:tc>
        <w:tc>
          <w:tcPr>
            <w:tcW w:w="7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8"/>
        </w:trPr>
        <w:tc>
          <w:tcPr>
            <w:tcW w:w="28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p>
        </w:tc>
        <w:tc>
          <w:tcPr>
            <w:tcW w:w="7000" w:type="dxa"/>
            <w:vAlign w:val="bottom"/>
            <w:tcBorders>
              <w:bottom w:val="single" w:sz="8" w:color="ECEBE8"/>
            </w:tcBorders>
            <w:shd w:val="clear" w:color="auto" w:fill="ECEBE8"/>
          </w:tcPr>
          <w:p>
            <w:pPr>
              <w:ind w:left="400"/>
              <w:spacing w:after="0"/>
              <w:rPr>
                <w:sz w:val="20"/>
                <w:szCs w:val="20"/>
                <w:color w:val="auto"/>
              </w:rPr>
            </w:pPr>
            <w:r>
              <w:rPr>
                <w:rFonts w:ascii="Arial" w:cs="Arial" w:eastAsia="Arial" w:hAnsi="Arial"/>
                <w:sz w:val="11"/>
                <w:szCs w:val="11"/>
                <w:color w:val="262626"/>
              </w:rPr>
              <w:t>Chief Financial Officer and Treasurer</w:t>
            </w:r>
          </w:p>
        </w:tc>
        <w:tc>
          <w:tcPr>
            <w:tcW w:w="20" w:type="dxa"/>
            <w:vAlign w:val="bottom"/>
          </w:tcPr>
          <w:p>
            <w:pPr>
              <w:spacing w:after="0"/>
              <w:rPr>
                <w:sz w:val="18"/>
                <w:szCs w:val="18"/>
                <w:color w:val="auto"/>
              </w:rPr>
            </w:pPr>
          </w:p>
        </w:tc>
      </w:tr>
      <w:tr>
        <w:trPr>
          <w:trHeight w:val="189"/>
        </w:trPr>
        <w:tc>
          <w:tcPr>
            <w:tcW w:w="2860" w:type="dxa"/>
            <w:vAlign w:val="bottom"/>
          </w:tcPr>
          <w:p>
            <w:pPr>
              <w:ind w:left="80"/>
              <w:spacing w:after="0"/>
              <w:rPr>
                <w:sz w:val="20"/>
                <w:szCs w:val="20"/>
                <w:color w:val="auto"/>
              </w:rPr>
            </w:pPr>
            <w:r>
              <w:rPr>
                <w:rFonts w:ascii="Arial" w:cs="Arial" w:eastAsia="Arial" w:hAnsi="Arial"/>
                <w:sz w:val="11"/>
                <w:szCs w:val="11"/>
                <w:color w:val="262626"/>
              </w:rPr>
              <w:t>Ellen Whittemore</w:t>
            </w:r>
          </w:p>
        </w:tc>
        <w:tc>
          <w:tcPr>
            <w:tcW w:w="7000" w:type="dxa"/>
            <w:vAlign w:val="bottom"/>
          </w:tcPr>
          <w:p>
            <w:pPr>
              <w:ind w:left="400"/>
              <w:spacing w:after="0"/>
              <w:rPr>
                <w:sz w:val="20"/>
                <w:szCs w:val="20"/>
                <w:color w:val="auto"/>
              </w:rPr>
            </w:pPr>
            <w:r>
              <w:rPr>
                <w:rFonts w:ascii="Arial" w:cs="Arial" w:eastAsia="Arial" w:hAnsi="Arial"/>
                <w:sz w:val="11"/>
                <w:szCs w:val="11"/>
                <w:color w:val="262626"/>
              </w:rPr>
              <w:t>Executive Vice President, General Counsel and Secretary (as of July 16, 2018)</w:t>
            </w:r>
          </w:p>
        </w:tc>
        <w:tc>
          <w:tcPr>
            <w:tcW w:w="20" w:type="dxa"/>
            <w:vAlign w:val="bottom"/>
          </w:tcPr>
          <w:p>
            <w:pPr>
              <w:spacing w:after="0"/>
              <w:rPr>
                <w:sz w:val="16"/>
                <w:szCs w:val="16"/>
                <w:color w:val="auto"/>
              </w:rPr>
            </w:pPr>
          </w:p>
        </w:tc>
      </w:tr>
      <w:tr>
        <w:trPr>
          <w:trHeight w:val="49"/>
        </w:trPr>
        <w:tc>
          <w:tcPr>
            <w:tcW w:w="2860" w:type="dxa"/>
            <w:vAlign w:val="bottom"/>
          </w:tcPr>
          <w:p>
            <w:pPr>
              <w:spacing w:after="0"/>
              <w:rPr>
                <w:sz w:val="4"/>
                <w:szCs w:val="4"/>
                <w:color w:val="auto"/>
              </w:rPr>
            </w:pPr>
          </w:p>
        </w:tc>
        <w:tc>
          <w:tcPr>
            <w:tcW w:w="7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8"/>
        </w:trPr>
        <w:tc>
          <w:tcPr>
            <w:tcW w:w="28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Stephen A. Wynn</w:t>
            </w:r>
          </w:p>
        </w:tc>
        <w:tc>
          <w:tcPr>
            <w:tcW w:w="7000" w:type="dxa"/>
            <w:vAlign w:val="bottom"/>
            <w:tcBorders>
              <w:bottom w:val="single" w:sz="8" w:color="ECEBE8"/>
            </w:tcBorders>
            <w:shd w:val="clear" w:color="auto" w:fill="ECEBE8"/>
          </w:tcPr>
          <w:p>
            <w:pPr>
              <w:ind w:left="400"/>
              <w:spacing w:after="0"/>
              <w:rPr>
                <w:sz w:val="20"/>
                <w:szCs w:val="20"/>
                <w:color w:val="auto"/>
              </w:rPr>
            </w:pPr>
            <w:r>
              <w:rPr>
                <w:rFonts w:ascii="Arial" w:cs="Arial" w:eastAsia="Arial" w:hAnsi="Arial"/>
                <w:sz w:val="11"/>
                <w:szCs w:val="11"/>
                <w:color w:val="262626"/>
              </w:rPr>
              <w:t>Former Chairman and Chief Executive Officer (until February 6, 2018)</w:t>
            </w:r>
          </w:p>
        </w:tc>
        <w:tc>
          <w:tcPr>
            <w:tcW w:w="20" w:type="dxa"/>
            <w:vAlign w:val="bottom"/>
          </w:tcPr>
          <w:p>
            <w:pPr>
              <w:spacing w:after="0"/>
              <w:rPr>
                <w:sz w:val="18"/>
                <w:szCs w:val="18"/>
                <w:color w:val="auto"/>
              </w:rPr>
            </w:pPr>
          </w:p>
        </w:tc>
      </w:tr>
      <w:tr>
        <w:trPr>
          <w:trHeight w:val="189"/>
        </w:trPr>
        <w:tc>
          <w:tcPr>
            <w:tcW w:w="2860" w:type="dxa"/>
            <w:vAlign w:val="bottom"/>
          </w:tcPr>
          <w:p>
            <w:pPr>
              <w:ind w:left="80"/>
              <w:spacing w:after="0"/>
              <w:rPr>
                <w:sz w:val="20"/>
                <w:szCs w:val="20"/>
                <w:color w:val="auto"/>
              </w:rPr>
            </w:pPr>
            <w:r>
              <w:rPr>
                <w:rFonts w:ascii="Arial" w:cs="Arial" w:eastAsia="Arial" w:hAnsi="Arial"/>
                <w:sz w:val="11"/>
                <w:szCs w:val="11"/>
                <w:color w:val="262626"/>
              </w:rPr>
              <w:t>Kimmarie Sinatra</w:t>
            </w:r>
          </w:p>
        </w:tc>
        <w:tc>
          <w:tcPr>
            <w:tcW w:w="7000" w:type="dxa"/>
            <w:vAlign w:val="bottom"/>
          </w:tcPr>
          <w:p>
            <w:pPr>
              <w:ind w:left="400"/>
              <w:spacing w:after="0"/>
              <w:rPr>
                <w:sz w:val="20"/>
                <w:szCs w:val="20"/>
                <w:color w:val="auto"/>
              </w:rPr>
            </w:pPr>
            <w:r>
              <w:rPr>
                <w:rFonts w:ascii="Arial" w:cs="Arial" w:eastAsia="Arial" w:hAnsi="Arial"/>
                <w:sz w:val="11"/>
                <w:szCs w:val="11"/>
                <w:color w:val="262626"/>
              </w:rPr>
              <w:t>Former Executive Vice President, General Counsel and Secretary (until July 15, 2018)</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-741680</wp:posOffset>
            </wp:positionV>
            <wp:extent cx="825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32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HOW WE SOLICITED AND RESPONDED TO SHAREHOLDER FEEDBACK</w:t>
      </w:r>
    </w:p>
    <w:p>
      <w:pPr>
        <w:spacing w:after="0" w:line="118" w:lineRule="exact"/>
        <w:rPr>
          <w:sz w:val="20"/>
          <w:szCs w:val="20"/>
          <w:color w:val="auto"/>
        </w:rPr>
      </w:pPr>
    </w:p>
    <w:p>
      <w:pPr>
        <w:ind w:left="780" w:right="220"/>
        <w:spacing w:after="0" w:line="249" w:lineRule="auto"/>
        <w:rPr>
          <w:sz w:val="20"/>
          <w:szCs w:val="20"/>
          <w:color w:val="auto"/>
        </w:rPr>
      </w:pPr>
      <w:r>
        <w:rPr>
          <w:rFonts w:ascii="Arial" w:cs="Arial" w:eastAsia="Arial" w:hAnsi="Arial"/>
          <w:sz w:val="14"/>
          <w:szCs w:val="14"/>
          <w:color w:val="262626"/>
        </w:rPr>
        <w:t>In 2018, the Board and Company management sought to meaningfully improve our shareholder engagement efforts, both in terms of frequency and quality of dialogue. The Board remains deeply committed to frequent and robust shareholder engagement.</w:t>
      </w:r>
    </w:p>
    <w:p>
      <w:pPr>
        <w:spacing w:after="0" w:line="156" w:lineRule="exact"/>
        <w:rPr>
          <w:sz w:val="20"/>
          <w:szCs w:val="20"/>
          <w:color w:val="auto"/>
        </w:rPr>
      </w:pPr>
    </w:p>
    <w:p>
      <w:pPr>
        <w:ind w:left="780" w:right="160"/>
        <w:spacing w:after="0" w:line="241" w:lineRule="auto"/>
        <w:rPr>
          <w:sz w:val="20"/>
          <w:szCs w:val="20"/>
          <w:color w:val="auto"/>
        </w:rPr>
      </w:pPr>
      <w:r>
        <w:rPr>
          <w:rFonts w:ascii="Arial" w:cs="Arial" w:eastAsia="Arial" w:hAnsi="Arial"/>
          <w:sz w:val="14"/>
          <w:szCs w:val="14"/>
          <w:color w:val="262626"/>
        </w:rPr>
        <w:t>In early 2018, subsequent to the publication of allegations against our former Chairman and CEO and associated short-term volatility in our share price, we began a shareholder outreach program involving members of the Board and management that was focused on transparency and direct requests for feedback. We continued our extensive shareholder outreach through the 2018 Annual Meeting. Given the ongoing interest and substantive response from shareholders, we subsequently extended these engagement efforts through the remainder of 2018.</w:t>
      </w:r>
    </w:p>
    <w:p>
      <w:pPr>
        <w:spacing w:after="0" w:line="161" w:lineRule="exact"/>
        <w:rPr>
          <w:sz w:val="20"/>
          <w:szCs w:val="20"/>
          <w:color w:val="auto"/>
        </w:rPr>
      </w:pPr>
    </w:p>
    <w:p>
      <w:pPr>
        <w:ind w:left="780" w:right="160"/>
        <w:spacing w:after="0" w:line="243" w:lineRule="auto"/>
        <w:rPr>
          <w:sz w:val="20"/>
          <w:szCs w:val="20"/>
          <w:color w:val="auto"/>
        </w:rPr>
      </w:pPr>
      <w:r>
        <w:rPr>
          <w:rFonts w:ascii="Arial" w:cs="Arial" w:eastAsia="Arial" w:hAnsi="Arial"/>
          <w:sz w:val="14"/>
          <w:szCs w:val="14"/>
          <w:color w:val="262626"/>
        </w:rPr>
        <w:t>Over the course of the year, members of the Board and management engaged with holders of more than 50% of our outstanding shares. The Board performed extensive analysis of shareholder feedback and shareholder voting results, made significant changes to governance and compensation practices in response, then re-engaged with shareholders to provide updates and solicit feedback on the Board and the Company’s transformation efforts.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Prior to the 2018 Annual Meeting, as we noted in our 2018 Proxy Statement, the Board had already taken significant actions, including:</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eliminating excise tax gross-ups to NEOs,</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eliminating outsized change of control payments for the CEO, and</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adding pre-established financial performance conditions to previously-granted time-based equity awards.</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27</w:t>
      </w:r>
    </w:p>
    <w:p>
      <w:pPr>
        <w:sectPr>
          <w:pgSz w:w="11900" w:h="16838" w:orient="portrait"/>
          <w:cols w:equalWidth="0" w:num="1">
            <w:col w:w="10800"/>
          </w:cols>
          <w:pgMar w:left="240" w:top="453" w:right="8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Compensation discussion and analysis</w:t>
      </w:r>
    </w:p>
    <w:p>
      <w:pPr>
        <w:spacing w:after="0" w:line="318" w:lineRule="exact"/>
        <w:rPr>
          <w:sz w:val="20"/>
          <w:szCs w:val="20"/>
          <w:color w:val="auto"/>
        </w:rPr>
      </w:pPr>
    </w:p>
    <w:p>
      <w:pPr>
        <w:ind w:left="780" w:right="440"/>
        <w:spacing w:after="0" w:line="249" w:lineRule="auto"/>
        <w:rPr>
          <w:sz w:val="20"/>
          <w:szCs w:val="20"/>
          <w:color w:val="auto"/>
        </w:rPr>
      </w:pPr>
      <w:r>
        <w:rPr>
          <w:rFonts w:ascii="Arial" w:cs="Arial" w:eastAsia="Arial" w:hAnsi="Arial"/>
          <w:sz w:val="14"/>
          <w:szCs w:val="14"/>
          <w:color w:val="262626"/>
        </w:rPr>
        <w:t>Subsequent to the 2018 Annual Meeting, the Company continued to engage with shareholders. The following table highlights key compensation-related themes shareholders raised in those discussions, and actions taken by the Board in response:</w:t>
      </w:r>
    </w:p>
    <w:p>
      <w:pPr>
        <w:spacing w:after="0" w:line="218"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480" w:type="dxa"/>
            <w:vAlign w:val="bottom"/>
            <w:vMerge w:val="restart"/>
            <w:shd w:val="clear" w:color="auto" w:fill="A39B8C"/>
          </w:tcPr>
          <w:p>
            <w:pPr>
              <w:ind w:left="80"/>
              <w:spacing w:after="0"/>
              <w:rPr>
                <w:sz w:val="20"/>
                <w:szCs w:val="20"/>
                <w:color w:val="auto"/>
              </w:rPr>
            </w:pPr>
            <w:r>
              <w:rPr>
                <w:rFonts w:ascii="Arial" w:cs="Arial" w:eastAsia="Arial" w:hAnsi="Arial"/>
                <w:sz w:val="9"/>
                <w:szCs w:val="9"/>
                <w:b w:val="1"/>
                <w:bCs w:val="1"/>
                <w:color w:val="FFFFFF"/>
              </w:rPr>
              <w:t>FEEDBACK THEMES</w:t>
            </w:r>
          </w:p>
        </w:tc>
        <w:tc>
          <w:tcPr>
            <w:tcW w:w="3620" w:type="dxa"/>
            <w:vAlign w:val="bottom"/>
            <w:gridSpan w:val="3"/>
            <w:vMerge w:val="restart"/>
            <w:shd w:val="clear" w:color="auto" w:fill="A39B8C"/>
          </w:tcPr>
          <w:p>
            <w:pPr>
              <w:ind w:left="80"/>
              <w:spacing w:after="0"/>
              <w:rPr>
                <w:sz w:val="20"/>
                <w:szCs w:val="20"/>
                <w:color w:val="auto"/>
              </w:rPr>
            </w:pPr>
            <w:r>
              <w:rPr>
                <w:rFonts w:ascii="Arial" w:cs="Arial" w:eastAsia="Arial" w:hAnsi="Arial"/>
                <w:sz w:val="9"/>
                <w:szCs w:val="9"/>
                <w:b w:val="1"/>
                <w:bCs w:val="1"/>
                <w:color w:val="FFFFFF"/>
              </w:rPr>
              <w:t>ACTIONS TAKEN IN RESPONSE</w:t>
            </w:r>
          </w:p>
        </w:tc>
        <w:tc>
          <w:tcPr>
            <w:tcW w:w="4140" w:type="dxa"/>
            <w:vAlign w:val="bottom"/>
            <w:gridSpan w:val="3"/>
            <w:vMerge w:val="restart"/>
            <w:shd w:val="clear" w:color="auto" w:fill="A39B8C"/>
          </w:tcPr>
          <w:p>
            <w:pPr>
              <w:ind w:left="100"/>
              <w:spacing w:after="0"/>
              <w:rPr>
                <w:sz w:val="20"/>
                <w:szCs w:val="20"/>
                <w:color w:val="auto"/>
              </w:rPr>
            </w:pPr>
            <w:r>
              <w:rPr>
                <w:rFonts w:ascii="Arial" w:cs="Arial" w:eastAsia="Arial" w:hAnsi="Arial"/>
                <w:sz w:val="9"/>
                <w:szCs w:val="9"/>
                <w:b w:val="1"/>
                <w:bCs w:val="1"/>
                <w:color w:val="FFFFFF"/>
              </w:rPr>
              <w:t>IMPACT OF ACTION</w:t>
            </w:r>
          </w:p>
        </w:tc>
        <w:tc>
          <w:tcPr>
            <w:tcW w:w="620" w:type="dxa"/>
            <w:vAlign w:val="bottom"/>
            <w:shd w:val="clear" w:color="auto" w:fill="A39B8C"/>
          </w:tcPr>
          <w:p>
            <w:pPr>
              <w:ind w:left="40"/>
              <w:spacing w:after="0"/>
              <w:rPr>
                <w:sz w:val="20"/>
                <w:szCs w:val="20"/>
                <w:color w:val="auto"/>
              </w:rPr>
            </w:pPr>
            <w:r>
              <w:rPr>
                <w:rFonts w:ascii="Arial" w:cs="Arial" w:eastAsia="Arial" w:hAnsi="Arial"/>
                <w:sz w:val="9"/>
                <w:szCs w:val="9"/>
                <w:b w:val="1"/>
                <w:bCs w:val="1"/>
                <w:color w:val="FFFFFF"/>
              </w:rPr>
              <w:t>WHEN</w:t>
            </w:r>
          </w:p>
        </w:tc>
        <w:tc>
          <w:tcPr>
            <w:tcW w:w="20" w:type="dxa"/>
            <w:vAlign w:val="bottom"/>
            <w:shd w:val="clear" w:color="auto" w:fill="A39B8C"/>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480" w:type="dxa"/>
            <w:vAlign w:val="bottom"/>
            <w:tcBorders>
              <w:bottom w:val="single" w:sz="8" w:color="A39B8C"/>
            </w:tcBorders>
            <w:vMerge w:val="continue"/>
            <w:shd w:val="clear" w:color="auto" w:fill="A39B8C"/>
          </w:tcPr>
          <w:p>
            <w:pPr>
              <w:spacing w:after="0"/>
              <w:rPr>
                <w:sz w:val="9"/>
                <w:szCs w:val="9"/>
                <w:color w:val="auto"/>
              </w:rPr>
            </w:pPr>
          </w:p>
        </w:tc>
        <w:tc>
          <w:tcPr>
            <w:tcW w:w="3620" w:type="dxa"/>
            <w:vAlign w:val="bottom"/>
            <w:tcBorders>
              <w:bottom w:val="single" w:sz="8" w:color="A39B8C"/>
            </w:tcBorders>
            <w:gridSpan w:val="3"/>
            <w:vMerge w:val="continue"/>
            <w:shd w:val="clear" w:color="auto" w:fill="A39B8C"/>
          </w:tcPr>
          <w:p>
            <w:pPr>
              <w:spacing w:after="0"/>
              <w:rPr>
                <w:sz w:val="9"/>
                <w:szCs w:val="9"/>
                <w:color w:val="auto"/>
              </w:rPr>
            </w:pPr>
          </w:p>
        </w:tc>
        <w:tc>
          <w:tcPr>
            <w:tcW w:w="4140" w:type="dxa"/>
            <w:vAlign w:val="bottom"/>
            <w:tcBorders>
              <w:bottom w:val="single" w:sz="8" w:color="A39B8C"/>
            </w:tcBorders>
            <w:gridSpan w:val="3"/>
            <w:vMerge w:val="continue"/>
            <w:shd w:val="clear" w:color="auto" w:fill="A39B8C"/>
          </w:tcPr>
          <w:p>
            <w:pPr>
              <w:spacing w:after="0"/>
              <w:rPr>
                <w:sz w:val="9"/>
                <w:szCs w:val="9"/>
                <w:color w:val="auto"/>
              </w:rPr>
            </w:pPr>
          </w:p>
        </w:tc>
        <w:tc>
          <w:tcPr>
            <w:tcW w:w="620" w:type="dxa"/>
            <w:vAlign w:val="bottom"/>
            <w:tcBorders>
              <w:bottom w:val="single" w:sz="8" w:color="A39B8C"/>
            </w:tcBorders>
            <w:shd w:val="clear" w:color="auto" w:fill="A39B8C"/>
          </w:tcPr>
          <w:p>
            <w:pPr>
              <w:ind w:left="40"/>
              <w:spacing w:after="0"/>
              <w:rPr>
                <w:sz w:val="20"/>
                <w:szCs w:val="20"/>
                <w:color w:val="auto"/>
              </w:rPr>
            </w:pPr>
            <w:r>
              <w:rPr>
                <w:rFonts w:ascii="Arial" w:cs="Arial" w:eastAsia="Arial" w:hAnsi="Arial"/>
                <w:sz w:val="9"/>
                <w:szCs w:val="9"/>
                <w:b w:val="1"/>
                <w:bCs w:val="1"/>
                <w:color w:val="FFFFFF"/>
              </w:rPr>
              <w:t>EFFECTIVE</w:t>
            </w:r>
          </w:p>
        </w:tc>
        <w:tc>
          <w:tcPr>
            <w:tcW w:w="20" w:type="dxa"/>
            <w:vAlign w:val="bottom"/>
            <w:tcBorders>
              <w:bottom w:val="single" w:sz="8" w:color="A39B8C"/>
            </w:tcBorders>
            <w:shd w:val="clear" w:color="auto" w:fill="A39B8C"/>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CC870F"/>
              </w:rPr>
              <w:t>–</w:t>
            </w:r>
          </w:p>
        </w:tc>
        <w:tc>
          <w:tcPr>
            <w:tcW w:w="3420" w:type="dxa"/>
            <w:vAlign w:val="bottom"/>
          </w:tcPr>
          <w:p>
            <w:pPr>
              <w:ind w:left="40"/>
              <w:spacing w:after="0"/>
              <w:rPr>
                <w:sz w:val="20"/>
                <w:szCs w:val="20"/>
                <w:color w:val="auto"/>
              </w:rPr>
            </w:pPr>
            <w:r>
              <w:rPr>
                <w:rFonts w:ascii="Arial" w:cs="Arial" w:eastAsia="Arial" w:hAnsi="Arial"/>
                <w:sz w:val="11"/>
                <w:szCs w:val="11"/>
                <w:color w:val="262626"/>
              </w:rPr>
              <w:t>Reduce CEO compensation</w:t>
            </w:r>
          </w:p>
        </w:tc>
        <w:tc>
          <w:tcPr>
            <w:tcW w:w="4140" w:type="dxa"/>
            <w:vAlign w:val="bottom"/>
            <w:gridSpan w:val="3"/>
          </w:tcPr>
          <w:p>
            <w:pPr>
              <w:ind w:left="1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Right-size pay while strengthening performance linkage</w:t>
            </w:r>
          </w:p>
        </w:tc>
        <w:tc>
          <w:tcPr>
            <w:tcW w:w="620" w:type="dxa"/>
            <w:vAlign w:val="bottom"/>
            <w:vMerge w:val="restart"/>
          </w:tcPr>
          <w:p>
            <w:pPr>
              <w:ind w:left="40"/>
              <w:spacing w:after="0"/>
              <w:rPr>
                <w:sz w:val="20"/>
                <w:szCs w:val="20"/>
                <w:color w:val="auto"/>
              </w:rPr>
            </w:pPr>
            <w:r>
              <w:rPr>
                <w:rFonts w:ascii="Arial" w:cs="Arial" w:eastAsia="Arial" w:hAnsi="Arial"/>
                <w:sz w:val="11"/>
                <w:szCs w:val="11"/>
                <w:color w:val="262626"/>
              </w:rPr>
              <w:t>2018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480" w:type="dxa"/>
            <w:vAlign w:val="bottom"/>
            <w:vMerge w:val="restart"/>
          </w:tcPr>
          <w:p>
            <w:pPr>
              <w:ind w:left="80"/>
              <w:spacing w:after="0"/>
              <w:rPr>
                <w:sz w:val="20"/>
                <w:szCs w:val="20"/>
                <w:color w:val="auto"/>
              </w:rPr>
            </w:pPr>
            <w:r>
              <w:rPr>
                <w:rFonts w:ascii="Arial" w:cs="Arial" w:eastAsia="Arial" w:hAnsi="Arial"/>
                <w:sz w:val="11"/>
                <w:szCs w:val="11"/>
                <w:color w:val="262626"/>
              </w:rPr>
              <w:t>CEO Pay</w:t>
            </w:r>
          </w:p>
        </w:tc>
        <w:tc>
          <w:tcPr>
            <w:tcW w:w="200" w:type="dxa"/>
            <w:vAlign w:val="bottom"/>
            <w:gridSpan w:val="2"/>
            <w:vMerge w:val="restart"/>
          </w:tcPr>
          <w:p>
            <w:pPr>
              <w:ind w:left="80"/>
              <w:spacing w:after="0"/>
              <w:rPr>
                <w:sz w:val="20"/>
                <w:szCs w:val="20"/>
                <w:color w:val="auto"/>
              </w:rPr>
            </w:pPr>
            <w:r>
              <w:rPr>
                <w:rFonts w:ascii="Arial" w:cs="Arial" w:eastAsia="Arial" w:hAnsi="Arial"/>
                <w:sz w:val="11"/>
                <w:szCs w:val="11"/>
                <w:color w:val="CC870F"/>
              </w:rPr>
              <w:t>–</w:t>
            </w:r>
          </w:p>
        </w:tc>
        <w:tc>
          <w:tcPr>
            <w:tcW w:w="3420" w:type="dxa"/>
            <w:vAlign w:val="bottom"/>
            <w:vMerge w:val="restart"/>
          </w:tcPr>
          <w:p>
            <w:pPr>
              <w:ind w:left="40"/>
              <w:spacing w:after="0"/>
              <w:rPr>
                <w:sz w:val="20"/>
                <w:szCs w:val="20"/>
                <w:color w:val="auto"/>
              </w:rPr>
            </w:pPr>
            <w:r>
              <w:rPr>
                <w:rFonts w:ascii="Arial" w:cs="Arial" w:eastAsia="Arial" w:hAnsi="Arial"/>
                <w:sz w:val="11"/>
                <w:szCs w:val="11"/>
                <w:color w:val="262626"/>
              </w:rPr>
              <w:t>Benchmark total compensation at median of peer group</w:t>
            </w:r>
          </w:p>
        </w:tc>
        <w:tc>
          <w:tcPr>
            <w:tcW w:w="4140" w:type="dxa"/>
            <w:vAlign w:val="bottom"/>
            <w:gridSpan w:val="3"/>
            <w:vMerge w:val="restart"/>
          </w:tcPr>
          <w:p>
            <w:pPr>
              <w:ind w:left="1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Institutes linkage to peer group to right-size pay</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48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3420" w:type="dxa"/>
            <w:vAlign w:val="bottom"/>
            <w:vMerge w:val="continue"/>
          </w:tcPr>
          <w:p>
            <w:pPr>
              <w:spacing w:after="0"/>
              <w:rPr>
                <w:sz w:val="6"/>
                <w:szCs w:val="6"/>
                <w:color w:val="auto"/>
              </w:rPr>
            </w:pPr>
          </w:p>
        </w:tc>
        <w:tc>
          <w:tcPr>
            <w:tcW w:w="4140" w:type="dxa"/>
            <w:vAlign w:val="bottom"/>
            <w:gridSpan w:val="3"/>
            <w:vMerge w:val="continue"/>
          </w:tcPr>
          <w:p>
            <w:pPr>
              <w:spacing w:after="0"/>
              <w:rPr>
                <w:sz w:val="6"/>
                <w:szCs w:val="6"/>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262626"/>
              </w:rPr>
              <w:t>beyond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1"/>
                <w:szCs w:val="11"/>
                <w:color w:val="CC870F"/>
              </w:rPr>
              <w:t>–</w:t>
            </w:r>
          </w:p>
        </w:tc>
        <w:tc>
          <w:tcPr>
            <w:tcW w:w="3420" w:type="dxa"/>
            <w:vAlign w:val="bottom"/>
            <w:vMerge w:val="restart"/>
          </w:tcPr>
          <w:p>
            <w:pPr>
              <w:ind w:left="40"/>
              <w:spacing w:after="0"/>
              <w:rPr>
                <w:sz w:val="20"/>
                <w:szCs w:val="20"/>
                <w:color w:val="auto"/>
              </w:rPr>
            </w:pPr>
            <w:r>
              <w:rPr>
                <w:rFonts w:ascii="Arial" w:cs="Arial" w:eastAsia="Arial" w:hAnsi="Arial"/>
                <w:sz w:val="11"/>
                <w:szCs w:val="11"/>
                <w:color w:val="262626"/>
              </w:rPr>
              <w:t>Eliminate CEO perquisites</w:t>
            </w:r>
          </w:p>
        </w:tc>
        <w:tc>
          <w:tcPr>
            <w:tcW w:w="200" w:type="dxa"/>
            <w:vAlign w:val="bottom"/>
            <w:gridSpan w:val="2"/>
            <w:vMerge w:val="restart"/>
          </w:tcPr>
          <w:p>
            <w:pPr>
              <w:ind w:left="100"/>
              <w:spacing w:after="0"/>
              <w:rPr>
                <w:sz w:val="20"/>
                <w:szCs w:val="20"/>
                <w:color w:val="auto"/>
              </w:rPr>
            </w:pPr>
            <w:r>
              <w:rPr>
                <w:rFonts w:ascii="Arial" w:cs="Arial" w:eastAsia="Arial" w:hAnsi="Arial"/>
                <w:sz w:val="11"/>
                <w:szCs w:val="11"/>
                <w:color w:val="CC870F"/>
              </w:rPr>
              <w:t>–</w:t>
            </w:r>
          </w:p>
        </w:tc>
        <w:tc>
          <w:tcPr>
            <w:tcW w:w="3940" w:type="dxa"/>
            <w:vAlign w:val="bottom"/>
            <w:vMerge w:val="restart"/>
          </w:tcPr>
          <w:p>
            <w:pPr>
              <w:ind w:left="60"/>
              <w:spacing w:after="0"/>
              <w:rPr>
                <w:sz w:val="20"/>
                <w:szCs w:val="20"/>
                <w:color w:val="auto"/>
              </w:rPr>
            </w:pPr>
            <w:r>
              <w:rPr>
                <w:rFonts w:ascii="Arial" w:cs="Arial" w:eastAsia="Arial" w:hAnsi="Arial"/>
                <w:sz w:val="11"/>
                <w:szCs w:val="11"/>
                <w:color w:val="262626"/>
              </w:rPr>
              <w:t>Increases performance-based compensation</w:t>
            </w: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48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342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39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4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ECEBE8"/>
          </w:tcPr>
          <w:p>
            <w:pPr>
              <w:spacing w:after="0"/>
              <w:rPr>
                <w:sz w:val="16"/>
                <w:szCs w:val="16"/>
                <w:color w:val="auto"/>
              </w:rPr>
            </w:pPr>
          </w:p>
        </w:tc>
        <w:tc>
          <w:tcPr>
            <w:tcW w:w="100" w:type="dxa"/>
            <w:vAlign w:val="bottom"/>
            <w:shd w:val="clear" w:color="auto" w:fill="ECEBE8"/>
          </w:tcPr>
          <w:p>
            <w:pPr>
              <w:spacing w:after="0"/>
              <w:rPr>
                <w:sz w:val="16"/>
                <w:szCs w:val="16"/>
                <w:color w:val="auto"/>
              </w:rPr>
            </w:pPr>
          </w:p>
        </w:tc>
        <w:tc>
          <w:tcPr>
            <w:tcW w:w="3520" w:type="dxa"/>
            <w:vAlign w:val="bottom"/>
            <w:gridSpan w:val="2"/>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Eliminate multi-year, cliff-vested “mega grants”</w:t>
            </w:r>
          </w:p>
        </w:tc>
        <w:tc>
          <w:tcPr>
            <w:tcW w:w="4140" w:type="dxa"/>
            <w:vAlign w:val="bottom"/>
            <w:gridSpan w:val="3"/>
            <w:shd w:val="clear" w:color="auto" w:fill="ECEBE8"/>
          </w:tcPr>
          <w:p>
            <w:pPr>
              <w:ind w:left="1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Eliminate potential windfalls and variability of pay across years</w:t>
            </w:r>
          </w:p>
        </w:tc>
        <w:tc>
          <w:tcPr>
            <w:tcW w:w="620" w:type="dxa"/>
            <w:vAlign w:val="bottom"/>
            <w:shd w:val="clear" w:color="auto" w:fill="ECEBE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80" w:type="dxa"/>
            <w:vAlign w:val="bottom"/>
            <w:vMerge w:val="restart"/>
            <w:shd w:val="clear" w:color="auto" w:fill="ECEBE8"/>
          </w:tcPr>
          <w:p>
            <w:pPr>
              <w:ind w:left="80"/>
              <w:spacing w:after="0"/>
              <w:rPr>
                <w:sz w:val="20"/>
                <w:szCs w:val="20"/>
                <w:color w:val="auto"/>
              </w:rPr>
            </w:pPr>
            <w:r>
              <w:rPr>
                <w:rFonts w:ascii="Arial" w:cs="Arial" w:eastAsia="Arial" w:hAnsi="Arial"/>
                <w:sz w:val="11"/>
                <w:szCs w:val="11"/>
                <w:color w:val="262626"/>
              </w:rPr>
              <w:t>Use of Equity</w:t>
            </w:r>
          </w:p>
        </w:tc>
        <w:tc>
          <w:tcPr>
            <w:tcW w:w="100" w:type="dxa"/>
            <w:vAlign w:val="bottom"/>
            <w:shd w:val="clear" w:color="auto" w:fill="ECEBE8"/>
          </w:tcPr>
          <w:p>
            <w:pPr>
              <w:spacing w:after="0"/>
              <w:rPr>
                <w:sz w:val="13"/>
                <w:szCs w:val="13"/>
                <w:color w:val="auto"/>
              </w:rPr>
            </w:pPr>
          </w:p>
        </w:tc>
        <w:tc>
          <w:tcPr>
            <w:tcW w:w="3520" w:type="dxa"/>
            <w:vAlign w:val="bottom"/>
            <w:gridSpan w:val="2"/>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Institute regular performance-based awards</w:t>
            </w:r>
          </w:p>
        </w:tc>
        <w:tc>
          <w:tcPr>
            <w:tcW w:w="4140" w:type="dxa"/>
            <w:vAlign w:val="bottom"/>
            <w:gridSpan w:val="3"/>
            <w:shd w:val="clear" w:color="auto" w:fill="ECEBE8"/>
          </w:tcPr>
          <w:p>
            <w:pPr>
              <w:ind w:left="1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Continuously incentivize actions that create long-term shareholder value</w:t>
            </w:r>
          </w:p>
        </w:tc>
        <w:tc>
          <w:tcPr>
            <w:tcW w:w="620" w:type="dxa"/>
            <w:vAlign w:val="bottom"/>
            <w:shd w:val="clear" w:color="auto" w:fill="ECEBE8"/>
          </w:tcPr>
          <w:p>
            <w:pPr>
              <w:ind w:left="40"/>
              <w:spacing w:after="0"/>
              <w:rPr>
                <w:sz w:val="20"/>
                <w:szCs w:val="20"/>
                <w:color w:val="auto"/>
              </w:rPr>
            </w:pPr>
            <w:r>
              <w:rPr>
                <w:rFonts w:ascii="Arial" w:cs="Arial" w:eastAsia="Arial" w:hAnsi="Arial"/>
                <w:sz w:val="11"/>
                <w:szCs w:val="11"/>
                <w:color w:val="262626"/>
              </w:rPr>
              <w:t>2019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480" w:type="dxa"/>
            <w:vAlign w:val="bottom"/>
            <w:vMerge w:val="continue"/>
            <w:shd w:val="clear" w:color="auto" w:fill="ECEBE8"/>
          </w:tcPr>
          <w:p>
            <w:pPr>
              <w:spacing w:after="0"/>
              <w:rPr>
                <w:sz w:val="5"/>
                <w:szCs w:val="5"/>
                <w:color w:val="auto"/>
              </w:rPr>
            </w:pPr>
          </w:p>
        </w:tc>
        <w:tc>
          <w:tcPr>
            <w:tcW w:w="100" w:type="dxa"/>
            <w:vAlign w:val="bottom"/>
            <w:shd w:val="clear" w:color="auto" w:fill="ECEBE8"/>
          </w:tcPr>
          <w:p>
            <w:pPr>
              <w:spacing w:after="0"/>
              <w:rPr>
                <w:sz w:val="5"/>
                <w:szCs w:val="5"/>
                <w:color w:val="auto"/>
              </w:rPr>
            </w:pPr>
          </w:p>
        </w:tc>
        <w:tc>
          <w:tcPr>
            <w:tcW w:w="3520" w:type="dxa"/>
            <w:vAlign w:val="bottom"/>
            <w:gridSpan w:val="2"/>
            <w:vMerge w:val="restart"/>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Extend equity to line-level management</w:t>
            </w:r>
          </w:p>
        </w:tc>
        <w:tc>
          <w:tcPr>
            <w:tcW w:w="100" w:type="dxa"/>
            <w:vAlign w:val="bottom"/>
            <w:shd w:val="clear" w:color="auto" w:fill="ECEBE8"/>
          </w:tcPr>
          <w:p>
            <w:pPr>
              <w:spacing w:after="0"/>
              <w:rPr>
                <w:sz w:val="5"/>
                <w:szCs w:val="5"/>
                <w:color w:val="auto"/>
              </w:rPr>
            </w:pPr>
          </w:p>
        </w:tc>
        <w:tc>
          <w:tcPr>
            <w:tcW w:w="4040" w:type="dxa"/>
            <w:vAlign w:val="bottom"/>
            <w:gridSpan w:val="2"/>
            <w:vMerge w:val="restart"/>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Introduce broad-base ownership and accountability</w:t>
            </w:r>
          </w:p>
        </w:tc>
        <w:tc>
          <w:tcPr>
            <w:tcW w:w="620" w:type="dxa"/>
            <w:vAlign w:val="bottom"/>
            <w:vMerge w:val="restart"/>
            <w:shd w:val="clear" w:color="auto" w:fill="ECEBE8"/>
          </w:tcPr>
          <w:p>
            <w:pPr>
              <w:ind w:left="40"/>
              <w:spacing w:after="0"/>
              <w:rPr>
                <w:sz w:val="20"/>
                <w:szCs w:val="20"/>
                <w:color w:val="auto"/>
              </w:rPr>
            </w:pPr>
            <w:r>
              <w:rPr>
                <w:rFonts w:ascii="Arial" w:cs="Arial" w:eastAsia="Arial" w:hAnsi="Arial"/>
                <w:sz w:val="11"/>
                <w:szCs w:val="11"/>
                <w:color w:val="262626"/>
              </w:rPr>
              <w:t>beyond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480" w:type="dxa"/>
            <w:vAlign w:val="bottom"/>
            <w:shd w:val="clear" w:color="auto" w:fill="ECEBE8"/>
          </w:tcPr>
          <w:p>
            <w:pPr>
              <w:spacing w:after="0"/>
              <w:rPr>
                <w:sz w:val="6"/>
                <w:szCs w:val="6"/>
                <w:color w:val="auto"/>
              </w:rPr>
            </w:pPr>
          </w:p>
        </w:tc>
        <w:tc>
          <w:tcPr>
            <w:tcW w:w="100" w:type="dxa"/>
            <w:vAlign w:val="bottom"/>
            <w:shd w:val="clear" w:color="auto" w:fill="ECEBE8"/>
          </w:tcPr>
          <w:p>
            <w:pPr>
              <w:spacing w:after="0"/>
              <w:rPr>
                <w:sz w:val="6"/>
                <w:szCs w:val="6"/>
                <w:color w:val="auto"/>
              </w:rPr>
            </w:pPr>
          </w:p>
        </w:tc>
        <w:tc>
          <w:tcPr>
            <w:tcW w:w="3520" w:type="dxa"/>
            <w:vAlign w:val="bottom"/>
            <w:gridSpan w:val="2"/>
            <w:vMerge w:val="continue"/>
            <w:shd w:val="clear" w:color="auto" w:fill="ECEBE8"/>
          </w:tcPr>
          <w:p>
            <w:pPr>
              <w:spacing w:after="0"/>
              <w:rPr>
                <w:sz w:val="6"/>
                <w:szCs w:val="6"/>
                <w:color w:val="auto"/>
              </w:rPr>
            </w:pPr>
          </w:p>
        </w:tc>
        <w:tc>
          <w:tcPr>
            <w:tcW w:w="100" w:type="dxa"/>
            <w:vAlign w:val="bottom"/>
            <w:shd w:val="clear" w:color="auto" w:fill="ECEBE8"/>
          </w:tcPr>
          <w:p>
            <w:pPr>
              <w:spacing w:after="0"/>
              <w:rPr>
                <w:sz w:val="6"/>
                <w:szCs w:val="6"/>
                <w:color w:val="auto"/>
              </w:rPr>
            </w:pPr>
          </w:p>
        </w:tc>
        <w:tc>
          <w:tcPr>
            <w:tcW w:w="4040" w:type="dxa"/>
            <w:vAlign w:val="bottom"/>
            <w:gridSpan w:val="2"/>
            <w:vMerge w:val="continue"/>
            <w:shd w:val="clear" w:color="auto" w:fill="ECEBE8"/>
          </w:tcPr>
          <w:p>
            <w:pPr>
              <w:spacing w:after="0"/>
              <w:rPr>
                <w:sz w:val="6"/>
                <w:szCs w:val="6"/>
                <w:color w:val="auto"/>
              </w:rPr>
            </w:pPr>
          </w:p>
        </w:tc>
        <w:tc>
          <w:tcPr>
            <w:tcW w:w="620" w:type="dxa"/>
            <w:vAlign w:val="bottom"/>
            <w:vMerge w:val="continue"/>
            <w:shd w:val="clear" w:color="auto" w:fill="ECEBE8"/>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480" w:type="dxa"/>
            <w:vAlign w:val="bottom"/>
            <w:tcBorders>
              <w:bottom w:val="single" w:sz="8" w:color="ECEBE8"/>
            </w:tcBorders>
            <w:shd w:val="clear" w:color="auto" w:fill="ECEBE8"/>
          </w:tcPr>
          <w:p>
            <w:pPr>
              <w:spacing w:after="0"/>
              <w:rPr>
                <w:sz w:val="16"/>
                <w:szCs w:val="16"/>
                <w:color w:val="auto"/>
              </w:rPr>
            </w:pPr>
          </w:p>
        </w:tc>
        <w:tc>
          <w:tcPr>
            <w:tcW w:w="100" w:type="dxa"/>
            <w:vAlign w:val="bottom"/>
            <w:tcBorders>
              <w:bottom w:val="single" w:sz="8" w:color="ECEBE8"/>
            </w:tcBorders>
            <w:shd w:val="clear" w:color="auto" w:fill="ECEBE8"/>
          </w:tcPr>
          <w:p>
            <w:pPr>
              <w:spacing w:after="0"/>
              <w:rPr>
                <w:sz w:val="16"/>
                <w:szCs w:val="16"/>
                <w:color w:val="auto"/>
              </w:rPr>
            </w:pPr>
          </w:p>
        </w:tc>
        <w:tc>
          <w:tcPr>
            <w:tcW w:w="3520" w:type="dxa"/>
            <w:vAlign w:val="bottom"/>
            <w:tcBorders>
              <w:bottom w:val="single" w:sz="8" w:color="ECEBE8"/>
            </w:tcBorders>
            <w:gridSpan w:val="2"/>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Eliminate annual performance periods for equity</w:t>
            </w:r>
          </w:p>
        </w:tc>
        <w:tc>
          <w:tcPr>
            <w:tcW w:w="100" w:type="dxa"/>
            <w:vAlign w:val="bottom"/>
            <w:tcBorders>
              <w:bottom w:val="single" w:sz="8" w:color="ECEBE8"/>
            </w:tcBorders>
            <w:shd w:val="clear" w:color="auto" w:fill="ECEBE8"/>
          </w:tcPr>
          <w:p>
            <w:pPr>
              <w:spacing w:after="0"/>
              <w:rPr>
                <w:sz w:val="16"/>
                <w:szCs w:val="16"/>
                <w:color w:val="auto"/>
              </w:rPr>
            </w:pPr>
          </w:p>
        </w:tc>
        <w:tc>
          <w:tcPr>
            <w:tcW w:w="4040" w:type="dxa"/>
            <w:vAlign w:val="bottom"/>
            <w:tcBorders>
              <w:bottom w:val="single" w:sz="8" w:color="ECEBE8"/>
            </w:tcBorders>
            <w:gridSpan w:val="2"/>
            <w:shd w:val="clear" w:color="auto" w:fill="ECEBE8"/>
          </w:tcPr>
          <w:p>
            <w:pPr>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Ensure vesting of performance awards rewards long-term performance</w:t>
            </w:r>
          </w:p>
        </w:tc>
        <w:tc>
          <w:tcPr>
            <w:tcW w:w="620" w:type="dxa"/>
            <w:vAlign w:val="bottom"/>
            <w:tcBorders>
              <w:bottom w:val="single" w:sz="8" w:color="ECEBE8"/>
            </w:tcBorders>
            <w:shd w:val="clear" w:color="auto" w:fill="ECEBE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80" w:type="dxa"/>
            <w:vAlign w:val="bottom"/>
            <w:vMerge w:val="restart"/>
          </w:tcPr>
          <w:p>
            <w:pPr>
              <w:ind w:left="80"/>
              <w:spacing w:after="0"/>
              <w:rPr>
                <w:sz w:val="20"/>
                <w:szCs w:val="20"/>
                <w:color w:val="auto"/>
              </w:rPr>
            </w:pPr>
            <w:r>
              <w:rPr>
                <w:rFonts w:ascii="Arial" w:cs="Arial" w:eastAsia="Arial" w:hAnsi="Arial"/>
                <w:sz w:val="11"/>
                <w:szCs w:val="11"/>
                <w:color w:val="262626"/>
              </w:rPr>
              <w:t>At Risk Compensation</w:t>
            </w:r>
          </w:p>
        </w:tc>
        <w:tc>
          <w:tcPr>
            <w:tcW w:w="3620" w:type="dxa"/>
            <w:vAlign w:val="bottom"/>
            <w:gridSpan w:val="3"/>
          </w:tcPr>
          <w:p>
            <w:pPr>
              <w:ind w:left="8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Implement plans in which the majority of NEOs’ pay is “at risk.”</w:t>
            </w:r>
          </w:p>
        </w:tc>
        <w:tc>
          <w:tcPr>
            <w:tcW w:w="200" w:type="dxa"/>
            <w:vAlign w:val="bottom"/>
            <w:gridSpan w:val="2"/>
          </w:tcPr>
          <w:p>
            <w:pPr>
              <w:ind w:left="100"/>
              <w:spacing w:after="0"/>
              <w:rPr>
                <w:sz w:val="20"/>
                <w:szCs w:val="20"/>
                <w:color w:val="auto"/>
              </w:rPr>
            </w:pPr>
            <w:r>
              <w:rPr>
                <w:rFonts w:ascii="Arial" w:cs="Arial" w:eastAsia="Arial" w:hAnsi="Arial"/>
                <w:sz w:val="11"/>
                <w:szCs w:val="11"/>
                <w:color w:val="CC870F"/>
              </w:rPr>
              <w:t>–</w:t>
            </w:r>
          </w:p>
        </w:tc>
        <w:tc>
          <w:tcPr>
            <w:tcW w:w="4560" w:type="dxa"/>
            <w:vAlign w:val="bottom"/>
            <w:gridSpan w:val="2"/>
          </w:tcPr>
          <w:p>
            <w:pPr>
              <w:ind w:left="60"/>
              <w:spacing w:after="0"/>
              <w:rPr>
                <w:sz w:val="20"/>
                <w:szCs w:val="20"/>
                <w:color w:val="auto"/>
              </w:rPr>
            </w:pPr>
            <w:r>
              <w:rPr>
                <w:rFonts w:ascii="Arial" w:cs="Arial" w:eastAsia="Arial" w:hAnsi="Arial"/>
                <w:sz w:val="11"/>
                <w:szCs w:val="11"/>
                <w:color w:val="262626"/>
                <w:w w:val="99"/>
              </w:rPr>
              <w:t>For 2018, approximately 85% of our CEO’s total compensation was at risk and tied 2018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40" w:type="dxa"/>
            <w:vAlign w:val="bottom"/>
            <w:vMerge w:val="restart"/>
          </w:tcPr>
          <w:p>
            <w:pPr>
              <w:ind w:left="60"/>
              <w:spacing w:after="0"/>
              <w:rPr>
                <w:sz w:val="20"/>
                <w:szCs w:val="20"/>
                <w:color w:val="auto"/>
              </w:rPr>
            </w:pPr>
            <w:r>
              <w:rPr>
                <w:rFonts w:ascii="Arial" w:cs="Arial" w:eastAsia="Arial" w:hAnsi="Arial"/>
                <w:sz w:val="11"/>
                <w:szCs w:val="11"/>
                <w:color w:val="262626"/>
              </w:rPr>
              <w:t>to the achievement of three performance goals</w:t>
            </w:r>
          </w:p>
        </w:tc>
        <w:tc>
          <w:tcPr>
            <w:tcW w:w="620" w:type="dxa"/>
            <w:vAlign w:val="bottom"/>
            <w:vMerge w:val="restart"/>
          </w:tcPr>
          <w:p>
            <w:pPr>
              <w:ind w:left="40"/>
              <w:spacing w:after="0"/>
              <w:rPr>
                <w:sz w:val="20"/>
                <w:szCs w:val="20"/>
                <w:color w:val="auto"/>
              </w:rPr>
            </w:pPr>
            <w:r>
              <w:rPr>
                <w:rFonts w:ascii="Arial" w:cs="Arial" w:eastAsia="Arial" w:hAnsi="Arial"/>
                <w:sz w:val="11"/>
                <w:szCs w:val="11"/>
                <w:color w:val="262626"/>
              </w:rPr>
              <w:t>beyond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IMPACT ON 2018 CEO COMPENSATION</w:t>
      </w:r>
    </w:p>
    <w:p>
      <w:pPr>
        <w:spacing w:after="0" w:line="85" w:lineRule="exact"/>
        <w:rPr>
          <w:sz w:val="20"/>
          <w:szCs w:val="20"/>
          <w:color w:val="auto"/>
        </w:rPr>
      </w:pPr>
    </w:p>
    <w:p>
      <w:pPr>
        <w:ind w:left="780" w:right="360"/>
        <w:spacing w:after="0" w:line="243" w:lineRule="auto"/>
        <w:rPr>
          <w:sz w:val="20"/>
          <w:szCs w:val="20"/>
          <w:color w:val="auto"/>
        </w:rPr>
      </w:pPr>
      <w:r>
        <w:rPr>
          <w:rFonts w:ascii="Arial" w:cs="Arial" w:eastAsia="Arial" w:hAnsi="Arial"/>
          <w:sz w:val="14"/>
          <w:szCs w:val="14"/>
          <w:color w:val="262626"/>
        </w:rPr>
        <w:t>Certain of the changes outlined above occurred in 2018 and, as a direct result, CEO compensation decreased by 50% year-over-year when compared to 2017. However, certain of the changes outlined above were not implemented until early 2019 and thus we expect the impact of these changes on NEO compensation to become increasingly clear in future proxy statements when legacy practices and legacy executives are no longer included in our CD&amp;A.</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ADDITIONAL GOVERNANCE AND COMPENSATION UPDATES</w:t>
      </w:r>
    </w:p>
    <w:p>
      <w:pPr>
        <w:spacing w:after="0" w:line="85" w:lineRule="exact"/>
        <w:rPr>
          <w:sz w:val="20"/>
          <w:szCs w:val="20"/>
          <w:color w:val="auto"/>
        </w:rPr>
      </w:pPr>
    </w:p>
    <w:p>
      <w:pPr>
        <w:jc w:val="both"/>
        <w:ind w:left="780" w:right="120"/>
        <w:spacing w:after="0" w:line="243" w:lineRule="auto"/>
        <w:rPr>
          <w:sz w:val="20"/>
          <w:szCs w:val="20"/>
          <w:color w:val="auto"/>
        </w:rPr>
      </w:pPr>
      <w:r>
        <w:rPr>
          <w:rFonts w:ascii="Arial" w:cs="Arial" w:eastAsia="Arial" w:hAnsi="Arial"/>
          <w:sz w:val="14"/>
          <w:szCs w:val="14"/>
          <w:color w:val="262626"/>
        </w:rPr>
        <w:t>We have made additional important updates to our pay plans and corporate governance documents and policies based on our changing needs and the input we have received from engagements with our shareholders. Each change supports our business model and better aligns our executives’ compensation with our performance goals. These changes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123825</wp:posOffset>
            </wp:positionV>
            <wp:extent cx="6265545" cy="176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65545" cy="176530"/>
                    </a:xfrm>
                    <a:prstGeom prst="rect">
                      <a:avLst/>
                    </a:prstGeom>
                    <a:noFill/>
                  </pic:spPr>
                </pic:pic>
              </a:graphicData>
            </a:graphic>
          </wp:anchor>
        </w:drawing>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9"/>
          <w:szCs w:val="9"/>
          <w:b w:val="1"/>
          <w:bCs w:val="1"/>
          <w:color w:val="FFFFFF"/>
        </w:rPr>
        <w:t>EXECUTIVE COMPENSATION</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Creating multiple metrics for our annual incentive programs, consistent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6256655" cy="151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56655" cy="151130"/>
                    </a:xfrm>
                    <a:prstGeom prst="rect">
                      <a:avLst/>
                    </a:prstGeom>
                    <a:noFill/>
                  </pic:spPr>
                </pic:pic>
              </a:graphicData>
            </a:graphic>
          </wp:anchor>
        </w:drawing>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Increasing previously set Minimum Adjusted Property EBITDA targets by 55% for 2018 performance awards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Shifting payments of annual incentive bonuses from all cash to 50%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6256655"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56655" cy="151130"/>
                    </a:xfrm>
                    <a:prstGeom prst="rect">
                      <a:avLst/>
                    </a:prstGeom>
                    <a:noFill/>
                  </pic:spPr>
                </pic:pic>
              </a:graphicData>
            </a:graphic>
          </wp:anchor>
        </w:drawing>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Eliminating all excise tax-gross ups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Exercising negative discretion to reduce compensation payouts when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165735</wp:posOffset>
            </wp:positionV>
            <wp:extent cx="6265545" cy="176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65545" cy="176530"/>
                    </a:xfrm>
                    <a:prstGeom prst="rect">
                      <a:avLst/>
                    </a:prstGeom>
                    <a:noFill/>
                  </pic:spPr>
                </pic:pic>
              </a:graphicData>
            </a:graphic>
          </wp:anchor>
        </w:drawing>
      </w:r>
    </w:p>
    <w:p>
      <w:pPr>
        <w:spacing w:after="0" w:line="350" w:lineRule="exact"/>
        <w:rPr>
          <w:sz w:val="20"/>
          <w:szCs w:val="20"/>
          <w:color w:val="auto"/>
        </w:rPr>
      </w:pPr>
    </w:p>
    <w:p>
      <w:pPr>
        <w:ind w:left="860"/>
        <w:spacing w:after="0"/>
        <w:rPr>
          <w:sz w:val="20"/>
          <w:szCs w:val="20"/>
          <w:color w:val="auto"/>
        </w:rPr>
      </w:pPr>
      <w:r>
        <w:rPr>
          <w:rFonts w:ascii="Arial" w:cs="Arial" w:eastAsia="Arial" w:hAnsi="Arial"/>
          <w:sz w:val="9"/>
          <w:szCs w:val="9"/>
          <w:b w:val="1"/>
          <w:bCs w:val="1"/>
          <w:color w:val="FFFFFF"/>
        </w:rPr>
        <w:t>GOVERNANCE AND BOARD STRUCTURE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Separating the positions of Chairman of the Board and CEO, and electing an independent director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6256655" cy="151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56655" cy="151130"/>
                    </a:xfrm>
                    <a:prstGeom prst="rect">
                      <a:avLst/>
                    </a:prstGeom>
                    <a:noFill/>
                  </pic:spPr>
                </pic:pic>
              </a:graphicData>
            </a:graphic>
          </wp:anchor>
        </w:drawing>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Commencing a significant board refreshment process to meet our evolving needs and strengthen the Board’s diversity, skills, and experience</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Implementing a director retirement age policy</w:t>
      </w:r>
    </w:p>
    <w:p>
      <w:pPr>
        <w:spacing w:after="0" w:line="226" w:lineRule="exact"/>
        <w:rPr>
          <w:sz w:val="20"/>
          <w:szCs w:val="20"/>
          <w:color w:val="auto"/>
        </w:rPr>
      </w:pPr>
    </w:p>
    <w:p>
      <w:pPr>
        <w:ind w:left="780" w:right="320"/>
        <w:spacing w:after="0" w:line="249" w:lineRule="auto"/>
        <w:rPr>
          <w:sz w:val="20"/>
          <w:szCs w:val="20"/>
          <w:color w:val="auto"/>
        </w:rPr>
      </w:pPr>
      <w:r>
        <w:rPr>
          <w:rFonts w:ascii="Arial" w:cs="Arial" w:eastAsia="Arial" w:hAnsi="Arial"/>
          <w:sz w:val="14"/>
          <w:szCs w:val="14"/>
          <w:color w:val="262626"/>
        </w:rPr>
        <w:t>We believe in the value of shareholder engagement and will continue to reach out to our shareholders in 2019 and beyond, continuing our commitment to ongoing discussions and feedback from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323215</wp:posOffset>
            </wp:positionV>
            <wp:extent cx="521335" cy="2355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28</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HOW WE APPROACH EXECUTIVE COMPENSATION</w:t>
      </w:r>
    </w:p>
    <w:p>
      <w:pPr>
        <w:spacing w:after="0" w:line="118" w:lineRule="exact"/>
        <w:rPr>
          <w:sz w:val="20"/>
          <w:szCs w:val="20"/>
          <w:color w:val="auto"/>
        </w:rPr>
      </w:pPr>
    </w:p>
    <w:p>
      <w:pPr>
        <w:ind w:left="780" w:right="600"/>
        <w:spacing w:after="0" w:line="249" w:lineRule="auto"/>
        <w:rPr>
          <w:sz w:val="20"/>
          <w:szCs w:val="20"/>
          <w:color w:val="auto"/>
        </w:rPr>
      </w:pPr>
      <w:r>
        <w:rPr>
          <w:rFonts w:ascii="Arial" w:cs="Arial" w:eastAsia="Arial" w:hAnsi="Arial"/>
          <w:sz w:val="14"/>
          <w:szCs w:val="14"/>
          <w:color w:val="262626"/>
        </w:rPr>
        <w:t>Our executive compensation philosophy is to align the interests of executives with those of shareholders by designing incentives that are directly tied to actions which create sustainable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121285</wp:posOffset>
            </wp:positionV>
            <wp:extent cx="2875915" cy="2514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75915" cy="2514600"/>
                    </a:xfrm>
                    <a:prstGeom prst="rect">
                      <a:avLst/>
                    </a:prstGeom>
                    <a:noFill/>
                  </pic:spPr>
                </pic:pic>
              </a:graphicData>
            </a:graphic>
          </wp:anchor>
        </w:drawing>
      </w:r>
    </w:p>
    <w:p>
      <w:pPr>
        <w:sectPr>
          <w:pgSz w:w="11900" w:h="16838" w:orient="portrait"/>
          <w:cols w:equalWidth="0" w:num="1">
            <w:col w:w="10800"/>
          </w:cols>
          <w:pgMar w:left="240" w:top="453" w:right="859" w:bottom="1440" w:gutter="0" w:footer="0" w:header="0"/>
        </w:sectPr>
      </w:pPr>
    </w:p>
    <w:p>
      <w:pPr>
        <w:spacing w:after="0" w:line="196" w:lineRule="exact"/>
        <w:rPr>
          <w:sz w:val="20"/>
          <w:szCs w:val="20"/>
          <w:color w:val="auto"/>
        </w:rPr>
      </w:pPr>
    </w:p>
    <w:p>
      <w:pPr>
        <w:ind w:left="780" w:right="100"/>
        <w:spacing w:after="0" w:line="236" w:lineRule="auto"/>
        <w:rPr>
          <w:sz w:val="20"/>
          <w:szCs w:val="20"/>
          <w:color w:val="auto"/>
        </w:rPr>
      </w:pPr>
      <w:r>
        <w:rPr>
          <w:rFonts w:ascii="Arial" w:cs="Arial" w:eastAsia="Arial" w:hAnsi="Arial"/>
          <w:sz w:val="14"/>
          <w:szCs w:val="14"/>
          <w:color w:val="262626"/>
        </w:rPr>
        <w:t>We, the Compensation Committee, believe that our ability to oversee the delivery of operational excellence and sustainable long-term returns to shareholders</w:t>
      </w:r>
    </w:p>
    <w:p>
      <w:pPr>
        <w:spacing w:after="0" w:line="1" w:lineRule="exact"/>
        <w:rPr>
          <w:sz w:val="20"/>
          <w:szCs w:val="20"/>
          <w:color w:val="auto"/>
        </w:rPr>
      </w:pPr>
    </w:p>
    <w:p>
      <w:pPr>
        <w:ind w:left="780" w:right="1180"/>
        <w:spacing w:after="0" w:line="249" w:lineRule="auto"/>
        <w:rPr>
          <w:sz w:val="20"/>
          <w:szCs w:val="20"/>
          <w:color w:val="auto"/>
        </w:rPr>
      </w:pPr>
      <w:r>
        <w:rPr>
          <w:rFonts w:ascii="Arial" w:cs="Arial" w:eastAsia="Arial" w:hAnsi="Arial"/>
          <w:sz w:val="14"/>
          <w:szCs w:val="14"/>
          <w:color w:val="262626"/>
        </w:rPr>
        <w:t>is inexorably linked to attracting and retaining a high-performing management team.</w:t>
      </w:r>
    </w:p>
    <w:p>
      <w:pPr>
        <w:spacing w:after="0" w:line="182" w:lineRule="exact"/>
        <w:rPr>
          <w:sz w:val="20"/>
          <w:szCs w:val="20"/>
          <w:color w:val="auto"/>
        </w:rPr>
      </w:pPr>
    </w:p>
    <w:p>
      <w:pPr>
        <w:jc w:val="both"/>
        <w:ind w:left="780"/>
        <w:spacing w:after="0" w:line="236" w:lineRule="auto"/>
        <w:rPr>
          <w:sz w:val="20"/>
          <w:szCs w:val="20"/>
          <w:color w:val="auto"/>
        </w:rPr>
      </w:pPr>
      <w:r>
        <w:rPr>
          <w:rFonts w:ascii="Arial" w:cs="Arial" w:eastAsia="Arial" w:hAnsi="Arial"/>
          <w:sz w:val="14"/>
          <w:szCs w:val="14"/>
          <w:color w:val="262626"/>
        </w:rPr>
        <w:t>Hence, the executive compensation program must be designed to attract, reward, and retain executive officers who create continual near- and long-term shareholder value by achieving the Company’s strategic goals. We also believe</w:t>
      </w:r>
    </w:p>
    <w:p>
      <w:pPr>
        <w:spacing w:after="0" w:line="2" w:lineRule="exact"/>
        <w:rPr>
          <w:sz w:val="20"/>
          <w:szCs w:val="20"/>
          <w:color w:val="auto"/>
        </w:rPr>
      </w:pPr>
    </w:p>
    <w:p>
      <w:pPr>
        <w:ind w:left="780" w:right="640"/>
        <w:spacing w:after="0" w:line="243" w:lineRule="auto"/>
        <w:rPr>
          <w:sz w:val="20"/>
          <w:szCs w:val="20"/>
          <w:color w:val="auto"/>
        </w:rPr>
      </w:pPr>
      <w:r>
        <w:rPr>
          <w:rFonts w:ascii="Arial" w:cs="Arial" w:eastAsia="Arial" w:hAnsi="Arial"/>
          <w:sz w:val="14"/>
          <w:szCs w:val="14"/>
          <w:color w:val="262626"/>
        </w:rPr>
        <w:t>that stability at the executive level is key to the strength of the Company, particularly given the relatively small pool of executives with gaming experience for whom we compete.</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To achieve this, we rely on the following principles:</w:t>
      </w:r>
    </w:p>
    <w:p>
      <w:pPr>
        <w:spacing w:after="0" w:line="179" w:lineRule="exact"/>
        <w:rPr>
          <w:sz w:val="20"/>
          <w:szCs w:val="20"/>
          <w:color w:val="auto"/>
        </w:rPr>
      </w:pPr>
    </w:p>
    <w:p>
      <w:pPr>
        <w:ind w:left="780" w:right="240"/>
        <w:spacing w:after="0" w:line="241" w:lineRule="auto"/>
        <w:rPr>
          <w:sz w:val="20"/>
          <w:szCs w:val="20"/>
          <w:color w:val="auto"/>
        </w:rPr>
      </w:pPr>
      <w:r>
        <w:rPr>
          <w:rFonts w:ascii="Arial" w:cs="Arial" w:eastAsia="Arial" w:hAnsi="Arial"/>
          <w:sz w:val="14"/>
          <w:szCs w:val="14"/>
          <w:b w:val="1"/>
          <w:bCs w:val="1"/>
          <w:color w:val="262626"/>
        </w:rPr>
        <w:t>Pay-for-Sustainable Performance</w:t>
      </w:r>
      <w:r>
        <w:rPr>
          <w:rFonts w:ascii="Arial" w:cs="Arial" w:eastAsia="Arial" w:hAnsi="Arial"/>
          <w:sz w:val="14"/>
          <w:szCs w:val="14"/>
          <w:color w:val="262626"/>
        </w:rPr>
        <w:t>: The majority of our executives’ total</w:t>
      </w:r>
      <w:r>
        <w:rPr>
          <w:rFonts w:ascii="Arial" w:cs="Arial" w:eastAsia="Arial" w:hAnsi="Arial"/>
          <w:sz w:val="14"/>
          <w:szCs w:val="14"/>
          <w:b w:val="1"/>
          <w:bCs w:val="1"/>
          <w:color w:val="262626"/>
        </w:rPr>
        <w:t xml:space="preserve"> </w:t>
      </w:r>
      <w:r>
        <w:rPr>
          <w:rFonts w:ascii="Arial" w:cs="Arial" w:eastAsia="Arial" w:hAnsi="Arial"/>
          <w:sz w:val="14"/>
          <w:szCs w:val="14"/>
          <w:color w:val="262626"/>
        </w:rPr>
        <w:t>compensation is tied to achieving annual and long-term goals that enhance the value of our reputation and brand, sustain the performance and attractiveness of our resorts and drive long-term shareholder value. The Compensation Committee retains discretion to reduce amounts earned and payable when doing so will further these goals. Further, 50% of annual incentive</w:t>
      </w:r>
    </w:p>
    <w:p>
      <w:pPr>
        <w:spacing w:after="0" w:line="2" w:lineRule="exact"/>
        <w:rPr>
          <w:sz w:val="20"/>
          <w:szCs w:val="20"/>
          <w:color w:val="auto"/>
        </w:rPr>
      </w:pPr>
    </w:p>
    <w:p>
      <w:pPr>
        <w:ind w:left="780" w:right="160"/>
        <w:spacing w:after="0" w:line="249" w:lineRule="auto"/>
        <w:rPr>
          <w:sz w:val="20"/>
          <w:szCs w:val="20"/>
          <w:color w:val="auto"/>
        </w:rPr>
      </w:pPr>
      <w:r>
        <w:rPr>
          <w:rFonts w:ascii="Arial" w:cs="Arial" w:eastAsia="Arial" w:hAnsi="Arial"/>
          <w:sz w:val="14"/>
          <w:szCs w:val="14"/>
          <w:color w:val="262626"/>
        </w:rPr>
        <w:t>is paid in equity (rather than all cash), and equity is subject to our robust holding requirements.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050505"/>
        </w:rPr>
        <w:t>EXECUTIVE COMPENSATION PROGRAM HIGHLIGHTS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262626"/>
        </w:rPr>
        <w:t>Annual Incentives: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No guaranteed payouts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Aligned with critical operating and excellence goals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50% of earned annual incentive is paid in equity</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262626"/>
        </w:rPr>
        <w:t>Equity Incentives: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50% of NEO grants are performance-based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Minimum 3-year vesting</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Robust holding requirements (10X for CEO)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262626"/>
        </w:rPr>
        <w:t>Additional Best Practices: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No repricing</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No dividends on option awards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No SERP or pension benefits to NEOs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No excise tax gross-ups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Change-in-control payments are double-trigger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Pay plans discourage inappropriate risk</w:t>
      </w:r>
    </w:p>
    <w:p>
      <w:pPr>
        <w:spacing w:after="0" w:line="200" w:lineRule="exact"/>
        <w:rPr>
          <w:sz w:val="20"/>
          <w:szCs w:val="20"/>
          <w:color w:val="auto"/>
        </w:rPr>
      </w:pPr>
    </w:p>
    <w:p>
      <w:pPr>
        <w:sectPr>
          <w:pgSz w:w="11900" w:h="16838" w:orient="portrait"/>
          <w:cols w:equalWidth="0" w:num="2">
            <w:col w:w="5940" w:space="480"/>
            <w:col w:w="4380"/>
          </w:cols>
          <w:pgMar w:left="240" w:top="453" w:right="859" w:bottom="1440" w:gutter="0" w:footer="0" w:header="0"/>
          <w:type w:val="continuous"/>
        </w:sectPr>
      </w:pPr>
    </w:p>
    <w:p>
      <w:pPr>
        <w:spacing w:after="0" w:line="177" w:lineRule="exact"/>
        <w:rPr>
          <w:sz w:val="20"/>
          <w:szCs w:val="20"/>
          <w:color w:val="auto"/>
        </w:rPr>
      </w:pPr>
    </w:p>
    <w:p>
      <w:pPr>
        <w:ind w:left="780" w:right="220"/>
        <w:spacing w:after="0" w:line="256" w:lineRule="auto"/>
        <w:rPr>
          <w:sz w:val="20"/>
          <w:szCs w:val="20"/>
          <w:color w:val="auto"/>
        </w:rPr>
      </w:pPr>
      <w:r>
        <w:rPr>
          <w:rFonts w:ascii="Arial" w:cs="Arial" w:eastAsia="Arial" w:hAnsi="Arial"/>
          <w:sz w:val="14"/>
          <w:szCs w:val="14"/>
          <w:b w:val="1"/>
          <w:bCs w:val="1"/>
          <w:color w:val="262626"/>
        </w:rPr>
        <w:t>Shareholder Alignment</w:t>
      </w:r>
      <w:r>
        <w:rPr>
          <w:rFonts w:ascii="Arial" w:cs="Arial" w:eastAsia="Arial" w:hAnsi="Arial"/>
          <w:sz w:val="14"/>
          <w:szCs w:val="14"/>
          <w:color w:val="262626"/>
        </w:rPr>
        <w:t>: Our long-term equity incentives align executives’ interests with those of shareholders and stakeholders. In adopting regular equity</w:t>
      </w:r>
      <w:r>
        <w:rPr>
          <w:rFonts w:ascii="Arial" w:cs="Arial" w:eastAsia="Arial" w:hAnsi="Arial"/>
          <w:sz w:val="14"/>
          <w:szCs w:val="14"/>
          <w:b w:val="1"/>
          <w:bCs w:val="1"/>
          <w:color w:val="262626"/>
        </w:rPr>
        <w:t xml:space="preserve"> </w:t>
      </w:r>
      <w:r>
        <w:rPr>
          <w:rFonts w:ascii="Arial" w:cs="Arial" w:eastAsia="Arial" w:hAnsi="Arial"/>
          <w:sz w:val="14"/>
          <w:szCs w:val="14"/>
          <w:color w:val="262626"/>
        </w:rPr>
        <w:t>grants that vest over 3 years, we believe that the alignment of interest is strengthened, especially when coupled with best-in-class stock holding requirements for executives (10X base salary for our CEO).</w:t>
      </w:r>
    </w:p>
    <w:p>
      <w:pPr>
        <w:spacing w:after="0" w:line="134" w:lineRule="exact"/>
        <w:rPr>
          <w:sz w:val="20"/>
          <w:szCs w:val="20"/>
          <w:color w:val="auto"/>
        </w:rPr>
      </w:pPr>
    </w:p>
    <w:p>
      <w:pPr>
        <w:ind w:left="780" w:right="220"/>
        <w:spacing w:after="0" w:line="256" w:lineRule="auto"/>
        <w:rPr>
          <w:sz w:val="20"/>
          <w:szCs w:val="20"/>
          <w:color w:val="auto"/>
        </w:rPr>
      </w:pPr>
      <w:r>
        <w:rPr>
          <w:rFonts w:ascii="Arial" w:cs="Arial" w:eastAsia="Arial" w:hAnsi="Arial"/>
          <w:sz w:val="14"/>
          <w:szCs w:val="14"/>
          <w:b w:val="1"/>
          <w:bCs w:val="1"/>
          <w:color w:val="262626"/>
        </w:rPr>
        <w:t>Focus on Compensation Totals and Parity</w:t>
      </w:r>
      <w:r>
        <w:rPr>
          <w:rFonts w:ascii="Arial" w:cs="Arial" w:eastAsia="Arial" w:hAnsi="Arial"/>
          <w:sz w:val="14"/>
          <w:szCs w:val="14"/>
          <w:color w:val="262626"/>
        </w:rPr>
        <w:t>: We evaluate the total amounts of executives’ compensation for parity purposes and assess them relative to the</w:t>
      </w:r>
      <w:r>
        <w:rPr>
          <w:rFonts w:ascii="Arial" w:cs="Arial" w:eastAsia="Arial" w:hAnsi="Arial"/>
          <w:sz w:val="14"/>
          <w:szCs w:val="14"/>
          <w:b w:val="1"/>
          <w:bCs w:val="1"/>
          <w:color w:val="262626"/>
        </w:rPr>
        <w:t xml:space="preserve"> </w:t>
      </w:r>
      <w:r>
        <w:rPr>
          <w:rFonts w:ascii="Arial" w:cs="Arial" w:eastAsia="Arial" w:hAnsi="Arial"/>
          <w:sz w:val="14"/>
          <w:szCs w:val="14"/>
          <w:color w:val="262626"/>
        </w:rPr>
        <w:t>pay practices of major gaming companies and other competitors for talent. The Committee reaffirmed its commitment to right-sized executive compensation by benchmarking total compensation at the median of our peer group and making adjustments for specific skills and experience.</w:t>
      </w:r>
    </w:p>
    <w:p>
      <w:pPr>
        <w:spacing w:after="0" w:line="134" w:lineRule="exact"/>
        <w:rPr>
          <w:sz w:val="20"/>
          <w:szCs w:val="20"/>
          <w:color w:val="auto"/>
        </w:rPr>
      </w:pPr>
    </w:p>
    <w:p>
      <w:pPr>
        <w:ind w:left="780" w:right="160"/>
        <w:spacing w:after="0" w:line="276" w:lineRule="auto"/>
        <w:rPr>
          <w:sz w:val="20"/>
          <w:szCs w:val="20"/>
          <w:color w:val="auto"/>
        </w:rPr>
      </w:pPr>
      <w:r>
        <w:rPr>
          <w:rFonts w:ascii="Arial" w:cs="Arial" w:eastAsia="Arial" w:hAnsi="Arial"/>
          <w:sz w:val="14"/>
          <w:szCs w:val="14"/>
          <w:b w:val="1"/>
          <w:bCs w:val="1"/>
          <w:color w:val="262626"/>
        </w:rPr>
        <w:t>Simplicity and Clarity</w:t>
      </w:r>
      <w:r>
        <w:rPr>
          <w:rFonts w:ascii="Arial" w:cs="Arial" w:eastAsia="Arial" w:hAnsi="Arial"/>
          <w:sz w:val="14"/>
          <w:szCs w:val="14"/>
          <w:color w:val="262626"/>
        </w:rPr>
        <w:t>: We value pay structures that are simple and clear. We believe pay simplicity promotes transparency, avoids incentivizing focus on pay</w:t>
      </w:r>
      <w:r>
        <w:rPr>
          <w:rFonts w:ascii="Arial" w:cs="Arial" w:eastAsia="Arial" w:hAnsi="Arial"/>
          <w:sz w:val="14"/>
          <w:szCs w:val="14"/>
          <w:b w:val="1"/>
          <w:bCs w:val="1"/>
          <w:color w:val="262626"/>
        </w:rPr>
        <w:t xml:space="preserve"> </w:t>
      </w:r>
      <w:r>
        <w:rPr>
          <w:rFonts w:ascii="Arial" w:cs="Arial" w:eastAsia="Arial" w:hAnsi="Arial"/>
          <w:sz w:val="14"/>
          <w:szCs w:val="14"/>
          <w:color w:val="262626"/>
        </w:rPr>
        <w:t>goals at the expense of ongoing excellence and performance, and promotes teamwork.</w:t>
      </w:r>
    </w:p>
    <w:p>
      <w:pPr>
        <w:spacing w:after="0" w:line="133" w:lineRule="exact"/>
        <w:rPr>
          <w:sz w:val="20"/>
          <w:szCs w:val="20"/>
          <w:color w:val="auto"/>
        </w:rPr>
      </w:pPr>
    </w:p>
    <w:p>
      <w:pPr>
        <w:jc w:val="both"/>
        <w:ind w:left="780" w:right="180"/>
        <w:spacing w:after="0" w:line="256" w:lineRule="auto"/>
        <w:rPr>
          <w:sz w:val="20"/>
          <w:szCs w:val="20"/>
          <w:color w:val="auto"/>
        </w:rPr>
      </w:pPr>
      <w:r>
        <w:rPr>
          <w:rFonts w:ascii="Arial" w:cs="Arial" w:eastAsia="Arial" w:hAnsi="Arial"/>
          <w:sz w:val="14"/>
          <w:szCs w:val="14"/>
          <w:b w:val="1"/>
          <w:bCs w:val="1"/>
          <w:color w:val="262626"/>
        </w:rPr>
        <w:t>Attract and Retain Top Talent</w:t>
      </w:r>
      <w:r>
        <w:rPr>
          <w:rFonts w:ascii="Arial" w:cs="Arial" w:eastAsia="Arial" w:hAnsi="Arial"/>
          <w:sz w:val="14"/>
          <w:szCs w:val="14"/>
          <w:color w:val="262626"/>
        </w:rPr>
        <w:t>: Our business spans continents, can be subject to meaningful volatility, requires tight coordination with regulators, depends on</w:t>
      </w:r>
      <w:r>
        <w:rPr>
          <w:rFonts w:ascii="Arial" w:cs="Arial" w:eastAsia="Arial" w:hAnsi="Arial"/>
          <w:sz w:val="14"/>
          <w:szCs w:val="14"/>
          <w:b w:val="1"/>
          <w:bCs w:val="1"/>
          <w:color w:val="262626"/>
        </w:rPr>
        <w:t xml:space="preserve"> </w:t>
      </w:r>
      <w:r>
        <w:rPr>
          <w:rFonts w:ascii="Arial" w:cs="Arial" w:eastAsia="Arial" w:hAnsi="Arial"/>
          <w:sz w:val="14"/>
          <w:szCs w:val="14"/>
          <w:color w:val="262626"/>
        </w:rPr>
        <w:t>knowledge of numerous types of complex operations, requires diligent investment over many years and across business cycles, and is highly dependent on a reputation for excellence, so finding and retaining top talent is a critical element of our compensation.</w:t>
      </w: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29</w:t>
      </w:r>
    </w:p>
    <w:p>
      <w:pPr>
        <w:sectPr>
          <w:pgSz w:w="11900" w:h="16838" w:orient="portrait"/>
          <w:cols w:equalWidth="0" w:num="1">
            <w:col w:w="10800"/>
          </w:cols>
          <w:pgMar w:left="240" w:top="453" w:right="8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Compensation discussion and analysis</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HOW THE COMPANY HAS PERFORMED</w:t>
      </w:r>
    </w:p>
    <w:p>
      <w:pPr>
        <w:spacing w:after="0" w:line="118" w:lineRule="exact"/>
        <w:rPr>
          <w:sz w:val="20"/>
          <w:szCs w:val="20"/>
          <w:color w:val="auto"/>
        </w:rPr>
      </w:pPr>
    </w:p>
    <w:p>
      <w:pPr>
        <w:ind w:left="780"/>
        <w:spacing w:after="0" w:line="216" w:lineRule="auto"/>
        <w:rPr>
          <w:sz w:val="20"/>
          <w:szCs w:val="20"/>
          <w:color w:val="auto"/>
        </w:rPr>
      </w:pPr>
      <w:r>
        <w:rPr>
          <w:rFonts w:ascii="Arial" w:cs="Arial" w:eastAsia="Arial" w:hAnsi="Arial"/>
          <w:sz w:val="14"/>
          <w:szCs w:val="14"/>
          <w:color w:val="262626"/>
        </w:rPr>
        <w:t>While our year to year performance can be significantly impacted by market factors, geopolitical events and investor sentiment, we have delivered significant outperformance since our initial public offering in 2002. Over that 16-year period, the Company has averaged a 17% annual Total Shareholder Return (“TSR”), (including reinvestment of dividends), which is substantially above the TSR of both the S&amp;P 500 (approximately 9% average annual TSR) and the S&amp;P Consumer Discretionary Index (approximately 10% average annual TSR) over the same time period. We have also delivered an average annual TSR greater than five times our closest industry peers.</w:t>
      </w:r>
      <w:r>
        <w:rPr>
          <w:rFonts w:ascii="Arial" w:cs="Arial" w:eastAsia="Arial" w:hAnsi="Arial"/>
          <w:sz w:val="23"/>
          <w:szCs w:val="23"/>
          <w:color w:val="262626"/>
          <w:vertAlign w:val="superscript"/>
        </w:rPr>
        <w:t>(1)</w:t>
      </w:r>
      <w:r>
        <w:rPr>
          <w:rFonts w:ascii="Arial" w:cs="Arial" w:eastAsia="Arial" w:hAnsi="Arial"/>
          <w:sz w:val="14"/>
          <w:szCs w:val="14"/>
          <w:color w:val="262626"/>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125730</wp:posOffset>
            </wp:positionV>
            <wp:extent cx="5146675" cy="2691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6675" cy="269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Our key accomplishments in 2018 include:</w:t>
      </w:r>
    </w:p>
    <w:p>
      <w:pPr>
        <w:spacing w:after="0" w:line="59" w:lineRule="exact"/>
        <w:rPr>
          <w:sz w:val="20"/>
          <w:szCs w:val="20"/>
          <w:color w:val="auto"/>
        </w:rPr>
      </w:pPr>
    </w:p>
    <w:p>
      <w:pPr>
        <w:ind w:left="960" w:right="200" w:hanging="185"/>
        <w:spacing w:after="0" w:line="243"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Generating $467 million of Adjusted Property EBITDA at Wynn Las Vegas</w:t>
      </w:r>
      <w:r>
        <w:rPr>
          <w:rFonts w:ascii="Arial" w:cs="Arial" w:eastAsia="Arial" w:hAnsi="Arial"/>
          <w:sz w:val="14"/>
          <w:szCs w:val="14"/>
          <w:color w:val="262626"/>
        </w:rPr>
        <w:t>. Despite the challenges faced by the allegations against our founder and</w:t>
      </w:r>
      <w:r>
        <w:rPr>
          <w:rFonts w:ascii="Arial" w:cs="Arial" w:eastAsia="Arial" w:hAnsi="Arial"/>
          <w:sz w:val="14"/>
          <w:szCs w:val="14"/>
          <w:color w:val="CC870F"/>
        </w:rPr>
        <w:t xml:space="preserve"> </w:t>
      </w:r>
      <w:r>
        <w:rPr>
          <w:rFonts w:ascii="Arial" w:cs="Arial" w:eastAsia="Arial" w:hAnsi="Arial"/>
          <w:sz w:val="14"/>
          <w:szCs w:val="14"/>
          <w:color w:val="262626"/>
        </w:rPr>
        <w:t>former CEO, Wynn Las Vegas performed well overall. The resort also achieved several property records, including our best year ever for hotel gross revenue and for restaurants revenue (excluding catering). Ongoing guest research and surveys indicate the strength of the Wynn brand and customer affinity for it, positioning Wynn Las Vegas well for the continued growth of the Las Vegas market.</w:t>
      </w:r>
    </w:p>
    <w:p>
      <w:pPr>
        <w:spacing w:after="0" w:line="1" w:lineRule="exact"/>
        <w:rPr>
          <w:sz w:val="20"/>
          <w:szCs w:val="20"/>
          <w:color w:val="auto"/>
        </w:rPr>
      </w:pPr>
    </w:p>
    <w:p>
      <w:pPr>
        <w:ind w:left="960" w:right="4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Solidifying Market Share Gains in Macau with the Continued Ramp-up of Wynn Palace.</w:t>
      </w:r>
      <w:r>
        <w:rPr>
          <w:rFonts w:ascii="Arial" w:cs="Arial" w:eastAsia="Arial" w:hAnsi="Arial"/>
          <w:sz w:val="14"/>
          <w:szCs w:val="14"/>
          <w:color w:val="CC870F"/>
        </w:rPr>
        <w:t xml:space="preserve"> </w:t>
      </w:r>
      <w:r>
        <w:rPr>
          <w:rFonts w:ascii="Arial" w:cs="Arial" w:eastAsia="Arial" w:hAnsi="Arial"/>
          <w:sz w:val="14"/>
          <w:szCs w:val="14"/>
          <w:color w:val="262626"/>
        </w:rPr>
        <w:t>Wynn Palace, which opened in August of 2016, generated</w:t>
      </w:r>
      <w:r>
        <w:rPr>
          <w:rFonts w:ascii="Arial" w:cs="Arial" w:eastAsia="Arial" w:hAnsi="Arial"/>
          <w:sz w:val="14"/>
          <w:szCs w:val="14"/>
          <w:color w:val="CC870F"/>
        </w:rPr>
        <w:t xml:space="preserve"> </w:t>
      </w:r>
      <w:r>
        <w:rPr>
          <w:rFonts w:ascii="Arial" w:cs="Arial" w:eastAsia="Arial" w:hAnsi="Arial"/>
          <w:sz w:val="14"/>
          <w:szCs w:val="14"/>
          <w:color w:val="262626"/>
        </w:rPr>
        <w:t xml:space="preserve">$844 million of Adjusted Property EBITDA and achieved 8.8% of gross gaming revenue market share in 2018, its second full fiscal year of operations. This contributed to very strong operating results from the Company’s Macau operations during the year. </w:t>
      </w:r>
      <w:r>
        <w:rPr>
          <w:rFonts w:ascii="Arial" w:cs="Arial" w:eastAsia="Arial" w:hAnsi="Arial"/>
          <w:sz w:val="14"/>
          <w:szCs w:val="14"/>
          <w:i w:val="1"/>
          <w:iCs w:val="1"/>
          <w:color w:val="262626"/>
        </w:rPr>
        <w:t>[See our Annual Report footnote Item 8, Note 16.]</w:t>
      </w:r>
    </w:p>
    <w:p>
      <w:pPr>
        <w:spacing w:after="0" w:line="1" w:lineRule="exact"/>
        <w:rPr>
          <w:sz w:val="20"/>
          <w:szCs w:val="20"/>
          <w:color w:val="auto"/>
        </w:rPr>
      </w:pPr>
    </w:p>
    <w:p>
      <w:pPr>
        <w:ind w:left="960" w:right="16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Making Substantial Progress at Encore Boston Harbor.</w:t>
      </w:r>
      <w:r>
        <w:rPr>
          <w:rFonts w:ascii="Arial" w:cs="Arial" w:eastAsia="Arial" w:hAnsi="Arial"/>
          <w:sz w:val="14"/>
          <w:szCs w:val="14"/>
          <w:color w:val="CC870F"/>
        </w:rPr>
        <w:t xml:space="preserve"> </w:t>
      </w:r>
      <w:r>
        <w:rPr>
          <w:rFonts w:ascii="Arial" w:cs="Arial" w:eastAsia="Arial" w:hAnsi="Arial"/>
          <w:sz w:val="14"/>
          <w:szCs w:val="14"/>
          <w:color w:val="262626"/>
        </w:rPr>
        <w:t>Located on the Mystic River in Everett, Massachusetts, and adjacent to Boston, our newest</w:t>
      </w:r>
      <w:r>
        <w:rPr>
          <w:rFonts w:ascii="Arial" w:cs="Arial" w:eastAsia="Arial" w:hAnsi="Arial"/>
          <w:sz w:val="14"/>
          <w:szCs w:val="14"/>
          <w:color w:val="CC870F"/>
        </w:rPr>
        <w:t xml:space="preserve"> </w:t>
      </w:r>
      <w:r>
        <w:rPr>
          <w:rFonts w:ascii="Arial" w:cs="Arial" w:eastAsia="Arial" w:hAnsi="Arial"/>
          <w:sz w:val="14"/>
          <w:szCs w:val="14"/>
          <w:color w:val="262626"/>
        </w:rPr>
        <w:t>resort will feature the premium amenities associated with all our resorts, including full casino amenities, hotel, fine and casual dining outlets, meeting and convention facilities, a spa, nightclub and a waterfront boardwalk and harbor for water transportation. We expect to open Encore Boston Harbor in June 2019, and as of December 2018 have incurred $2.03 billion in total project costs of an estimated total project budget of approximately $2.6 billion.</w:t>
      </w:r>
    </w:p>
    <w:p>
      <w:pPr>
        <w:spacing w:after="0" w:line="2" w:lineRule="exact"/>
        <w:rPr>
          <w:sz w:val="20"/>
          <w:szCs w:val="20"/>
          <w:color w:val="auto"/>
        </w:rPr>
      </w:pPr>
    </w:p>
    <w:p>
      <w:pPr>
        <w:ind w:left="960" w:right="20" w:hanging="185"/>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Maintaining a Robust Capital Investment Program at Existing Properties.</w:t>
      </w:r>
      <w:r>
        <w:rPr>
          <w:rFonts w:ascii="Arial" w:cs="Arial" w:eastAsia="Arial" w:hAnsi="Arial"/>
          <w:sz w:val="14"/>
          <w:szCs w:val="14"/>
          <w:color w:val="CC870F"/>
        </w:rPr>
        <w:t xml:space="preserve"> </w:t>
      </w:r>
      <w:r>
        <w:rPr>
          <w:rFonts w:ascii="Arial" w:cs="Arial" w:eastAsia="Arial" w:hAnsi="Arial"/>
          <w:sz w:val="14"/>
          <w:szCs w:val="14"/>
          <w:color w:val="262626"/>
        </w:rPr>
        <w:t>We continually enhance the guest experience at our resorts in Las Vegas</w:t>
      </w:r>
      <w:r>
        <w:rPr>
          <w:rFonts w:ascii="Arial" w:cs="Arial" w:eastAsia="Arial" w:hAnsi="Arial"/>
          <w:sz w:val="14"/>
          <w:szCs w:val="14"/>
          <w:color w:val="CC870F"/>
        </w:rPr>
        <w:t xml:space="preserve"> </w:t>
      </w:r>
      <w:r>
        <w:rPr>
          <w:rFonts w:ascii="Arial" w:cs="Arial" w:eastAsia="Arial" w:hAnsi="Arial"/>
          <w:sz w:val="14"/>
          <w:szCs w:val="14"/>
          <w:color w:val="262626"/>
        </w:rPr>
        <w:t>and Macau through strategic capital investments. This includes the fourth quarter 2018 opening of Wynn Plaza at Wynn Las Vegas, a 74,000 square-foot luxury retail esplanade. We are constructing an approximately 400,000 square-foot meeting and convention facility at Wynn Las Vegas, slated to open in the first quarter of 2020. In Macau, we announced several initiatives including a meaningful room refreshment program and a reconfiguration of a portion of the casino floor at Wynn Macau and a meaningful, multi-year expansion project adjacent to Wynn Palace called the Crystal Pavilion.</w:t>
      </w:r>
    </w:p>
    <w:p>
      <w:pPr>
        <w:spacing w:after="0" w:line="200" w:lineRule="exact"/>
        <w:rPr>
          <w:sz w:val="20"/>
          <w:szCs w:val="20"/>
          <w:color w:val="auto"/>
        </w:rPr>
      </w:pPr>
    </w:p>
    <w:p>
      <w:pPr>
        <w:spacing w:after="0" w:line="311" w:lineRule="exact"/>
        <w:rPr>
          <w:sz w:val="20"/>
          <w:szCs w:val="20"/>
          <w:color w:val="auto"/>
        </w:rPr>
      </w:pPr>
    </w:p>
    <w:p>
      <w:pPr>
        <w:ind w:left="620" w:right="160" w:firstLine="8"/>
        <w:spacing w:after="0" w:line="232" w:lineRule="auto"/>
        <w:tabs>
          <w:tab w:leader="none" w:pos="759" w:val="left"/>
        </w:tabs>
        <w:numPr>
          <w:ilvl w:val="0"/>
          <w:numId w:val="54"/>
        </w:numPr>
        <w:rPr>
          <w:rFonts w:ascii="Arial" w:cs="Arial" w:eastAsia="Arial" w:hAnsi="Arial"/>
          <w:sz w:val="9"/>
          <w:szCs w:val="9"/>
          <w:color w:val="262626"/>
        </w:rPr>
      </w:pPr>
      <w:r>
        <w:rPr>
          <w:rFonts w:ascii="Arial" w:cs="Arial" w:eastAsia="Arial" w:hAnsi="Arial"/>
          <w:sz w:val="11"/>
          <w:szCs w:val="11"/>
          <w:color w:val="262626"/>
        </w:rPr>
        <w:t>Industry peers reflect Las Vegas Sands and MGM Resorts. Las Vegas Sands’ TSR is measured from the market close on the day of their IPO on 12/15/2004 (average annual TSR of approximately 3%). MGM Resorts’ TSR is measured from the close on the date of Wynn Resorts’ IPO on 10/25/2002 (average annual TSR of approximately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90805</wp:posOffset>
            </wp:positionV>
            <wp:extent cx="521335" cy="235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4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30</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960" w:right="340" w:hanging="185"/>
        <w:spacing w:after="0" w:line="243"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Maintaining Healthy Liquidity and Financial Flexibility.</w:t>
      </w:r>
      <w:r>
        <w:rPr>
          <w:rFonts w:ascii="Arial" w:cs="Arial" w:eastAsia="Arial" w:hAnsi="Arial"/>
          <w:sz w:val="14"/>
          <w:szCs w:val="14"/>
          <w:color w:val="CC870F"/>
        </w:rPr>
        <w:t xml:space="preserve"> </w:t>
      </w:r>
      <w:r>
        <w:rPr>
          <w:rFonts w:ascii="Arial" w:cs="Arial" w:eastAsia="Arial" w:hAnsi="Arial"/>
          <w:sz w:val="14"/>
          <w:szCs w:val="14"/>
          <w:color w:val="262626"/>
        </w:rPr>
        <w:t>As of December 31, 2018, the Company had approximately $2.2 billion of cash and cash</w:t>
      </w:r>
      <w:r>
        <w:rPr>
          <w:rFonts w:ascii="Arial" w:cs="Arial" w:eastAsia="Arial" w:hAnsi="Arial"/>
          <w:sz w:val="14"/>
          <w:szCs w:val="14"/>
          <w:color w:val="CC870F"/>
        </w:rPr>
        <w:t xml:space="preserve"> </w:t>
      </w:r>
      <w:r>
        <w:rPr>
          <w:rFonts w:ascii="Arial" w:cs="Arial" w:eastAsia="Arial" w:hAnsi="Arial"/>
          <w:sz w:val="14"/>
          <w:szCs w:val="14"/>
          <w:color w:val="262626"/>
        </w:rPr>
        <w:t>equivalents and approximately $731 million of undrawn debt capacity to help fund its current and potential future development projects. During 2018, the Company continued to improve the maturity profile of its debt obligations by amending and extending the Wynn Macau Credit Facilities and continued to improve the Company’s liquidity profile by retiring the Redemption Note and issuing approximately $927.5 million of equity to a strategic investor.</w:t>
      </w:r>
    </w:p>
    <w:p>
      <w:pPr>
        <w:spacing w:after="0" w:line="1" w:lineRule="exact"/>
        <w:rPr>
          <w:sz w:val="20"/>
          <w:szCs w:val="20"/>
          <w:color w:val="auto"/>
        </w:rPr>
      </w:pPr>
    </w:p>
    <w:p>
      <w:pPr>
        <w:ind w:left="960" w:right="22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Continuing to Return Significant Capital to our Shareholders.</w:t>
      </w:r>
      <w:r>
        <w:rPr>
          <w:rFonts w:ascii="Arial" w:cs="Arial" w:eastAsia="Arial" w:hAnsi="Arial"/>
          <w:sz w:val="14"/>
          <w:szCs w:val="14"/>
          <w:color w:val="CC870F"/>
        </w:rPr>
        <w:t xml:space="preserve"> </w:t>
      </w:r>
      <w:r>
        <w:rPr>
          <w:rFonts w:ascii="Arial" w:cs="Arial" w:eastAsia="Arial" w:hAnsi="Arial"/>
          <w:sz w:val="14"/>
          <w:szCs w:val="14"/>
          <w:color w:val="262626"/>
        </w:rPr>
        <w:t>During 2018, we raised our recurring quarterly dividend to $0.75 per share and returned</w:t>
      </w:r>
      <w:r>
        <w:rPr>
          <w:rFonts w:ascii="Arial" w:cs="Arial" w:eastAsia="Arial" w:hAnsi="Arial"/>
          <w:sz w:val="14"/>
          <w:szCs w:val="14"/>
          <w:color w:val="CC870F"/>
        </w:rPr>
        <w:t xml:space="preserve"> </w:t>
      </w:r>
      <w:r>
        <w:rPr>
          <w:rFonts w:ascii="Arial" w:cs="Arial" w:eastAsia="Arial" w:hAnsi="Arial"/>
          <w:sz w:val="14"/>
          <w:szCs w:val="14"/>
          <w:color w:val="262626"/>
        </w:rPr>
        <w:t>approximately $295 million of cash to shareholders through dividend payments. Through the end of 2018, we have returned approximately $6.9 billion ($63.50 per share) since our initial public offering in 2002.</w:t>
      </w:r>
    </w:p>
    <w:p>
      <w:pPr>
        <w:spacing w:after="0" w:line="1" w:lineRule="exact"/>
        <w:rPr>
          <w:sz w:val="20"/>
          <w:szCs w:val="20"/>
          <w:color w:val="auto"/>
        </w:rPr>
      </w:pPr>
    </w:p>
    <w:p>
      <w:pPr>
        <w:ind w:left="960" w:right="420" w:hanging="185"/>
        <w:spacing w:after="0" w:line="243"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b w:val="1"/>
          <w:bCs w:val="1"/>
          <w:color w:val="262626"/>
        </w:rPr>
        <w:t>Earned More Forbes Five-Star Awards than Any Independent Hotel Company In The World.</w:t>
      </w:r>
      <w:r>
        <w:rPr>
          <w:rFonts w:ascii="Arial" w:cs="Arial" w:eastAsia="Arial" w:hAnsi="Arial"/>
          <w:sz w:val="14"/>
          <w:szCs w:val="14"/>
          <w:color w:val="CC870F"/>
        </w:rPr>
        <w:t xml:space="preserve"> </w:t>
      </w:r>
      <w:r>
        <w:rPr>
          <w:rFonts w:ascii="Arial" w:cs="Arial" w:eastAsia="Arial" w:hAnsi="Arial"/>
          <w:sz w:val="14"/>
          <w:szCs w:val="14"/>
          <w:color w:val="262626"/>
        </w:rPr>
        <w:t>Wynn Macau is the only resort in the world with eight</w:t>
      </w:r>
      <w:r>
        <w:rPr>
          <w:rFonts w:ascii="Arial" w:cs="Arial" w:eastAsia="Arial" w:hAnsi="Arial"/>
          <w:sz w:val="14"/>
          <w:szCs w:val="14"/>
          <w:color w:val="CC870F"/>
        </w:rPr>
        <w:t xml:space="preserve"> </w:t>
      </w:r>
      <w:r>
        <w:rPr>
          <w:rFonts w:ascii="Arial" w:cs="Arial" w:eastAsia="Arial" w:hAnsi="Arial"/>
          <w:sz w:val="14"/>
          <w:szCs w:val="14"/>
          <w:color w:val="262626"/>
        </w:rPr>
        <w:t>Forbes Travel Guide Five-Star awards, and this year Wynn Palace won six Five Star awards. Collectively, the Company has 19 Five Star awards in its portfolio.</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HOW WE DESIGNED INCENTIVES IN 2018</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2018 HIGHLIGHTS:</w:t>
      </w:r>
    </w:p>
    <w:p>
      <w:pPr>
        <w:spacing w:after="0" w:line="12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In 2018, the Compensation Committee:</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Established financial and strategic goals to evaluate performance for the annual incentives, 50% of which was paid as equity.</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Overhauled the long-term incentive program to move from periodic grants to annual grants with three-year cliff vesting.</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Implemented a policy that at least 50% of long-term incentive grants would be performance-based.</w:t>
      </w:r>
    </w:p>
    <w:p>
      <w:pPr>
        <w:ind w:left="960" w:right="280" w:hanging="185"/>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Implemented, on a going forward basis, performance-based stock awards that vest upon achievement of pre-established financial performance goals that</w:t>
      </w:r>
      <w:r>
        <w:rPr>
          <w:rFonts w:ascii="Arial" w:cs="Arial" w:eastAsia="Arial" w:hAnsi="Arial"/>
          <w:sz w:val="14"/>
          <w:szCs w:val="14"/>
          <w:color w:val="CC870F"/>
        </w:rPr>
        <w:t xml:space="preserve"> </w:t>
      </w:r>
      <w:r>
        <w:rPr>
          <w:rFonts w:ascii="Arial" w:cs="Arial" w:eastAsia="Arial" w:hAnsi="Arial"/>
          <w:sz w:val="14"/>
          <w:szCs w:val="14"/>
          <w:color w:val="262626"/>
        </w:rPr>
        <w:t>are based on the Company’s ability to achieve a premium revenue and Adjusted Property EBITDA “fair share” relative to its peers (see discussion of this metric below), on a three-year basis.</w:t>
      </w:r>
    </w:p>
    <w:p>
      <w:pPr>
        <w:spacing w:after="0" w:line="1" w:lineRule="exact"/>
        <w:rPr>
          <w:sz w:val="20"/>
          <w:szCs w:val="20"/>
          <w:color w:val="auto"/>
        </w:rPr>
      </w:pPr>
    </w:p>
    <w:p>
      <w:pPr>
        <w:ind w:left="960" w:right="280" w:hanging="185"/>
        <w:spacing w:after="0" w:line="249"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Reaffirmed its commitment to compensate executives at the median with regard to total compensation, and conducted an overall analysis of all NEO total</w:t>
      </w:r>
      <w:r>
        <w:rPr>
          <w:rFonts w:ascii="Arial" w:cs="Arial" w:eastAsia="Arial" w:hAnsi="Arial"/>
          <w:sz w:val="14"/>
          <w:szCs w:val="14"/>
          <w:color w:val="CC870F"/>
        </w:rPr>
        <w:t xml:space="preserve"> </w:t>
      </w:r>
      <w:r>
        <w:rPr>
          <w:rFonts w:ascii="Arial" w:cs="Arial" w:eastAsia="Arial" w:hAnsi="Arial"/>
          <w:sz w:val="14"/>
          <w:szCs w:val="14"/>
          <w:color w:val="262626"/>
        </w:rPr>
        <w:t>compensation to confirm compliance.</w:t>
      </w:r>
    </w:p>
    <w:p>
      <w:pPr>
        <w:spacing w:after="0" w:line="151" w:lineRule="exact"/>
        <w:rPr>
          <w:sz w:val="20"/>
          <w:szCs w:val="20"/>
          <w:color w:val="auto"/>
        </w:rPr>
      </w:pPr>
    </w:p>
    <w:p>
      <w:pPr>
        <w:ind w:left="780" w:right="240"/>
        <w:spacing w:after="0" w:line="246" w:lineRule="auto"/>
        <w:rPr>
          <w:sz w:val="20"/>
          <w:szCs w:val="20"/>
          <w:color w:val="auto"/>
        </w:rPr>
      </w:pPr>
      <w:r>
        <w:rPr>
          <w:rFonts w:ascii="Arial" w:cs="Arial" w:eastAsia="Arial" w:hAnsi="Arial"/>
          <w:sz w:val="14"/>
          <w:szCs w:val="14"/>
          <w:b w:val="1"/>
          <w:bCs w:val="1"/>
          <w:color w:val="262626"/>
        </w:rPr>
        <w:t xml:space="preserve">Role of the Compensation Committee and Management in Setting Compensation: </w:t>
      </w:r>
      <w:r>
        <w:rPr>
          <w:rFonts w:ascii="Arial" w:cs="Arial" w:eastAsia="Arial" w:hAnsi="Arial"/>
          <w:sz w:val="14"/>
          <w:szCs w:val="14"/>
          <w:color w:val="262626"/>
        </w:rPr>
        <w:t>The Compensation Committee sets all elements of compensation for</w:t>
      </w:r>
      <w:r>
        <w:rPr>
          <w:rFonts w:ascii="Arial" w:cs="Arial" w:eastAsia="Arial" w:hAnsi="Arial"/>
          <w:sz w:val="14"/>
          <w:szCs w:val="14"/>
          <w:b w:val="1"/>
          <w:bCs w:val="1"/>
          <w:color w:val="262626"/>
        </w:rPr>
        <w:t xml:space="preserve"> </w:t>
      </w:r>
      <w:r>
        <w:rPr>
          <w:rFonts w:ascii="Arial" w:cs="Arial" w:eastAsia="Arial" w:hAnsi="Arial"/>
          <w:sz w:val="14"/>
          <w:szCs w:val="14"/>
          <w:color w:val="262626"/>
        </w:rPr>
        <w:t>our NEOs based upon consideration of an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201"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ELEMENTS OF PAY</w:t>
      </w:r>
    </w:p>
    <w:p>
      <w:pPr>
        <w:spacing w:after="0" w:line="98" w:lineRule="exact"/>
        <w:rPr>
          <w:sz w:val="20"/>
          <w:szCs w:val="20"/>
          <w:color w:val="auto"/>
        </w:rPr>
      </w:pPr>
    </w:p>
    <w:p>
      <w:pPr>
        <w:ind w:left="780" w:right="180"/>
        <w:spacing w:after="0"/>
        <w:rPr>
          <w:sz w:val="20"/>
          <w:szCs w:val="20"/>
          <w:color w:val="auto"/>
        </w:rPr>
      </w:pPr>
      <w:r>
        <w:rPr>
          <w:rFonts w:ascii="Arial" w:cs="Arial" w:eastAsia="Arial" w:hAnsi="Arial"/>
          <w:sz w:val="14"/>
          <w:szCs w:val="14"/>
          <w:color w:val="262626"/>
        </w:rPr>
        <w:t>We take a multi-year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We supplement that with a set of long-term incentives and holding requirements to support the sustainability of our reputation and our ongoing returns. The charts below highlight the focus on equity and at-risk mix of the total direct compensation for our current NEOs based on 2018 compensation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217805</wp:posOffset>
            </wp:positionV>
            <wp:extent cx="1219200" cy="12109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19200" cy="121094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217805</wp:posOffset>
            </wp:positionV>
            <wp:extent cx="1429385" cy="1219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29385" cy="121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31</w:t>
      </w:r>
    </w:p>
    <w:p>
      <w:pPr>
        <w:sectPr>
          <w:pgSz w:w="11900" w:h="16838" w:orient="portrait"/>
          <w:cols w:equalWidth="0" w:num="1">
            <w:col w:w="10800"/>
          </w:cols>
          <w:pgMar w:left="240" w:top="453" w:right="8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Compensation discussion and analysis</w:t>
      </w:r>
    </w:p>
    <w:p>
      <w:pPr>
        <w:spacing w:after="0" w:line="3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key elements of our compensation program are:</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52"/>
        </w:trPr>
        <w:tc>
          <w:tcPr>
            <w:tcW w:w="346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ELEMENT</w:t>
            </w:r>
          </w:p>
        </w:tc>
        <w:tc>
          <w:tcPr>
            <w:tcW w:w="6400" w:type="dxa"/>
            <w:vAlign w:val="bottom"/>
            <w:tcBorders>
              <w:bottom w:val="single" w:sz="8" w:color="A39B8C"/>
            </w:tcBorders>
            <w:shd w:val="clear" w:color="auto" w:fill="A39B8C"/>
          </w:tcPr>
          <w:p>
            <w:pPr>
              <w:ind w:left="200"/>
              <w:spacing w:after="0"/>
              <w:rPr>
                <w:sz w:val="20"/>
                <w:szCs w:val="20"/>
                <w:color w:val="auto"/>
              </w:rPr>
            </w:pPr>
            <w:r>
              <w:rPr>
                <w:rFonts w:ascii="Arial" w:cs="Arial" w:eastAsia="Arial" w:hAnsi="Arial"/>
                <w:sz w:val="9"/>
                <w:szCs w:val="9"/>
                <w:b w:val="1"/>
                <w:bCs w:val="1"/>
                <w:color w:val="FFFFFF"/>
              </w:rPr>
              <w:t>ROLE AND OBJECTIVE</w:t>
            </w:r>
          </w:p>
        </w:tc>
        <w:tc>
          <w:tcPr>
            <w:tcW w:w="20" w:type="dxa"/>
            <w:vAlign w:val="bottom"/>
            <w:tcBorders>
              <w:bottom w:val="single" w:sz="8" w:color="A39B8C"/>
            </w:tcBorders>
            <w:shd w:val="clear" w:color="auto" w:fill="A39B8C"/>
          </w:tcPr>
          <w:p>
            <w:pPr>
              <w:spacing w:after="0"/>
              <w:rPr>
                <w:sz w:val="13"/>
                <w:szCs w:val="13"/>
                <w:color w:val="auto"/>
              </w:rPr>
            </w:pPr>
          </w:p>
        </w:tc>
      </w:tr>
      <w:tr>
        <w:trPr>
          <w:trHeight w:val="182"/>
        </w:trPr>
        <w:tc>
          <w:tcPr>
            <w:tcW w:w="3460" w:type="dxa"/>
            <w:vAlign w:val="bottom"/>
          </w:tcPr>
          <w:p>
            <w:pPr>
              <w:ind w:left="80"/>
              <w:spacing w:after="0"/>
              <w:rPr>
                <w:sz w:val="20"/>
                <w:szCs w:val="20"/>
                <w:color w:val="auto"/>
              </w:rPr>
            </w:pPr>
            <w:r>
              <w:rPr>
                <w:rFonts w:ascii="Arial" w:cs="Arial" w:eastAsia="Arial" w:hAnsi="Arial"/>
                <w:sz w:val="11"/>
                <w:szCs w:val="11"/>
                <w:color w:val="262626"/>
              </w:rPr>
              <w:t>Base salary</w:t>
            </w:r>
          </w:p>
        </w:tc>
        <w:tc>
          <w:tcPr>
            <w:tcW w:w="6400" w:type="dxa"/>
            <w:vAlign w:val="bottom"/>
          </w:tcPr>
          <w:p>
            <w:pPr>
              <w:ind w:left="200"/>
              <w:spacing w:after="0"/>
              <w:rPr>
                <w:sz w:val="20"/>
                <w:szCs w:val="20"/>
                <w:color w:val="auto"/>
              </w:rPr>
            </w:pPr>
            <w:r>
              <w:rPr>
                <w:rFonts w:ascii="Arial" w:cs="Arial" w:eastAsia="Arial" w:hAnsi="Arial"/>
                <w:sz w:val="11"/>
                <w:szCs w:val="11"/>
                <w:color w:val="CC870F"/>
                <w:w w:val="99"/>
              </w:rPr>
              <w:t xml:space="preserve">–  </w:t>
            </w:r>
            <w:r>
              <w:rPr>
                <w:rFonts w:ascii="Arial" w:cs="Arial" w:eastAsia="Arial" w:hAnsi="Arial"/>
                <w:sz w:val="11"/>
                <w:szCs w:val="11"/>
                <w:color w:val="262626"/>
                <w:w w:val="99"/>
              </w:rPr>
              <w:t>Provide competitive, fixed, cash compensation to attract and retain top employees and recognize sustained performance, job</w:t>
            </w:r>
          </w:p>
        </w:tc>
        <w:tc>
          <w:tcPr>
            <w:tcW w:w="20" w:type="dxa"/>
            <w:vAlign w:val="bottom"/>
          </w:tcPr>
          <w:p>
            <w:pPr>
              <w:spacing w:after="0"/>
              <w:rPr>
                <w:sz w:val="15"/>
                <w:szCs w:val="15"/>
                <w:color w:val="auto"/>
              </w:rPr>
            </w:pPr>
          </w:p>
        </w:tc>
      </w:tr>
      <w:tr>
        <w:trPr>
          <w:trHeight w:val="126"/>
        </w:trPr>
        <w:tc>
          <w:tcPr>
            <w:tcW w:w="3460" w:type="dxa"/>
            <w:vAlign w:val="bottom"/>
          </w:tcPr>
          <w:p>
            <w:pPr>
              <w:spacing w:after="0"/>
              <w:rPr>
                <w:sz w:val="10"/>
                <w:szCs w:val="10"/>
                <w:color w:val="auto"/>
              </w:rPr>
            </w:pPr>
          </w:p>
        </w:tc>
        <w:tc>
          <w:tcPr>
            <w:tcW w:w="6400" w:type="dxa"/>
            <w:vAlign w:val="bottom"/>
          </w:tcPr>
          <w:p>
            <w:pPr>
              <w:ind w:left="360"/>
              <w:spacing w:after="0"/>
              <w:rPr>
                <w:sz w:val="20"/>
                <w:szCs w:val="20"/>
                <w:color w:val="auto"/>
              </w:rPr>
            </w:pPr>
            <w:r>
              <w:rPr>
                <w:rFonts w:ascii="Arial" w:cs="Arial" w:eastAsia="Arial" w:hAnsi="Arial"/>
                <w:sz w:val="11"/>
                <w:szCs w:val="11"/>
                <w:color w:val="262626"/>
              </w:rPr>
              <w:t>scope and experience</w:t>
            </w:r>
          </w:p>
        </w:tc>
        <w:tc>
          <w:tcPr>
            <w:tcW w:w="20" w:type="dxa"/>
            <w:vAlign w:val="bottom"/>
          </w:tcPr>
          <w:p>
            <w:pPr>
              <w:spacing w:after="0"/>
              <w:rPr>
                <w:sz w:val="10"/>
                <w:szCs w:val="10"/>
                <w:color w:val="auto"/>
              </w:rPr>
            </w:pPr>
          </w:p>
        </w:tc>
      </w:tr>
      <w:tr>
        <w:trPr>
          <w:trHeight w:val="49"/>
        </w:trPr>
        <w:tc>
          <w:tcPr>
            <w:tcW w:w="346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346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Annual incentives</w:t>
            </w:r>
          </w:p>
        </w:tc>
        <w:tc>
          <w:tcPr>
            <w:tcW w:w="6400" w:type="dxa"/>
            <w:vAlign w:val="bottom"/>
            <w:shd w:val="clear" w:color="auto" w:fill="ECEBE8"/>
          </w:tcPr>
          <w:p>
            <w:pPr>
              <w:ind w:left="2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Incentivize executives, enforce accountability and motivate and reward achievement of annual and long-term goals</w:t>
            </w:r>
          </w:p>
        </w:tc>
        <w:tc>
          <w:tcPr>
            <w:tcW w:w="20" w:type="dxa"/>
            <w:vAlign w:val="bottom"/>
          </w:tcPr>
          <w:p>
            <w:pPr>
              <w:spacing w:after="0"/>
              <w:rPr>
                <w:sz w:val="15"/>
                <w:szCs w:val="15"/>
                <w:color w:val="auto"/>
              </w:rPr>
            </w:pPr>
          </w:p>
        </w:tc>
      </w:tr>
      <w:tr>
        <w:trPr>
          <w:trHeight w:val="119"/>
        </w:trPr>
        <w:tc>
          <w:tcPr>
            <w:tcW w:w="3460" w:type="dxa"/>
            <w:vAlign w:val="bottom"/>
            <w:shd w:val="clear" w:color="auto" w:fill="ECEBE8"/>
          </w:tcPr>
          <w:p>
            <w:pPr>
              <w:spacing w:after="0"/>
              <w:rPr>
                <w:sz w:val="10"/>
                <w:szCs w:val="10"/>
                <w:color w:val="auto"/>
              </w:rPr>
            </w:pPr>
          </w:p>
        </w:tc>
        <w:tc>
          <w:tcPr>
            <w:tcW w:w="6400" w:type="dxa"/>
            <w:vAlign w:val="bottom"/>
            <w:shd w:val="clear" w:color="auto" w:fill="ECEBE8"/>
          </w:tcPr>
          <w:p>
            <w:pPr>
              <w:ind w:left="200"/>
              <w:spacing w:after="0" w:line="120" w:lineRule="exact"/>
              <w:rPr>
                <w:sz w:val="20"/>
                <w:szCs w:val="20"/>
                <w:color w:val="auto"/>
              </w:rPr>
            </w:pPr>
            <w:r>
              <w:rPr>
                <w:rFonts w:ascii="Arial" w:cs="Arial" w:eastAsia="Arial" w:hAnsi="Arial"/>
                <w:sz w:val="11"/>
                <w:szCs w:val="11"/>
                <w:color w:val="CC870F"/>
                <w:w w:val="97"/>
              </w:rPr>
              <w:t xml:space="preserve">–  </w:t>
            </w:r>
            <w:r>
              <w:rPr>
                <w:rFonts w:ascii="Arial" w:cs="Arial" w:eastAsia="Arial" w:hAnsi="Arial"/>
                <w:sz w:val="11"/>
                <w:szCs w:val="11"/>
                <w:color w:val="262626"/>
                <w:w w:val="97"/>
              </w:rPr>
              <w:t>50% of annual incentive awards paid in stock and subject to NEO holding requirements, further aligning executive and long-term</w:t>
            </w:r>
          </w:p>
        </w:tc>
        <w:tc>
          <w:tcPr>
            <w:tcW w:w="20" w:type="dxa"/>
            <w:vAlign w:val="bottom"/>
          </w:tcPr>
          <w:p>
            <w:pPr>
              <w:spacing w:after="0"/>
              <w:rPr>
                <w:sz w:val="10"/>
                <w:szCs w:val="10"/>
                <w:color w:val="auto"/>
              </w:rPr>
            </w:pPr>
          </w:p>
        </w:tc>
      </w:tr>
      <w:tr>
        <w:trPr>
          <w:trHeight w:val="126"/>
        </w:trPr>
        <w:tc>
          <w:tcPr>
            <w:tcW w:w="3460" w:type="dxa"/>
            <w:vAlign w:val="bottom"/>
            <w:shd w:val="clear" w:color="auto" w:fill="ECEBE8"/>
          </w:tcPr>
          <w:p>
            <w:pPr>
              <w:spacing w:after="0"/>
              <w:rPr>
                <w:sz w:val="10"/>
                <w:szCs w:val="10"/>
                <w:color w:val="auto"/>
              </w:rPr>
            </w:pPr>
          </w:p>
        </w:tc>
        <w:tc>
          <w:tcPr>
            <w:tcW w:w="6400" w:type="dxa"/>
            <w:vAlign w:val="bottom"/>
            <w:shd w:val="clear" w:color="auto" w:fill="ECEBE8"/>
          </w:tcPr>
          <w:p>
            <w:pPr>
              <w:ind w:left="360"/>
              <w:spacing w:after="0"/>
              <w:rPr>
                <w:sz w:val="20"/>
                <w:szCs w:val="20"/>
                <w:color w:val="auto"/>
              </w:rPr>
            </w:pPr>
            <w:r>
              <w:rPr>
                <w:rFonts w:ascii="Arial" w:cs="Arial" w:eastAsia="Arial" w:hAnsi="Arial"/>
                <w:sz w:val="11"/>
                <w:szCs w:val="11"/>
                <w:color w:val="262626"/>
              </w:rPr>
              <w:t>shareholder interests</w:t>
            </w:r>
          </w:p>
        </w:tc>
        <w:tc>
          <w:tcPr>
            <w:tcW w:w="20" w:type="dxa"/>
            <w:vAlign w:val="bottom"/>
          </w:tcPr>
          <w:p>
            <w:pPr>
              <w:spacing w:after="0"/>
              <w:rPr>
                <w:sz w:val="10"/>
                <w:szCs w:val="10"/>
                <w:color w:val="auto"/>
              </w:rPr>
            </w:pPr>
          </w:p>
        </w:tc>
      </w:tr>
      <w:tr>
        <w:trPr>
          <w:trHeight w:val="63"/>
        </w:trPr>
        <w:tc>
          <w:tcPr>
            <w:tcW w:w="3460" w:type="dxa"/>
            <w:vAlign w:val="bottom"/>
            <w:shd w:val="clear" w:color="auto" w:fill="ECEBE8"/>
          </w:tcPr>
          <w:p>
            <w:pPr>
              <w:spacing w:after="0"/>
              <w:rPr>
                <w:sz w:val="5"/>
                <w:szCs w:val="5"/>
                <w:color w:val="auto"/>
              </w:rPr>
            </w:pPr>
          </w:p>
        </w:tc>
        <w:tc>
          <w:tcPr>
            <w:tcW w:w="6400" w:type="dxa"/>
            <w:vAlign w:val="bottom"/>
            <w:shd w:val="clear" w:color="auto" w:fill="ECEBE8"/>
          </w:tcPr>
          <w:p>
            <w:pPr>
              <w:spacing w:after="0"/>
              <w:rPr>
                <w:sz w:val="5"/>
                <w:szCs w:val="5"/>
                <w:color w:val="auto"/>
              </w:rPr>
            </w:pPr>
          </w:p>
        </w:tc>
        <w:tc>
          <w:tcPr>
            <w:tcW w:w="20" w:type="dxa"/>
            <w:vAlign w:val="bottom"/>
          </w:tcPr>
          <w:p>
            <w:pPr>
              <w:spacing w:after="0"/>
              <w:rPr>
                <w:sz w:val="5"/>
                <w:szCs w:val="5"/>
                <w:color w:val="auto"/>
              </w:rPr>
            </w:pPr>
          </w:p>
        </w:tc>
      </w:tr>
      <w:tr>
        <w:trPr>
          <w:trHeight w:val="182"/>
        </w:trPr>
        <w:tc>
          <w:tcPr>
            <w:tcW w:w="3460" w:type="dxa"/>
            <w:vAlign w:val="bottom"/>
          </w:tcPr>
          <w:p>
            <w:pPr>
              <w:ind w:left="80"/>
              <w:spacing w:after="0"/>
              <w:rPr>
                <w:sz w:val="20"/>
                <w:szCs w:val="20"/>
                <w:color w:val="auto"/>
              </w:rPr>
            </w:pPr>
            <w:r>
              <w:rPr>
                <w:rFonts w:ascii="Arial" w:cs="Arial" w:eastAsia="Arial" w:hAnsi="Arial"/>
                <w:sz w:val="11"/>
                <w:szCs w:val="11"/>
                <w:color w:val="262626"/>
              </w:rPr>
              <w:t>Long-term incentives: stock options &amp; restricted stock</w:t>
            </w:r>
          </w:p>
        </w:tc>
        <w:tc>
          <w:tcPr>
            <w:tcW w:w="6400" w:type="dxa"/>
            <w:vAlign w:val="bottom"/>
          </w:tcPr>
          <w:p>
            <w:pPr>
              <w:ind w:left="2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Ensure focus on long-term value creation, align executive and long-term shareholder interests, and promote retention</w:t>
            </w:r>
          </w:p>
        </w:tc>
        <w:tc>
          <w:tcPr>
            <w:tcW w:w="20" w:type="dxa"/>
            <w:vAlign w:val="bottom"/>
          </w:tcPr>
          <w:p>
            <w:pPr>
              <w:spacing w:after="0"/>
              <w:rPr>
                <w:sz w:val="15"/>
                <w:szCs w:val="15"/>
                <w:color w:val="auto"/>
              </w:rPr>
            </w:pPr>
          </w:p>
        </w:tc>
      </w:tr>
      <w:tr>
        <w:trPr>
          <w:trHeight w:val="119"/>
        </w:trPr>
        <w:tc>
          <w:tcPr>
            <w:tcW w:w="3460" w:type="dxa"/>
            <w:vAlign w:val="bottom"/>
          </w:tcPr>
          <w:p>
            <w:pPr>
              <w:spacing w:after="0"/>
              <w:rPr>
                <w:sz w:val="10"/>
                <w:szCs w:val="10"/>
                <w:color w:val="auto"/>
              </w:rPr>
            </w:pPr>
          </w:p>
        </w:tc>
        <w:tc>
          <w:tcPr>
            <w:tcW w:w="6400" w:type="dxa"/>
            <w:vAlign w:val="bottom"/>
          </w:tcPr>
          <w:p>
            <w:pPr>
              <w:ind w:left="200"/>
              <w:spacing w:after="0" w:line="120" w:lineRule="exact"/>
              <w:rPr>
                <w:sz w:val="20"/>
                <w:szCs w:val="20"/>
                <w:color w:val="auto"/>
              </w:rPr>
            </w:pPr>
            <w:r>
              <w:rPr>
                <w:rFonts w:ascii="Arial" w:cs="Arial" w:eastAsia="Arial" w:hAnsi="Arial"/>
                <w:sz w:val="11"/>
                <w:szCs w:val="11"/>
                <w:color w:val="CC870F"/>
                <w:w w:val="96"/>
              </w:rPr>
              <w:t xml:space="preserve">–  </w:t>
            </w:r>
            <w:r>
              <w:rPr>
                <w:rFonts w:ascii="Arial" w:cs="Arial" w:eastAsia="Arial" w:hAnsi="Arial"/>
                <w:sz w:val="11"/>
                <w:szCs w:val="11"/>
                <w:color w:val="262626"/>
                <w:w w:val="96"/>
              </w:rPr>
              <w:t>50% of equity awards granted as performance-based stock that vest solely based on company performance on preset goals over</w:t>
            </w:r>
          </w:p>
        </w:tc>
        <w:tc>
          <w:tcPr>
            <w:tcW w:w="20" w:type="dxa"/>
            <w:vAlign w:val="bottom"/>
          </w:tcPr>
          <w:p>
            <w:pPr>
              <w:spacing w:after="0"/>
              <w:rPr>
                <w:sz w:val="10"/>
                <w:szCs w:val="10"/>
                <w:color w:val="auto"/>
              </w:rPr>
            </w:pPr>
          </w:p>
        </w:tc>
      </w:tr>
      <w:tr>
        <w:trPr>
          <w:trHeight w:val="126"/>
        </w:trPr>
        <w:tc>
          <w:tcPr>
            <w:tcW w:w="3460" w:type="dxa"/>
            <w:vAlign w:val="bottom"/>
          </w:tcPr>
          <w:p>
            <w:pPr>
              <w:spacing w:after="0"/>
              <w:rPr>
                <w:sz w:val="10"/>
                <w:szCs w:val="10"/>
                <w:color w:val="auto"/>
              </w:rPr>
            </w:pPr>
          </w:p>
        </w:tc>
        <w:tc>
          <w:tcPr>
            <w:tcW w:w="6400" w:type="dxa"/>
            <w:vAlign w:val="bottom"/>
          </w:tcPr>
          <w:p>
            <w:pPr>
              <w:ind w:left="360"/>
              <w:spacing w:after="0"/>
              <w:rPr>
                <w:sz w:val="20"/>
                <w:szCs w:val="20"/>
                <w:color w:val="auto"/>
              </w:rPr>
            </w:pPr>
            <w:r>
              <w:rPr>
                <w:rFonts w:ascii="Arial" w:cs="Arial" w:eastAsia="Arial" w:hAnsi="Arial"/>
                <w:sz w:val="11"/>
                <w:szCs w:val="11"/>
                <w:color w:val="262626"/>
              </w:rPr>
              <w:t>a three-year performance period, linking the creation of shareholder value to incentives earned</w:t>
            </w:r>
          </w:p>
        </w:tc>
        <w:tc>
          <w:tcPr>
            <w:tcW w:w="20" w:type="dxa"/>
            <w:vAlign w:val="bottom"/>
          </w:tcPr>
          <w:p>
            <w:pPr>
              <w:spacing w:after="0"/>
              <w:rPr>
                <w:sz w:val="10"/>
                <w:szCs w:val="10"/>
                <w:color w:val="auto"/>
              </w:rPr>
            </w:pPr>
          </w:p>
        </w:tc>
      </w:tr>
      <w:tr>
        <w:trPr>
          <w:trHeight w:val="63"/>
        </w:trPr>
        <w:tc>
          <w:tcPr>
            <w:tcW w:w="346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2"/>
        </w:trPr>
        <w:tc>
          <w:tcPr>
            <w:tcW w:w="346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Executive benefits</w:t>
            </w:r>
          </w:p>
        </w:tc>
        <w:tc>
          <w:tcPr>
            <w:tcW w:w="6400" w:type="dxa"/>
            <w:vAlign w:val="bottom"/>
            <w:shd w:val="clear" w:color="auto" w:fill="ECEBE8"/>
          </w:tcPr>
          <w:p>
            <w:pPr>
              <w:ind w:left="200"/>
              <w:spacing w:after="0"/>
              <w:rPr>
                <w:sz w:val="20"/>
                <w:szCs w:val="20"/>
                <w:color w:val="auto"/>
              </w:rPr>
            </w:pPr>
            <w:r>
              <w:rPr>
                <w:rFonts w:ascii="Arial" w:cs="Arial" w:eastAsia="Arial" w:hAnsi="Arial"/>
                <w:sz w:val="11"/>
                <w:szCs w:val="11"/>
                <w:color w:val="CC870F"/>
              </w:rPr>
              <w:t xml:space="preserve">–  </w:t>
            </w:r>
            <w:r>
              <w:rPr>
                <w:rFonts w:ascii="Arial" w:cs="Arial" w:eastAsia="Arial" w:hAnsi="Arial"/>
                <w:sz w:val="11"/>
                <w:szCs w:val="11"/>
                <w:color w:val="262626"/>
              </w:rPr>
              <w:t>Promote executive and family well-being through health and insurance benefits, complimentary resort privileges and</w:t>
            </w:r>
          </w:p>
        </w:tc>
        <w:tc>
          <w:tcPr>
            <w:tcW w:w="20" w:type="dxa"/>
            <w:vAlign w:val="bottom"/>
          </w:tcPr>
          <w:p>
            <w:pPr>
              <w:spacing w:after="0"/>
              <w:rPr>
                <w:sz w:val="15"/>
                <w:szCs w:val="15"/>
                <w:color w:val="auto"/>
              </w:rPr>
            </w:pPr>
          </w:p>
        </w:tc>
      </w:tr>
      <w:tr>
        <w:trPr>
          <w:trHeight w:val="126"/>
        </w:trPr>
        <w:tc>
          <w:tcPr>
            <w:tcW w:w="3460" w:type="dxa"/>
            <w:vAlign w:val="bottom"/>
            <w:shd w:val="clear" w:color="auto" w:fill="ECEBE8"/>
          </w:tcPr>
          <w:p>
            <w:pPr>
              <w:spacing w:after="0"/>
              <w:rPr>
                <w:sz w:val="10"/>
                <w:szCs w:val="10"/>
                <w:color w:val="auto"/>
              </w:rPr>
            </w:pPr>
          </w:p>
        </w:tc>
        <w:tc>
          <w:tcPr>
            <w:tcW w:w="6400" w:type="dxa"/>
            <w:vAlign w:val="bottom"/>
            <w:shd w:val="clear" w:color="auto" w:fill="ECEBE8"/>
          </w:tcPr>
          <w:p>
            <w:pPr>
              <w:ind w:left="360"/>
              <w:spacing w:after="0"/>
              <w:rPr>
                <w:sz w:val="20"/>
                <w:szCs w:val="20"/>
                <w:color w:val="auto"/>
              </w:rPr>
            </w:pPr>
            <w:r>
              <w:rPr>
                <w:rFonts w:ascii="Arial" w:cs="Arial" w:eastAsia="Arial" w:hAnsi="Arial"/>
                <w:sz w:val="11"/>
                <w:szCs w:val="11"/>
                <w:color w:val="262626"/>
              </w:rPr>
              <w:t>merchandise discounts</w:t>
            </w:r>
          </w:p>
        </w:tc>
        <w:tc>
          <w:tcPr>
            <w:tcW w:w="20" w:type="dxa"/>
            <w:vAlign w:val="bottom"/>
          </w:tcPr>
          <w:p>
            <w:pPr>
              <w:spacing w:after="0"/>
              <w:rPr>
                <w:sz w:val="10"/>
                <w:szCs w:val="10"/>
                <w:color w:val="auto"/>
              </w:rPr>
            </w:pPr>
          </w:p>
        </w:tc>
      </w:tr>
      <w:tr>
        <w:trPr>
          <w:trHeight w:val="49"/>
        </w:trPr>
        <w:tc>
          <w:tcPr>
            <w:tcW w:w="3460" w:type="dxa"/>
            <w:vAlign w:val="bottom"/>
            <w:shd w:val="clear" w:color="auto" w:fill="ECEBE8"/>
          </w:tcPr>
          <w:p>
            <w:pPr>
              <w:spacing w:after="0"/>
              <w:rPr>
                <w:sz w:val="4"/>
                <w:szCs w:val="4"/>
                <w:color w:val="auto"/>
              </w:rPr>
            </w:pPr>
          </w:p>
        </w:tc>
        <w:tc>
          <w:tcPr>
            <w:tcW w:w="6400" w:type="dxa"/>
            <w:vAlign w:val="bottom"/>
            <w:shd w:val="clear" w:color="auto" w:fill="ECEBE8"/>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-1092835</wp:posOffset>
            </wp:positionV>
            <wp:extent cx="825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179" w:lineRule="exact"/>
        <w:rPr>
          <w:sz w:val="20"/>
          <w:szCs w:val="20"/>
          <w:color w:val="auto"/>
        </w:rPr>
      </w:pPr>
    </w:p>
    <w:p>
      <w:pPr>
        <w:ind w:left="780" w:right="380"/>
        <w:spacing w:after="0" w:line="256" w:lineRule="auto"/>
        <w:rPr>
          <w:sz w:val="20"/>
          <w:szCs w:val="20"/>
          <w:color w:val="auto"/>
        </w:rPr>
      </w:pPr>
      <w:r>
        <w:rPr>
          <w:rFonts w:ascii="Arial" w:cs="Arial" w:eastAsia="Arial" w:hAnsi="Arial"/>
          <w:sz w:val="14"/>
          <w:szCs w:val="14"/>
          <w:b w:val="1"/>
          <w:bCs w:val="1"/>
          <w:color w:val="262626"/>
        </w:rPr>
        <w:t xml:space="preserve">Base Salary: </w:t>
      </w:r>
      <w:r>
        <w:rPr>
          <w:rFonts w:ascii="Arial" w:cs="Arial" w:eastAsia="Arial" w:hAnsi="Arial"/>
          <w:sz w:val="14"/>
          <w:szCs w:val="14"/>
          <w:color w:val="262626"/>
        </w:rPr>
        <w:t>Negotiated employment agreements establish our NEOs’ initial base salaries. We review and adjust their base salaries periodically to stay</w:t>
      </w:r>
      <w:r>
        <w:rPr>
          <w:rFonts w:ascii="Arial" w:cs="Arial" w:eastAsia="Arial" w:hAnsi="Arial"/>
          <w:sz w:val="14"/>
          <w:szCs w:val="14"/>
          <w:b w:val="1"/>
          <w:bCs w:val="1"/>
          <w:color w:val="262626"/>
        </w:rPr>
        <w:t xml:space="preserve"> </w:t>
      </w:r>
      <w:r>
        <w:rPr>
          <w:rFonts w:ascii="Arial" w:cs="Arial" w:eastAsia="Arial" w:hAnsi="Arial"/>
          <w:sz w:val="14"/>
          <w:szCs w:val="14"/>
          <w:color w:val="262626"/>
        </w:rPr>
        <w:t>competitive, to reflect improvements in performance, capabilities, and experience, and reward expansions of responsibility or other extraordinary circumstances. Base salaries for the NEOs as of December 31, 2018 and 2017 were:</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152"/>
        </w:trPr>
        <w:tc>
          <w:tcPr>
            <w:tcW w:w="534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EXECUTIVE</w:t>
            </w:r>
          </w:p>
        </w:tc>
        <w:tc>
          <w:tcPr>
            <w:tcW w:w="820" w:type="dxa"/>
            <w:vAlign w:val="bottom"/>
            <w:tcBorders>
              <w:bottom w:val="single" w:sz="8" w:color="A39B8C"/>
            </w:tcBorders>
            <w:shd w:val="clear" w:color="auto" w:fill="A39B8C"/>
          </w:tcPr>
          <w:p>
            <w:pPr>
              <w:spacing w:after="0"/>
              <w:rPr>
                <w:sz w:val="13"/>
                <w:szCs w:val="13"/>
                <w:color w:val="auto"/>
              </w:rPr>
            </w:pPr>
          </w:p>
        </w:tc>
        <w:tc>
          <w:tcPr>
            <w:tcW w:w="86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w w:val="96"/>
              </w:rPr>
              <w:t>2018 BASE SALARY</w:t>
            </w:r>
          </w:p>
        </w:tc>
        <w:tc>
          <w:tcPr>
            <w:tcW w:w="820" w:type="dxa"/>
            <w:vAlign w:val="bottom"/>
            <w:tcBorders>
              <w:bottom w:val="single" w:sz="8" w:color="A39B8C"/>
            </w:tcBorders>
            <w:shd w:val="clear" w:color="auto" w:fill="A39B8C"/>
          </w:tcPr>
          <w:p>
            <w:pPr>
              <w:spacing w:after="0"/>
              <w:rPr>
                <w:sz w:val="13"/>
                <w:szCs w:val="13"/>
                <w:color w:val="auto"/>
              </w:rPr>
            </w:pPr>
          </w:p>
        </w:tc>
        <w:tc>
          <w:tcPr>
            <w:tcW w:w="1200" w:type="dxa"/>
            <w:vAlign w:val="bottom"/>
            <w:tcBorders>
              <w:bottom w:val="single" w:sz="8" w:color="A39B8C"/>
            </w:tcBorders>
            <w:shd w:val="clear" w:color="auto" w:fill="A39B8C"/>
          </w:tcPr>
          <w:p>
            <w:pPr>
              <w:jc w:val="right"/>
              <w:ind w:right="289"/>
              <w:spacing w:after="0"/>
              <w:rPr>
                <w:sz w:val="20"/>
                <w:szCs w:val="20"/>
                <w:color w:val="auto"/>
              </w:rPr>
            </w:pPr>
            <w:r>
              <w:rPr>
                <w:rFonts w:ascii="Arial" w:cs="Arial" w:eastAsia="Arial" w:hAnsi="Arial"/>
                <w:sz w:val="9"/>
                <w:szCs w:val="9"/>
                <w:b w:val="1"/>
                <w:bCs w:val="1"/>
                <w:color w:val="FFFFFF"/>
                <w:w w:val="96"/>
              </w:rPr>
              <w:t>2017 BASE SALARY</w:t>
            </w:r>
          </w:p>
        </w:tc>
        <w:tc>
          <w:tcPr>
            <w:tcW w:w="82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INCREASE</w:t>
            </w:r>
          </w:p>
        </w:tc>
        <w:tc>
          <w:tcPr>
            <w:tcW w:w="20" w:type="dxa"/>
            <w:vAlign w:val="bottom"/>
            <w:tcBorders>
              <w:bottom w:val="single" w:sz="8" w:color="A39B8C"/>
            </w:tcBorders>
            <w:shd w:val="clear" w:color="auto" w:fill="A39B8C"/>
          </w:tcPr>
          <w:p>
            <w:pPr>
              <w:spacing w:after="0"/>
              <w:rPr>
                <w:sz w:val="13"/>
                <w:szCs w:val="13"/>
                <w:color w:val="auto"/>
              </w:rPr>
            </w:pPr>
          </w:p>
        </w:tc>
      </w:tr>
      <w:tr>
        <w:trPr>
          <w:trHeight w:val="149"/>
        </w:trPr>
        <w:tc>
          <w:tcPr>
            <w:tcW w:w="5340" w:type="dxa"/>
            <w:vAlign w:val="bottom"/>
          </w:tcPr>
          <w:p>
            <w:pPr>
              <w:ind w:left="80"/>
              <w:spacing w:after="0"/>
              <w:rPr>
                <w:sz w:val="20"/>
                <w:szCs w:val="20"/>
                <w:color w:val="auto"/>
              </w:rPr>
            </w:pPr>
            <w:r>
              <w:rPr>
                <w:rFonts w:ascii="Arial" w:cs="Arial" w:eastAsia="Arial" w:hAnsi="Arial"/>
                <w:sz w:val="11"/>
                <w:szCs w:val="11"/>
                <w:color w:val="262626"/>
              </w:rPr>
              <w:t>Matt Maddox</w:t>
            </w:r>
            <w:r>
              <w:rPr>
                <w:rFonts w:ascii="Arial" w:cs="Arial" w:eastAsia="Arial" w:hAnsi="Arial"/>
                <w:sz w:val="9"/>
                <w:szCs w:val="9"/>
                <w:color w:val="262626"/>
              </w:rPr>
              <w:t>(1)</w:t>
            </w:r>
          </w:p>
        </w:tc>
        <w:tc>
          <w:tcPr>
            <w:tcW w:w="820" w:type="dxa"/>
            <w:vAlign w:val="bottom"/>
          </w:tcPr>
          <w:p>
            <w:pPr>
              <w:jc w:val="right"/>
              <w:spacing w:after="0"/>
              <w:rPr>
                <w:sz w:val="20"/>
                <w:szCs w:val="20"/>
                <w:color w:val="auto"/>
              </w:rPr>
            </w:pPr>
            <w:r>
              <w:rPr>
                <w:rFonts w:ascii="Arial" w:cs="Arial" w:eastAsia="Arial" w:hAnsi="Arial"/>
                <w:sz w:val="11"/>
                <w:szCs w:val="11"/>
                <w:color w:val="262626"/>
              </w:rPr>
              <w:t>$</w:t>
            </w:r>
          </w:p>
        </w:tc>
        <w:tc>
          <w:tcPr>
            <w:tcW w:w="860" w:type="dxa"/>
            <w:vAlign w:val="bottom"/>
          </w:tcPr>
          <w:p>
            <w:pPr>
              <w:jc w:val="right"/>
              <w:ind w:right="349"/>
              <w:spacing w:after="0"/>
              <w:rPr>
                <w:sz w:val="20"/>
                <w:szCs w:val="20"/>
                <w:color w:val="auto"/>
              </w:rPr>
            </w:pPr>
            <w:r>
              <w:rPr>
                <w:rFonts w:ascii="Arial" w:cs="Arial" w:eastAsia="Arial" w:hAnsi="Arial"/>
                <w:sz w:val="11"/>
                <w:szCs w:val="11"/>
                <w:color w:val="262626"/>
                <w:w w:val="89"/>
              </w:rPr>
              <w:t>2,000,000</w:t>
            </w:r>
          </w:p>
        </w:tc>
        <w:tc>
          <w:tcPr>
            <w:tcW w:w="820" w:type="dxa"/>
            <w:vAlign w:val="bottom"/>
          </w:tcPr>
          <w:p>
            <w:pPr>
              <w:jc w:val="right"/>
              <w:spacing w:after="0"/>
              <w:rPr>
                <w:sz w:val="20"/>
                <w:szCs w:val="20"/>
                <w:color w:val="auto"/>
              </w:rPr>
            </w:pPr>
            <w:r>
              <w:rPr>
                <w:rFonts w:ascii="Arial" w:cs="Arial" w:eastAsia="Arial" w:hAnsi="Arial"/>
                <w:sz w:val="11"/>
                <w:szCs w:val="11"/>
                <w:color w:val="262626"/>
              </w:rPr>
              <w:t>$</w:t>
            </w:r>
          </w:p>
        </w:tc>
        <w:tc>
          <w:tcPr>
            <w:tcW w:w="1200" w:type="dxa"/>
            <w:vAlign w:val="bottom"/>
          </w:tcPr>
          <w:p>
            <w:pPr>
              <w:jc w:val="right"/>
              <w:ind w:right="669"/>
              <w:spacing w:after="0"/>
              <w:rPr>
                <w:sz w:val="20"/>
                <w:szCs w:val="20"/>
                <w:color w:val="auto"/>
              </w:rPr>
            </w:pPr>
            <w:r>
              <w:rPr>
                <w:rFonts w:ascii="Arial" w:cs="Arial" w:eastAsia="Arial" w:hAnsi="Arial"/>
                <w:sz w:val="11"/>
                <w:szCs w:val="11"/>
                <w:color w:val="262626"/>
                <w:w w:val="93"/>
              </w:rPr>
              <w:t>1,500,000</w:t>
            </w:r>
          </w:p>
        </w:tc>
        <w:tc>
          <w:tcPr>
            <w:tcW w:w="820" w:type="dxa"/>
            <w:vAlign w:val="bottom"/>
          </w:tcPr>
          <w:p>
            <w:pPr>
              <w:jc w:val="right"/>
              <w:ind w:right="229"/>
              <w:spacing w:after="0"/>
              <w:rPr>
                <w:sz w:val="20"/>
                <w:szCs w:val="20"/>
                <w:color w:val="auto"/>
              </w:rPr>
            </w:pPr>
            <w:r>
              <w:rPr>
                <w:rFonts w:ascii="Arial" w:cs="Arial" w:eastAsia="Arial" w:hAnsi="Arial"/>
                <w:sz w:val="11"/>
                <w:szCs w:val="11"/>
                <w:color w:val="262626"/>
              </w:rPr>
              <w:t>33%</w:t>
            </w:r>
          </w:p>
        </w:tc>
        <w:tc>
          <w:tcPr>
            <w:tcW w:w="20" w:type="dxa"/>
            <w:vAlign w:val="bottom"/>
          </w:tcPr>
          <w:p>
            <w:pPr>
              <w:spacing w:after="0"/>
              <w:rPr>
                <w:sz w:val="12"/>
                <w:szCs w:val="12"/>
                <w:color w:val="auto"/>
              </w:rPr>
            </w:pPr>
          </w:p>
        </w:tc>
      </w:tr>
      <w:tr>
        <w:trPr>
          <w:trHeight w:val="49"/>
        </w:trPr>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3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r>
              <w:rPr>
                <w:rFonts w:ascii="Arial" w:cs="Arial" w:eastAsia="Arial" w:hAnsi="Arial"/>
                <w:sz w:val="9"/>
                <w:szCs w:val="9"/>
                <w:color w:val="262626"/>
              </w:rPr>
              <w:t>(2)</w:t>
            </w:r>
          </w:p>
        </w:tc>
        <w:tc>
          <w:tcPr>
            <w:tcW w:w="8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60" w:type="dxa"/>
            <w:vAlign w:val="bottom"/>
            <w:tcBorders>
              <w:bottom w:val="single" w:sz="8" w:color="ECEBE8"/>
            </w:tcBorders>
            <w:shd w:val="clear" w:color="auto" w:fill="ECEBE8"/>
          </w:tcPr>
          <w:p>
            <w:pPr>
              <w:jc w:val="right"/>
              <w:ind w:right="349"/>
              <w:spacing w:after="0"/>
              <w:rPr>
                <w:sz w:val="20"/>
                <w:szCs w:val="20"/>
                <w:color w:val="auto"/>
              </w:rPr>
            </w:pPr>
            <w:r>
              <w:rPr>
                <w:rFonts w:ascii="Arial" w:cs="Arial" w:eastAsia="Arial" w:hAnsi="Arial"/>
                <w:sz w:val="11"/>
                <w:szCs w:val="11"/>
                <w:color w:val="262626"/>
              </w:rPr>
              <w:t>875,000</w:t>
            </w:r>
          </w:p>
        </w:tc>
        <w:tc>
          <w:tcPr>
            <w:tcW w:w="8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200" w:type="dxa"/>
            <w:vAlign w:val="bottom"/>
            <w:tcBorders>
              <w:bottom w:val="single" w:sz="8" w:color="ECEBE8"/>
            </w:tcBorders>
            <w:shd w:val="clear" w:color="auto" w:fill="ECEBE8"/>
          </w:tcPr>
          <w:p>
            <w:pPr>
              <w:jc w:val="right"/>
              <w:ind w:right="669"/>
              <w:spacing w:after="0"/>
              <w:rPr>
                <w:sz w:val="20"/>
                <w:szCs w:val="20"/>
                <w:color w:val="auto"/>
              </w:rPr>
            </w:pPr>
            <w:r>
              <w:rPr>
                <w:rFonts w:ascii="Arial" w:cs="Arial" w:eastAsia="Arial" w:hAnsi="Arial"/>
                <w:sz w:val="11"/>
                <w:szCs w:val="11"/>
                <w:color w:val="262626"/>
              </w:rPr>
              <w:t>750,000</w:t>
            </w:r>
          </w:p>
        </w:tc>
        <w:tc>
          <w:tcPr>
            <w:tcW w:w="82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17%</w:t>
            </w:r>
          </w:p>
        </w:tc>
        <w:tc>
          <w:tcPr>
            <w:tcW w:w="20" w:type="dxa"/>
            <w:vAlign w:val="bottom"/>
          </w:tcPr>
          <w:p>
            <w:pPr>
              <w:spacing w:after="0"/>
              <w:rPr>
                <w:sz w:val="15"/>
                <w:szCs w:val="15"/>
                <w:color w:val="auto"/>
              </w:rPr>
            </w:pPr>
          </w:p>
        </w:tc>
      </w:tr>
      <w:tr>
        <w:trPr>
          <w:trHeight w:val="149"/>
        </w:trPr>
        <w:tc>
          <w:tcPr>
            <w:tcW w:w="5340" w:type="dxa"/>
            <w:vAlign w:val="bottom"/>
          </w:tcPr>
          <w:p>
            <w:pPr>
              <w:ind w:left="80"/>
              <w:spacing w:after="0"/>
              <w:rPr>
                <w:sz w:val="20"/>
                <w:szCs w:val="20"/>
                <w:color w:val="auto"/>
              </w:rPr>
            </w:pPr>
            <w:r>
              <w:rPr>
                <w:rFonts w:ascii="Arial" w:cs="Arial" w:eastAsia="Arial" w:hAnsi="Arial"/>
                <w:sz w:val="11"/>
                <w:szCs w:val="11"/>
                <w:color w:val="262626"/>
              </w:rPr>
              <w:t>Ellen F. Whittemore</w:t>
            </w:r>
            <w:r>
              <w:rPr>
                <w:rFonts w:ascii="Arial" w:cs="Arial" w:eastAsia="Arial" w:hAnsi="Arial"/>
                <w:sz w:val="9"/>
                <w:szCs w:val="9"/>
                <w:color w:val="262626"/>
              </w:rPr>
              <w:t>(3)</w:t>
            </w:r>
          </w:p>
        </w:tc>
        <w:tc>
          <w:tcPr>
            <w:tcW w:w="820" w:type="dxa"/>
            <w:vAlign w:val="bottom"/>
          </w:tcPr>
          <w:p>
            <w:pPr>
              <w:jc w:val="right"/>
              <w:spacing w:after="0"/>
              <w:rPr>
                <w:sz w:val="20"/>
                <w:szCs w:val="20"/>
                <w:color w:val="auto"/>
              </w:rPr>
            </w:pPr>
            <w:r>
              <w:rPr>
                <w:rFonts w:ascii="Arial" w:cs="Arial" w:eastAsia="Arial" w:hAnsi="Arial"/>
                <w:sz w:val="11"/>
                <w:szCs w:val="11"/>
                <w:color w:val="262626"/>
              </w:rPr>
              <w:t>$</w:t>
            </w:r>
          </w:p>
        </w:tc>
        <w:tc>
          <w:tcPr>
            <w:tcW w:w="860" w:type="dxa"/>
            <w:vAlign w:val="bottom"/>
          </w:tcPr>
          <w:p>
            <w:pPr>
              <w:jc w:val="right"/>
              <w:ind w:right="349"/>
              <w:spacing w:after="0"/>
              <w:rPr>
                <w:sz w:val="20"/>
                <w:szCs w:val="20"/>
                <w:color w:val="auto"/>
              </w:rPr>
            </w:pPr>
            <w:r>
              <w:rPr>
                <w:rFonts w:ascii="Arial" w:cs="Arial" w:eastAsia="Arial" w:hAnsi="Arial"/>
                <w:sz w:val="11"/>
                <w:szCs w:val="11"/>
                <w:color w:val="262626"/>
              </w:rPr>
              <w:t>600,000</w:t>
            </w:r>
          </w:p>
        </w:tc>
        <w:tc>
          <w:tcPr>
            <w:tcW w:w="820" w:type="dxa"/>
            <w:vAlign w:val="bottom"/>
          </w:tcPr>
          <w:p>
            <w:pPr>
              <w:spacing w:after="0"/>
              <w:rPr>
                <w:sz w:val="12"/>
                <w:szCs w:val="12"/>
                <w:color w:val="auto"/>
              </w:rPr>
            </w:pPr>
          </w:p>
        </w:tc>
        <w:tc>
          <w:tcPr>
            <w:tcW w:w="1200" w:type="dxa"/>
            <w:vAlign w:val="bottom"/>
          </w:tcPr>
          <w:p>
            <w:pPr>
              <w:jc w:val="right"/>
              <w:ind w:right="669"/>
              <w:spacing w:after="0"/>
              <w:rPr>
                <w:sz w:val="20"/>
                <w:szCs w:val="20"/>
                <w:color w:val="auto"/>
              </w:rPr>
            </w:pPr>
            <w:r>
              <w:rPr>
                <w:rFonts w:ascii="Arial" w:cs="Arial" w:eastAsia="Arial" w:hAnsi="Arial"/>
                <w:sz w:val="11"/>
                <w:szCs w:val="11"/>
                <w:color w:val="262626"/>
              </w:rPr>
              <w:t>N/A</w:t>
            </w:r>
          </w:p>
        </w:tc>
        <w:tc>
          <w:tcPr>
            <w:tcW w:w="820" w:type="dxa"/>
            <w:vAlign w:val="bottom"/>
          </w:tcPr>
          <w:p>
            <w:pPr>
              <w:jc w:val="right"/>
              <w:ind w:right="229"/>
              <w:spacing w:after="0"/>
              <w:rPr>
                <w:sz w:val="20"/>
                <w:szCs w:val="20"/>
                <w:color w:val="auto"/>
              </w:rPr>
            </w:pPr>
            <w:r>
              <w:rPr>
                <w:rFonts w:ascii="Arial" w:cs="Arial" w:eastAsia="Arial" w:hAnsi="Arial"/>
                <w:sz w:val="11"/>
                <w:szCs w:val="11"/>
                <w:color w:val="262626"/>
              </w:rPr>
              <w:t>N/A</w:t>
            </w:r>
          </w:p>
        </w:tc>
        <w:tc>
          <w:tcPr>
            <w:tcW w:w="20" w:type="dxa"/>
            <w:vAlign w:val="bottom"/>
          </w:tcPr>
          <w:p>
            <w:pPr>
              <w:spacing w:after="0"/>
              <w:rPr>
                <w:sz w:val="12"/>
                <w:szCs w:val="12"/>
                <w:color w:val="auto"/>
              </w:rPr>
            </w:pPr>
          </w:p>
        </w:tc>
      </w:tr>
      <w:tr>
        <w:trPr>
          <w:trHeight w:val="49"/>
        </w:trPr>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3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Stephen A. Wynn</w:t>
            </w:r>
            <w:r>
              <w:rPr>
                <w:rFonts w:ascii="Arial" w:cs="Arial" w:eastAsia="Arial" w:hAnsi="Arial"/>
                <w:sz w:val="9"/>
                <w:szCs w:val="9"/>
                <w:color w:val="262626"/>
              </w:rPr>
              <w:t>(4)</w:t>
            </w:r>
          </w:p>
        </w:tc>
        <w:tc>
          <w:tcPr>
            <w:tcW w:w="8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60" w:type="dxa"/>
            <w:vAlign w:val="bottom"/>
            <w:tcBorders>
              <w:bottom w:val="single" w:sz="8" w:color="ECEBE8"/>
            </w:tcBorders>
            <w:shd w:val="clear" w:color="auto" w:fill="ECEBE8"/>
          </w:tcPr>
          <w:p>
            <w:pPr>
              <w:jc w:val="right"/>
              <w:ind w:right="349"/>
              <w:spacing w:after="0"/>
              <w:rPr>
                <w:sz w:val="20"/>
                <w:szCs w:val="20"/>
                <w:color w:val="auto"/>
              </w:rPr>
            </w:pPr>
            <w:r>
              <w:rPr>
                <w:rFonts w:ascii="Arial" w:cs="Arial" w:eastAsia="Arial" w:hAnsi="Arial"/>
                <w:sz w:val="11"/>
                <w:szCs w:val="11"/>
                <w:color w:val="262626"/>
                <w:w w:val="89"/>
              </w:rPr>
              <w:t>2,500,000</w:t>
            </w:r>
          </w:p>
        </w:tc>
        <w:tc>
          <w:tcPr>
            <w:tcW w:w="8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200" w:type="dxa"/>
            <w:vAlign w:val="bottom"/>
            <w:tcBorders>
              <w:bottom w:val="single" w:sz="8" w:color="ECEBE8"/>
            </w:tcBorders>
            <w:shd w:val="clear" w:color="auto" w:fill="ECEBE8"/>
          </w:tcPr>
          <w:p>
            <w:pPr>
              <w:jc w:val="right"/>
              <w:ind w:right="669"/>
              <w:spacing w:after="0"/>
              <w:rPr>
                <w:sz w:val="20"/>
                <w:szCs w:val="20"/>
                <w:color w:val="auto"/>
              </w:rPr>
            </w:pPr>
            <w:r>
              <w:rPr>
                <w:rFonts w:ascii="Arial" w:cs="Arial" w:eastAsia="Arial" w:hAnsi="Arial"/>
                <w:sz w:val="11"/>
                <w:szCs w:val="11"/>
                <w:color w:val="262626"/>
                <w:w w:val="93"/>
              </w:rPr>
              <w:t>2,500,000</w:t>
            </w:r>
          </w:p>
        </w:tc>
        <w:tc>
          <w:tcPr>
            <w:tcW w:w="82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0%</w:t>
            </w:r>
          </w:p>
        </w:tc>
        <w:tc>
          <w:tcPr>
            <w:tcW w:w="20" w:type="dxa"/>
            <w:vAlign w:val="bottom"/>
          </w:tcPr>
          <w:p>
            <w:pPr>
              <w:spacing w:after="0"/>
              <w:rPr>
                <w:sz w:val="15"/>
                <w:szCs w:val="15"/>
                <w:color w:val="auto"/>
              </w:rPr>
            </w:pPr>
          </w:p>
        </w:tc>
      </w:tr>
      <w:tr>
        <w:trPr>
          <w:trHeight w:val="149"/>
        </w:trPr>
        <w:tc>
          <w:tcPr>
            <w:tcW w:w="5340" w:type="dxa"/>
            <w:vAlign w:val="bottom"/>
          </w:tcPr>
          <w:p>
            <w:pPr>
              <w:ind w:left="80"/>
              <w:spacing w:after="0"/>
              <w:rPr>
                <w:sz w:val="20"/>
                <w:szCs w:val="20"/>
                <w:color w:val="auto"/>
              </w:rPr>
            </w:pPr>
            <w:r>
              <w:rPr>
                <w:rFonts w:ascii="Arial" w:cs="Arial" w:eastAsia="Arial" w:hAnsi="Arial"/>
                <w:sz w:val="11"/>
                <w:szCs w:val="11"/>
                <w:color w:val="262626"/>
              </w:rPr>
              <w:t>Kimmarie Sinatra</w:t>
            </w:r>
            <w:r>
              <w:rPr>
                <w:rFonts w:ascii="Arial" w:cs="Arial" w:eastAsia="Arial" w:hAnsi="Arial"/>
                <w:sz w:val="9"/>
                <w:szCs w:val="9"/>
                <w:color w:val="262626"/>
              </w:rPr>
              <w:t>(5)</w:t>
            </w:r>
          </w:p>
        </w:tc>
        <w:tc>
          <w:tcPr>
            <w:tcW w:w="820" w:type="dxa"/>
            <w:vAlign w:val="bottom"/>
          </w:tcPr>
          <w:p>
            <w:pPr>
              <w:jc w:val="right"/>
              <w:spacing w:after="0"/>
              <w:rPr>
                <w:sz w:val="20"/>
                <w:szCs w:val="20"/>
                <w:color w:val="auto"/>
              </w:rPr>
            </w:pPr>
            <w:r>
              <w:rPr>
                <w:rFonts w:ascii="Arial" w:cs="Arial" w:eastAsia="Arial" w:hAnsi="Arial"/>
                <w:sz w:val="11"/>
                <w:szCs w:val="11"/>
                <w:color w:val="262626"/>
              </w:rPr>
              <w:t>$</w:t>
            </w:r>
          </w:p>
        </w:tc>
        <w:tc>
          <w:tcPr>
            <w:tcW w:w="860" w:type="dxa"/>
            <w:vAlign w:val="bottom"/>
          </w:tcPr>
          <w:p>
            <w:pPr>
              <w:jc w:val="right"/>
              <w:ind w:right="349"/>
              <w:spacing w:after="0"/>
              <w:rPr>
                <w:sz w:val="20"/>
                <w:szCs w:val="20"/>
                <w:color w:val="auto"/>
              </w:rPr>
            </w:pPr>
            <w:r>
              <w:rPr>
                <w:rFonts w:ascii="Arial" w:cs="Arial" w:eastAsia="Arial" w:hAnsi="Arial"/>
                <w:sz w:val="11"/>
                <w:szCs w:val="11"/>
                <w:color w:val="262626"/>
                <w:w w:val="89"/>
              </w:rPr>
              <w:t>1,000,000</w:t>
            </w:r>
          </w:p>
        </w:tc>
        <w:tc>
          <w:tcPr>
            <w:tcW w:w="820" w:type="dxa"/>
            <w:vAlign w:val="bottom"/>
          </w:tcPr>
          <w:p>
            <w:pPr>
              <w:jc w:val="right"/>
              <w:spacing w:after="0"/>
              <w:rPr>
                <w:sz w:val="20"/>
                <w:szCs w:val="20"/>
                <w:color w:val="auto"/>
              </w:rPr>
            </w:pPr>
            <w:r>
              <w:rPr>
                <w:rFonts w:ascii="Arial" w:cs="Arial" w:eastAsia="Arial" w:hAnsi="Arial"/>
                <w:sz w:val="11"/>
                <w:szCs w:val="11"/>
                <w:color w:val="262626"/>
              </w:rPr>
              <w:t>$</w:t>
            </w:r>
          </w:p>
        </w:tc>
        <w:tc>
          <w:tcPr>
            <w:tcW w:w="1200" w:type="dxa"/>
            <w:vAlign w:val="bottom"/>
          </w:tcPr>
          <w:p>
            <w:pPr>
              <w:jc w:val="right"/>
              <w:ind w:right="669"/>
              <w:spacing w:after="0"/>
              <w:rPr>
                <w:sz w:val="20"/>
                <w:szCs w:val="20"/>
                <w:color w:val="auto"/>
              </w:rPr>
            </w:pPr>
            <w:r>
              <w:rPr>
                <w:rFonts w:ascii="Arial" w:cs="Arial" w:eastAsia="Arial" w:hAnsi="Arial"/>
                <w:sz w:val="11"/>
                <w:szCs w:val="11"/>
                <w:color w:val="262626"/>
                <w:w w:val="93"/>
              </w:rPr>
              <w:t>1,000,000</w:t>
            </w:r>
          </w:p>
        </w:tc>
        <w:tc>
          <w:tcPr>
            <w:tcW w:w="820" w:type="dxa"/>
            <w:vAlign w:val="bottom"/>
          </w:tcPr>
          <w:p>
            <w:pPr>
              <w:jc w:val="right"/>
              <w:ind w:right="229"/>
              <w:spacing w:after="0"/>
              <w:rPr>
                <w:sz w:val="20"/>
                <w:szCs w:val="20"/>
                <w:color w:val="auto"/>
              </w:rPr>
            </w:pPr>
            <w:r>
              <w:rPr>
                <w:rFonts w:ascii="Arial" w:cs="Arial" w:eastAsia="Arial" w:hAnsi="Arial"/>
                <w:sz w:val="11"/>
                <w:szCs w:val="11"/>
                <w:color w:val="262626"/>
              </w:rPr>
              <w:t>0%</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-615315</wp:posOffset>
            </wp:positionV>
            <wp:extent cx="825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65" w:lineRule="exact"/>
        <w:rPr>
          <w:sz w:val="20"/>
          <w:szCs w:val="20"/>
          <w:color w:val="auto"/>
        </w:rPr>
      </w:pPr>
    </w:p>
    <w:p>
      <w:pPr>
        <w:ind w:left="920" w:hanging="139"/>
        <w:spacing w:after="0"/>
        <w:tabs>
          <w:tab w:leader="none" w:pos="920" w:val="left"/>
        </w:tabs>
        <w:numPr>
          <w:ilvl w:val="0"/>
          <w:numId w:val="57"/>
        </w:numPr>
        <w:rPr>
          <w:rFonts w:ascii="Arial" w:cs="Arial" w:eastAsia="Arial" w:hAnsi="Arial"/>
          <w:sz w:val="9"/>
          <w:szCs w:val="9"/>
          <w:color w:val="262626"/>
        </w:rPr>
      </w:pPr>
      <w:r>
        <w:rPr>
          <w:rFonts w:ascii="Arial" w:cs="Arial" w:eastAsia="Arial" w:hAnsi="Arial"/>
          <w:sz w:val="11"/>
          <w:szCs w:val="11"/>
          <w:color w:val="262626"/>
        </w:rPr>
        <w:t>Mr. Maddox’s base salary was increased to $2,000,000, effective February 27, 2018, in connection with his promotion to Chief Executive Officer.</w:t>
      </w:r>
    </w:p>
    <w:p>
      <w:pPr>
        <w:spacing w:after="0" w:line="19" w:lineRule="exact"/>
        <w:rPr>
          <w:rFonts w:ascii="Arial" w:cs="Arial" w:eastAsia="Arial" w:hAnsi="Arial"/>
          <w:sz w:val="9"/>
          <w:szCs w:val="9"/>
          <w:color w:val="262626"/>
        </w:rPr>
      </w:pPr>
    </w:p>
    <w:p>
      <w:pPr>
        <w:ind w:left="780" w:right="120" w:firstLine="1"/>
        <w:spacing w:after="0" w:line="232" w:lineRule="auto"/>
        <w:tabs>
          <w:tab w:leader="none" w:pos="919" w:val="left"/>
        </w:tabs>
        <w:numPr>
          <w:ilvl w:val="0"/>
          <w:numId w:val="57"/>
        </w:numPr>
        <w:rPr>
          <w:rFonts w:ascii="Arial" w:cs="Arial" w:eastAsia="Arial" w:hAnsi="Arial"/>
          <w:sz w:val="9"/>
          <w:szCs w:val="9"/>
          <w:color w:val="262626"/>
        </w:rPr>
      </w:pPr>
      <w:r>
        <w:rPr>
          <w:rFonts w:ascii="Arial" w:cs="Arial" w:eastAsia="Arial" w:hAnsi="Arial"/>
          <w:sz w:val="11"/>
          <w:szCs w:val="11"/>
          <w:color w:val="262626"/>
        </w:rPr>
        <w:t>Mr. Billings joined the Company on March 1, 2017. Mr. Billings’ base salary was increased to $875,000, effective March 1, 2018, in connection with the one-year extension of his employment agreement, and in recognition of his contributions to the performance of the Company.</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57"/>
        </w:numPr>
        <w:rPr>
          <w:rFonts w:ascii="Arial" w:cs="Arial" w:eastAsia="Arial" w:hAnsi="Arial"/>
          <w:sz w:val="9"/>
          <w:szCs w:val="9"/>
          <w:color w:val="262626"/>
        </w:rPr>
      </w:pPr>
      <w:r>
        <w:rPr>
          <w:rFonts w:ascii="Arial" w:cs="Arial" w:eastAsia="Arial" w:hAnsi="Arial"/>
          <w:sz w:val="11"/>
          <w:szCs w:val="11"/>
          <w:color w:val="262626"/>
        </w:rPr>
        <w:t>Ms. Whittemore joined the Company on July 16, 2018.</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57"/>
        </w:numPr>
        <w:rPr>
          <w:rFonts w:ascii="Arial" w:cs="Arial" w:eastAsia="Arial" w:hAnsi="Arial"/>
          <w:sz w:val="9"/>
          <w:szCs w:val="9"/>
          <w:color w:val="262626"/>
        </w:rPr>
      </w:pPr>
      <w:r>
        <w:rPr>
          <w:rFonts w:ascii="Arial" w:cs="Arial" w:eastAsia="Arial" w:hAnsi="Arial"/>
          <w:sz w:val="11"/>
          <w:szCs w:val="11"/>
          <w:color w:val="262626"/>
        </w:rPr>
        <w:t>Mr. Wynn left the Company effective February 6,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57"/>
        </w:numPr>
        <w:rPr>
          <w:rFonts w:ascii="Arial" w:cs="Arial" w:eastAsia="Arial" w:hAnsi="Arial"/>
          <w:sz w:val="9"/>
          <w:szCs w:val="9"/>
          <w:color w:val="262626"/>
        </w:rPr>
      </w:pPr>
      <w:r>
        <w:rPr>
          <w:rFonts w:ascii="Arial" w:cs="Arial" w:eastAsia="Arial" w:hAnsi="Arial"/>
          <w:sz w:val="11"/>
          <w:szCs w:val="11"/>
          <w:color w:val="262626"/>
        </w:rPr>
        <w:t>Ms. Sinatra left the Company effective August 3, 2018.</w:t>
      </w:r>
    </w:p>
    <w:p>
      <w:pPr>
        <w:spacing w:after="0" w:line="155" w:lineRule="exact"/>
        <w:rPr>
          <w:sz w:val="20"/>
          <w:szCs w:val="20"/>
          <w:color w:val="auto"/>
        </w:rPr>
      </w:pPr>
    </w:p>
    <w:p>
      <w:pPr>
        <w:ind w:left="780" w:right="20"/>
        <w:spacing w:after="0" w:line="276" w:lineRule="auto"/>
        <w:rPr>
          <w:sz w:val="20"/>
          <w:szCs w:val="20"/>
          <w:color w:val="auto"/>
        </w:rPr>
      </w:pPr>
      <w:r>
        <w:rPr>
          <w:rFonts w:ascii="Arial" w:cs="Arial" w:eastAsia="Arial" w:hAnsi="Arial"/>
          <w:sz w:val="14"/>
          <w:szCs w:val="14"/>
          <w:b w:val="1"/>
          <w:bCs w:val="1"/>
          <w:color w:val="262626"/>
        </w:rPr>
        <w:t xml:space="preserve">Annual Incentives: </w:t>
      </w:r>
      <w:r>
        <w:rPr>
          <w:rFonts w:ascii="Arial" w:cs="Arial" w:eastAsia="Arial" w:hAnsi="Arial"/>
          <w:sz w:val="14"/>
          <w:szCs w:val="14"/>
          <w:color w:val="262626"/>
        </w:rPr>
        <w:t>For the 2018 annual incentive awards granted under our Omnibus Plan, the Compensation Committee selected three performance goals,</w:t>
      </w:r>
      <w:r>
        <w:rPr>
          <w:rFonts w:ascii="Arial" w:cs="Arial" w:eastAsia="Arial" w:hAnsi="Arial"/>
          <w:sz w:val="14"/>
          <w:szCs w:val="14"/>
          <w:b w:val="1"/>
          <w:bCs w:val="1"/>
          <w:color w:val="262626"/>
        </w:rPr>
        <w:t xml:space="preserve"> </w:t>
      </w:r>
      <w:r>
        <w:rPr>
          <w:rFonts w:ascii="Arial" w:cs="Arial" w:eastAsia="Arial" w:hAnsi="Arial"/>
          <w:sz w:val="14"/>
          <w:szCs w:val="14"/>
          <w:color w:val="262626"/>
        </w:rPr>
        <w:t>one of which is comprised of our four strategic initiatives.</w:t>
      </w:r>
    </w:p>
    <w:p>
      <w:pPr>
        <w:spacing w:after="0" w:line="159" w:lineRule="exact"/>
        <w:rPr>
          <w:sz w:val="20"/>
          <w:szCs w:val="20"/>
          <w:color w:val="auto"/>
        </w:rPr>
      </w:pPr>
    </w:p>
    <w:p>
      <w:pPr>
        <w:jc w:val="both"/>
        <w:ind w:left="1360" w:right="140" w:hanging="582"/>
        <w:spacing w:after="0" w:line="256" w:lineRule="auto"/>
        <w:rPr>
          <w:sz w:val="20"/>
          <w:szCs w:val="20"/>
          <w:color w:val="auto"/>
        </w:rPr>
      </w:pPr>
      <w:r>
        <w:rPr>
          <w:rFonts w:ascii="Arial" w:cs="Arial" w:eastAsia="Arial" w:hAnsi="Arial"/>
          <w:sz w:val="14"/>
          <w:szCs w:val="14"/>
          <w:b w:val="1"/>
          <w:bCs w:val="1"/>
          <w:color w:val="262626"/>
        </w:rPr>
        <w:t xml:space="preserve">Goal 1 – 2018 Adjusted Property EBITDA (weighted 40%): </w:t>
      </w:r>
      <w:r>
        <w:rPr>
          <w:rFonts w:ascii="Arial" w:cs="Arial" w:eastAsia="Arial" w:hAnsi="Arial"/>
          <w:sz w:val="14"/>
          <w:szCs w:val="14"/>
          <w:color w:val="262626"/>
        </w:rPr>
        <w:t>This is used to measure the operating performance of our properties compared to those of our</w:t>
      </w:r>
      <w:r>
        <w:rPr>
          <w:rFonts w:ascii="Arial" w:cs="Arial" w:eastAsia="Arial" w:hAnsi="Arial"/>
          <w:sz w:val="14"/>
          <w:szCs w:val="14"/>
          <w:b w:val="1"/>
          <w:bCs w:val="1"/>
          <w:color w:val="262626"/>
        </w:rPr>
        <w:t xml:space="preserve"> </w:t>
      </w:r>
      <w:r>
        <w:rPr>
          <w:rFonts w:ascii="Arial" w:cs="Arial" w:eastAsia="Arial" w:hAnsi="Arial"/>
          <w:sz w:val="14"/>
          <w:szCs w:val="14"/>
          <w:color w:val="262626"/>
        </w:rPr>
        <w:t>competitors. Adjusted Property EBITDA is an important measure of each property’s performance within its respective market, a key driver of return on equity and an essential element to the valuation of our Company and our stock price.</w:t>
      </w:r>
    </w:p>
    <w:p>
      <w:pPr>
        <w:spacing w:after="0" w:line="191" w:lineRule="exact"/>
        <w:rPr>
          <w:sz w:val="20"/>
          <w:szCs w:val="20"/>
          <w:color w:val="auto"/>
        </w:rPr>
      </w:pPr>
    </w:p>
    <w:p>
      <w:pPr>
        <w:ind w:left="1360" w:right="420"/>
        <w:spacing w:after="0" w:line="249" w:lineRule="auto"/>
        <w:rPr>
          <w:sz w:val="20"/>
          <w:szCs w:val="20"/>
          <w:color w:val="auto"/>
        </w:rPr>
      </w:pPr>
      <w:r>
        <w:rPr>
          <w:rFonts w:ascii="Arial" w:cs="Arial" w:eastAsia="Arial" w:hAnsi="Arial"/>
          <w:sz w:val="14"/>
          <w:szCs w:val="14"/>
          <w:color w:val="262626"/>
        </w:rPr>
        <w:t>The Committee, based on the current operating conditions in Las Vegas and Macau and the Company’s operating and growth strategies, set a threshold performance level of at least $1.8 billion, a target level of $2.0 billion, and maximum performance level of $2.2 billion.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262626"/>
        </w:rPr>
        <w:t>No incentive payout will be earned with respect to this metric if the Company does not achieve the threshold performance level.</w:t>
      </w:r>
    </w:p>
    <w:p>
      <w:pPr>
        <w:spacing w:after="0" w:line="192" w:lineRule="exact"/>
        <w:rPr>
          <w:sz w:val="20"/>
          <w:szCs w:val="20"/>
          <w:color w:val="auto"/>
        </w:rPr>
      </w:pPr>
    </w:p>
    <w:p>
      <w:pPr>
        <w:ind w:left="1360" w:right="80" w:hanging="582"/>
        <w:spacing w:after="0" w:line="246" w:lineRule="auto"/>
        <w:rPr>
          <w:sz w:val="20"/>
          <w:szCs w:val="20"/>
          <w:color w:val="auto"/>
        </w:rPr>
      </w:pPr>
      <w:r>
        <w:rPr>
          <w:rFonts w:ascii="Arial" w:cs="Arial" w:eastAsia="Arial" w:hAnsi="Arial"/>
          <w:sz w:val="14"/>
          <w:szCs w:val="14"/>
          <w:b w:val="1"/>
          <w:bCs w:val="1"/>
          <w:color w:val="262626"/>
        </w:rPr>
        <w:t xml:space="preserve">Goal 2 – Maintain Forbes Five Star (weighted 20%): </w:t>
      </w:r>
      <w:r>
        <w:rPr>
          <w:rFonts w:ascii="Arial" w:cs="Arial" w:eastAsia="Arial" w:hAnsi="Arial"/>
          <w:sz w:val="14"/>
          <w:szCs w:val="14"/>
          <w:color w:val="262626"/>
        </w:rPr>
        <w:t>Our business requires superior customer experience and service. We believe such service allows us</w:t>
      </w:r>
      <w:r>
        <w:rPr>
          <w:rFonts w:ascii="Arial" w:cs="Arial" w:eastAsia="Arial" w:hAnsi="Arial"/>
          <w:sz w:val="14"/>
          <w:szCs w:val="14"/>
          <w:b w:val="1"/>
          <w:bCs w:val="1"/>
          <w:color w:val="262626"/>
        </w:rPr>
        <w:t xml:space="preserve"> </w:t>
      </w:r>
      <w:r>
        <w:rPr>
          <w:rFonts w:ascii="Arial" w:cs="Arial" w:eastAsia="Arial" w:hAnsi="Arial"/>
          <w:sz w:val="14"/>
          <w:szCs w:val="14"/>
          <w:color w:val="262626"/>
        </w:rPr>
        <w:t>to attract customers with a higher spend per visit, increase the loyalty of those customers and meaningfully improve the likelihood of additional visits from those customers. Forbes 5-star status serves as external validation of this key aspect of our strategy. Achievement of this goal encourages long-term investment in our human capital and retention of talent because we believe human resources and staff training ensure our employees are prepared to provide the luxury service that our guests expect.</w:t>
      </w:r>
    </w:p>
    <w:p>
      <w:pPr>
        <w:spacing w:after="0" w:line="181" w:lineRule="exact"/>
        <w:rPr>
          <w:sz w:val="20"/>
          <w:szCs w:val="20"/>
          <w:color w:val="auto"/>
        </w:rPr>
      </w:pPr>
    </w:p>
    <w:p>
      <w:pPr>
        <w:ind w:left="1360" w:right="340" w:hanging="582"/>
        <w:spacing w:after="0" w:line="276" w:lineRule="auto"/>
        <w:rPr>
          <w:sz w:val="20"/>
          <w:szCs w:val="20"/>
          <w:color w:val="auto"/>
        </w:rPr>
      </w:pPr>
      <w:r>
        <w:rPr>
          <w:rFonts w:ascii="Arial" w:cs="Arial" w:eastAsia="Arial" w:hAnsi="Arial"/>
          <w:sz w:val="14"/>
          <w:szCs w:val="14"/>
          <w:b w:val="1"/>
          <w:bCs w:val="1"/>
          <w:color w:val="262626"/>
        </w:rPr>
        <w:t xml:space="preserve">Goal 3 – Key Strategic Initiatives (weighted 40%): </w:t>
      </w:r>
      <w:r>
        <w:rPr>
          <w:rFonts w:ascii="Arial" w:cs="Arial" w:eastAsia="Arial" w:hAnsi="Arial"/>
          <w:sz w:val="14"/>
          <w:szCs w:val="14"/>
          <w:color w:val="262626"/>
        </w:rPr>
        <w:t>This goal is comprised of four discrete strategic initiatives, the execution of which were critical to the</w:t>
      </w:r>
      <w:r>
        <w:rPr>
          <w:rFonts w:ascii="Arial" w:cs="Arial" w:eastAsia="Arial" w:hAnsi="Arial"/>
          <w:sz w:val="14"/>
          <w:szCs w:val="14"/>
          <w:b w:val="1"/>
          <w:bCs w:val="1"/>
          <w:color w:val="262626"/>
        </w:rPr>
        <w:t xml:space="preserve"> </w:t>
      </w:r>
      <w:r>
        <w:rPr>
          <w:rFonts w:ascii="Arial" w:cs="Arial" w:eastAsia="Arial" w:hAnsi="Arial"/>
          <w:sz w:val="14"/>
          <w:szCs w:val="14"/>
          <w:color w:val="262626"/>
        </w:rPr>
        <w:t>success of the Company. Each of these initiatives was weighted at 10%, reflecting the equal importance of success on all fronts.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311785</wp:posOffset>
            </wp:positionV>
            <wp:extent cx="521335" cy="235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32</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16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w w:val="96"/>
              </w:rPr>
              <w:t>STRATEGIC &amp; OPERATIONAL GOALS</w:t>
            </w:r>
          </w:p>
        </w:tc>
        <w:tc>
          <w:tcPr>
            <w:tcW w:w="520" w:type="dxa"/>
            <w:vAlign w:val="bottom"/>
            <w:tcBorders>
              <w:bottom w:val="single" w:sz="8" w:color="A39B8C"/>
            </w:tcBorders>
            <w:shd w:val="clear" w:color="auto" w:fill="A39B8C"/>
          </w:tcPr>
          <w:p>
            <w:pPr>
              <w:jc w:val="center"/>
              <w:ind w:left="129"/>
              <w:spacing w:after="0"/>
              <w:rPr>
                <w:sz w:val="20"/>
                <w:szCs w:val="20"/>
                <w:color w:val="auto"/>
              </w:rPr>
            </w:pPr>
            <w:r>
              <w:rPr>
                <w:rFonts w:ascii="Arial" w:cs="Arial" w:eastAsia="Arial" w:hAnsi="Arial"/>
                <w:sz w:val="9"/>
                <w:szCs w:val="9"/>
                <w:b w:val="1"/>
                <w:bCs w:val="1"/>
                <w:color w:val="FFFFFF"/>
                <w:w w:val="94"/>
              </w:rPr>
              <w:t>WEIGHT</w:t>
            </w:r>
          </w:p>
        </w:tc>
        <w:tc>
          <w:tcPr>
            <w:tcW w:w="6820" w:type="dxa"/>
            <w:vAlign w:val="bottom"/>
            <w:tcBorders>
              <w:bottom w:val="single" w:sz="8" w:color="A39B8C"/>
            </w:tcBorders>
            <w:shd w:val="clear" w:color="auto" w:fill="A39B8C"/>
          </w:tcPr>
          <w:p>
            <w:pPr>
              <w:ind w:left="2900"/>
              <w:spacing w:after="0"/>
              <w:rPr>
                <w:sz w:val="20"/>
                <w:szCs w:val="20"/>
                <w:color w:val="auto"/>
              </w:rPr>
            </w:pPr>
            <w:r>
              <w:rPr>
                <w:rFonts w:ascii="Arial" w:cs="Arial" w:eastAsia="Arial" w:hAnsi="Arial"/>
                <w:sz w:val="9"/>
                <w:szCs w:val="9"/>
                <w:b w:val="1"/>
                <w:bCs w:val="1"/>
                <w:color w:val="FFFFFF"/>
              </w:rPr>
              <w:t>RATIONALE FOR INCLUSION</w:t>
            </w:r>
          </w:p>
        </w:tc>
        <w:tc>
          <w:tcPr>
            <w:tcW w:w="840" w:type="dxa"/>
            <w:vAlign w:val="bottom"/>
            <w:tcBorders>
              <w:bottom w:val="single" w:sz="8" w:color="A39B8C"/>
            </w:tcBorders>
            <w:shd w:val="clear" w:color="auto" w:fill="A39B8C"/>
          </w:tcPr>
          <w:p>
            <w:pPr>
              <w:ind w:left="120"/>
              <w:spacing w:after="0"/>
              <w:rPr>
                <w:sz w:val="20"/>
                <w:szCs w:val="20"/>
                <w:color w:val="auto"/>
              </w:rPr>
            </w:pPr>
            <w:r>
              <w:rPr>
                <w:rFonts w:ascii="Arial" w:cs="Arial" w:eastAsia="Arial" w:hAnsi="Arial"/>
                <w:sz w:val="9"/>
                <w:szCs w:val="9"/>
                <w:b w:val="1"/>
                <w:bCs w:val="1"/>
                <w:color w:val="FFFFFF"/>
                <w:w w:val="99"/>
              </w:rPr>
              <w:t>PERFORMANCE</w:t>
            </w:r>
          </w:p>
        </w:tc>
        <w:tc>
          <w:tcPr>
            <w:tcW w:w="20" w:type="dxa"/>
            <w:vAlign w:val="bottom"/>
            <w:tcBorders>
              <w:bottom w:val="single" w:sz="8" w:color="A39B8C"/>
            </w:tcBorders>
            <w:shd w:val="clear" w:color="auto" w:fill="A39B8C"/>
          </w:tcPr>
          <w:p>
            <w:pPr>
              <w:spacing w:after="0"/>
              <w:rPr>
                <w:sz w:val="18"/>
                <w:szCs w:val="18"/>
                <w:color w:val="auto"/>
              </w:rPr>
            </w:pPr>
          </w:p>
        </w:tc>
      </w:tr>
      <w:tr>
        <w:trPr>
          <w:trHeight w:val="169"/>
        </w:trPr>
        <w:tc>
          <w:tcPr>
            <w:tcW w:w="1680" w:type="dxa"/>
            <w:vAlign w:val="bottom"/>
          </w:tcPr>
          <w:p>
            <w:pPr>
              <w:ind w:left="80"/>
              <w:spacing w:after="0"/>
              <w:rPr>
                <w:sz w:val="20"/>
                <w:szCs w:val="20"/>
                <w:color w:val="auto"/>
              </w:rPr>
            </w:pPr>
            <w:r>
              <w:rPr>
                <w:rFonts w:ascii="Arial" w:cs="Arial" w:eastAsia="Arial" w:hAnsi="Arial"/>
                <w:sz w:val="11"/>
                <w:szCs w:val="11"/>
                <w:color w:val="262626"/>
              </w:rPr>
              <w:t>Settlement of Long-standing</w:t>
            </w:r>
          </w:p>
        </w:tc>
        <w:tc>
          <w:tcPr>
            <w:tcW w:w="520" w:type="dxa"/>
            <w:vAlign w:val="bottom"/>
          </w:tcPr>
          <w:p>
            <w:pPr>
              <w:jc w:val="center"/>
              <w:ind w:left="129"/>
              <w:spacing w:after="0"/>
              <w:rPr>
                <w:sz w:val="20"/>
                <w:szCs w:val="20"/>
                <w:color w:val="auto"/>
              </w:rPr>
            </w:pPr>
            <w:r>
              <w:rPr>
                <w:rFonts w:ascii="Arial" w:cs="Arial" w:eastAsia="Arial" w:hAnsi="Arial"/>
                <w:sz w:val="11"/>
                <w:szCs w:val="11"/>
                <w:color w:val="262626"/>
                <w:w w:val="99"/>
              </w:rPr>
              <w:t>10%</w:t>
            </w:r>
          </w:p>
        </w:tc>
        <w:tc>
          <w:tcPr>
            <w:tcW w:w="6820" w:type="dxa"/>
            <w:vAlign w:val="bottom"/>
          </w:tcPr>
          <w:p>
            <w:pPr>
              <w:ind w:left="300"/>
              <w:spacing w:after="0"/>
              <w:rPr>
                <w:sz w:val="20"/>
                <w:szCs w:val="20"/>
                <w:color w:val="auto"/>
              </w:rPr>
            </w:pPr>
            <w:r>
              <w:rPr>
                <w:rFonts w:ascii="Arial" w:cs="Arial" w:eastAsia="Arial" w:hAnsi="Arial"/>
                <w:sz w:val="11"/>
                <w:szCs w:val="11"/>
                <w:color w:val="262626"/>
              </w:rPr>
              <w:t>The settlement of complex, multi-year, multi-party litigation removed a critical overhang from the Company’s equity value and allowed</w:t>
            </w:r>
          </w:p>
        </w:tc>
        <w:tc>
          <w:tcPr>
            <w:tcW w:w="840" w:type="dxa"/>
            <w:vAlign w:val="bottom"/>
          </w:tcPr>
          <w:p>
            <w:pPr>
              <w:ind w:left="260"/>
              <w:spacing w:after="0"/>
              <w:rPr>
                <w:sz w:val="20"/>
                <w:szCs w:val="20"/>
                <w:color w:val="auto"/>
              </w:rPr>
            </w:pPr>
            <w:r>
              <w:rPr>
                <w:rFonts w:ascii="Arial" w:cs="Arial" w:eastAsia="Arial" w:hAnsi="Arial"/>
                <w:sz w:val="11"/>
                <w:szCs w:val="11"/>
                <w:color w:val="262626"/>
              </w:rPr>
              <w:t>Achieved</w:t>
            </w:r>
          </w:p>
        </w:tc>
        <w:tc>
          <w:tcPr>
            <w:tcW w:w="20" w:type="dxa"/>
            <w:vAlign w:val="bottom"/>
          </w:tcPr>
          <w:p>
            <w:pPr>
              <w:spacing w:after="0"/>
              <w:rPr>
                <w:sz w:val="14"/>
                <w:szCs w:val="14"/>
                <w:color w:val="auto"/>
              </w:rPr>
            </w:pPr>
          </w:p>
        </w:tc>
      </w:tr>
      <w:tr>
        <w:trPr>
          <w:trHeight w:val="139"/>
        </w:trPr>
        <w:tc>
          <w:tcPr>
            <w:tcW w:w="1680" w:type="dxa"/>
            <w:vAlign w:val="bottom"/>
          </w:tcPr>
          <w:p>
            <w:pPr>
              <w:ind w:left="80"/>
              <w:spacing w:after="0"/>
              <w:rPr>
                <w:sz w:val="20"/>
                <w:szCs w:val="20"/>
                <w:color w:val="auto"/>
              </w:rPr>
            </w:pPr>
            <w:r>
              <w:rPr>
                <w:rFonts w:ascii="Arial" w:cs="Arial" w:eastAsia="Arial" w:hAnsi="Arial"/>
                <w:sz w:val="11"/>
                <w:szCs w:val="11"/>
                <w:color w:val="262626"/>
              </w:rPr>
              <w:t>Litigation</w:t>
            </w:r>
          </w:p>
        </w:tc>
        <w:tc>
          <w:tcPr>
            <w:tcW w:w="520" w:type="dxa"/>
            <w:vAlign w:val="bottom"/>
          </w:tcPr>
          <w:p>
            <w:pPr>
              <w:spacing w:after="0"/>
              <w:rPr>
                <w:sz w:val="12"/>
                <w:szCs w:val="12"/>
                <w:color w:val="auto"/>
              </w:rPr>
            </w:pPr>
          </w:p>
        </w:tc>
        <w:tc>
          <w:tcPr>
            <w:tcW w:w="6820" w:type="dxa"/>
            <w:vAlign w:val="bottom"/>
          </w:tcPr>
          <w:p>
            <w:pPr>
              <w:ind w:left="300"/>
              <w:spacing w:after="0"/>
              <w:rPr>
                <w:sz w:val="20"/>
                <w:szCs w:val="20"/>
                <w:color w:val="auto"/>
              </w:rPr>
            </w:pPr>
            <w:r>
              <w:rPr>
                <w:rFonts w:ascii="Arial" w:cs="Arial" w:eastAsia="Arial" w:hAnsi="Arial"/>
                <w:sz w:val="11"/>
                <w:szCs w:val="11"/>
                <w:color w:val="262626"/>
              </w:rPr>
              <w:t>management to instead focus its time and attention on advancement of the Company’s strategic initiatives.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1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16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Implementation of Key</w:t>
            </w:r>
          </w:p>
        </w:tc>
        <w:tc>
          <w:tcPr>
            <w:tcW w:w="520" w:type="dxa"/>
            <w:vAlign w:val="bottom"/>
            <w:shd w:val="clear" w:color="auto" w:fill="ECEBE8"/>
          </w:tcPr>
          <w:p>
            <w:pPr>
              <w:jc w:val="center"/>
              <w:ind w:left="129"/>
              <w:spacing w:after="0"/>
              <w:rPr>
                <w:sz w:val="20"/>
                <w:szCs w:val="20"/>
                <w:color w:val="auto"/>
              </w:rPr>
            </w:pPr>
            <w:r>
              <w:rPr>
                <w:rFonts w:ascii="Arial" w:cs="Arial" w:eastAsia="Arial" w:hAnsi="Arial"/>
                <w:sz w:val="11"/>
                <w:szCs w:val="11"/>
                <w:color w:val="262626"/>
                <w:w w:val="99"/>
              </w:rPr>
              <w:t>10%</w:t>
            </w:r>
          </w:p>
        </w:tc>
        <w:tc>
          <w:tcPr>
            <w:tcW w:w="6820" w:type="dxa"/>
            <w:vAlign w:val="bottom"/>
            <w:shd w:val="clear" w:color="auto" w:fill="ECEBE8"/>
          </w:tcPr>
          <w:p>
            <w:pPr>
              <w:ind w:left="300"/>
              <w:spacing w:after="0"/>
              <w:rPr>
                <w:sz w:val="20"/>
                <w:szCs w:val="20"/>
                <w:color w:val="auto"/>
              </w:rPr>
            </w:pPr>
            <w:r>
              <w:rPr>
                <w:rFonts w:ascii="Arial" w:cs="Arial" w:eastAsia="Arial" w:hAnsi="Arial"/>
                <w:sz w:val="11"/>
                <w:szCs w:val="11"/>
                <w:color w:val="262626"/>
              </w:rPr>
              <w:t>In light of the allegations made against our former Chairman and CEO and given the importance of attracting and retaining the best</w:t>
            </w:r>
          </w:p>
        </w:tc>
        <w:tc>
          <w:tcPr>
            <w:tcW w:w="840" w:type="dxa"/>
            <w:vAlign w:val="bottom"/>
            <w:shd w:val="clear" w:color="auto" w:fill="ECEBE8"/>
          </w:tcPr>
          <w:p>
            <w:pPr>
              <w:ind w:left="260"/>
              <w:spacing w:after="0"/>
              <w:rPr>
                <w:sz w:val="20"/>
                <w:szCs w:val="20"/>
                <w:color w:val="auto"/>
              </w:rPr>
            </w:pPr>
            <w:r>
              <w:rPr>
                <w:rFonts w:ascii="Arial" w:cs="Arial" w:eastAsia="Arial" w:hAnsi="Arial"/>
                <w:sz w:val="11"/>
                <w:szCs w:val="11"/>
                <w:color w:val="262626"/>
              </w:rPr>
              <w:t>Achieved</w:t>
            </w:r>
          </w:p>
        </w:tc>
        <w:tc>
          <w:tcPr>
            <w:tcW w:w="20" w:type="dxa"/>
            <w:vAlign w:val="bottom"/>
          </w:tcPr>
          <w:p>
            <w:pPr>
              <w:spacing w:after="0"/>
              <w:rPr>
                <w:sz w:val="15"/>
                <w:szCs w:val="15"/>
                <w:color w:val="auto"/>
              </w:rPr>
            </w:pPr>
          </w:p>
        </w:tc>
      </w:tr>
      <w:tr>
        <w:trPr>
          <w:trHeight w:val="119"/>
        </w:trPr>
        <w:tc>
          <w:tcPr>
            <w:tcW w:w="1680" w:type="dxa"/>
            <w:vAlign w:val="bottom"/>
            <w:shd w:val="clear" w:color="auto" w:fill="ECEBE8"/>
          </w:tcPr>
          <w:p>
            <w:pPr>
              <w:ind w:left="80"/>
              <w:spacing w:after="0" w:line="120" w:lineRule="exact"/>
              <w:rPr>
                <w:sz w:val="20"/>
                <w:szCs w:val="20"/>
                <w:color w:val="auto"/>
              </w:rPr>
            </w:pPr>
            <w:r>
              <w:rPr>
                <w:rFonts w:ascii="Arial" w:cs="Arial" w:eastAsia="Arial" w:hAnsi="Arial"/>
                <w:sz w:val="11"/>
                <w:szCs w:val="11"/>
                <w:color w:val="262626"/>
              </w:rPr>
              <w:t>Cultural and Compliance</w:t>
            </w:r>
          </w:p>
        </w:tc>
        <w:tc>
          <w:tcPr>
            <w:tcW w:w="520" w:type="dxa"/>
            <w:vAlign w:val="bottom"/>
            <w:shd w:val="clear" w:color="auto" w:fill="ECEBE8"/>
          </w:tcPr>
          <w:p>
            <w:pPr>
              <w:spacing w:after="0"/>
              <w:rPr>
                <w:sz w:val="10"/>
                <w:szCs w:val="10"/>
                <w:color w:val="auto"/>
              </w:rPr>
            </w:pPr>
          </w:p>
        </w:tc>
        <w:tc>
          <w:tcPr>
            <w:tcW w:w="6820" w:type="dxa"/>
            <w:vAlign w:val="bottom"/>
            <w:shd w:val="clear" w:color="auto" w:fill="ECEBE8"/>
          </w:tcPr>
          <w:p>
            <w:pPr>
              <w:ind w:left="300"/>
              <w:spacing w:after="0" w:line="120" w:lineRule="exact"/>
              <w:rPr>
                <w:sz w:val="20"/>
                <w:szCs w:val="20"/>
                <w:color w:val="auto"/>
              </w:rPr>
            </w:pPr>
            <w:r>
              <w:rPr>
                <w:rFonts w:ascii="Arial" w:cs="Arial" w:eastAsia="Arial" w:hAnsi="Arial"/>
                <w:sz w:val="11"/>
                <w:szCs w:val="11"/>
                <w:color w:val="262626"/>
                <w:w w:val="97"/>
              </w:rPr>
              <w:t>operational talent in our industry, the Board and the Compensation Committee believed that the immediate design and implementation of</w:t>
            </w:r>
          </w:p>
        </w:tc>
        <w:tc>
          <w:tcPr>
            <w:tcW w:w="84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6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Initiatives</w:t>
            </w:r>
          </w:p>
        </w:tc>
        <w:tc>
          <w:tcPr>
            <w:tcW w:w="520" w:type="dxa"/>
            <w:vAlign w:val="bottom"/>
            <w:tcBorders>
              <w:bottom w:val="single" w:sz="8" w:color="ECEBE8"/>
            </w:tcBorders>
            <w:shd w:val="clear" w:color="auto" w:fill="ECEBE8"/>
          </w:tcPr>
          <w:p>
            <w:pPr>
              <w:spacing w:after="0"/>
              <w:rPr>
                <w:sz w:val="14"/>
                <w:szCs w:val="14"/>
                <w:color w:val="auto"/>
              </w:rPr>
            </w:pPr>
          </w:p>
        </w:tc>
        <w:tc>
          <w:tcPr>
            <w:tcW w:w="6820" w:type="dxa"/>
            <w:vAlign w:val="bottom"/>
            <w:tcBorders>
              <w:bottom w:val="single" w:sz="8" w:color="ECEBE8"/>
            </w:tcBorders>
            <w:shd w:val="clear" w:color="auto" w:fill="ECEBE8"/>
          </w:tcPr>
          <w:p>
            <w:pPr>
              <w:ind w:left="300"/>
              <w:spacing w:after="0"/>
              <w:rPr>
                <w:sz w:val="20"/>
                <w:szCs w:val="20"/>
                <w:color w:val="auto"/>
              </w:rPr>
            </w:pPr>
            <w:r>
              <w:rPr>
                <w:rFonts w:ascii="Arial" w:cs="Arial" w:eastAsia="Arial" w:hAnsi="Arial"/>
                <w:sz w:val="11"/>
                <w:szCs w:val="11"/>
                <w:color w:val="262626"/>
              </w:rPr>
              <w:t>certain culture and compliance initiatives in 2018 was critical to the Company’s future success.</w:t>
            </w:r>
          </w:p>
        </w:tc>
        <w:tc>
          <w:tcPr>
            <w:tcW w:w="840" w:type="dxa"/>
            <w:vAlign w:val="bottom"/>
            <w:tcBorders>
              <w:bottom w:val="single" w:sz="8" w:color="ECEBE8"/>
            </w:tcBorders>
            <w:shd w:val="clear" w:color="auto" w:fill="ECEBE8"/>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1680" w:type="dxa"/>
            <w:vAlign w:val="bottom"/>
          </w:tcPr>
          <w:p>
            <w:pPr>
              <w:ind w:left="80"/>
              <w:spacing w:after="0"/>
              <w:rPr>
                <w:sz w:val="20"/>
                <w:szCs w:val="20"/>
                <w:color w:val="auto"/>
              </w:rPr>
            </w:pPr>
            <w:r>
              <w:rPr>
                <w:rFonts w:ascii="Arial" w:cs="Arial" w:eastAsia="Arial" w:hAnsi="Arial"/>
                <w:sz w:val="11"/>
                <w:szCs w:val="11"/>
                <w:color w:val="262626"/>
              </w:rPr>
              <w:t>Minimizing the Regulatory</w:t>
            </w:r>
          </w:p>
        </w:tc>
        <w:tc>
          <w:tcPr>
            <w:tcW w:w="520" w:type="dxa"/>
            <w:vAlign w:val="bottom"/>
          </w:tcPr>
          <w:p>
            <w:pPr>
              <w:jc w:val="center"/>
              <w:ind w:left="129"/>
              <w:spacing w:after="0"/>
              <w:rPr>
                <w:sz w:val="20"/>
                <w:szCs w:val="20"/>
                <w:color w:val="auto"/>
              </w:rPr>
            </w:pPr>
            <w:r>
              <w:rPr>
                <w:rFonts w:ascii="Arial" w:cs="Arial" w:eastAsia="Arial" w:hAnsi="Arial"/>
                <w:sz w:val="11"/>
                <w:szCs w:val="11"/>
                <w:color w:val="262626"/>
                <w:w w:val="99"/>
              </w:rPr>
              <w:t>10%</w:t>
            </w:r>
          </w:p>
        </w:tc>
        <w:tc>
          <w:tcPr>
            <w:tcW w:w="6820" w:type="dxa"/>
            <w:vAlign w:val="bottom"/>
          </w:tcPr>
          <w:p>
            <w:pPr>
              <w:ind w:left="300"/>
              <w:spacing w:after="0"/>
              <w:rPr>
                <w:sz w:val="20"/>
                <w:szCs w:val="20"/>
                <w:color w:val="auto"/>
              </w:rPr>
            </w:pPr>
            <w:r>
              <w:rPr>
                <w:rFonts w:ascii="Arial" w:cs="Arial" w:eastAsia="Arial" w:hAnsi="Arial"/>
                <w:sz w:val="11"/>
                <w:szCs w:val="11"/>
                <w:color w:val="262626"/>
              </w:rPr>
              <w:t>Our ability to operate is conditioned upon our maintaining required gaming licenses. Our gaming regulators were concerned with the</w:t>
            </w:r>
          </w:p>
        </w:tc>
        <w:tc>
          <w:tcPr>
            <w:tcW w:w="840" w:type="dxa"/>
            <w:vAlign w:val="bottom"/>
          </w:tcPr>
          <w:p>
            <w:pPr>
              <w:ind w:left="260"/>
              <w:spacing w:after="0"/>
              <w:rPr>
                <w:sz w:val="20"/>
                <w:szCs w:val="20"/>
                <w:color w:val="auto"/>
              </w:rPr>
            </w:pPr>
            <w:r>
              <w:rPr>
                <w:rFonts w:ascii="Arial" w:cs="Arial" w:eastAsia="Arial" w:hAnsi="Arial"/>
                <w:sz w:val="11"/>
                <w:szCs w:val="11"/>
                <w:color w:val="262626"/>
              </w:rPr>
              <w:t>Achieved</w:t>
            </w:r>
          </w:p>
        </w:tc>
        <w:tc>
          <w:tcPr>
            <w:tcW w:w="20" w:type="dxa"/>
            <w:vAlign w:val="bottom"/>
          </w:tcPr>
          <w:p>
            <w:pPr>
              <w:spacing w:after="0"/>
              <w:rPr>
                <w:sz w:val="15"/>
                <w:szCs w:val="15"/>
                <w:color w:val="auto"/>
              </w:rPr>
            </w:pPr>
          </w:p>
        </w:tc>
      </w:tr>
      <w:tr>
        <w:trPr>
          <w:trHeight w:val="119"/>
        </w:trPr>
        <w:tc>
          <w:tcPr>
            <w:tcW w:w="1680" w:type="dxa"/>
            <w:vAlign w:val="bottom"/>
          </w:tcPr>
          <w:p>
            <w:pPr>
              <w:ind w:left="80"/>
              <w:spacing w:after="0" w:line="120" w:lineRule="exact"/>
              <w:rPr>
                <w:sz w:val="20"/>
                <w:szCs w:val="20"/>
                <w:color w:val="auto"/>
              </w:rPr>
            </w:pPr>
            <w:r>
              <w:rPr>
                <w:rFonts w:ascii="Arial" w:cs="Arial" w:eastAsia="Arial" w:hAnsi="Arial"/>
                <w:sz w:val="11"/>
                <w:szCs w:val="11"/>
                <w:color w:val="262626"/>
              </w:rPr>
              <w:t>Risk Stemming from</w:t>
            </w:r>
          </w:p>
        </w:tc>
        <w:tc>
          <w:tcPr>
            <w:tcW w:w="520" w:type="dxa"/>
            <w:vAlign w:val="bottom"/>
          </w:tcPr>
          <w:p>
            <w:pPr>
              <w:spacing w:after="0"/>
              <w:rPr>
                <w:sz w:val="10"/>
                <w:szCs w:val="10"/>
                <w:color w:val="auto"/>
              </w:rPr>
            </w:pPr>
          </w:p>
        </w:tc>
        <w:tc>
          <w:tcPr>
            <w:tcW w:w="6820" w:type="dxa"/>
            <w:vAlign w:val="bottom"/>
          </w:tcPr>
          <w:p>
            <w:pPr>
              <w:ind w:left="300"/>
              <w:spacing w:after="0" w:line="120" w:lineRule="exact"/>
              <w:rPr>
                <w:sz w:val="20"/>
                <w:szCs w:val="20"/>
                <w:color w:val="auto"/>
              </w:rPr>
            </w:pPr>
            <w:r>
              <w:rPr>
                <w:rFonts w:ascii="Arial" w:cs="Arial" w:eastAsia="Arial" w:hAnsi="Arial"/>
                <w:sz w:val="11"/>
                <w:szCs w:val="11"/>
                <w:color w:val="262626"/>
                <w:w w:val="97"/>
              </w:rPr>
              <w:t>allegations against our former Chairman and CEO, with understanding the Company’s response to the allegations, and with ensuring the</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1680" w:type="dxa"/>
            <w:vAlign w:val="bottom"/>
          </w:tcPr>
          <w:p>
            <w:pPr>
              <w:ind w:left="80"/>
              <w:spacing w:after="0" w:line="120" w:lineRule="exact"/>
              <w:rPr>
                <w:sz w:val="20"/>
                <w:szCs w:val="20"/>
                <w:color w:val="auto"/>
              </w:rPr>
            </w:pPr>
            <w:r>
              <w:rPr>
                <w:rFonts w:ascii="Arial" w:cs="Arial" w:eastAsia="Arial" w:hAnsi="Arial"/>
                <w:sz w:val="11"/>
                <w:szCs w:val="11"/>
                <w:color w:val="262626"/>
              </w:rPr>
              <w:t>Allegations against our Former</w:t>
            </w:r>
          </w:p>
        </w:tc>
        <w:tc>
          <w:tcPr>
            <w:tcW w:w="520" w:type="dxa"/>
            <w:vAlign w:val="bottom"/>
          </w:tcPr>
          <w:p>
            <w:pPr>
              <w:spacing w:after="0"/>
              <w:rPr>
                <w:sz w:val="10"/>
                <w:szCs w:val="10"/>
                <w:color w:val="auto"/>
              </w:rPr>
            </w:pPr>
          </w:p>
        </w:tc>
        <w:tc>
          <w:tcPr>
            <w:tcW w:w="6820" w:type="dxa"/>
            <w:vAlign w:val="bottom"/>
          </w:tcPr>
          <w:p>
            <w:pPr>
              <w:ind w:left="300"/>
              <w:spacing w:after="0" w:line="120" w:lineRule="exact"/>
              <w:rPr>
                <w:sz w:val="20"/>
                <w:szCs w:val="20"/>
                <w:color w:val="auto"/>
              </w:rPr>
            </w:pPr>
            <w:r>
              <w:rPr>
                <w:rFonts w:ascii="Arial" w:cs="Arial" w:eastAsia="Arial" w:hAnsi="Arial"/>
                <w:sz w:val="11"/>
                <w:szCs w:val="11"/>
                <w:color w:val="262626"/>
              </w:rPr>
              <w:t>Company’s full cooperation with associated regulatory reviews. The Board and Compensation Committee viewed the swiftness of</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1680" w:type="dxa"/>
            <w:vAlign w:val="bottom"/>
          </w:tcPr>
          <w:p>
            <w:pPr>
              <w:ind w:left="80"/>
              <w:spacing w:after="0" w:line="120" w:lineRule="exact"/>
              <w:rPr>
                <w:sz w:val="20"/>
                <w:szCs w:val="20"/>
                <w:color w:val="auto"/>
              </w:rPr>
            </w:pPr>
            <w:r>
              <w:rPr>
                <w:rFonts w:ascii="Arial" w:cs="Arial" w:eastAsia="Arial" w:hAnsi="Arial"/>
                <w:sz w:val="11"/>
                <w:szCs w:val="11"/>
                <w:color w:val="262626"/>
              </w:rPr>
              <w:t>Chairman and CEO</w:t>
            </w:r>
          </w:p>
        </w:tc>
        <w:tc>
          <w:tcPr>
            <w:tcW w:w="520" w:type="dxa"/>
            <w:vAlign w:val="bottom"/>
          </w:tcPr>
          <w:p>
            <w:pPr>
              <w:spacing w:after="0"/>
              <w:rPr>
                <w:sz w:val="10"/>
                <w:szCs w:val="10"/>
                <w:color w:val="auto"/>
              </w:rPr>
            </w:pPr>
          </w:p>
        </w:tc>
        <w:tc>
          <w:tcPr>
            <w:tcW w:w="6820" w:type="dxa"/>
            <w:vAlign w:val="bottom"/>
          </w:tcPr>
          <w:p>
            <w:pPr>
              <w:ind w:left="300"/>
              <w:spacing w:after="0" w:line="120" w:lineRule="exact"/>
              <w:rPr>
                <w:sz w:val="20"/>
                <w:szCs w:val="20"/>
                <w:color w:val="auto"/>
              </w:rPr>
            </w:pPr>
            <w:r>
              <w:rPr>
                <w:rFonts w:ascii="Arial" w:cs="Arial" w:eastAsia="Arial" w:hAnsi="Arial"/>
                <w:sz w:val="11"/>
                <w:szCs w:val="11"/>
                <w:color w:val="262626"/>
                <w:w w:val="99"/>
              </w:rPr>
              <w:t>management’s response to the allegations and its cooperation with the Company’s gaming regulators as minimizing regulatory risk and</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20" w:type="dxa"/>
            <w:vAlign w:val="bottom"/>
          </w:tcPr>
          <w:p>
            <w:pPr>
              <w:ind w:left="300"/>
              <w:spacing w:after="0"/>
              <w:rPr>
                <w:sz w:val="20"/>
                <w:szCs w:val="20"/>
                <w:color w:val="auto"/>
              </w:rPr>
            </w:pPr>
            <w:r>
              <w:rPr>
                <w:rFonts w:ascii="Arial" w:cs="Arial" w:eastAsia="Arial" w:hAnsi="Arial"/>
                <w:sz w:val="11"/>
                <w:szCs w:val="11"/>
                <w:color w:val="262626"/>
              </w:rPr>
              <w:t>being critical to the Company’s future success.</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9"/>
        </w:trPr>
        <w:tc>
          <w:tcPr>
            <w:tcW w:w="1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16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Successful Placement of</w:t>
            </w:r>
          </w:p>
        </w:tc>
        <w:tc>
          <w:tcPr>
            <w:tcW w:w="520" w:type="dxa"/>
            <w:vAlign w:val="bottom"/>
            <w:shd w:val="clear" w:color="auto" w:fill="ECEBE8"/>
          </w:tcPr>
          <w:p>
            <w:pPr>
              <w:jc w:val="center"/>
              <w:ind w:left="129"/>
              <w:spacing w:after="0"/>
              <w:rPr>
                <w:sz w:val="20"/>
                <w:szCs w:val="20"/>
                <w:color w:val="auto"/>
              </w:rPr>
            </w:pPr>
            <w:r>
              <w:rPr>
                <w:rFonts w:ascii="Arial" w:cs="Arial" w:eastAsia="Arial" w:hAnsi="Arial"/>
                <w:sz w:val="11"/>
                <w:szCs w:val="11"/>
                <w:color w:val="262626"/>
                <w:w w:val="99"/>
              </w:rPr>
              <w:t>10%</w:t>
            </w:r>
          </w:p>
        </w:tc>
        <w:tc>
          <w:tcPr>
            <w:tcW w:w="6820" w:type="dxa"/>
            <w:vAlign w:val="bottom"/>
            <w:shd w:val="clear" w:color="auto" w:fill="ECEBE8"/>
          </w:tcPr>
          <w:p>
            <w:pPr>
              <w:ind w:left="300"/>
              <w:spacing w:after="0"/>
              <w:rPr>
                <w:sz w:val="20"/>
                <w:szCs w:val="20"/>
                <w:color w:val="auto"/>
              </w:rPr>
            </w:pPr>
            <w:r>
              <w:rPr>
                <w:rFonts w:ascii="Arial" w:cs="Arial" w:eastAsia="Arial" w:hAnsi="Arial"/>
                <w:sz w:val="11"/>
                <w:szCs w:val="11"/>
                <w:color w:val="262626"/>
                <w:w w:val="98"/>
              </w:rPr>
              <w:t>Key to the successful management and containment of the regulatory impacts of the allegations against our former Chairman and CEO</w:t>
            </w:r>
          </w:p>
        </w:tc>
        <w:tc>
          <w:tcPr>
            <w:tcW w:w="840" w:type="dxa"/>
            <w:vAlign w:val="bottom"/>
            <w:shd w:val="clear" w:color="auto" w:fill="ECEBE8"/>
          </w:tcPr>
          <w:p>
            <w:pPr>
              <w:ind w:left="260"/>
              <w:spacing w:after="0"/>
              <w:rPr>
                <w:sz w:val="20"/>
                <w:szCs w:val="20"/>
                <w:color w:val="auto"/>
              </w:rPr>
            </w:pPr>
            <w:r>
              <w:rPr>
                <w:rFonts w:ascii="Arial" w:cs="Arial" w:eastAsia="Arial" w:hAnsi="Arial"/>
                <w:sz w:val="11"/>
                <w:szCs w:val="11"/>
                <w:color w:val="262626"/>
              </w:rPr>
              <w:t>Achieved</w:t>
            </w:r>
          </w:p>
        </w:tc>
        <w:tc>
          <w:tcPr>
            <w:tcW w:w="20" w:type="dxa"/>
            <w:vAlign w:val="bottom"/>
          </w:tcPr>
          <w:p>
            <w:pPr>
              <w:spacing w:after="0"/>
              <w:rPr>
                <w:sz w:val="15"/>
                <w:szCs w:val="15"/>
                <w:color w:val="auto"/>
              </w:rPr>
            </w:pPr>
          </w:p>
        </w:tc>
      </w:tr>
      <w:tr>
        <w:trPr>
          <w:trHeight w:val="119"/>
        </w:trPr>
        <w:tc>
          <w:tcPr>
            <w:tcW w:w="1680" w:type="dxa"/>
            <w:vAlign w:val="bottom"/>
            <w:shd w:val="clear" w:color="auto" w:fill="ECEBE8"/>
          </w:tcPr>
          <w:p>
            <w:pPr>
              <w:ind w:left="80"/>
              <w:spacing w:after="0" w:line="120" w:lineRule="exact"/>
              <w:rPr>
                <w:sz w:val="20"/>
                <w:szCs w:val="20"/>
                <w:color w:val="auto"/>
              </w:rPr>
            </w:pPr>
            <w:r>
              <w:rPr>
                <w:rFonts w:ascii="Arial" w:cs="Arial" w:eastAsia="Arial" w:hAnsi="Arial"/>
                <w:sz w:val="11"/>
                <w:szCs w:val="11"/>
                <w:color w:val="262626"/>
              </w:rPr>
              <w:t>Substantially All of Former</w:t>
            </w:r>
          </w:p>
        </w:tc>
        <w:tc>
          <w:tcPr>
            <w:tcW w:w="520" w:type="dxa"/>
            <w:vAlign w:val="bottom"/>
            <w:shd w:val="clear" w:color="auto" w:fill="ECEBE8"/>
          </w:tcPr>
          <w:p>
            <w:pPr>
              <w:spacing w:after="0"/>
              <w:rPr>
                <w:sz w:val="10"/>
                <w:szCs w:val="10"/>
                <w:color w:val="auto"/>
              </w:rPr>
            </w:pPr>
          </w:p>
        </w:tc>
        <w:tc>
          <w:tcPr>
            <w:tcW w:w="6820" w:type="dxa"/>
            <w:vAlign w:val="bottom"/>
            <w:shd w:val="clear" w:color="auto" w:fill="ECEBE8"/>
          </w:tcPr>
          <w:p>
            <w:pPr>
              <w:ind w:left="300"/>
              <w:spacing w:after="0" w:line="120" w:lineRule="exact"/>
              <w:rPr>
                <w:sz w:val="20"/>
                <w:szCs w:val="20"/>
                <w:color w:val="auto"/>
              </w:rPr>
            </w:pPr>
            <w:r>
              <w:rPr>
                <w:rFonts w:ascii="Arial" w:cs="Arial" w:eastAsia="Arial" w:hAnsi="Arial"/>
                <w:sz w:val="11"/>
                <w:szCs w:val="11"/>
                <w:color w:val="262626"/>
              </w:rPr>
              <w:t>was the sale of his equity in our Company. The Board and Compensation Committee believed it to be in the best interest of all</w:t>
            </w:r>
          </w:p>
        </w:tc>
        <w:tc>
          <w:tcPr>
            <w:tcW w:w="84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1680" w:type="dxa"/>
            <w:vAlign w:val="bottom"/>
            <w:shd w:val="clear" w:color="auto" w:fill="ECEBE8"/>
          </w:tcPr>
          <w:p>
            <w:pPr>
              <w:ind w:left="80"/>
              <w:spacing w:after="0" w:line="120" w:lineRule="exact"/>
              <w:rPr>
                <w:sz w:val="20"/>
                <w:szCs w:val="20"/>
                <w:color w:val="auto"/>
              </w:rPr>
            </w:pPr>
            <w:r>
              <w:rPr>
                <w:rFonts w:ascii="Arial" w:cs="Arial" w:eastAsia="Arial" w:hAnsi="Arial"/>
                <w:sz w:val="11"/>
                <w:szCs w:val="11"/>
                <w:color w:val="262626"/>
              </w:rPr>
              <w:t>CEO’s Shareholdings to Long-</w:t>
            </w:r>
          </w:p>
        </w:tc>
        <w:tc>
          <w:tcPr>
            <w:tcW w:w="520" w:type="dxa"/>
            <w:vAlign w:val="bottom"/>
            <w:shd w:val="clear" w:color="auto" w:fill="ECEBE8"/>
          </w:tcPr>
          <w:p>
            <w:pPr>
              <w:spacing w:after="0"/>
              <w:rPr>
                <w:sz w:val="10"/>
                <w:szCs w:val="10"/>
                <w:color w:val="auto"/>
              </w:rPr>
            </w:pPr>
          </w:p>
        </w:tc>
        <w:tc>
          <w:tcPr>
            <w:tcW w:w="6820" w:type="dxa"/>
            <w:vAlign w:val="bottom"/>
            <w:shd w:val="clear" w:color="auto" w:fill="ECEBE8"/>
          </w:tcPr>
          <w:p>
            <w:pPr>
              <w:ind w:left="300"/>
              <w:spacing w:after="0" w:line="120" w:lineRule="exact"/>
              <w:rPr>
                <w:sz w:val="20"/>
                <w:szCs w:val="20"/>
                <w:color w:val="auto"/>
              </w:rPr>
            </w:pPr>
            <w:r>
              <w:rPr>
                <w:rFonts w:ascii="Arial" w:cs="Arial" w:eastAsia="Arial" w:hAnsi="Arial"/>
                <w:sz w:val="11"/>
                <w:szCs w:val="11"/>
                <w:color w:val="262626"/>
              </w:rPr>
              <w:t>shareholders to ensure that such shares were sold to stable, long-term (and in certain cases, strategic) shareholders.</w:t>
            </w:r>
          </w:p>
        </w:tc>
        <w:tc>
          <w:tcPr>
            <w:tcW w:w="84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1680" w:type="dxa"/>
            <w:vAlign w:val="bottom"/>
            <w:shd w:val="clear" w:color="auto" w:fill="ECEBE8"/>
          </w:tcPr>
          <w:p>
            <w:pPr>
              <w:ind w:left="80"/>
              <w:spacing w:after="0" w:line="120" w:lineRule="exact"/>
              <w:rPr>
                <w:sz w:val="20"/>
                <w:szCs w:val="20"/>
                <w:color w:val="auto"/>
              </w:rPr>
            </w:pPr>
            <w:r>
              <w:rPr>
                <w:rFonts w:ascii="Arial" w:cs="Arial" w:eastAsia="Arial" w:hAnsi="Arial"/>
                <w:sz w:val="11"/>
                <w:szCs w:val="11"/>
                <w:color w:val="262626"/>
              </w:rPr>
              <w:t>Term and Strategic</w:t>
            </w:r>
          </w:p>
        </w:tc>
        <w:tc>
          <w:tcPr>
            <w:tcW w:w="520" w:type="dxa"/>
            <w:vAlign w:val="bottom"/>
            <w:shd w:val="clear" w:color="auto" w:fill="ECEBE8"/>
          </w:tcPr>
          <w:p>
            <w:pPr>
              <w:spacing w:after="0"/>
              <w:rPr>
                <w:sz w:val="10"/>
                <w:szCs w:val="10"/>
                <w:color w:val="auto"/>
              </w:rPr>
            </w:pPr>
          </w:p>
        </w:tc>
        <w:tc>
          <w:tcPr>
            <w:tcW w:w="6820" w:type="dxa"/>
            <w:vAlign w:val="bottom"/>
            <w:shd w:val="clear" w:color="auto" w:fill="ECEBE8"/>
          </w:tcPr>
          <w:p>
            <w:pPr>
              <w:spacing w:after="0"/>
              <w:rPr>
                <w:sz w:val="10"/>
                <w:szCs w:val="10"/>
                <w:color w:val="auto"/>
              </w:rPr>
            </w:pPr>
          </w:p>
        </w:tc>
        <w:tc>
          <w:tcPr>
            <w:tcW w:w="84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6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Shareholders</w:t>
            </w:r>
          </w:p>
        </w:tc>
        <w:tc>
          <w:tcPr>
            <w:tcW w:w="520" w:type="dxa"/>
            <w:vAlign w:val="bottom"/>
            <w:shd w:val="clear" w:color="auto" w:fill="ECEBE8"/>
          </w:tcPr>
          <w:p>
            <w:pPr>
              <w:spacing w:after="0"/>
              <w:rPr>
                <w:sz w:val="10"/>
                <w:szCs w:val="10"/>
                <w:color w:val="auto"/>
              </w:rPr>
            </w:pPr>
          </w:p>
        </w:tc>
        <w:tc>
          <w:tcPr>
            <w:tcW w:w="6820" w:type="dxa"/>
            <w:vAlign w:val="bottom"/>
            <w:shd w:val="clear" w:color="auto" w:fill="ECEBE8"/>
          </w:tcPr>
          <w:p>
            <w:pPr>
              <w:spacing w:after="0"/>
              <w:rPr>
                <w:sz w:val="10"/>
                <w:szCs w:val="10"/>
                <w:color w:val="auto"/>
              </w:rPr>
            </w:pPr>
          </w:p>
        </w:tc>
        <w:tc>
          <w:tcPr>
            <w:tcW w:w="84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63"/>
        </w:trPr>
        <w:tc>
          <w:tcPr>
            <w:tcW w:w="1680" w:type="dxa"/>
            <w:vAlign w:val="bottom"/>
            <w:shd w:val="clear" w:color="auto" w:fill="ECEBE8"/>
          </w:tcPr>
          <w:p>
            <w:pPr>
              <w:spacing w:after="0"/>
              <w:rPr>
                <w:sz w:val="5"/>
                <w:szCs w:val="5"/>
                <w:color w:val="auto"/>
              </w:rPr>
            </w:pPr>
          </w:p>
        </w:tc>
        <w:tc>
          <w:tcPr>
            <w:tcW w:w="520" w:type="dxa"/>
            <w:vAlign w:val="bottom"/>
            <w:shd w:val="clear" w:color="auto" w:fill="ECEBE8"/>
          </w:tcPr>
          <w:p>
            <w:pPr>
              <w:spacing w:after="0"/>
              <w:rPr>
                <w:sz w:val="5"/>
                <w:szCs w:val="5"/>
                <w:color w:val="auto"/>
              </w:rPr>
            </w:pPr>
          </w:p>
        </w:tc>
        <w:tc>
          <w:tcPr>
            <w:tcW w:w="6820" w:type="dxa"/>
            <w:vAlign w:val="bottom"/>
            <w:shd w:val="clear" w:color="auto" w:fill="ECEBE8"/>
          </w:tcPr>
          <w:p>
            <w:pPr>
              <w:spacing w:after="0"/>
              <w:rPr>
                <w:sz w:val="5"/>
                <w:szCs w:val="5"/>
                <w:color w:val="auto"/>
              </w:rPr>
            </w:pPr>
          </w:p>
        </w:tc>
        <w:tc>
          <w:tcPr>
            <w:tcW w:w="840" w:type="dxa"/>
            <w:vAlign w:val="bottom"/>
            <w:shd w:val="clear" w:color="auto" w:fill="ECEBE8"/>
          </w:tcPr>
          <w:p>
            <w:pPr>
              <w:spacing w:after="0"/>
              <w:rPr>
                <w:sz w:val="5"/>
                <w:szCs w:val="5"/>
                <w:color w:val="auto"/>
              </w:rPr>
            </w:pPr>
          </w:p>
        </w:tc>
        <w:tc>
          <w:tcPr>
            <w:tcW w:w="20" w:type="dxa"/>
            <w:vAlign w:val="bottom"/>
          </w:tcPr>
          <w:p>
            <w:pPr>
              <w:spacing w:after="0"/>
              <w:rPr>
                <w:sz w:val="5"/>
                <w:szCs w:val="5"/>
                <w:color w:val="auto"/>
              </w:rPr>
            </w:pPr>
          </w:p>
        </w:tc>
      </w:tr>
    </w:tbl>
    <w:p>
      <w:pPr>
        <w:spacing w:after="0" w:line="190" w:lineRule="exact"/>
        <w:rPr>
          <w:sz w:val="20"/>
          <w:szCs w:val="20"/>
          <w:color w:val="auto"/>
        </w:rPr>
      </w:pPr>
    </w:p>
    <w:p>
      <w:pPr>
        <w:ind w:left="780" w:right="320"/>
        <w:spacing w:after="0" w:line="241" w:lineRule="auto"/>
        <w:rPr>
          <w:sz w:val="20"/>
          <w:szCs w:val="20"/>
          <w:color w:val="auto"/>
        </w:rPr>
      </w:pPr>
      <w:r>
        <w:rPr>
          <w:rFonts w:ascii="Arial" w:cs="Arial" w:eastAsia="Arial" w:hAnsi="Arial"/>
          <w:sz w:val="14"/>
          <w:szCs w:val="14"/>
          <w:color w:val="262626"/>
        </w:rPr>
        <w:t>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w:t>
      </w:r>
    </w:p>
    <w:p>
      <w:pPr>
        <w:spacing w:after="0" w:line="143" w:lineRule="exact"/>
        <w:rPr>
          <w:sz w:val="20"/>
          <w:szCs w:val="20"/>
          <w:color w:val="auto"/>
        </w:rPr>
      </w:pPr>
    </w:p>
    <w:p>
      <w:pPr>
        <w:ind w:left="780" w:right="240"/>
        <w:spacing w:after="0" w:line="256" w:lineRule="auto"/>
        <w:rPr>
          <w:sz w:val="20"/>
          <w:szCs w:val="20"/>
          <w:color w:val="auto"/>
        </w:rPr>
      </w:pPr>
      <w:r>
        <w:rPr>
          <w:rFonts w:ascii="Arial" w:cs="Arial" w:eastAsia="Arial" w:hAnsi="Arial"/>
          <w:sz w:val="14"/>
          <w:szCs w:val="14"/>
          <w:b w:val="1"/>
          <w:bCs w:val="1"/>
          <w:color w:val="262626"/>
        </w:rPr>
        <w:t xml:space="preserve">Annual Incentive Payout: </w:t>
      </w:r>
      <w:r>
        <w:rPr>
          <w:rFonts w:ascii="Arial" w:cs="Arial" w:eastAsia="Arial" w:hAnsi="Arial"/>
          <w:sz w:val="14"/>
          <w:szCs w:val="14"/>
          <w:color w:val="262626"/>
        </w:rPr>
        <w:t>Actual Adjusted Property EBITDA for 2018 was $2.04 billion, the Company maintained its Forbes Five-Star distinction in both Las</w:t>
      </w:r>
      <w:r>
        <w:rPr>
          <w:rFonts w:ascii="Arial" w:cs="Arial" w:eastAsia="Arial" w:hAnsi="Arial"/>
          <w:sz w:val="14"/>
          <w:szCs w:val="14"/>
          <w:b w:val="1"/>
          <w:bCs w:val="1"/>
          <w:color w:val="262626"/>
        </w:rPr>
        <w:t xml:space="preserve"> </w:t>
      </w:r>
      <w:r>
        <w:rPr>
          <w:rFonts w:ascii="Arial" w:cs="Arial" w:eastAsia="Arial" w:hAnsi="Arial"/>
          <w:sz w:val="14"/>
          <w:szCs w:val="14"/>
          <w:color w:val="262626"/>
        </w:rPr>
        <w:t>Vegas and Macau, and the Company achieved all of the additional qualitative performance metrics during the year. Accordingly, all performance metrics for maximum funding were attained, and in January 2019, the Compensation Committee determined the actual award payouts as set forth below.</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123"/>
        </w:trPr>
        <w:tc>
          <w:tcPr>
            <w:tcW w:w="5300" w:type="dxa"/>
            <w:vAlign w:val="bottom"/>
            <w:shd w:val="clear" w:color="auto" w:fill="A39B8C"/>
          </w:tcPr>
          <w:p>
            <w:pPr>
              <w:spacing w:after="0"/>
              <w:rPr>
                <w:sz w:val="10"/>
                <w:szCs w:val="10"/>
                <w:color w:val="auto"/>
              </w:rPr>
            </w:pPr>
          </w:p>
        </w:tc>
        <w:tc>
          <w:tcPr>
            <w:tcW w:w="520" w:type="dxa"/>
            <w:vAlign w:val="bottom"/>
            <w:shd w:val="clear" w:color="auto" w:fill="A39B8C"/>
          </w:tcPr>
          <w:p>
            <w:pPr>
              <w:spacing w:after="0"/>
              <w:rPr>
                <w:sz w:val="10"/>
                <w:szCs w:val="10"/>
                <w:color w:val="auto"/>
              </w:rPr>
            </w:pPr>
          </w:p>
        </w:tc>
        <w:tc>
          <w:tcPr>
            <w:tcW w:w="760" w:type="dxa"/>
            <w:vAlign w:val="bottom"/>
            <w:shd w:val="clear" w:color="auto" w:fill="A39B8C"/>
          </w:tcPr>
          <w:p>
            <w:pPr>
              <w:spacing w:after="0"/>
              <w:rPr>
                <w:sz w:val="10"/>
                <w:szCs w:val="10"/>
                <w:color w:val="auto"/>
              </w:rPr>
            </w:pPr>
          </w:p>
        </w:tc>
        <w:tc>
          <w:tcPr>
            <w:tcW w:w="280" w:type="dxa"/>
            <w:vAlign w:val="bottom"/>
            <w:shd w:val="clear" w:color="auto" w:fill="A39B8C"/>
          </w:tcPr>
          <w:p>
            <w:pPr>
              <w:spacing w:after="0"/>
              <w:rPr>
                <w:sz w:val="10"/>
                <w:szCs w:val="10"/>
                <w:color w:val="auto"/>
              </w:rPr>
            </w:pPr>
          </w:p>
        </w:tc>
        <w:tc>
          <w:tcPr>
            <w:tcW w:w="580" w:type="dxa"/>
            <w:vAlign w:val="bottom"/>
            <w:shd w:val="clear" w:color="auto" w:fill="A39B8C"/>
          </w:tcPr>
          <w:p>
            <w:pPr>
              <w:spacing w:after="0"/>
              <w:rPr>
                <w:sz w:val="10"/>
                <w:szCs w:val="10"/>
                <w:color w:val="auto"/>
              </w:rPr>
            </w:pPr>
          </w:p>
        </w:tc>
        <w:tc>
          <w:tcPr>
            <w:tcW w:w="160" w:type="dxa"/>
            <w:vAlign w:val="bottom"/>
            <w:shd w:val="clear" w:color="auto" w:fill="A39B8C"/>
          </w:tcPr>
          <w:p>
            <w:pPr>
              <w:spacing w:after="0"/>
              <w:rPr>
                <w:sz w:val="10"/>
                <w:szCs w:val="10"/>
                <w:color w:val="auto"/>
              </w:rPr>
            </w:pPr>
          </w:p>
        </w:tc>
        <w:tc>
          <w:tcPr>
            <w:tcW w:w="600" w:type="dxa"/>
            <w:vAlign w:val="bottom"/>
            <w:shd w:val="clear" w:color="auto" w:fill="A39B8C"/>
          </w:tcPr>
          <w:p>
            <w:pPr>
              <w:spacing w:after="0"/>
              <w:rPr>
                <w:sz w:val="10"/>
                <w:szCs w:val="10"/>
                <w:color w:val="auto"/>
              </w:rPr>
            </w:pPr>
          </w:p>
        </w:tc>
        <w:tc>
          <w:tcPr>
            <w:tcW w:w="160" w:type="dxa"/>
            <w:vAlign w:val="bottom"/>
            <w:shd w:val="clear" w:color="auto" w:fill="A39B8C"/>
          </w:tcPr>
          <w:p>
            <w:pPr>
              <w:spacing w:after="0"/>
              <w:rPr>
                <w:sz w:val="10"/>
                <w:szCs w:val="10"/>
                <w:color w:val="auto"/>
              </w:rPr>
            </w:pPr>
          </w:p>
        </w:tc>
        <w:tc>
          <w:tcPr>
            <w:tcW w:w="1500" w:type="dxa"/>
            <w:vAlign w:val="bottom"/>
            <w:gridSpan w:val="4"/>
            <w:shd w:val="clear" w:color="auto" w:fill="A39B8C"/>
          </w:tcPr>
          <w:p>
            <w:pPr>
              <w:ind w:left="320"/>
              <w:spacing w:after="0"/>
              <w:rPr>
                <w:sz w:val="20"/>
                <w:szCs w:val="20"/>
                <w:color w:val="auto"/>
              </w:rPr>
            </w:pPr>
            <w:r>
              <w:rPr>
                <w:rFonts w:ascii="Arial" w:cs="Arial" w:eastAsia="Arial" w:hAnsi="Arial"/>
                <w:sz w:val="9"/>
                <w:szCs w:val="9"/>
                <w:b w:val="1"/>
                <w:bCs w:val="1"/>
                <w:color w:val="FFFFFF"/>
              </w:rPr>
              <w:t>ACTUAL AWARD</w:t>
            </w:r>
          </w:p>
        </w:tc>
        <w:tc>
          <w:tcPr>
            <w:tcW w:w="20" w:type="dxa"/>
            <w:vAlign w:val="bottom"/>
            <w:shd w:val="clear" w:color="auto" w:fill="A39B8C"/>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300" w:type="dxa"/>
            <w:vAlign w:val="bottom"/>
            <w:vMerge w:val="restart"/>
            <w:shd w:val="clear" w:color="auto" w:fill="A39B8C"/>
          </w:tcPr>
          <w:p>
            <w:pPr>
              <w:ind w:left="80"/>
              <w:spacing w:after="0"/>
              <w:rPr>
                <w:sz w:val="20"/>
                <w:szCs w:val="20"/>
                <w:color w:val="auto"/>
              </w:rPr>
            </w:pPr>
            <w:r>
              <w:rPr>
                <w:rFonts w:ascii="Arial" w:cs="Arial" w:eastAsia="Arial" w:hAnsi="Arial"/>
                <w:sz w:val="9"/>
                <w:szCs w:val="9"/>
                <w:b w:val="1"/>
                <w:bCs w:val="1"/>
                <w:color w:val="FFFFFF"/>
              </w:rPr>
              <w:t>NAMED EXECUTIVE OFFICER</w:t>
            </w:r>
          </w:p>
        </w:tc>
        <w:tc>
          <w:tcPr>
            <w:tcW w:w="520" w:type="dxa"/>
            <w:vAlign w:val="bottom"/>
            <w:shd w:val="clear" w:color="auto" w:fill="A39B8C"/>
          </w:tcPr>
          <w:p>
            <w:pPr>
              <w:spacing w:after="0"/>
              <w:rPr>
                <w:sz w:val="2"/>
                <w:szCs w:val="2"/>
                <w:color w:val="auto"/>
              </w:rPr>
            </w:pPr>
          </w:p>
        </w:tc>
        <w:tc>
          <w:tcPr>
            <w:tcW w:w="760" w:type="dxa"/>
            <w:vAlign w:val="bottom"/>
            <w:vMerge w:val="restart"/>
            <w:shd w:val="clear" w:color="auto" w:fill="A39B8C"/>
          </w:tcPr>
          <w:p>
            <w:pPr>
              <w:jc w:val="right"/>
              <w:spacing w:after="0"/>
              <w:rPr>
                <w:sz w:val="20"/>
                <w:szCs w:val="20"/>
                <w:color w:val="auto"/>
              </w:rPr>
            </w:pPr>
            <w:r>
              <w:rPr>
                <w:rFonts w:ascii="Arial" w:cs="Arial" w:eastAsia="Arial" w:hAnsi="Arial"/>
                <w:sz w:val="9"/>
                <w:szCs w:val="9"/>
                <w:b w:val="1"/>
                <w:bCs w:val="1"/>
                <w:color w:val="FFFFFF"/>
              </w:rPr>
              <w:t>THRESHOLD</w:t>
            </w:r>
            <w:r>
              <w:rPr>
                <w:rFonts w:ascii="Arial" w:cs="Arial" w:eastAsia="Arial" w:hAnsi="Arial"/>
                <w:sz w:val="7"/>
                <w:szCs w:val="7"/>
                <w:b w:val="1"/>
                <w:bCs w:val="1"/>
                <w:color w:val="FFFFFF"/>
              </w:rPr>
              <w:t>(1)</w:t>
            </w:r>
          </w:p>
        </w:tc>
        <w:tc>
          <w:tcPr>
            <w:tcW w:w="280" w:type="dxa"/>
            <w:vAlign w:val="bottom"/>
            <w:shd w:val="clear" w:color="auto" w:fill="A39B8C"/>
          </w:tcPr>
          <w:p>
            <w:pPr>
              <w:spacing w:after="0"/>
              <w:rPr>
                <w:sz w:val="2"/>
                <w:szCs w:val="2"/>
                <w:color w:val="auto"/>
              </w:rPr>
            </w:pPr>
          </w:p>
        </w:tc>
        <w:tc>
          <w:tcPr>
            <w:tcW w:w="580" w:type="dxa"/>
            <w:vAlign w:val="bottom"/>
            <w:vMerge w:val="restart"/>
            <w:shd w:val="clear" w:color="auto" w:fill="A39B8C"/>
          </w:tcPr>
          <w:p>
            <w:pPr>
              <w:jc w:val="right"/>
              <w:ind w:right="49"/>
              <w:spacing w:after="0"/>
              <w:rPr>
                <w:sz w:val="20"/>
                <w:szCs w:val="20"/>
                <w:color w:val="auto"/>
              </w:rPr>
            </w:pPr>
            <w:r>
              <w:rPr>
                <w:rFonts w:ascii="Arial" w:cs="Arial" w:eastAsia="Arial" w:hAnsi="Arial"/>
                <w:sz w:val="9"/>
                <w:szCs w:val="9"/>
                <w:b w:val="1"/>
                <w:bCs w:val="1"/>
                <w:color w:val="FFFFFF"/>
              </w:rPr>
              <w:t>TARGET</w:t>
            </w:r>
            <w:r>
              <w:rPr>
                <w:rFonts w:ascii="Arial" w:cs="Arial" w:eastAsia="Arial" w:hAnsi="Arial"/>
                <w:sz w:val="7"/>
                <w:szCs w:val="7"/>
                <w:b w:val="1"/>
                <w:bCs w:val="1"/>
                <w:color w:val="FFFFFF"/>
              </w:rPr>
              <w:t>(2)</w:t>
            </w:r>
          </w:p>
        </w:tc>
        <w:tc>
          <w:tcPr>
            <w:tcW w:w="760" w:type="dxa"/>
            <w:vAlign w:val="bottom"/>
            <w:gridSpan w:val="2"/>
            <w:vMerge w:val="restart"/>
            <w:shd w:val="clear" w:color="auto" w:fill="A39B8C"/>
          </w:tcPr>
          <w:p>
            <w:pPr>
              <w:jc w:val="right"/>
              <w:ind w:right="67"/>
              <w:spacing w:after="0"/>
              <w:rPr>
                <w:sz w:val="20"/>
                <w:szCs w:val="20"/>
                <w:color w:val="auto"/>
              </w:rPr>
            </w:pPr>
            <w:r>
              <w:rPr>
                <w:rFonts w:ascii="Arial" w:cs="Arial" w:eastAsia="Arial" w:hAnsi="Arial"/>
                <w:sz w:val="9"/>
                <w:szCs w:val="9"/>
                <w:b w:val="1"/>
                <w:bCs w:val="1"/>
                <w:color w:val="FFFFFF"/>
              </w:rPr>
              <w:t>MAXIMUM</w:t>
            </w:r>
            <w:r>
              <w:rPr>
                <w:rFonts w:ascii="Arial" w:cs="Arial" w:eastAsia="Arial" w:hAnsi="Arial"/>
                <w:sz w:val="7"/>
                <w:szCs w:val="7"/>
                <w:b w:val="1"/>
                <w:bCs w:val="1"/>
                <w:color w:val="FFFFFF"/>
              </w:rPr>
              <w:t>(3)</w:t>
            </w:r>
          </w:p>
        </w:tc>
        <w:tc>
          <w:tcPr>
            <w:tcW w:w="160" w:type="dxa"/>
            <w:vAlign w:val="bottom"/>
            <w:shd w:val="clear" w:color="auto" w:fill="A39B8C"/>
          </w:tcPr>
          <w:p>
            <w:pPr>
              <w:spacing w:after="0"/>
              <w:rPr>
                <w:sz w:val="2"/>
                <w:szCs w:val="2"/>
                <w:color w:val="auto"/>
              </w:rPr>
            </w:pPr>
          </w:p>
        </w:tc>
        <w:tc>
          <w:tcPr>
            <w:tcW w:w="480" w:type="dxa"/>
            <w:vAlign w:val="bottom"/>
            <w:vMerge w:val="restart"/>
            <w:shd w:val="clear" w:color="auto" w:fill="A39B8C"/>
          </w:tcPr>
          <w:p>
            <w:pPr>
              <w:jc w:val="right"/>
              <w:spacing w:after="0"/>
              <w:rPr>
                <w:sz w:val="20"/>
                <w:szCs w:val="20"/>
                <w:color w:val="auto"/>
              </w:rPr>
            </w:pPr>
            <w:r>
              <w:rPr>
                <w:rFonts w:ascii="Arial" w:cs="Arial" w:eastAsia="Arial" w:hAnsi="Arial"/>
                <w:sz w:val="9"/>
                <w:szCs w:val="9"/>
                <w:b w:val="1"/>
                <w:bCs w:val="1"/>
                <w:color w:val="FFFFFF"/>
              </w:rPr>
              <w:t>CASH</w:t>
            </w:r>
          </w:p>
        </w:tc>
        <w:tc>
          <w:tcPr>
            <w:tcW w:w="280" w:type="dxa"/>
            <w:vAlign w:val="bottom"/>
            <w:shd w:val="clear" w:color="auto" w:fill="A39B8C"/>
          </w:tcPr>
          <w:p>
            <w:pPr>
              <w:spacing w:after="0"/>
              <w:rPr>
                <w:sz w:val="2"/>
                <w:szCs w:val="2"/>
                <w:color w:val="auto"/>
              </w:rPr>
            </w:pPr>
          </w:p>
        </w:tc>
        <w:tc>
          <w:tcPr>
            <w:tcW w:w="640" w:type="dxa"/>
            <w:vAlign w:val="bottom"/>
            <w:vMerge w:val="restart"/>
            <w:shd w:val="clear" w:color="auto" w:fill="A39B8C"/>
          </w:tcPr>
          <w:p>
            <w:pPr>
              <w:jc w:val="right"/>
              <w:ind w:right="109"/>
              <w:spacing w:after="0"/>
              <w:rPr>
                <w:sz w:val="20"/>
                <w:szCs w:val="20"/>
                <w:color w:val="auto"/>
              </w:rPr>
            </w:pPr>
            <w:r>
              <w:rPr>
                <w:rFonts w:ascii="Arial" w:cs="Arial" w:eastAsia="Arial" w:hAnsi="Arial"/>
                <w:sz w:val="9"/>
                <w:szCs w:val="9"/>
                <w:b w:val="1"/>
                <w:bCs w:val="1"/>
                <w:color w:val="FFFFFF"/>
              </w:rPr>
              <w:t>EQUITY</w:t>
            </w:r>
            <w:r>
              <w:rPr>
                <w:rFonts w:ascii="Arial" w:cs="Arial" w:eastAsia="Arial" w:hAnsi="Arial"/>
                <w:sz w:val="7"/>
                <w:szCs w:val="7"/>
                <w:b w:val="1"/>
                <w:bCs w:val="1"/>
                <w:color w:val="FFFFFF"/>
              </w:rPr>
              <w:t>(4)</w:t>
            </w:r>
          </w:p>
        </w:tc>
        <w:tc>
          <w:tcPr>
            <w:tcW w:w="100" w:type="dxa"/>
            <w:vAlign w:val="bottom"/>
            <w:shd w:val="clear" w:color="auto" w:fill="A39B8C"/>
          </w:tcPr>
          <w:p>
            <w:pPr>
              <w:spacing w:after="0"/>
              <w:rPr>
                <w:sz w:val="2"/>
                <w:szCs w:val="2"/>
                <w:color w:val="auto"/>
              </w:rPr>
            </w:pPr>
          </w:p>
        </w:tc>
        <w:tc>
          <w:tcPr>
            <w:tcW w:w="20" w:type="dxa"/>
            <w:vAlign w:val="bottom"/>
            <w:shd w:val="clear" w:color="auto" w:fill="A39B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5300" w:type="dxa"/>
            <w:vAlign w:val="bottom"/>
            <w:tcBorders>
              <w:bottom w:val="single" w:sz="8" w:color="A39B8C"/>
            </w:tcBorders>
            <w:vMerge w:val="continue"/>
            <w:shd w:val="clear" w:color="auto" w:fill="A39B8C"/>
          </w:tcPr>
          <w:p>
            <w:pPr>
              <w:spacing w:after="0"/>
              <w:rPr>
                <w:sz w:val="8"/>
                <w:szCs w:val="8"/>
                <w:color w:val="auto"/>
              </w:rPr>
            </w:pPr>
          </w:p>
        </w:tc>
        <w:tc>
          <w:tcPr>
            <w:tcW w:w="520" w:type="dxa"/>
            <w:vAlign w:val="bottom"/>
            <w:tcBorders>
              <w:bottom w:val="single" w:sz="8" w:color="A39B8C"/>
            </w:tcBorders>
            <w:shd w:val="clear" w:color="auto" w:fill="A39B8C"/>
          </w:tcPr>
          <w:p>
            <w:pPr>
              <w:spacing w:after="0"/>
              <w:rPr>
                <w:sz w:val="8"/>
                <w:szCs w:val="8"/>
                <w:color w:val="auto"/>
              </w:rPr>
            </w:pPr>
          </w:p>
        </w:tc>
        <w:tc>
          <w:tcPr>
            <w:tcW w:w="760" w:type="dxa"/>
            <w:vAlign w:val="bottom"/>
            <w:tcBorders>
              <w:bottom w:val="single" w:sz="8" w:color="A39B8C"/>
            </w:tcBorders>
            <w:vMerge w:val="continue"/>
            <w:shd w:val="clear" w:color="auto" w:fill="A39B8C"/>
          </w:tcPr>
          <w:p>
            <w:pPr>
              <w:spacing w:after="0"/>
              <w:rPr>
                <w:sz w:val="8"/>
                <w:szCs w:val="8"/>
                <w:color w:val="auto"/>
              </w:rPr>
            </w:pPr>
          </w:p>
        </w:tc>
        <w:tc>
          <w:tcPr>
            <w:tcW w:w="280" w:type="dxa"/>
            <w:vAlign w:val="bottom"/>
            <w:tcBorders>
              <w:bottom w:val="single" w:sz="8" w:color="A39B8C"/>
            </w:tcBorders>
            <w:shd w:val="clear" w:color="auto" w:fill="A39B8C"/>
          </w:tcPr>
          <w:p>
            <w:pPr>
              <w:spacing w:after="0"/>
              <w:rPr>
                <w:sz w:val="8"/>
                <w:szCs w:val="8"/>
                <w:color w:val="auto"/>
              </w:rPr>
            </w:pPr>
          </w:p>
        </w:tc>
        <w:tc>
          <w:tcPr>
            <w:tcW w:w="580" w:type="dxa"/>
            <w:vAlign w:val="bottom"/>
            <w:tcBorders>
              <w:bottom w:val="single" w:sz="8" w:color="A39B8C"/>
            </w:tcBorders>
            <w:vMerge w:val="continue"/>
            <w:shd w:val="clear" w:color="auto" w:fill="A39B8C"/>
          </w:tcPr>
          <w:p>
            <w:pPr>
              <w:spacing w:after="0"/>
              <w:rPr>
                <w:sz w:val="8"/>
                <w:szCs w:val="8"/>
                <w:color w:val="auto"/>
              </w:rPr>
            </w:pPr>
          </w:p>
        </w:tc>
        <w:tc>
          <w:tcPr>
            <w:tcW w:w="760" w:type="dxa"/>
            <w:vAlign w:val="bottom"/>
            <w:tcBorders>
              <w:bottom w:val="single" w:sz="8" w:color="A39B8C"/>
            </w:tcBorders>
            <w:gridSpan w:val="2"/>
            <w:vMerge w:val="continue"/>
            <w:shd w:val="clear" w:color="auto" w:fill="A39B8C"/>
          </w:tcPr>
          <w:p>
            <w:pPr>
              <w:spacing w:after="0"/>
              <w:rPr>
                <w:sz w:val="8"/>
                <w:szCs w:val="8"/>
                <w:color w:val="auto"/>
              </w:rPr>
            </w:pPr>
          </w:p>
        </w:tc>
        <w:tc>
          <w:tcPr>
            <w:tcW w:w="160" w:type="dxa"/>
            <w:vAlign w:val="bottom"/>
            <w:tcBorders>
              <w:bottom w:val="single" w:sz="8" w:color="A39B8C"/>
            </w:tcBorders>
            <w:shd w:val="clear" w:color="auto" w:fill="A39B8C"/>
          </w:tcPr>
          <w:p>
            <w:pPr>
              <w:spacing w:after="0"/>
              <w:rPr>
                <w:sz w:val="8"/>
                <w:szCs w:val="8"/>
                <w:color w:val="auto"/>
              </w:rPr>
            </w:pPr>
          </w:p>
        </w:tc>
        <w:tc>
          <w:tcPr>
            <w:tcW w:w="480" w:type="dxa"/>
            <w:vAlign w:val="bottom"/>
            <w:tcBorders>
              <w:bottom w:val="single" w:sz="8" w:color="A39B8C"/>
            </w:tcBorders>
            <w:vMerge w:val="continue"/>
            <w:shd w:val="clear" w:color="auto" w:fill="A39B8C"/>
          </w:tcPr>
          <w:p>
            <w:pPr>
              <w:spacing w:after="0"/>
              <w:rPr>
                <w:sz w:val="8"/>
                <w:szCs w:val="8"/>
                <w:color w:val="auto"/>
              </w:rPr>
            </w:pPr>
          </w:p>
        </w:tc>
        <w:tc>
          <w:tcPr>
            <w:tcW w:w="280" w:type="dxa"/>
            <w:vAlign w:val="bottom"/>
            <w:tcBorders>
              <w:bottom w:val="single" w:sz="8" w:color="A39B8C"/>
            </w:tcBorders>
            <w:shd w:val="clear" w:color="auto" w:fill="A39B8C"/>
          </w:tcPr>
          <w:p>
            <w:pPr>
              <w:spacing w:after="0"/>
              <w:rPr>
                <w:sz w:val="8"/>
                <w:szCs w:val="8"/>
                <w:color w:val="auto"/>
              </w:rPr>
            </w:pPr>
          </w:p>
        </w:tc>
        <w:tc>
          <w:tcPr>
            <w:tcW w:w="640" w:type="dxa"/>
            <w:vAlign w:val="bottom"/>
            <w:tcBorders>
              <w:bottom w:val="single" w:sz="8" w:color="A39B8C"/>
            </w:tcBorders>
            <w:vMerge w:val="continue"/>
            <w:shd w:val="clear" w:color="auto" w:fill="A39B8C"/>
          </w:tcPr>
          <w:p>
            <w:pPr>
              <w:spacing w:after="0"/>
              <w:rPr>
                <w:sz w:val="8"/>
                <w:szCs w:val="8"/>
                <w:color w:val="auto"/>
              </w:rPr>
            </w:pPr>
          </w:p>
        </w:tc>
        <w:tc>
          <w:tcPr>
            <w:tcW w:w="100" w:type="dxa"/>
            <w:vAlign w:val="bottom"/>
            <w:tcBorders>
              <w:bottom w:val="single" w:sz="8" w:color="A39B8C"/>
            </w:tcBorders>
            <w:shd w:val="clear" w:color="auto" w:fill="A39B8C"/>
          </w:tcPr>
          <w:p>
            <w:pPr>
              <w:spacing w:after="0"/>
              <w:rPr>
                <w:sz w:val="8"/>
                <w:szCs w:val="8"/>
                <w:color w:val="auto"/>
              </w:rPr>
            </w:pPr>
          </w:p>
        </w:tc>
        <w:tc>
          <w:tcPr>
            <w:tcW w:w="20" w:type="dxa"/>
            <w:vAlign w:val="bottom"/>
            <w:tcBorders>
              <w:bottom w:val="single" w:sz="8" w:color="A39B8C"/>
            </w:tcBorders>
            <w:shd w:val="clear" w:color="auto" w:fill="A39B8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80"/>
              <w:spacing w:after="0"/>
              <w:rPr>
                <w:sz w:val="20"/>
                <w:szCs w:val="20"/>
                <w:color w:val="auto"/>
              </w:rPr>
            </w:pPr>
            <w:r>
              <w:rPr>
                <w:rFonts w:ascii="Arial" w:cs="Arial" w:eastAsia="Arial" w:hAnsi="Arial"/>
                <w:sz w:val="11"/>
                <w:szCs w:val="11"/>
                <w:color w:val="262626"/>
              </w:rPr>
              <w:t>Matt Maddox</w:t>
            </w:r>
          </w:p>
        </w:tc>
        <w:tc>
          <w:tcPr>
            <w:tcW w:w="52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29"/>
              <w:spacing w:after="0"/>
              <w:rPr>
                <w:sz w:val="20"/>
                <w:szCs w:val="20"/>
                <w:color w:val="auto"/>
              </w:rPr>
            </w:pPr>
            <w:r>
              <w:rPr>
                <w:rFonts w:ascii="Arial" w:cs="Arial" w:eastAsia="Arial" w:hAnsi="Arial"/>
                <w:sz w:val="11"/>
                <w:szCs w:val="11"/>
                <w:color w:val="262626"/>
                <w:w w:val="93"/>
              </w:rPr>
              <w:t>4,000,000</w:t>
            </w:r>
          </w:p>
        </w:tc>
        <w:tc>
          <w:tcPr>
            <w:tcW w:w="280" w:type="dxa"/>
            <w:vAlign w:val="bottom"/>
          </w:tcPr>
          <w:p>
            <w:pPr>
              <w:jc w:val="right"/>
              <w:spacing w:after="0"/>
              <w:rPr>
                <w:sz w:val="20"/>
                <w:szCs w:val="20"/>
                <w:color w:val="auto"/>
              </w:rPr>
            </w:pPr>
            <w:r>
              <w:rPr>
                <w:rFonts w:ascii="Arial" w:cs="Arial" w:eastAsia="Arial" w:hAnsi="Arial"/>
                <w:sz w:val="11"/>
                <w:szCs w:val="11"/>
                <w:color w:val="262626"/>
              </w:rPr>
              <w:t>$</w:t>
            </w:r>
          </w:p>
        </w:tc>
        <w:tc>
          <w:tcPr>
            <w:tcW w:w="580" w:type="dxa"/>
            <w:vAlign w:val="bottom"/>
          </w:tcPr>
          <w:p>
            <w:pPr>
              <w:jc w:val="right"/>
              <w:ind w:right="49"/>
              <w:spacing w:after="0"/>
              <w:rPr>
                <w:sz w:val="20"/>
                <w:szCs w:val="20"/>
                <w:color w:val="auto"/>
              </w:rPr>
            </w:pPr>
            <w:r>
              <w:rPr>
                <w:rFonts w:ascii="Arial" w:cs="Arial" w:eastAsia="Arial" w:hAnsi="Arial"/>
                <w:sz w:val="11"/>
                <w:szCs w:val="11"/>
                <w:color w:val="262626"/>
                <w:w w:val="93"/>
              </w:rPr>
              <w:t>5,000,000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262626"/>
                <w:w w:val="93"/>
              </w:rPr>
              <w:t>6,000,000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480" w:type="dxa"/>
            <w:vAlign w:val="bottom"/>
          </w:tcPr>
          <w:p>
            <w:pPr>
              <w:jc w:val="right"/>
              <w:spacing w:after="0"/>
              <w:rPr>
                <w:sz w:val="20"/>
                <w:szCs w:val="20"/>
                <w:color w:val="auto"/>
              </w:rPr>
            </w:pPr>
            <w:r>
              <w:rPr>
                <w:rFonts w:ascii="Arial" w:cs="Arial" w:eastAsia="Arial" w:hAnsi="Arial"/>
                <w:sz w:val="11"/>
                <w:szCs w:val="11"/>
                <w:color w:val="262626"/>
                <w:w w:val="93"/>
              </w:rPr>
              <w:t>2,500,000</w:t>
            </w:r>
          </w:p>
        </w:tc>
        <w:tc>
          <w:tcPr>
            <w:tcW w:w="28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09"/>
              <w:spacing w:after="0"/>
              <w:rPr>
                <w:sz w:val="20"/>
                <w:szCs w:val="20"/>
                <w:color w:val="auto"/>
              </w:rPr>
            </w:pPr>
            <w:r>
              <w:rPr>
                <w:rFonts w:ascii="Arial" w:cs="Arial" w:eastAsia="Arial" w:hAnsi="Arial"/>
                <w:sz w:val="11"/>
                <w:szCs w:val="11"/>
                <w:color w:val="262626"/>
                <w:w w:val="93"/>
              </w:rPr>
              <w:t>2,500,000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5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p>
        </w:tc>
        <w:tc>
          <w:tcPr>
            <w:tcW w:w="5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6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w w:val="93"/>
              </w:rPr>
              <w:t>1,400,000</w:t>
            </w:r>
          </w:p>
        </w:tc>
        <w:tc>
          <w:tcPr>
            <w:tcW w:w="2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80" w:type="dxa"/>
            <w:vAlign w:val="bottom"/>
            <w:tcBorders>
              <w:bottom w:val="single" w:sz="8" w:color="ECEBE8"/>
            </w:tcBorders>
            <w:shd w:val="clear" w:color="auto" w:fill="ECEBE8"/>
          </w:tcPr>
          <w:p>
            <w:pPr>
              <w:jc w:val="right"/>
              <w:ind w:right="49"/>
              <w:spacing w:after="0"/>
              <w:rPr>
                <w:sz w:val="20"/>
                <w:szCs w:val="20"/>
                <w:color w:val="auto"/>
              </w:rPr>
            </w:pPr>
            <w:r>
              <w:rPr>
                <w:rFonts w:ascii="Arial" w:cs="Arial" w:eastAsia="Arial" w:hAnsi="Arial"/>
                <w:sz w:val="11"/>
                <w:szCs w:val="11"/>
                <w:color w:val="262626"/>
                <w:w w:val="93"/>
              </w:rPr>
              <w:t>1,750,000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tcBorders>
              <w:bottom w:val="single" w:sz="8" w:color="ECEBE8"/>
            </w:tcBorders>
            <w:shd w:val="clear" w:color="auto" w:fill="ECEBE8"/>
          </w:tcPr>
          <w:p>
            <w:pPr>
              <w:jc w:val="right"/>
              <w:ind w:right="67"/>
              <w:spacing w:after="0"/>
              <w:rPr>
                <w:sz w:val="20"/>
                <w:szCs w:val="20"/>
                <w:color w:val="auto"/>
              </w:rPr>
            </w:pPr>
            <w:r>
              <w:rPr>
                <w:rFonts w:ascii="Arial" w:cs="Arial" w:eastAsia="Arial" w:hAnsi="Arial"/>
                <w:sz w:val="11"/>
                <w:szCs w:val="11"/>
                <w:color w:val="262626"/>
                <w:w w:val="93"/>
              </w:rPr>
              <w:t>2,100,000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875,000</w:t>
            </w:r>
          </w:p>
        </w:tc>
        <w:tc>
          <w:tcPr>
            <w:tcW w:w="2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109"/>
              <w:spacing w:after="0"/>
              <w:rPr>
                <w:sz w:val="20"/>
                <w:szCs w:val="20"/>
                <w:color w:val="auto"/>
              </w:rPr>
            </w:pPr>
            <w:r>
              <w:rPr>
                <w:rFonts w:ascii="Arial" w:cs="Arial" w:eastAsia="Arial" w:hAnsi="Arial"/>
                <w:sz w:val="11"/>
                <w:szCs w:val="11"/>
                <w:color w:val="262626"/>
              </w:rPr>
              <w:t>875,000</w:t>
            </w:r>
          </w:p>
        </w:tc>
        <w:tc>
          <w:tcPr>
            <w:tcW w:w="100" w:type="dxa"/>
            <w:vAlign w:val="bottom"/>
            <w:tcBorders>
              <w:bottom w:val="single" w:sz="8" w:color="ECEBE8"/>
            </w:tcBorders>
            <w:shd w:val="clear" w:color="auto" w:fill="ECEB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80"/>
              <w:spacing w:after="0"/>
              <w:rPr>
                <w:sz w:val="20"/>
                <w:szCs w:val="20"/>
                <w:color w:val="auto"/>
              </w:rPr>
            </w:pPr>
            <w:r>
              <w:rPr>
                <w:rFonts w:ascii="Arial" w:cs="Arial" w:eastAsia="Arial" w:hAnsi="Arial"/>
                <w:sz w:val="11"/>
                <w:szCs w:val="11"/>
                <w:color w:val="262626"/>
              </w:rPr>
              <w:t>Ellen F. Whittemore</w:t>
            </w:r>
          </w:p>
        </w:tc>
        <w:tc>
          <w:tcPr>
            <w:tcW w:w="520" w:type="dxa"/>
            <w:vAlign w:val="bottom"/>
          </w:tcPr>
          <w:p>
            <w:pPr>
              <w:jc w:val="right"/>
              <w:spacing w:after="0"/>
              <w:rPr>
                <w:sz w:val="20"/>
                <w:szCs w:val="20"/>
                <w:color w:val="auto"/>
              </w:rPr>
            </w:pPr>
            <w:r>
              <w:rPr>
                <w:rFonts w:ascii="Arial" w:cs="Arial" w:eastAsia="Arial" w:hAnsi="Arial"/>
                <w:sz w:val="11"/>
                <w:szCs w:val="11"/>
                <w:color w:val="262626"/>
              </w:rPr>
              <w:t>$</w:t>
            </w:r>
          </w:p>
        </w:tc>
        <w:tc>
          <w:tcPr>
            <w:tcW w:w="760" w:type="dxa"/>
            <w:vAlign w:val="bottom"/>
          </w:tcPr>
          <w:p>
            <w:pPr>
              <w:jc w:val="right"/>
              <w:ind w:right="229"/>
              <w:spacing w:after="0"/>
              <w:rPr>
                <w:sz w:val="20"/>
                <w:szCs w:val="20"/>
                <w:color w:val="auto"/>
              </w:rPr>
            </w:pPr>
            <w:r>
              <w:rPr>
                <w:rFonts w:ascii="Arial" w:cs="Arial" w:eastAsia="Arial" w:hAnsi="Arial"/>
                <w:sz w:val="11"/>
                <w:szCs w:val="11"/>
                <w:color w:val="262626"/>
              </w:rPr>
              <w:t>480,000</w:t>
            </w:r>
          </w:p>
        </w:tc>
        <w:tc>
          <w:tcPr>
            <w:tcW w:w="280" w:type="dxa"/>
            <w:vAlign w:val="bottom"/>
          </w:tcPr>
          <w:p>
            <w:pPr>
              <w:jc w:val="right"/>
              <w:spacing w:after="0"/>
              <w:rPr>
                <w:sz w:val="20"/>
                <w:szCs w:val="20"/>
                <w:color w:val="auto"/>
              </w:rPr>
            </w:pPr>
            <w:r>
              <w:rPr>
                <w:rFonts w:ascii="Arial" w:cs="Arial" w:eastAsia="Arial" w:hAnsi="Arial"/>
                <w:sz w:val="11"/>
                <w:szCs w:val="11"/>
                <w:color w:val="262626"/>
              </w:rPr>
              <w:t>$</w:t>
            </w:r>
          </w:p>
        </w:tc>
        <w:tc>
          <w:tcPr>
            <w:tcW w:w="580" w:type="dxa"/>
            <w:vAlign w:val="bottom"/>
          </w:tcPr>
          <w:p>
            <w:pPr>
              <w:jc w:val="right"/>
              <w:ind w:right="49"/>
              <w:spacing w:after="0"/>
              <w:rPr>
                <w:sz w:val="20"/>
                <w:szCs w:val="20"/>
                <w:color w:val="auto"/>
              </w:rPr>
            </w:pPr>
            <w:r>
              <w:rPr>
                <w:rFonts w:ascii="Arial" w:cs="Arial" w:eastAsia="Arial" w:hAnsi="Arial"/>
                <w:sz w:val="11"/>
                <w:szCs w:val="11"/>
                <w:color w:val="262626"/>
              </w:rPr>
              <w:t>600,000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262626"/>
              </w:rPr>
              <w:t>720,000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480" w:type="dxa"/>
            <w:vAlign w:val="bottom"/>
          </w:tcPr>
          <w:p>
            <w:pPr>
              <w:jc w:val="right"/>
              <w:spacing w:after="0"/>
              <w:rPr>
                <w:sz w:val="20"/>
                <w:szCs w:val="20"/>
                <w:color w:val="auto"/>
              </w:rPr>
            </w:pPr>
            <w:r>
              <w:rPr>
                <w:rFonts w:ascii="Arial" w:cs="Arial" w:eastAsia="Arial" w:hAnsi="Arial"/>
                <w:sz w:val="11"/>
                <w:szCs w:val="11"/>
                <w:color w:val="262626"/>
              </w:rPr>
              <w:t>300,000</w:t>
            </w:r>
          </w:p>
        </w:tc>
        <w:tc>
          <w:tcPr>
            <w:tcW w:w="28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109"/>
              <w:spacing w:after="0"/>
              <w:rPr>
                <w:sz w:val="20"/>
                <w:szCs w:val="20"/>
                <w:color w:val="auto"/>
              </w:rPr>
            </w:pPr>
            <w:r>
              <w:rPr>
                <w:rFonts w:ascii="Arial" w:cs="Arial" w:eastAsia="Arial" w:hAnsi="Arial"/>
                <w:sz w:val="11"/>
                <w:szCs w:val="11"/>
                <w:color w:val="262626"/>
              </w:rPr>
              <w:t>300,000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5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Stephen A. Wynn</w:t>
            </w:r>
            <w:r>
              <w:rPr>
                <w:rFonts w:ascii="Arial" w:cs="Arial" w:eastAsia="Arial" w:hAnsi="Arial"/>
                <w:sz w:val="9"/>
                <w:szCs w:val="9"/>
                <w:color w:val="262626"/>
              </w:rPr>
              <w:t>(5)</w:t>
            </w:r>
          </w:p>
        </w:tc>
        <w:tc>
          <w:tcPr>
            <w:tcW w:w="520" w:type="dxa"/>
            <w:vAlign w:val="bottom"/>
            <w:tcBorders>
              <w:bottom w:val="single" w:sz="8" w:color="ECEBE8"/>
            </w:tcBorders>
            <w:shd w:val="clear" w:color="auto" w:fill="ECEBE8"/>
          </w:tcPr>
          <w:p>
            <w:pPr>
              <w:spacing w:after="0"/>
              <w:rPr>
                <w:sz w:val="18"/>
                <w:szCs w:val="18"/>
                <w:color w:val="auto"/>
              </w:rPr>
            </w:pPr>
          </w:p>
        </w:tc>
        <w:tc>
          <w:tcPr>
            <w:tcW w:w="76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N/A</w:t>
            </w:r>
          </w:p>
        </w:tc>
        <w:tc>
          <w:tcPr>
            <w:tcW w:w="280" w:type="dxa"/>
            <w:vAlign w:val="bottom"/>
            <w:tcBorders>
              <w:bottom w:val="single" w:sz="8" w:color="ECEBE8"/>
            </w:tcBorders>
            <w:shd w:val="clear" w:color="auto" w:fill="ECEBE8"/>
          </w:tcPr>
          <w:p>
            <w:pPr>
              <w:spacing w:after="0"/>
              <w:rPr>
                <w:sz w:val="18"/>
                <w:szCs w:val="18"/>
                <w:color w:val="auto"/>
              </w:rPr>
            </w:pPr>
          </w:p>
        </w:tc>
        <w:tc>
          <w:tcPr>
            <w:tcW w:w="580" w:type="dxa"/>
            <w:vAlign w:val="bottom"/>
            <w:tcBorders>
              <w:bottom w:val="single" w:sz="8" w:color="ECEBE8"/>
            </w:tcBorders>
            <w:shd w:val="clear" w:color="auto" w:fill="ECEBE8"/>
          </w:tcPr>
          <w:p>
            <w:pPr>
              <w:jc w:val="right"/>
              <w:ind w:right="49"/>
              <w:spacing w:after="0"/>
              <w:rPr>
                <w:sz w:val="20"/>
                <w:szCs w:val="20"/>
                <w:color w:val="auto"/>
              </w:rPr>
            </w:pPr>
            <w:r>
              <w:rPr>
                <w:rFonts w:ascii="Arial" w:cs="Arial" w:eastAsia="Arial" w:hAnsi="Arial"/>
                <w:sz w:val="11"/>
                <w:szCs w:val="11"/>
                <w:color w:val="262626"/>
              </w:rPr>
              <w:t>N/A</w:t>
            </w:r>
          </w:p>
        </w:tc>
        <w:tc>
          <w:tcPr>
            <w:tcW w:w="160" w:type="dxa"/>
            <w:vAlign w:val="bottom"/>
            <w:tcBorders>
              <w:bottom w:val="single" w:sz="8" w:color="ECEBE8"/>
            </w:tcBorders>
            <w:shd w:val="clear" w:color="auto" w:fill="ECEBE8"/>
          </w:tcPr>
          <w:p>
            <w:pPr>
              <w:spacing w:after="0"/>
              <w:rPr>
                <w:sz w:val="18"/>
                <w:szCs w:val="18"/>
                <w:color w:val="auto"/>
              </w:rPr>
            </w:pPr>
          </w:p>
        </w:tc>
        <w:tc>
          <w:tcPr>
            <w:tcW w:w="600" w:type="dxa"/>
            <w:vAlign w:val="bottom"/>
            <w:tcBorders>
              <w:bottom w:val="single" w:sz="8" w:color="ECEBE8"/>
            </w:tcBorders>
            <w:shd w:val="clear" w:color="auto" w:fill="ECEBE8"/>
          </w:tcPr>
          <w:p>
            <w:pPr>
              <w:jc w:val="right"/>
              <w:ind w:right="67"/>
              <w:spacing w:after="0"/>
              <w:rPr>
                <w:sz w:val="20"/>
                <w:szCs w:val="20"/>
                <w:color w:val="auto"/>
              </w:rPr>
            </w:pPr>
            <w:r>
              <w:rPr>
                <w:rFonts w:ascii="Arial" w:cs="Arial" w:eastAsia="Arial" w:hAnsi="Arial"/>
                <w:sz w:val="11"/>
                <w:szCs w:val="11"/>
                <w:color w:val="262626"/>
              </w:rPr>
              <w:t>N/A</w:t>
            </w:r>
          </w:p>
        </w:tc>
        <w:tc>
          <w:tcPr>
            <w:tcW w:w="160" w:type="dxa"/>
            <w:vAlign w:val="bottom"/>
            <w:tcBorders>
              <w:bottom w:val="single" w:sz="8" w:color="ECEBE8"/>
            </w:tcBorders>
            <w:shd w:val="clear" w:color="auto" w:fill="ECEBE8"/>
          </w:tcPr>
          <w:p>
            <w:pPr>
              <w:spacing w:after="0"/>
              <w:rPr>
                <w:sz w:val="18"/>
                <w:szCs w:val="18"/>
                <w:color w:val="auto"/>
              </w:rPr>
            </w:pP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N/A</w:t>
            </w:r>
          </w:p>
        </w:tc>
        <w:tc>
          <w:tcPr>
            <w:tcW w:w="280" w:type="dxa"/>
            <w:vAlign w:val="bottom"/>
            <w:tcBorders>
              <w:bottom w:val="single" w:sz="8" w:color="ECEBE8"/>
            </w:tcBorders>
            <w:shd w:val="clear" w:color="auto" w:fill="ECEBE8"/>
          </w:tcPr>
          <w:p>
            <w:pPr>
              <w:spacing w:after="0"/>
              <w:rPr>
                <w:sz w:val="18"/>
                <w:szCs w:val="18"/>
                <w:color w:val="auto"/>
              </w:rPr>
            </w:pPr>
          </w:p>
        </w:tc>
        <w:tc>
          <w:tcPr>
            <w:tcW w:w="740" w:type="dxa"/>
            <w:vAlign w:val="bottom"/>
            <w:tcBorders>
              <w:bottom w:val="single" w:sz="8" w:color="ECEBE8"/>
            </w:tcBorders>
            <w:gridSpan w:val="2"/>
            <w:shd w:val="clear" w:color="auto" w:fill="ECEBE8"/>
          </w:tcPr>
          <w:p>
            <w:pPr>
              <w:jc w:val="right"/>
              <w:ind w:right="260"/>
              <w:spacing w:after="0"/>
              <w:rPr>
                <w:sz w:val="20"/>
                <w:szCs w:val="20"/>
                <w:color w:val="auto"/>
              </w:rPr>
            </w:pPr>
            <w:r>
              <w:rPr>
                <w:rFonts w:ascii="Arial" w:cs="Arial" w:eastAsia="Arial" w:hAnsi="Arial"/>
                <w:sz w:val="11"/>
                <w:szCs w:val="11"/>
                <w:color w:val="262626"/>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80"/>
              <w:spacing w:after="0"/>
              <w:rPr>
                <w:sz w:val="20"/>
                <w:szCs w:val="20"/>
                <w:color w:val="auto"/>
              </w:rPr>
            </w:pPr>
            <w:r>
              <w:rPr>
                <w:rFonts w:ascii="Arial" w:cs="Arial" w:eastAsia="Arial" w:hAnsi="Arial"/>
                <w:sz w:val="11"/>
                <w:szCs w:val="11"/>
                <w:color w:val="262626"/>
              </w:rPr>
              <w:t>Kimmarie Sinatra</w:t>
            </w:r>
            <w:r>
              <w:rPr>
                <w:rFonts w:ascii="Arial" w:cs="Arial" w:eastAsia="Arial" w:hAnsi="Arial"/>
                <w:sz w:val="9"/>
                <w:szCs w:val="9"/>
                <w:color w:val="262626"/>
              </w:rPr>
              <w:t>(5)</w:t>
            </w:r>
          </w:p>
        </w:tc>
        <w:tc>
          <w:tcPr>
            <w:tcW w:w="520" w:type="dxa"/>
            <w:vAlign w:val="bottom"/>
          </w:tcPr>
          <w:p>
            <w:pPr>
              <w:spacing w:after="0"/>
              <w:rPr>
                <w:sz w:val="16"/>
                <w:szCs w:val="16"/>
                <w:color w:val="auto"/>
              </w:rPr>
            </w:pPr>
          </w:p>
        </w:tc>
        <w:tc>
          <w:tcPr>
            <w:tcW w:w="760" w:type="dxa"/>
            <w:vAlign w:val="bottom"/>
          </w:tcPr>
          <w:p>
            <w:pPr>
              <w:jc w:val="right"/>
              <w:ind w:right="229"/>
              <w:spacing w:after="0"/>
              <w:rPr>
                <w:sz w:val="20"/>
                <w:szCs w:val="20"/>
                <w:color w:val="auto"/>
              </w:rPr>
            </w:pPr>
            <w:r>
              <w:rPr>
                <w:rFonts w:ascii="Arial" w:cs="Arial" w:eastAsia="Arial" w:hAnsi="Arial"/>
                <w:sz w:val="11"/>
                <w:szCs w:val="11"/>
                <w:color w:val="262626"/>
              </w:rPr>
              <w:t>N/A</w:t>
            </w:r>
          </w:p>
        </w:tc>
        <w:tc>
          <w:tcPr>
            <w:tcW w:w="2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1"/>
                <w:szCs w:val="11"/>
                <w:color w:val="262626"/>
              </w:rPr>
              <w:t>N/A</w:t>
            </w:r>
          </w:p>
        </w:tc>
        <w:tc>
          <w:tcPr>
            <w:tcW w:w="160" w:type="dxa"/>
            <w:vAlign w:val="bottom"/>
          </w:tcPr>
          <w:p>
            <w:pPr>
              <w:spacing w:after="0"/>
              <w:rPr>
                <w:sz w:val="16"/>
                <w:szCs w:val="16"/>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262626"/>
              </w:rPr>
              <w:t>N/A</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262626"/>
              </w:rPr>
              <w:t>N/A</w:t>
            </w:r>
          </w:p>
        </w:tc>
        <w:tc>
          <w:tcPr>
            <w:tcW w:w="28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262626"/>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5764530</wp:posOffset>
            </wp:positionH>
            <wp:positionV relativeFrom="paragraph">
              <wp:posOffset>-800735</wp:posOffset>
            </wp:positionV>
            <wp:extent cx="933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spacing w:after="0" w:line="66" w:lineRule="exact"/>
        <w:rPr>
          <w:sz w:val="20"/>
          <w:szCs w:val="20"/>
          <w:color w:val="auto"/>
        </w:rPr>
      </w:pPr>
    </w:p>
    <w:p>
      <w:pPr>
        <w:ind w:left="780" w:right="160" w:firstLine="1"/>
        <w:spacing w:after="0" w:line="228" w:lineRule="auto"/>
        <w:tabs>
          <w:tab w:leader="none" w:pos="915" w:val="left"/>
        </w:tabs>
        <w:numPr>
          <w:ilvl w:val="0"/>
          <w:numId w:val="58"/>
        </w:numPr>
        <w:rPr>
          <w:rFonts w:ascii="Arial" w:cs="Arial" w:eastAsia="Arial" w:hAnsi="Arial"/>
          <w:sz w:val="9"/>
          <w:szCs w:val="9"/>
          <w:color w:val="262626"/>
        </w:rPr>
      </w:pPr>
      <w:r>
        <w:rPr>
          <w:rFonts w:ascii="Arial" w:cs="Arial" w:eastAsia="Arial" w:hAnsi="Arial"/>
          <w:sz w:val="11"/>
          <w:szCs w:val="11"/>
          <w:color w:val="262626"/>
        </w:rPr>
        <w:t>Amounts in the Threshold column reflect potential awards for achievement of 2018 Adjusted Property EBITDA between $1.8 billion to $2.0 billion, achievement of goals 2 and 3. No awards would have been payable under goal 1 if the 2018 Adjusted Property EBITDA were below $1.8 billion. 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on extinguishment of debt, change in derivatives value, change in Redemption Note fair value, and other non-operating income and expenses. See our Annual Report on Form 10-K for the year ended December 31, 2018 (Item 8, Note 16—“Segment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20" w:lineRule="exact"/>
        <w:rPr>
          <w:rFonts w:ascii="Arial" w:cs="Arial" w:eastAsia="Arial" w:hAnsi="Arial"/>
          <w:sz w:val="9"/>
          <w:szCs w:val="9"/>
          <w:color w:val="262626"/>
        </w:rPr>
      </w:pPr>
    </w:p>
    <w:p>
      <w:pPr>
        <w:ind w:left="920" w:hanging="139"/>
        <w:spacing w:after="0"/>
        <w:tabs>
          <w:tab w:leader="none" w:pos="920" w:val="left"/>
        </w:tabs>
        <w:numPr>
          <w:ilvl w:val="0"/>
          <w:numId w:val="58"/>
        </w:numPr>
        <w:rPr>
          <w:rFonts w:ascii="Arial" w:cs="Arial" w:eastAsia="Arial" w:hAnsi="Arial"/>
          <w:sz w:val="9"/>
          <w:szCs w:val="9"/>
          <w:color w:val="262626"/>
        </w:rPr>
      </w:pPr>
      <w:r>
        <w:rPr>
          <w:rFonts w:ascii="Arial" w:cs="Arial" w:eastAsia="Arial" w:hAnsi="Arial"/>
          <w:sz w:val="11"/>
          <w:szCs w:val="11"/>
          <w:color w:val="262626"/>
        </w:rPr>
        <w:t>Amounts in the Target column reflect potential awards for achievement of 2018 Adjusted Property EBITDA between $2.0 billion to $2.2 billion and achievement of goals 2 and 3.</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58"/>
        </w:numPr>
        <w:rPr>
          <w:rFonts w:ascii="Arial" w:cs="Arial" w:eastAsia="Arial" w:hAnsi="Arial"/>
          <w:sz w:val="9"/>
          <w:szCs w:val="9"/>
          <w:color w:val="262626"/>
        </w:rPr>
      </w:pPr>
      <w:r>
        <w:rPr>
          <w:rFonts w:ascii="Arial" w:cs="Arial" w:eastAsia="Arial" w:hAnsi="Arial"/>
          <w:sz w:val="11"/>
          <w:szCs w:val="11"/>
          <w:color w:val="262626"/>
        </w:rPr>
        <w:t>Amounts in the Maximum column reflect potential awards for achievement of 2018 Adjusted Property EBITDA of over $2.2 billion and achievement of goals 2 and 3.</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58"/>
        </w:numPr>
        <w:rPr>
          <w:rFonts w:ascii="Arial" w:cs="Arial" w:eastAsia="Arial" w:hAnsi="Arial"/>
          <w:sz w:val="9"/>
          <w:szCs w:val="9"/>
          <w:color w:val="262626"/>
        </w:rPr>
      </w:pPr>
      <w:r>
        <w:rPr>
          <w:rFonts w:ascii="Arial" w:cs="Arial" w:eastAsia="Arial" w:hAnsi="Arial"/>
          <w:sz w:val="11"/>
          <w:szCs w:val="11"/>
          <w:color w:val="262626"/>
        </w:rPr>
        <w:t>The amounts set forth in this column reflect the aggregate grant date fair value of stock awards granted. These stock awards are fully vested.</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58"/>
        </w:numPr>
        <w:rPr>
          <w:rFonts w:ascii="Arial" w:cs="Arial" w:eastAsia="Arial" w:hAnsi="Arial"/>
          <w:sz w:val="9"/>
          <w:szCs w:val="9"/>
          <w:color w:val="262626"/>
        </w:rPr>
      </w:pPr>
      <w:r>
        <w:rPr>
          <w:rFonts w:ascii="Arial" w:cs="Arial" w:eastAsia="Arial" w:hAnsi="Arial"/>
          <w:sz w:val="11"/>
          <w:szCs w:val="11"/>
          <w:color w:val="262626"/>
        </w:rPr>
        <w:t>Mr. Wynn and Ms. Sinatra left the Company prior to the end of the fiscal year and were not eligible to receive any Annual Incentive payouts.</w:t>
      </w:r>
    </w:p>
    <w:p>
      <w:pPr>
        <w:spacing w:after="0" w:line="169" w:lineRule="exact"/>
        <w:rPr>
          <w:sz w:val="20"/>
          <w:szCs w:val="20"/>
          <w:color w:val="auto"/>
        </w:rPr>
      </w:pPr>
    </w:p>
    <w:p>
      <w:pPr>
        <w:ind w:left="780" w:right="280"/>
        <w:spacing w:after="0" w:line="276" w:lineRule="auto"/>
        <w:rPr>
          <w:sz w:val="20"/>
          <w:szCs w:val="20"/>
          <w:color w:val="auto"/>
        </w:rPr>
      </w:pPr>
      <w:r>
        <w:rPr>
          <w:rFonts w:ascii="Arial" w:cs="Arial" w:eastAsia="Arial" w:hAnsi="Arial"/>
          <w:sz w:val="14"/>
          <w:szCs w:val="14"/>
          <w:b w:val="1"/>
          <w:bCs w:val="1"/>
          <w:color w:val="262626"/>
        </w:rPr>
        <w:t xml:space="preserve">Long-Term Incentives: </w:t>
      </w:r>
      <w:r>
        <w:rPr>
          <w:rFonts w:ascii="Arial" w:cs="Arial" w:eastAsia="Arial" w:hAnsi="Arial"/>
          <w:sz w:val="14"/>
          <w:szCs w:val="14"/>
          <w:color w:val="262626"/>
        </w:rPr>
        <w:t>The Company historically made periodic—not annual—equity grants to executives, including our NEOs. Those periodic grants were</w:t>
      </w:r>
      <w:r>
        <w:rPr>
          <w:rFonts w:ascii="Arial" w:cs="Arial" w:eastAsia="Arial" w:hAnsi="Arial"/>
          <w:sz w:val="14"/>
          <w:szCs w:val="14"/>
          <w:b w:val="1"/>
          <w:bCs w:val="1"/>
          <w:color w:val="262626"/>
        </w:rPr>
        <w:t xml:space="preserve"> </w:t>
      </w:r>
      <w:r>
        <w:rPr>
          <w:rFonts w:ascii="Arial" w:cs="Arial" w:eastAsia="Arial" w:hAnsi="Arial"/>
          <w:sz w:val="14"/>
          <w:szCs w:val="14"/>
          <w:color w:val="262626"/>
        </w:rPr>
        <w:t>typically made with long-term vesting dates of up to ten years and such awards were not subject to performance conditions.</w:t>
      </w:r>
    </w:p>
    <w:p>
      <w:pPr>
        <w:spacing w:after="0" w:line="138" w:lineRule="exact"/>
        <w:rPr>
          <w:sz w:val="20"/>
          <w:szCs w:val="20"/>
          <w:color w:val="auto"/>
        </w:rPr>
      </w:pPr>
    </w:p>
    <w:p>
      <w:pPr>
        <w:ind w:left="780" w:right="220"/>
        <w:spacing w:after="0" w:line="243" w:lineRule="auto"/>
        <w:rPr>
          <w:sz w:val="20"/>
          <w:szCs w:val="20"/>
          <w:color w:val="auto"/>
        </w:rPr>
      </w:pPr>
      <w:r>
        <w:rPr>
          <w:rFonts w:ascii="Arial" w:cs="Arial" w:eastAsia="Arial" w:hAnsi="Arial"/>
          <w:sz w:val="14"/>
          <w:szCs w:val="14"/>
          <w:color w:val="262626"/>
        </w:rPr>
        <w:t>In 2018, the Compensation Committee determined that moving from periodic grants to annual grants with three-year cliff vesting and implementing a policy of subjecting a portion (currently 50%) of grants made to NEOs to performance conditions would ensure a superior focus on operational excellence as well as better align executives’ interests with those of long-term shareholders.</w:t>
      </w:r>
    </w:p>
    <w:p>
      <w:pPr>
        <w:spacing w:after="0" w:line="160" w:lineRule="exact"/>
        <w:rPr>
          <w:sz w:val="20"/>
          <w:szCs w:val="20"/>
          <w:color w:val="auto"/>
        </w:rPr>
      </w:pPr>
    </w:p>
    <w:p>
      <w:pPr>
        <w:jc w:val="both"/>
        <w:ind w:left="780" w:right="500"/>
        <w:spacing w:after="0" w:line="241" w:lineRule="auto"/>
        <w:rPr>
          <w:sz w:val="20"/>
          <w:szCs w:val="20"/>
          <w:color w:val="auto"/>
        </w:rPr>
      </w:pPr>
      <w:r>
        <w:rPr>
          <w:rFonts w:ascii="Arial" w:cs="Arial" w:eastAsia="Arial" w:hAnsi="Arial"/>
          <w:sz w:val="14"/>
          <w:szCs w:val="14"/>
          <w:color w:val="262626"/>
        </w:rPr>
        <w:t>These changes were implemented in two steps, with the inclusion of performance conditions implemented in April 2018 and the movement from periodic grants to annual grants implemented in January 2019. Accordingly, the information in this CD&amp;A does not yet fully reflect the Compensation Committee’s meaningful changes to the Company’s long-term incentive structure. We expect our future proxies to fully reflect these shareholder-friendly structures as legacy compensation information and legacy executives are removed from future proxies.</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33</w:t>
      </w:r>
    </w:p>
    <w:p>
      <w:pPr>
        <w:sectPr>
          <w:pgSz w:w="11900" w:h="16838" w:orient="portrait"/>
          <w:cols w:equalWidth="0" w:num="1">
            <w:col w:w="10800"/>
          </w:cols>
          <w:pgMar w:left="240" w:top="453" w:right="8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Compensation discussion and analysis</w:t>
      </w:r>
    </w:p>
    <w:p>
      <w:pPr>
        <w:spacing w:after="0" w:line="318" w:lineRule="exact"/>
        <w:rPr>
          <w:sz w:val="20"/>
          <w:szCs w:val="20"/>
          <w:color w:val="auto"/>
        </w:rPr>
      </w:pPr>
    </w:p>
    <w:p>
      <w:pPr>
        <w:ind w:left="780" w:right="120"/>
        <w:spacing w:after="0" w:line="249" w:lineRule="auto"/>
        <w:rPr>
          <w:sz w:val="20"/>
          <w:szCs w:val="20"/>
          <w:color w:val="auto"/>
        </w:rPr>
      </w:pPr>
      <w:r>
        <w:rPr>
          <w:rFonts w:ascii="Arial" w:cs="Arial" w:eastAsia="Arial" w:hAnsi="Arial"/>
          <w:sz w:val="14"/>
          <w:szCs w:val="14"/>
          <w:color w:val="262626"/>
        </w:rPr>
        <w:t>In 2018, management proposed, and the Compensation Committee approved, the use of “fair share” metrics for performance conditions. The four fair share metrics selected by the Company are generally calculated as follows:</w:t>
      </w:r>
    </w:p>
    <w:p>
      <w:pPr>
        <w:spacing w:after="0" w:line="196" w:lineRule="exact"/>
        <w:rPr>
          <w:sz w:val="20"/>
          <w:szCs w:val="20"/>
          <w:color w:val="auto"/>
        </w:rPr>
      </w:pPr>
    </w:p>
    <w:p>
      <w:pPr>
        <w:ind w:left="1460" w:right="120" w:hanging="388"/>
        <w:spacing w:after="0" w:line="243" w:lineRule="auto"/>
        <w:tabs>
          <w:tab w:leader="none" w:pos="1460" w:val="left"/>
        </w:tabs>
        <w:numPr>
          <w:ilvl w:val="0"/>
          <w:numId w:val="59"/>
        </w:numPr>
        <w:rPr>
          <w:rFonts w:ascii="Arial" w:cs="Arial" w:eastAsia="Arial" w:hAnsi="Arial"/>
          <w:sz w:val="14"/>
          <w:szCs w:val="14"/>
          <w:color w:val="CC870F"/>
        </w:rPr>
      </w:pPr>
      <w:r>
        <w:rPr>
          <w:rFonts w:ascii="Arial" w:cs="Arial" w:eastAsia="Arial" w:hAnsi="Arial"/>
          <w:sz w:val="14"/>
          <w:szCs w:val="14"/>
          <w:color w:val="262626"/>
        </w:rPr>
        <w:t>In Las Vegas, the Company’s share of total revenue relative to selected peers divided by the Company’s share of hotel rooms among such peers and the Company’s share of Adjusted Property EBITDA relative to those selected peers divided by the Company’s share of hotel rooms among such peers; and</w:t>
      </w:r>
    </w:p>
    <w:p>
      <w:pPr>
        <w:spacing w:after="0" w:line="106" w:lineRule="exact"/>
        <w:rPr>
          <w:rFonts w:ascii="Arial" w:cs="Arial" w:eastAsia="Arial" w:hAnsi="Arial"/>
          <w:sz w:val="14"/>
          <w:szCs w:val="14"/>
          <w:color w:val="CC870F"/>
        </w:rPr>
      </w:pPr>
    </w:p>
    <w:p>
      <w:pPr>
        <w:ind w:left="1460" w:right="20" w:hanging="388"/>
        <w:spacing w:after="0" w:line="243" w:lineRule="auto"/>
        <w:tabs>
          <w:tab w:leader="none" w:pos="1460" w:val="left"/>
        </w:tabs>
        <w:numPr>
          <w:ilvl w:val="0"/>
          <w:numId w:val="59"/>
        </w:numPr>
        <w:rPr>
          <w:rFonts w:ascii="Arial" w:cs="Arial" w:eastAsia="Arial" w:hAnsi="Arial"/>
          <w:sz w:val="14"/>
          <w:szCs w:val="14"/>
          <w:color w:val="CC870F"/>
        </w:rPr>
      </w:pPr>
      <w:r>
        <w:rPr>
          <w:rFonts w:ascii="Arial" w:cs="Arial" w:eastAsia="Arial" w:hAnsi="Arial"/>
          <w:sz w:val="14"/>
          <w:szCs w:val="14"/>
          <w:color w:val="262626"/>
        </w:rPr>
        <w:t>In Macau, the Company’s share of gaming revenue relative to selected peers divided by the Company’s share of gaming tables among such peers and the Company’s share of Adjusted Property EBITDA relative to those selected peers divided by the Company’s share of gaming tables among such peers.</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decision to select these metrics was based on careful consideration of the following factors:</w:t>
      </w:r>
    </w:p>
    <w:p>
      <w:pPr>
        <w:spacing w:after="0" w:line="210" w:lineRule="exact"/>
        <w:rPr>
          <w:sz w:val="20"/>
          <w:szCs w:val="20"/>
          <w:color w:val="auto"/>
        </w:rPr>
      </w:pPr>
    </w:p>
    <w:p>
      <w:pPr>
        <w:ind w:left="1460" w:right="200" w:hanging="388"/>
        <w:spacing w:after="0" w:line="243" w:lineRule="auto"/>
        <w:tabs>
          <w:tab w:leader="none" w:pos="1460" w:val="left"/>
        </w:tabs>
        <w:numPr>
          <w:ilvl w:val="0"/>
          <w:numId w:val="60"/>
        </w:numPr>
        <w:rPr>
          <w:rFonts w:ascii="Arial" w:cs="Arial" w:eastAsia="Arial" w:hAnsi="Arial"/>
          <w:sz w:val="14"/>
          <w:szCs w:val="14"/>
          <w:color w:val="CC870F"/>
        </w:rPr>
      </w:pPr>
      <w:r>
        <w:rPr>
          <w:rFonts w:ascii="Arial" w:cs="Arial" w:eastAsia="Arial" w:hAnsi="Arial"/>
          <w:sz w:val="14"/>
          <w:szCs w:val="14"/>
          <w:color w:val="262626"/>
        </w:rPr>
        <w:t>The Company’s exposure to Macau provides sizeable opportunities over the mid and long-term, but can create meaningful volatility over short periods, significantly skewing short-term TSR and creating opportunities for management to benefit from outsized market growth, irrespective of their performance; and</w:t>
      </w:r>
    </w:p>
    <w:p>
      <w:pPr>
        <w:spacing w:after="0" w:line="106" w:lineRule="exact"/>
        <w:rPr>
          <w:rFonts w:ascii="Arial" w:cs="Arial" w:eastAsia="Arial" w:hAnsi="Arial"/>
          <w:sz w:val="14"/>
          <w:szCs w:val="14"/>
          <w:color w:val="CC870F"/>
        </w:rPr>
      </w:pPr>
    </w:p>
    <w:p>
      <w:pPr>
        <w:jc w:val="both"/>
        <w:ind w:left="1460" w:hanging="388"/>
        <w:spacing w:after="0" w:line="243" w:lineRule="auto"/>
        <w:tabs>
          <w:tab w:leader="none" w:pos="1460" w:val="left"/>
        </w:tabs>
        <w:numPr>
          <w:ilvl w:val="0"/>
          <w:numId w:val="60"/>
        </w:numPr>
        <w:rPr>
          <w:rFonts w:ascii="Arial" w:cs="Arial" w:eastAsia="Arial" w:hAnsi="Arial"/>
          <w:sz w:val="14"/>
          <w:szCs w:val="14"/>
          <w:color w:val="CC870F"/>
        </w:rPr>
      </w:pPr>
      <w:r>
        <w:rPr>
          <w:rFonts w:ascii="Arial" w:cs="Arial" w:eastAsia="Arial" w:hAnsi="Arial"/>
          <w:sz w:val="14"/>
          <w:szCs w:val="14"/>
          <w:color w:val="262626"/>
        </w:rPr>
        <w:t>The Company’s strategy is to attract and retain premium consumers in each market in which the Company operates. We believe the results of this strategy provide outsized operating results, relative to peers, and create meaningful shareholder returns over the long-term. Consistently achieving such premium fair share requires diligent and consistent investment in facilities and people across the business cycle.</w:t>
      </w:r>
    </w:p>
    <w:p>
      <w:pPr>
        <w:spacing w:after="0" w:line="155" w:lineRule="exact"/>
        <w:rPr>
          <w:sz w:val="20"/>
          <w:szCs w:val="20"/>
          <w:color w:val="auto"/>
        </w:rPr>
      </w:pPr>
    </w:p>
    <w:p>
      <w:pPr>
        <w:jc w:val="both"/>
        <w:ind w:left="780" w:right="40"/>
        <w:spacing w:after="0" w:line="246" w:lineRule="auto"/>
        <w:rPr>
          <w:sz w:val="20"/>
          <w:szCs w:val="20"/>
          <w:color w:val="auto"/>
        </w:rPr>
      </w:pPr>
      <w:r>
        <w:rPr>
          <w:rFonts w:ascii="Arial" w:cs="Arial" w:eastAsia="Arial" w:hAnsi="Arial"/>
          <w:sz w:val="14"/>
          <w:szCs w:val="14"/>
          <w:b w:val="1"/>
          <w:bCs w:val="1"/>
          <w:color w:val="262626"/>
        </w:rPr>
        <w:t xml:space="preserve">2018 Equity Grants: </w:t>
      </w:r>
      <w:r>
        <w:rPr>
          <w:rFonts w:ascii="Arial" w:cs="Arial" w:eastAsia="Arial" w:hAnsi="Arial"/>
          <w:sz w:val="14"/>
          <w:szCs w:val="14"/>
          <w:color w:val="262626"/>
        </w:rPr>
        <w:t>In connection with Mr. Maddox’s promotion as the Company’s Chief Executive Officer and prior to the transition from periodic grants to</w:t>
      </w:r>
      <w:r>
        <w:rPr>
          <w:rFonts w:ascii="Arial" w:cs="Arial" w:eastAsia="Arial" w:hAnsi="Arial"/>
          <w:sz w:val="14"/>
          <w:szCs w:val="14"/>
          <w:b w:val="1"/>
          <w:bCs w:val="1"/>
          <w:color w:val="262626"/>
        </w:rPr>
        <w:t xml:space="preserve"> </w:t>
      </w:r>
      <w:r>
        <w:rPr>
          <w:rFonts w:ascii="Arial" w:cs="Arial" w:eastAsia="Arial" w:hAnsi="Arial"/>
          <w:sz w:val="14"/>
          <w:szCs w:val="14"/>
          <w:color w:val="262626"/>
        </w:rPr>
        <w:t>annual grants, he received a grant of 50,000 shares of restricted stock in April 2018. Except as otherwise described in the section titled “Potential Payments or Upon Termination or Change in Control”, Mr. Maddox’s award vests as follows: 10,000 shares vest on each of March 1, 2019, March 1, 2020 and March 1, 2021, based on the achievement of performance-based criteria set by the Compensation Committee, and 10,000 shares vest on each of March 1, 2022 and March 1, 2023, subject to continued employment.</w:t>
      </w:r>
    </w:p>
    <w:p>
      <w:pPr>
        <w:spacing w:after="0" w:line="160" w:lineRule="exact"/>
        <w:rPr>
          <w:sz w:val="20"/>
          <w:szCs w:val="20"/>
          <w:color w:val="auto"/>
        </w:rPr>
      </w:pPr>
    </w:p>
    <w:p>
      <w:pPr>
        <w:ind w:left="780" w:right="100"/>
        <w:spacing w:after="0" w:line="241" w:lineRule="auto"/>
        <w:rPr>
          <w:sz w:val="20"/>
          <w:szCs w:val="20"/>
          <w:color w:val="auto"/>
        </w:rPr>
      </w:pPr>
      <w:r>
        <w:rPr>
          <w:rFonts w:ascii="Arial" w:cs="Arial" w:eastAsia="Arial" w:hAnsi="Arial"/>
          <w:sz w:val="14"/>
          <w:szCs w:val="14"/>
          <w:color w:val="262626"/>
        </w:rPr>
        <w:t>On January 11, 2019, as part of the Company’s transition to annual grants, Mr. Maddox received a grant of 52,842 shares of restricted stock. Except as otherwise described in the section titled “Potential Payments or Upon Termination or Change in Control”, Mr. Maddox’s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In connection with the extension of Mr. Billings’ employment agreement and prior to the transition from periodic grants to annual grants, he received a grant of 25,000 shares of restricted stock in April 2018. Except as otherwise described in the section titled “Potential Payments or Upon Termination or Change in Control”, Mr. Billings’ award vests as follows: 5,000 shares vest on each of March 1, 2019, March 1, 2020 and March 1, 2021, based on the achievement of fair share performance-based criteria set by the Compensation Committee, and 5,000 shares vest on each of March 1, 2022 and March 1, 2023, subject to continued employment.</w:t>
      </w:r>
    </w:p>
    <w:p>
      <w:pPr>
        <w:spacing w:after="0" w:line="175" w:lineRule="exact"/>
        <w:rPr>
          <w:sz w:val="20"/>
          <w:szCs w:val="20"/>
          <w:color w:val="auto"/>
        </w:rPr>
      </w:pPr>
    </w:p>
    <w:p>
      <w:pPr>
        <w:ind w:left="780" w:right="100"/>
        <w:spacing w:after="0" w:line="241" w:lineRule="auto"/>
        <w:rPr>
          <w:sz w:val="20"/>
          <w:szCs w:val="20"/>
          <w:color w:val="auto"/>
        </w:rPr>
      </w:pPr>
      <w:r>
        <w:rPr>
          <w:rFonts w:ascii="Arial" w:cs="Arial" w:eastAsia="Arial" w:hAnsi="Arial"/>
          <w:sz w:val="14"/>
          <w:szCs w:val="14"/>
          <w:color w:val="262626"/>
        </w:rPr>
        <w:t>On January 11, 2019, as part of the Company’s transition to annual grants, Mr. Billings received a grant of 14,092 shares of restricted stock. Except as otherwise described in the section titled “Potential Payments or Upon Termination or Change in Control”, Mr. Billings’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 subject to continued employment.</w:t>
      </w:r>
    </w:p>
    <w:p>
      <w:pPr>
        <w:spacing w:after="0" w:line="161" w:lineRule="exact"/>
        <w:rPr>
          <w:sz w:val="20"/>
          <w:szCs w:val="20"/>
          <w:color w:val="auto"/>
        </w:rPr>
      </w:pPr>
    </w:p>
    <w:p>
      <w:pPr>
        <w:ind w:left="780" w:right="60"/>
        <w:spacing w:after="0" w:line="236" w:lineRule="auto"/>
        <w:rPr>
          <w:sz w:val="20"/>
          <w:szCs w:val="20"/>
          <w:color w:val="auto"/>
        </w:rPr>
      </w:pPr>
      <w:r>
        <w:rPr>
          <w:rFonts w:ascii="Arial" w:cs="Arial" w:eastAsia="Arial" w:hAnsi="Arial"/>
          <w:sz w:val="14"/>
          <w:szCs w:val="14"/>
          <w:color w:val="262626"/>
        </w:rPr>
        <w:t>In connection with her initial employment and prior to the transition from periodic grants to annual grants, Ms. Whittemore received a grant of 7,500 shares of restricted stock in August 2018. Except as otherwise described in the section titled “Potential Payments or Upon Termination or Change in Control”,</w:t>
      </w:r>
    </w:p>
    <w:p>
      <w:pPr>
        <w:spacing w:after="0" w:line="1" w:lineRule="exact"/>
        <w:rPr>
          <w:sz w:val="20"/>
          <w:szCs w:val="20"/>
          <w:color w:val="auto"/>
        </w:rPr>
      </w:pPr>
    </w:p>
    <w:p>
      <w:pPr>
        <w:ind w:left="780" w:right="180"/>
        <w:spacing w:after="0" w:line="243" w:lineRule="auto"/>
        <w:rPr>
          <w:sz w:val="20"/>
          <w:szCs w:val="20"/>
          <w:color w:val="auto"/>
        </w:rPr>
      </w:pPr>
      <w:r>
        <w:rPr>
          <w:rFonts w:ascii="Arial" w:cs="Arial" w:eastAsia="Arial" w:hAnsi="Arial"/>
          <w:sz w:val="14"/>
          <w:szCs w:val="14"/>
          <w:color w:val="262626"/>
        </w:rPr>
        <w:t>Ms. Whittemore’s award vests as follows: 60% of the shares is based on achievement of pre-established financial performance goals over each of the next four years, and vesting of one-third of the remaining 40% is conditioned on continued service through July 15, 2020, July 15, 2021 and July 15,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325755</wp:posOffset>
            </wp:positionV>
            <wp:extent cx="521335" cy="235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34</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00"/>
          </w:cols>
          <w:pgMar w:left="240" w:top="453"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180"/>
        <w:spacing w:after="0" w:line="241" w:lineRule="auto"/>
        <w:rPr>
          <w:sz w:val="20"/>
          <w:szCs w:val="20"/>
          <w:color w:val="auto"/>
        </w:rPr>
      </w:pPr>
      <w:r>
        <w:rPr>
          <w:rFonts w:ascii="Arial" w:cs="Arial" w:eastAsia="Arial" w:hAnsi="Arial"/>
          <w:sz w:val="14"/>
          <w:szCs w:val="14"/>
          <w:color w:val="262626"/>
        </w:rPr>
        <w:t>On January 11, 2019, as part of the Company’s transition to annual grants, Ms. Whittemore received a grant of 6,606 shares of restricted stock. Except as otherwise described in the section titled “Potential Payments or Upon Termination or Change in Control”, Ms. Whittemore’s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w:t>
      </w:r>
    </w:p>
    <w:p>
      <w:pPr>
        <w:spacing w:after="0" w:line="156" w:lineRule="exact"/>
        <w:rPr>
          <w:sz w:val="20"/>
          <w:szCs w:val="20"/>
          <w:color w:val="auto"/>
        </w:rPr>
      </w:pPr>
    </w:p>
    <w:p>
      <w:pPr>
        <w:ind w:left="780" w:right="200"/>
        <w:spacing w:after="0" w:line="243" w:lineRule="auto"/>
        <w:rPr>
          <w:sz w:val="20"/>
          <w:szCs w:val="20"/>
          <w:color w:val="auto"/>
        </w:rPr>
      </w:pPr>
      <w:r>
        <w:rPr>
          <w:rFonts w:ascii="Arial" w:cs="Arial" w:eastAsia="Arial" w:hAnsi="Arial"/>
          <w:sz w:val="14"/>
          <w:szCs w:val="14"/>
          <w:b w:val="1"/>
          <w:bCs w:val="1"/>
          <w:color w:val="262626"/>
        </w:rPr>
        <w:t xml:space="preserve">Executive Benefits: </w:t>
      </w:r>
      <w:r>
        <w:rPr>
          <w:rFonts w:ascii="Arial" w:cs="Arial" w:eastAsia="Arial" w:hAnsi="Arial"/>
          <w:sz w:val="14"/>
          <w:szCs w:val="14"/>
          <w:color w:val="262626"/>
        </w:rPr>
        <w:t>We provide our NEOs with benefits that we believe are reasonable, competitive and consistent with our overall executive compensation</w:t>
      </w:r>
      <w:r>
        <w:rPr>
          <w:rFonts w:ascii="Arial" w:cs="Arial" w:eastAsia="Arial" w:hAnsi="Arial"/>
          <w:sz w:val="14"/>
          <w:szCs w:val="14"/>
          <w:b w:val="1"/>
          <w:bCs w:val="1"/>
          <w:color w:val="262626"/>
        </w:rPr>
        <w:t xml:space="preserve"> </w:t>
      </w:r>
      <w:r>
        <w:rPr>
          <w:rFonts w:ascii="Arial" w:cs="Arial" w:eastAsia="Arial" w:hAnsi="Arial"/>
          <w:sz w:val="14"/>
          <w:szCs w:val="14"/>
          <w:color w:val="262626"/>
        </w:rPr>
        <w:t>program. Our primary executive benefits are certain health insurance coverage, life insurance premiums, discounts and complimentary privileges with respect to the Company’s resorts, which are described in the footnotes to the “Summary Compensation Table.” For 2018, we paid nonresident state income taxes imposed on our executives who were required by us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w:t>
      </w:r>
    </w:p>
    <w:p>
      <w:pPr>
        <w:spacing w:after="0" w:line="162" w:lineRule="exact"/>
        <w:rPr>
          <w:sz w:val="20"/>
          <w:szCs w:val="20"/>
          <w:color w:val="auto"/>
        </w:rPr>
      </w:pPr>
    </w:p>
    <w:p>
      <w:pPr>
        <w:ind w:left="780" w:right="340"/>
        <w:spacing w:after="0" w:line="238" w:lineRule="auto"/>
        <w:rPr>
          <w:sz w:val="20"/>
          <w:szCs w:val="20"/>
          <w:color w:val="auto"/>
        </w:rPr>
      </w:pPr>
      <w:r>
        <w:rPr>
          <w:rFonts w:ascii="Arial" w:cs="Arial" w:eastAsia="Arial" w:hAnsi="Arial"/>
          <w:sz w:val="14"/>
          <w:szCs w:val="14"/>
          <w:color w:val="262626"/>
        </w:rPr>
        <w:t>In addition, prior to his resignation, Mr. Wynn had access to the Company’s aircraft for personal use pursuant to a time-sharing agreement described in “Certain Relationships and Related Transactions—Aircraft Arrangements.” Mr. Wynn was required to reimburse the Company for certain expenses for his personal use of Company aircraft, subject to a $250,000 credit per calendar year as approved by the Compensation Committee. For security purposes, the Board required Mr. Wynn to travel on Company aircraft for both personal and business travel, and the Company provided cars and a driver in Las Vegas for his business and personal use. We maintain a comprehensive security program for the Company. As a component of that program, we provided Mr. Wynn with personal security services, which we viewed as a necessary and appropriate business expense. In determining the level and form of protection, we considered both security risks faced by multinational corporations generally and security risks specific to our Company and Mr. Wynn. Subsequent to the resignation of Mr. Wynn, the Company does not provide aircraft related perquisites to any Company executives.</w:t>
      </w:r>
    </w:p>
    <w:p>
      <w:pPr>
        <w:spacing w:after="0" w:line="148" w:lineRule="exact"/>
        <w:rPr>
          <w:sz w:val="20"/>
          <w:szCs w:val="20"/>
          <w:color w:val="auto"/>
        </w:rPr>
      </w:pPr>
    </w:p>
    <w:p>
      <w:pPr>
        <w:ind w:left="780" w:right="360"/>
        <w:spacing w:after="0" w:line="250" w:lineRule="auto"/>
        <w:rPr>
          <w:sz w:val="20"/>
          <w:szCs w:val="20"/>
          <w:color w:val="auto"/>
        </w:rPr>
      </w:pPr>
      <w:r>
        <w:rPr>
          <w:rFonts w:ascii="Arial" w:cs="Arial" w:eastAsia="Arial" w:hAnsi="Arial"/>
          <w:sz w:val="14"/>
          <w:szCs w:val="14"/>
          <w:b w:val="1"/>
          <w:bCs w:val="1"/>
          <w:color w:val="262626"/>
        </w:rPr>
        <w:t xml:space="preserve">Peer Group Benchmarking: </w:t>
      </w:r>
      <w:r>
        <w:rPr>
          <w:rFonts w:ascii="Arial" w:cs="Arial" w:eastAsia="Arial" w:hAnsi="Arial"/>
          <w:sz w:val="14"/>
          <w:szCs w:val="14"/>
          <w:color w:val="262626"/>
        </w:rPr>
        <w:t>The Compensation Committee believes that it is appropriate to offer competitive total compensation packages to senior</w:t>
      </w:r>
      <w:r>
        <w:rPr>
          <w:rFonts w:ascii="Arial" w:cs="Arial" w:eastAsia="Arial" w:hAnsi="Arial"/>
          <w:sz w:val="14"/>
          <w:szCs w:val="14"/>
          <w:b w:val="1"/>
          <w:bCs w:val="1"/>
          <w:color w:val="262626"/>
        </w:rPr>
        <w:t xml:space="preserve"> </w:t>
      </w:r>
      <w:r>
        <w:rPr>
          <w:rFonts w:ascii="Arial" w:cs="Arial" w:eastAsia="Arial" w:hAnsi="Arial"/>
          <w:sz w:val="14"/>
          <w:szCs w:val="14"/>
          <w:color w:val="262626"/>
        </w:rPr>
        <w:t>executive officers in order to attract and retain top executive talent. The compensation peer group allows the Compensation Committee to monitor the compensation practices of our primary competitors for executive talent. The Compensation Committee targets the 50th percentile for the Company’s senior executive officers’ total compensation to ensure that executives are appropriately compensated as we operate in a highly competitive industry.</w:t>
      </w:r>
    </w:p>
    <w:p>
      <w:pPr>
        <w:spacing w:after="0" w:line="168" w:lineRule="exact"/>
        <w:rPr>
          <w:sz w:val="20"/>
          <w:szCs w:val="20"/>
          <w:color w:val="auto"/>
        </w:rPr>
      </w:pPr>
    </w:p>
    <w:p>
      <w:pPr>
        <w:ind w:left="780" w:right="300"/>
        <w:spacing w:after="0" w:line="243" w:lineRule="auto"/>
        <w:rPr>
          <w:sz w:val="20"/>
          <w:szCs w:val="20"/>
          <w:color w:val="auto"/>
        </w:rPr>
      </w:pPr>
      <w:r>
        <w:rPr>
          <w:rFonts w:ascii="Arial" w:cs="Arial" w:eastAsia="Arial" w:hAnsi="Arial"/>
          <w:sz w:val="14"/>
          <w:szCs w:val="14"/>
          <w:color w:val="262626"/>
        </w:rPr>
        <w:t>In 2018,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 Our peer group was last updated in 2018.</w:t>
      </w:r>
    </w:p>
    <w:p>
      <w:pPr>
        <w:spacing w:after="0" w:line="202"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WYNN RESORTS 2018 EXECUTIVE COMPENSATION PEER GROUP</w:t>
      </w:r>
    </w:p>
    <w:p>
      <w:pPr>
        <w:spacing w:after="0" w:line="253"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3460" w:type="dxa"/>
            <w:vAlign w:val="bottom"/>
            <w:tcBorders>
              <w:bottom w:val="single" w:sz="8" w:color="A39B8C"/>
            </w:tcBorders>
            <w:shd w:val="clear" w:color="auto" w:fill="A39B8C"/>
          </w:tcPr>
          <w:p>
            <w:pPr>
              <w:ind w:left="140"/>
              <w:spacing w:after="0"/>
              <w:rPr>
                <w:sz w:val="20"/>
                <w:szCs w:val="20"/>
                <w:color w:val="auto"/>
              </w:rPr>
            </w:pPr>
            <w:r>
              <w:rPr>
                <w:rFonts w:ascii="Arial" w:cs="Arial" w:eastAsia="Arial" w:hAnsi="Arial"/>
                <w:sz w:val="9"/>
                <w:szCs w:val="9"/>
                <w:b w:val="1"/>
                <w:bCs w:val="1"/>
                <w:color w:val="FFFFFF"/>
              </w:rPr>
              <w:t>GAMING &amp; RESORTS</w:t>
            </w:r>
          </w:p>
        </w:tc>
        <w:tc>
          <w:tcPr>
            <w:tcW w:w="3260" w:type="dxa"/>
            <w:vAlign w:val="bottom"/>
            <w:tcBorders>
              <w:bottom w:val="single" w:sz="8" w:color="A39B8C"/>
            </w:tcBorders>
            <w:shd w:val="clear" w:color="auto" w:fill="A39B8C"/>
          </w:tcPr>
          <w:p>
            <w:pPr>
              <w:ind w:left="300"/>
              <w:spacing w:after="0"/>
              <w:rPr>
                <w:sz w:val="20"/>
                <w:szCs w:val="20"/>
                <w:color w:val="auto"/>
              </w:rPr>
            </w:pPr>
            <w:r>
              <w:rPr>
                <w:rFonts w:ascii="Arial" w:cs="Arial" w:eastAsia="Arial" w:hAnsi="Arial"/>
                <w:sz w:val="9"/>
                <w:szCs w:val="9"/>
                <w:b w:val="1"/>
                <w:bCs w:val="1"/>
                <w:color w:val="FFFFFF"/>
              </w:rPr>
              <w:t>TRAVEL, HOSPITALITY &amp; RESORTS</w:t>
            </w:r>
          </w:p>
        </w:tc>
        <w:tc>
          <w:tcPr>
            <w:tcW w:w="3140" w:type="dxa"/>
            <w:vAlign w:val="bottom"/>
            <w:tcBorders>
              <w:bottom w:val="single" w:sz="8" w:color="A39B8C"/>
            </w:tcBorders>
            <w:shd w:val="clear" w:color="auto" w:fill="A39B8C"/>
          </w:tcPr>
          <w:p>
            <w:pPr>
              <w:ind w:left="180"/>
              <w:spacing w:after="0"/>
              <w:rPr>
                <w:sz w:val="20"/>
                <w:szCs w:val="20"/>
                <w:color w:val="auto"/>
              </w:rPr>
            </w:pPr>
            <w:r>
              <w:rPr>
                <w:rFonts w:ascii="Arial" w:cs="Arial" w:eastAsia="Arial" w:hAnsi="Arial"/>
                <w:sz w:val="9"/>
                <w:szCs w:val="9"/>
                <w:b w:val="1"/>
                <w:bCs w:val="1"/>
                <w:color w:val="FFFFFF"/>
              </w:rPr>
              <w:t>LIFESTYLE PRODUCTS</w:t>
            </w:r>
          </w:p>
        </w:tc>
        <w:tc>
          <w:tcPr>
            <w:tcW w:w="20" w:type="dxa"/>
            <w:vAlign w:val="bottom"/>
            <w:tcBorders>
              <w:bottom w:val="single" w:sz="8" w:color="A39B8C"/>
            </w:tcBorders>
            <w:shd w:val="clear" w:color="auto" w:fill="A39B8C"/>
          </w:tcPr>
          <w:p>
            <w:pPr>
              <w:spacing w:after="0"/>
              <w:rPr>
                <w:sz w:val="10"/>
                <w:szCs w:val="10"/>
                <w:color w:val="auto"/>
              </w:rPr>
            </w:pPr>
          </w:p>
        </w:tc>
      </w:tr>
      <w:tr>
        <w:trPr>
          <w:trHeight w:val="176"/>
        </w:trPr>
        <w:tc>
          <w:tcPr>
            <w:tcW w:w="3460" w:type="dxa"/>
            <w:vAlign w:val="bottom"/>
          </w:tcPr>
          <w:p>
            <w:pPr>
              <w:ind w:left="120"/>
              <w:spacing w:after="0"/>
              <w:rPr>
                <w:sz w:val="20"/>
                <w:szCs w:val="20"/>
                <w:color w:val="auto"/>
              </w:rPr>
            </w:pPr>
            <w:r>
              <w:rPr>
                <w:rFonts w:ascii="Arial" w:cs="Arial" w:eastAsia="Arial" w:hAnsi="Arial"/>
                <w:sz w:val="11"/>
                <w:szCs w:val="11"/>
                <w:color w:val="262626"/>
              </w:rPr>
              <w:t>Caesars Entertainment Corporation</w:t>
            </w:r>
          </w:p>
        </w:tc>
        <w:tc>
          <w:tcPr>
            <w:tcW w:w="3260" w:type="dxa"/>
            <w:vAlign w:val="bottom"/>
          </w:tcPr>
          <w:p>
            <w:pPr>
              <w:ind w:left="300"/>
              <w:spacing w:after="0"/>
              <w:rPr>
                <w:sz w:val="20"/>
                <w:szCs w:val="20"/>
                <w:color w:val="auto"/>
              </w:rPr>
            </w:pPr>
            <w:r>
              <w:rPr>
                <w:rFonts w:ascii="Arial" w:cs="Arial" w:eastAsia="Arial" w:hAnsi="Arial"/>
                <w:sz w:val="11"/>
                <w:szCs w:val="11"/>
                <w:color w:val="262626"/>
              </w:rPr>
              <w:t>Hilton Worldwide Holdings Inc.</w:t>
            </w:r>
          </w:p>
        </w:tc>
        <w:tc>
          <w:tcPr>
            <w:tcW w:w="3160" w:type="dxa"/>
            <w:vAlign w:val="bottom"/>
            <w:gridSpan w:val="2"/>
          </w:tcPr>
          <w:p>
            <w:pPr>
              <w:ind w:left="180"/>
              <w:spacing w:after="0"/>
              <w:rPr>
                <w:sz w:val="20"/>
                <w:szCs w:val="20"/>
                <w:color w:val="auto"/>
              </w:rPr>
            </w:pPr>
            <w:r>
              <w:rPr>
                <w:rFonts w:ascii="Arial" w:cs="Arial" w:eastAsia="Arial" w:hAnsi="Arial"/>
                <w:sz w:val="11"/>
                <w:szCs w:val="11"/>
                <w:color w:val="262626"/>
              </w:rPr>
              <w:t>Michael Kors Holdings Limited</w:t>
            </w:r>
          </w:p>
        </w:tc>
      </w:tr>
      <w:tr>
        <w:trPr>
          <w:trHeight w:val="49"/>
        </w:trPr>
        <w:tc>
          <w:tcPr>
            <w:tcW w:w="34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160" w:type="dxa"/>
            <w:vAlign w:val="bottom"/>
            <w:gridSpan w:val="2"/>
          </w:tcPr>
          <w:p>
            <w:pPr>
              <w:spacing w:after="0"/>
              <w:rPr>
                <w:sz w:val="4"/>
                <w:szCs w:val="4"/>
                <w:color w:val="auto"/>
              </w:rPr>
            </w:pPr>
          </w:p>
        </w:tc>
      </w:tr>
      <w:tr>
        <w:trPr>
          <w:trHeight w:val="218"/>
        </w:trPr>
        <w:tc>
          <w:tcPr>
            <w:tcW w:w="346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Las Vegas Sands Corp.</w:t>
            </w:r>
          </w:p>
        </w:tc>
        <w:tc>
          <w:tcPr>
            <w:tcW w:w="3260" w:type="dxa"/>
            <w:vAlign w:val="bottom"/>
            <w:tcBorders>
              <w:bottom w:val="single" w:sz="8" w:color="ECEBE8"/>
            </w:tcBorders>
            <w:shd w:val="clear" w:color="auto" w:fill="ECEBE8"/>
          </w:tcPr>
          <w:p>
            <w:pPr>
              <w:ind w:left="300"/>
              <w:spacing w:after="0"/>
              <w:rPr>
                <w:sz w:val="20"/>
                <w:szCs w:val="20"/>
                <w:color w:val="auto"/>
              </w:rPr>
            </w:pPr>
            <w:r>
              <w:rPr>
                <w:rFonts w:ascii="Arial" w:cs="Arial" w:eastAsia="Arial" w:hAnsi="Arial"/>
                <w:sz w:val="11"/>
                <w:szCs w:val="11"/>
                <w:color w:val="262626"/>
              </w:rPr>
              <w:t>Hyatt Hotels Corporation</w:t>
            </w:r>
          </w:p>
        </w:tc>
        <w:tc>
          <w:tcPr>
            <w:tcW w:w="3140" w:type="dxa"/>
            <w:vAlign w:val="bottom"/>
            <w:tcBorders>
              <w:bottom w:val="single" w:sz="8" w:color="ECEBE8"/>
            </w:tcBorders>
            <w:shd w:val="clear" w:color="auto" w:fill="ECEBE8"/>
          </w:tcPr>
          <w:p>
            <w:pPr>
              <w:ind w:left="180"/>
              <w:spacing w:after="0"/>
              <w:rPr>
                <w:sz w:val="20"/>
                <w:szCs w:val="20"/>
                <w:color w:val="auto"/>
              </w:rPr>
            </w:pPr>
            <w:r>
              <w:rPr>
                <w:rFonts w:ascii="Arial" w:cs="Arial" w:eastAsia="Arial" w:hAnsi="Arial"/>
                <w:sz w:val="11"/>
                <w:szCs w:val="11"/>
                <w:color w:val="262626"/>
              </w:rPr>
              <w:t>PVH Corp.</w:t>
            </w:r>
          </w:p>
        </w:tc>
        <w:tc>
          <w:tcPr>
            <w:tcW w:w="20" w:type="dxa"/>
            <w:vAlign w:val="bottom"/>
          </w:tcPr>
          <w:p>
            <w:pPr>
              <w:spacing w:after="0"/>
              <w:rPr>
                <w:sz w:val="18"/>
                <w:szCs w:val="18"/>
                <w:color w:val="auto"/>
              </w:rPr>
            </w:pPr>
          </w:p>
        </w:tc>
      </w:tr>
      <w:tr>
        <w:trPr>
          <w:trHeight w:val="189"/>
        </w:trPr>
        <w:tc>
          <w:tcPr>
            <w:tcW w:w="3460" w:type="dxa"/>
            <w:vAlign w:val="bottom"/>
          </w:tcPr>
          <w:p>
            <w:pPr>
              <w:ind w:left="120"/>
              <w:spacing w:after="0"/>
              <w:rPr>
                <w:sz w:val="20"/>
                <w:szCs w:val="20"/>
                <w:color w:val="auto"/>
              </w:rPr>
            </w:pPr>
            <w:r>
              <w:rPr>
                <w:rFonts w:ascii="Arial" w:cs="Arial" w:eastAsia="Arial" w:hAnsi="Arial"/>
                <w:sz w:val="11"/>
                <w:szCs w:val="11"/>
                <w:color w:val="262626"/>
              </w:rPr>
              <w:t>MGM Resorts International</w:t>
            </w:r>
          </w:p>
        </w:tc>
        <w:tc>
          <w:tcPr>
            <w:tcW w:w="3260" w:type="dxa"/>
            <w:vAlign w:val="bottom"/>
          </w:tcPr>
          <w:p>
            <w:pPr>
              <w:ind w:left="300"/>
              <w:spacing w:after="0"/>
              <w:rPr>
                <w:sz w:val="20"/>
                <w:szCs w:val="20"/>
                <w:color w:val="auto"/>
              </w:rPr>
            </w:pPr>
            <w:r>
              <w:rPr>
                <w:rFonts w:ascii="Arial" w:cs="Arial" w:eastAsia="Arial" w:hAnsi="Arial"/>
                <w:sz w:val="11"/>
                <w:szCs w:val="11"/>
                <w:color w:val="262626"/>
              </w:rPr>
              <w:t>Marriott International, Inc.</w:t>
            </w:r>
          </w:p>
        </w:tc>
        <w:tc>
          <w:tcPr>
            <w:tcW w:w="3160" w:type="dxa"/>
            <w:vAlign w:val="bottom"/>
            <w:gridSpan w:val="2"/>
          </w:tcPr>
          <w:p>
            <w:pPr>
              <w:ind w:left="180"/>
              <w:spacing w:after="0"/>
              <w:rPr>
                <w:sz w:val="20"/>
                <w:szCs w:val="20"/>
                <w:color w:val="auto"/>
              </w:rPr>
            </w:pPr>
            <w:r>
              <w:rPr>
                <w:rFonts w:ascii="Arial" w:cs="Arial" w:eastAsia="Arial" w:hAnsi="Arial"/>
                <w:sz w:val="11"/>
                <w:szCs w:val="11"/>
                <w:color w:val="262626"/>
              </w:rPr>
              <w:t>Ralph Lauren Corporation</w:t>
            </w:r>
          </w:p>
        </w:tc>
      </w:tr>
      <w:tr>
        <w:trPr>
          <w:trHeight w:val="49"/>
        </w:trPr>
        <w:tc>
          <w:tcPr>
            <w:tcW w:w="34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160" w:type="dxa"/>
            <w:vAlign w:val="bottom"/>
            <w:gridSpan w:val="2"/>
          </w:tcPr>
          <w:p>
            <w:pPr>
              <w:spacing w:after="0"/>
              <w:rPr>
                <w:sz w:val="4"/>
                <w:szCs w:val="4"/>
                <w:color w:val="auto"/>
              </w:rPr>
            </w:pPr>
          </w:p>
        </w:tc>
      </w:tr>
      <w:tr>
        <w:trPr>
          <w:trHeight w:val="218"/>
        </w:trPr>
        <w:tc>
          <w:tcPr>
            <w:tcW w:w="346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Penn National Gaming, Inc.</w:t>
            </w:r>
          </w:p>
        </w:tc>
        <w:tc>
          <w:tcPr>
            <w:tcW w:w="3260" w:type="dxa"/>
            <w:vAlign w:val="bottom"/>
            <w:tcBorders>
              <w:bottom w:val="single" w:sz="8" w:color="ECEBE8"/>
            </w:tcBorders>
            <w:shd w:val="clear" w:color="auto" w:fill="ECEBE8"/>
          </w:tcPr>
          <w:p>
            <w:pPr>
              <w:ind w:left="300"/>
              <w:spacing w:after="0"/>
              <w:rPr>
                <w:sz w:val="20"/>
                <w:szCs w:val="20"/>
                <w:color w:val="auto"/>
              </w:rPr>
            </w:pPr>
            <w:r>
              <w:rPr>
                <w:rFonts w:ascii="Arial" w:cs="Arial" w:eastAsia="Arial" w:hAnsi="Arial"/>
                <w:sz w:val="11"/>
                <w:szCs w:val="11"/>
                <w:color w:val="262626"/>
              </w:rPr>
              <w:t>Norwegian Cruise Line Holdings Ltd</w:t>
            </w:r>
          </w:p>
        </w:tc>
        <w:tc>
          <w:tcPr>
            <w:tcW w:w="3140" w:type="dxa"/>
            <w:vAlign w:val="bottom"/>
            <w:tcBorders>
              <w:bottom w:val="single" w:sz="8" w:color="ECEBE8"/>
            </w:tcBorders>
            <w:shd w:val="clear" w:color="auto" w:fill="ECEBE8"/>
          </w:tcPr>
          <w:p>
            <w:pPr>
              <w:ind w:left="180"/>
              <w:spacing w:after="0"/>
              <w:rPr>
                <w:sz w:val="20"/>
                <w:szCs w:val="20"/>
                <w:color w:val="auto"/>
              </w:rPr>
            </w:pPr>
            <w:r>
              <w:rPr>
                <w:rFonts w:ascii="Arial" w:cs="Arial" w:eastAsia="Arial" w:hAnsi="Arial"/>
                <w:sz w:val="11"/>
                <w:szCs w:val="11"/>
                <w:color w:val="262626"/>
              </w:rPr>
              <w:t>Tapestry, Inc.</w:t>
            </w:r>
          </w:p>
        </w:tc>
        <w:tc>
          <w:tcPr>
            <w:tcW w:w="20" w:type="dxa"/>
            <w:vAlign w:val="bottom"/>
          </w:tcPr>
          <w:p>
            <w:pPr>
              <w:spacing w:after="0"/>
              <w:rPr>
                <w:sz w:val="18"/>
                <w:szCs w:val="18"/>
                <w:color w:val="auto"/>
              </w:rPr>
            </w:pPr>
          </w:p>
        </w:tc>
      </w:tr>
      <w:tr>
        <w:trPr>
          <w:trHeight w:val="189"/>
        </w:trPr>
        <w:tc>
          <w:tcPr>
            <w:tcW w:w="3460" w:type="dxa"/>
            <w:vAlign w:val="bottom"/>
          </w:tcPr>
          <w:p>
            <w:pPr>
              <w:spacing w:after="0"/>
              <w:rPr>
                <w:sz w:val="16"/>
                <w:szCs w:val="16"/>
                <w:color w:val="auto"/>
              </w:rPr>
            </w:pPr>
          </w:p>
        </w:tc>
        <w:tc>
          <w:tcPr>
            <w:tcW w:w="3260" w:type="dxa"/>
            <w:vAlign w:val="bottom"/>
          </w:tcPr>
          <w:p>
            <w:pPr>
              <w:ind w:left="300"/>
              <w:spacing w:after="0"/>
              <w:rPr>
                <w:sz w:val="20"/>
                <w:szCs w:val="20"/>
                <w:color w:val="auto"/>
              </w:rPr>
            </w:pPr>
            <w:r>
              <w:rPr>
                <w:rFonts w:ascii="Arial" w:cs="Arial" w:eastAsia="Arial" w:hAnsi="Arial"/>
                <w:sz w:val="11"/>
                <w:szCs w:val="11"/>
                <w:color w:val="262626"/>
              </w:rPr>
              <w:t>Royal Caribbean Cruises Ltd</w:t>
            </w:r>
          </w:p>
        </w:tc>
        <w:tc>
          <w:tcPr>
            <w:tcW w:w="3160" w:type="dxa"/>
            <w:vAlign w:val="bottom"/>
            <w:gridSpan w:val="2"/>
          </w:tcPr>
          <w:p>
            <w:pPr>
              <w:ind w:left="180"/>
              <w:spacing w:after="0"/>
              <w:rPr>
                <w:sz w:val="20"/>
                <w:szCs w:val="20"/>
                <w:color w:val="auto"/>
              </w:rPr>
            </w:pPr>
            <w:r>
              <w:rPr>
                <w:rFonts w:ascii="Arial" w:cs="Arial" w:eastAsia="Arial" w:hAnsi="Arial"/>
                <w:sz w:val="11"/>
                <w:szCs w:val="11"/>
                <w:color w:val="262626"/>
              </w:rPr>
              <w:t>The Estée Lauder Companies Inc.</w:t>
            </w:r>
          </w:p>
        </w:tc>
      </w:tr>
      <w:tr>
        <w:trPr>
          <w:trHeight w:val="49"/>
        </w:trPr>
        <w:tc>
          <w:tcPr>
            <w:tcW w:w="34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160" w:type="dxa"/>
            <w:vAlign w:val="bottom"/>
            <w:gridSpan w:val="2"/>
          </w:tcPr>
          <w:p>
            <w:pPr>
              <w:spacing w:after="0"/>
              <w:rPr>
                <w:sz w:val="4"/>
                <w:szCs w:val="4"/>
                <w:color w:val="auto"/>
              </w:rPr>
            </w:pPr>
          </w:p>
        </w:tc>
      </w:tr>
      <w:tr>
        <w:trPr>
          <w:trHeight w:val="218"/>
        </w:trPr>
        <w:tc>
          <w:tcPr>
            <w:tcW w:w="3460" w:type="dxa"/>
            <w:vAlign w:val="bottom"/>
            <w:tcBorders>
              <w:bottom w:val="single" w:sz="8" w:color="ECEBE8"/>
            </w:tcBorders>
            <w:shd w:val="clear" w:color="auto" w:fill="ECEBE8"/>
          </w:tcPr>
          <w:p>
            <w:pPr>
              <w:spacing w:after="0"/>
              <w:rPr>
                <w:sz w:val="18"/>
                <w:szCs w:val="18"/>
                <w:color w:val="auto"/>
              </w:rPr>
            </w:pPr>
          </w:p>
        </w:tc>
        <w:tc>
          <w:tcPr>
            <w:tcW w:w="3260" w:type="dxa"/>
            <w:vAlign w:val="bottom"/>
            <w:tcBorders>
              <w:bottom w:val="single" w:sz="8" w:color="ECEBE8"/>
            </w:tcBorders>
            <w:shd w:val="clear" w:color="auto" w:fill="ECEBE8"/>
          </w:tcPr>
          <w:p>
            <w:pPr>
              <w:ind w:left="300"/>
              <w:spacing w:after="0"/>
              <w:rPr>
                <w:sz w:val="20"/>
                <w:szCs w:val="20"/>
                <w:color w:val="auto"/>
              </w:rPr>
            </w:pPr>
            <w:r>
              <w:rPr>
                <w:rFonts w:ascii="Arial" w:cs="Arial" w:eastAsia="Arial" w:hAnsi="Arial"/>
                <w:sz w:val="11"/>
                <w:szCs w:val="11"/>
                <w:color w:val="262626"/>
              </w:rPr>
              <w:t>Wyndham Hotels &amp; Resorts, Inc.</w:t>
            </w:r>
          </w:p>
        </w:tc>
        <w:tc>
          <w:tcPr>
            <w:tcW w:w="3140" w:type="dxa"/>
            <w:vAlign w:val="bottom"/>
            <w:tcBorders>
              <w:bottom w:val="single" w:sz="8" w:color="ECEBE8"/>
            </w:tcBorders>
            <w:shd w:val="clear" w:color="auto" w:fill="ECEBE8"/>
          </w:tcPr>
          <w:p>
            <w:pPr>
              <w:ind w:left="180"/>
              <w:spacing w:after="0"/>
              <w:rPr>
                <w:sz w:val="20"/>
                <w:szCs w:val="20"/>
                <w:color w:val="auto"/>
              </w:rPr>
            </w:pPr>
            <w:r>
              <w:rPr>
                <w:rFonts w:ascii="Arial" w:cs="Arial" w:eastAsia="Arial" w:hAnsi="Arial"/>
                <w:sz w:val="11"/>
                <w:szCs w:val="11"/>
                <w:color w:val="262626"/>
              </w:rPr>
              <w:t>Tiffany &amp; Co.</w:t>
            </w:r>
          </w:p>
        </w:tc>
        <w:tc>
          <w:tcPr>
            <w:tcW w:w="20" w:type="dxa"/>
            <w:vAlign w:val="bottom"/>
          </w:tcPr>
          <w:p>
            <w:pPr>
              <w:spacing w:after="0"/>
              <w:rPr>
                <w:sz w:val="18"/>
                <w:szCs w:val="18"/>
                <w:color w:val="auto"/>
              </w:rPr>
            </w:pPr>
          </w:p>
        </w:tc>
      </w:tr>
      <w:tr>
        <w:trPr>
          <w:trHeight w:val="189"/>
        </w:trPr>
        <w:tc>
          <w:tcPr>
            <w:tcW w:w="3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160" w:type="dxa"/>
            <w:vAlign w:val="bottom"/>
            <w:gridSpan w:val="2"/>
          </w:tcPr>
          <w:p>
            <w:pPr>
              <w:ind w:left="180"/>
              <w:spacing w:after="0"/>
              <w:rPr>
                <w:sz w:val="20"/>
                <w:szCs w:val="20"/>
                <w:color w:val="auto"/>
              </w:rPr>
            </w:pPr>
            <w:r>
              <w:rPr>
                <w:rFonts w:ascii="Arial" w:cs="Arial" w:eastAsia="Arial" w:hAnsi="Arial"/>
                <w:sz w:val="11"/>
                <w:szCs w:val="11"/>
                <w:color w:val="262626"/>
              </w:rPr>
              <w:t>V.F. Corporation</w:t>
            </w:r>
          </w:p>
        </w:tc>
      </w:tr>
    </w:tbl>
    <w:p>
      <w:pPr>
        <w:spacing w:after="0" w:line="200" w:lineRule="exact"/>
        <w:rPr>
          <w:sz w:val="20"/>
          <w:szCs w:val="20"/>
          <w:color w:val="auto"/>
        </w:rPr>
      </w:pPr>
    </w:p>
    <w:p>
      <w:pPr>
        <w:spacing w:after="0" w:line="369"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35</w:t>
      </w:r>
    </w:p>
    <w:p>
      <w:pPr>
        <w:sectPr>
          <w:pgSz w:w="11900" w:h="16838" w:orient="portrait"/>
          <w:cols w:equalWidth="0" w:num="1">
            <w:col w:w="10800"/>
          </w:cols>
          <w:pgMar w:left="240" w:top="453" w:right="8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Compensation discussion and analysis</w:t>
      </w:r>
    </w:p>
    <w:p>
      <w:pPr>
        <w:spacing w:after="0" w:line="318" w:lineRule="exact"/>
        <w:rPr>
          <w:sz w:val="20"/>
          <w:szCs w:val="20"/>
          <w:color w:val="auto"/>
        </w:rPr>
      </w:pPr>
    </w:p>
    <w:p>
      <w:pPr>
        <w:jc w:val="both"/>
        <w:ind w:left="780" w:right="260"/>
        <w:spacing w:after="0" w:line="249" w:lineRule="auto"/>
        <w:rPr>
          <w:sz w:val="20"/>
          <w:szCs w:val="20"/>
          <w:color w:val="auto"/>
        </w:rPr>
      </w:pPr>
      <w:r>
        <w:rPr>
          <w:rFonts w:ascii="Arial" w:cs="Arial" w:eastAsia="Arial" w:hAnsi="Arial"/>
          <w:sz w:val="14"/>
          <w:szCs w:val="14"/>
          <w:color w:val="262626"/>
        </w:rPr>
        <w:t>The 17 companies in the peer group generally had revenue, market capitalization and total enterprise value (as of December 31, 2018) in a relevant range around those of the Company as set forth below.</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152"/>
        </w:trPr>
        <w:tc>
          <w:tcPr>
            <w:tcW w:w="7000" w:type="dxa"/>
            <w:vAlign w:val="bottom"/>
            <w:tcBorders>
              <w:bottom w:val="single" w:sz="8" w:color="A39B8C"/>
            </w:tcBorders>
            <w:shd w:val="clear" w:color="auto" w:fill="A39B8C"/>
          </w:tcPr>
          <w:p>
            <w:pPr>
              <w:spacing w:after="0"/>
              <w:rPr>
                <w:sz w:val="13"/>
                <w:szCs w:val="13"/>
                <w:color w:val="auto"/>
              </w:rPr>
            </w:pPr>
          </w:p>
        </w:tc>
        <w:tc>
          <w:tcPr>
            <w:tcW w:w="920" w:type="dxa"/>
            <w:vAlign w:val="bottom"/>
            <w:tcBorders>
              <w:bottom w:val="single" w:sz="8" w:color="A39B8C"/>
            </w:tcBorders>
            <w:shd w:val="clear" w:color="auto" w:fill="A39B8C"/>
          </w:tcPr>
          <w:p>
            <w:pPr>
              <w:jc w:val="center"/>
              <w:ind w:left="149"/>
              <w:spacing w:after="0"/>
              <w:rPr>
                <w:sz w:val="20"/>
                <w:szCs w:val="20"/>
                <w:color w:val="auto"/>
              </w:rPr>
            </w:pPr>
            <w:r>
              <w:rPr>
                <w:rFonts w:ascii="Arial" w:cs="Arial" w:eastAsia="Arial" w:hAnsi="Arial"/>
                <w:sz w:val="9"/>
                <w:szCs w:val="9"/>
                <w:b w:val="1"/>
                <w:bCs w:val="1"/>
                <w:color w:val="FFFFFF"/>
                <w:w w:val="97"/>
              </w:rPr>
              <w:t>WYNN RESORTS</w:t>
            </w:r>
          </w:p>
        </w:tc>
        <w:tc>
          <w:tcPr>
            <w:tcW w:w="660" w:type="dxa"/>
            <w:vAlign w:val="bottom"/>
            <w:tcBorders>
              <w:bottom w:val="single" w:sz="8" w:color="A39B8C"/>
            </w:tcBorders>
            <w:shd w:val="clear" w:color="auto" w:fill="A39B8C"/>
          </w:tcPr>
          <w:p>
            <w:pPr>
              <w:spacing w:after="0"/>
              <w:rPr>
                <w:sz w:val="13"/>
                <w:szCs w:val="13"/>
                <w:color w:val="auto"/>
              </w:rPr>
            </w:pPr>
          </w:p>
        </w:tc>
        <w:tc>
          <w:tcPr>
            <w:tcW w:w="1280" w:type="dxa"/>
            <w:vAlign w:val="bottom"/>
            <w:tcBorders>
              <w:bottom w:val="single" w:sz="8" w:color="A39B8C"/>
            </w:tcBorders>
            <w:shd w:val="clear" w:color="auto" w:fill="A39B8C"/>
          </w:tcPr>
          <w:p>
            <w:pPr>
              <w:ind w:left="100"/>
              <w:spacing w:after="0"/>
              <w:rPr>
                <w:sz w:val="20"/>
                <w:szCs w:val="20"/>
                <w:color w:val="auto"/>
              </w:rPr>
            </w:pPr>
            <w:r>
              <w:rPr>
                <w:rFonts w:ascii="Arial" w:cs="Arial" w:eastAsia="Arial" w:hAnsi="Arial"/>
                <w:sz w:val="9"/>
                <w:szCs w:val="9"/>
                <w:b w:val="1"/>
                <w:bCs w:val="1"/>
                <w:color w:val="FFFFFF"/>
              </w:rPr>
              <w:t>PEER GROUP</w:t>
            </w:r>
          </w:p>
        </w:tc>
        <w:tc>
          <w:tcPr>
            <w:tcW w:w="20" w:type="dxa"/>
            <w:vAlign w:val="bottom"/>
            <w:tcBorders>
              <w:bottom w:val="single" w:sz="8" w:color="A39B8C"/>
            </w:tcBorders>
            <w:shd w:val="clear" w:color="auto" w:fill="A39B8C"/>
          </w:tcPr>
          <w:p>
            <w:pPr>
              <w:spacing w:after="0"/>
              <w:rPr>
                <w:sz w:val="13"/>
                <w:szCs w:val="13"/>
                <w:color w:val="auto"/>
              </w:rPr>
            </w:pPr>
          </w:p>
        </w:tc>
      </w:tr>
      <w:tr>
        <w:trPr>
          <w:trHeight w:val="149"/>
        </w:trPr>
        <w:tc>
          <w:tcPr>
            <w:tcW w:w="7000" w:type="dxa"/>
            <w:vAlign w:val="bottom"/>
          </w:tcPr>
          <w:p>
            <w:pPr>
              <w:ind w:left="80"/>
              <w:spacing w:after="0"/>
              <w:rPr>
                <w:sz w:val="20"/>
                <w:szCs w:val="20"/>
                <w:color w:val="auto"/>
              </w:rPr>
            </w:pPr>
            <w:r>
              <w:rPr>
                <w:rFonts w:ascii="Arial" w:cs="Arial" w:eastAsia="Arial" w:hAnsi="Arial"/>
                <w:sz w:val="11"/>
                <w:szCs w:val="11"/>
                <w:color w:val="262626"/>
              </w:rPr>
              <w:t>Revenue</w:t>
            </w:r>
          </w:p>
        </w:tc>
        <w:tc>
          <w:tcPr>
            <w:tcW w:w="920" w:type="dxa"/>
            <w:vAlign w:val="bottom"/>
          </w:tcPr>
          <w:p>
            <w:pPr>
              <w:jc w:val="center"/>
              <w:ind w:left="129"/>
              <w:spacing w:after="0"/>
              <w:rPr>
                <w:sz w:val="20"/>
                <w:szCs w:val="20"/>
                <w:color w:val="auto"/>
              </w:rPr>
            </w:pPr>
            <w:r>
              <w:rPr>
                <w:rFonts w:ascii="Arial" w:cs="Arial" w:eastAsia="Arial" w:hAnsi="Arial"/>
                <w:sz w:val="11"/>
                <w:szCs w:val="11"/>
                <w:color w:val="262626"/>
                <w:w w:val="94"/>
              </w:rPr>
              <w:t>$6.7 billion</w:t>
            </w:r>
          </w:p>
        </w:tc>
        <w:tc>
          <w:tcPr>
            <w:tcW w:w="660" w:type="dxa"/>
            <w:vAlign w:val="bottom"/>
          </w:tcPr>
          <w:p>
            <w:pPr>
              <w:jc w:val="right"/>
              <w:spacing w:after="0"/>
              <w:rPr>
                <w:sz w:val="20"/>
                <w:szCs w:val="20"/>
                <w:color w:val="auto"/>
              </w:rPr>
            </w:pPr>
            <w:r>
              <w:rPr>
                <w:rFonts w:ascii="Arial" w:cs="Arial" w:eastAsia="Arial" w:hAnsi="Arial"/>
                <w:sz w:val="11"/>
                <w:szCs w:val="11"/>
                <w:color w:val="262626"/>
              </w:rPr>
              <w:t>Range:</w:t>
            </w:r>
          </w:p>
        </w:tc>
        <w:tc>
          <w:tcPr>
            <w:tcW w:w="1280" w:type="dxa"/>
            <w:vAlign w:val="bottom"/>
          </w:tcPr>
          <w:p>
            <w:pPr>
              <w:ind w:left="80"/>
              <w:spacing w:after="0"/>
              <w:rPr>
                <w:sz w:val="20"/>
                <w:szCs w:val="20"/>
                <w:color w:val="auto"/>
              </w:rPr>
            </w:pPr>
            <w:r>
              <w:rPr>
                <w:rFonts w:ascii="Arial" w:cs="Arial" w:eastAsia="Arial" w:hAnsi="Arial"/>
                <w:sz w:val="11"/>
                <w:szCs w:val="11"/>
                <w:color w:val="262626"/>
              </w:rPr>
              <w:t>$1.7 billion–$21.3 billion</w:t>
            </w:r>
          </w:p>
        </w:tc>
        <w:tc>
          <w:tcPr>
            <w:tcW w:w="20" w:type="dxa"/>
            <w:vAlign w:val="bottom"/>
          </w:tcPr>
          <w:p>
            <w:pPr>
              <w:spacing w:after="0"/>
              <w:rPr>
                <w:sz w:val="12"/>
                <w:szCs w:val="12"/>
                <w:color w:val="auto"/>
              </w:rPr>
            </w:pPr>
          </w:p>
        </w:tc>
      </w:tr>
      <w:tr>
        <w:trPr>
          <w:trHeight w:val="199"/>
        </w:trPr>
        <w:tc>
          <w:tcPr>
            <w:tcW w:w="7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62626"/>
              </w:rPr>
              <w:t>Median:</w:t>
            </w:r>
          </w:p>
        </w:tc>
        <w:tc>
          <w:tcPr>
            <w:tcW w:w="1280" w:type="dxa"/>
            <w:vAlign w:val="bottom"/>
          </w:tcPr>
          <w:p>
            <w:pPr>
              <w:ind w:left="80"/>
              <w:spacing w:after="0"/>
              <w:rPr>
                <w:sz w:val="20"/>
                <w:szCs w:val="20"/>
                <w:color w:val="auto"/>
              </w:rPr>
            </w:pPr>
            <w:r>
              <w:rPr>
                <w:rFonts w:ascii="Arial" w:cs="Arial" w:eastAsia="Arial" w:hAnsi="Arial"/>
                <w:sz w:val="11"/>
                <w:szCs w:val="11"/>
                <w:color w:val="262626"/>
              </w:rPr>
              <w:t>$8.5 billion</w:t>
            </w:r>
          </w:p>
        </w:tc>
        <w:tc>
          <w:tcPr>
            <w:tcW w:w="20" w:type="dxa"/>
            <w:vAlign w:val="bottom"/>
          </w:tcPr>
          <w:p>
            <w:pPr>
              <w:spacing w:after="0"/>
              <w:rPr>
                <w:sz w:val="17"/>
                <w:szCs w:val="17"/>
                <w:color w:val="auto"/>
              </w:rPr>
            </w:pPr>
          </w:p>
        </w:tc>
      </w:tr>
      <w:tr>
        <w:trPr>
          <w:trHeight w:val="49"/>
        </w:trPr>
        <w:tc>
          <w:tcPr>
            <w:tcW w:w="7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6"/>
        </w:trPr>
        <w:tc>
          <w:tcPr>
            <w:tcW w:w="700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Market Capitalization</w:t>
            </w:r>
          </w:p>
        </w:tc>
        <w:tc>
          <w:tcPr>
            <w:tcW w:w="920" w:type="dxa"/>
            <w:vAlign w:val="bottom"/>
            <w:shd w:val="clear" w:color="auto" w:fill="ECEBE8"/>
          </w:tcPr>
          <w:p>
            <w:pPr>
              <w:jc w:val="center"/>
              <w:ind w:left="149"/>
              <w:spacing w:after="0"/>
              <w:rPr>
                <w:sz w:val="20"/>
                <w:szCs w:val="20"/>
                <w:color w:val="auto"/>
              </w:rPr>
            </w:pPr>
            <w:r>
              <w:rPr>
                <w:rFonts w:ascii="Arial" w:cs="Arial" w:eastAsia="Arial" w:hAnsi="Arial"/>
                <w:sz w:val="11"/>
                <w:szCs w:val="11"/>
                <w:color w:val="262626"/>
                <w:w w:val="95"/>
              </w:rPr>
              <w:t>$13.4 billion</w:t>
            </w:r>
          </w:p>
        </w:tc>
        <w:tc>
          <w:tcPr>
            <w:tcW w:w="6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Range:</w:t>
            </w:r>
          </w:p>
        </w:tc>
        <w:tc>
          <w:tcPr>
            <w:tcW w:w="12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$2.2 billion–$47.2 billion</w:t>
            </w:r>
          </w:p>
        </w:tc>
        <w:tc>
          <w:tcPr>
            <w:tcW w:w="20" w:type="dxa"/>
            <w:vAlign w:val="bottom"/>
          </w:tcPr>
          <w:p>
            <w:pPr>
              <w:spacing w:after="0"/>
              <w:rPr>
                <w:sz w:val="12"/>
                <w:szCs w:val="12"/>
                <w:color w:val="auto"/>
              </w:rPr>
            </w:pPr>
          </w:p>
        </w:tc>
      </w:tr>
      <w:tr>
        <w:trPr>
          <w:trHeight w:val="232"/>
        </w:trPr>
        <w:tc>
          <w:tcPr>
            <w:tcW w:w="7000" w:type="dxa"/>
            <w:vAlign w:val="bottom"/>
            <w:tcBorders>
              <w:bottom w:val="single" w:sz="8" w:color="ECEBE8"/>
            </w:tcBorders>
            <w:shd w:val="clear" w:color="auto" w:fill="ECEBE8"/>
          </w:tcPr>
          <w:p>
            <w:pPr>
              <w:spacing w:after="0"/>
              <w:rPr>
                <w:sz w:val="20"/>
                <w:szCs w:val="20"/>
                <w:color w:val="auto"/>
              </w:rPr>
            </w:pPr>
          </w:p>
        </w:tc>
        <w:tc>
          <w:tcPr>
            <w:tcW w:w="920" w:type="dxa"/>
            <w:vAlign w:val="bottom"/>
            <w:tcBorders>
              <w:bottom w:val="single" w:sz="8" w:color="ECEBE8"/>
            </w:tcBorders>
            <w:shd w:val="clear" w:color="auto" w:fill="ECEBE8"/>
          </w:tcPr>
          <w:p>
            <w:pPr>
              <w:spacing w:after="0"/>
              <w:rPr>
                <w:sz w:val="20"/>
                <w:szCs w:val="20"/>
                <w:color w:val="auto"/>
              </w:rPr>
            </w:pPr>
          </w:p>
        </w:tc>
        <w:tc>
          <w:tcPr>
            <w:tcW w:w="6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Median:</w:t>
            </w:r>
          </w:p>
        </w:tc>
        <w:tc>
          <w:tcPr>
            <w:tcW w:w="128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$9.8 billion</w:t>
            </w:r>
          </w:p>
        </w:tc>
        <w:tc>
          <w:tcPr>
            <w:tcW w:w="20" w:type="dxa"/>
            <w:vAlign w:val="bottom"/>
          </w:tcPr>
          <w:p>
            <w:pPr>
              <w:spacing w:after="0"/>
              <w:rPr>
                <w:sz w:val="20"/>
                <w:szCs w:val="20"/>
                <w:color w:val="auto"/>
              </w:rPr>
            </w:pPr>
          </w:p>
        </w:tc>
      </w:tr>
      <w:tr>
        <w:trPr>
          <w:trHeight w:val="149"/>
        </w:trPr>
        <w:tc>
          <w:tcPr>
            <w:tcW w:w="7000" w:type="dxa"/>
            <w:vAlign w:val="bottom"/>
          </w:tcPr>
          <w:p>
            <w:pPr>
              <w:ind w:left="80"/>
              <w:spacing w:after="0"/>
              <w:rPr>
                <w:sz w:val="20"/>
                <w:szCs w:val="20"/>
                <w:color w:val="auto"/>
              </w:rPr>
            </w:pPr>
            <w:r>
              <w:rPr>
                <w:rFonts w:ascii="Arial" w:cs="Arial" w:eastAsia="Arial" w:hAnsi="Arial"/>
                <w:sz w:val="11"/>
                <w:szCs w:val="11"/>
                <w:color w:val="262626"/>
              </w:rPr>
              <w:t>Enterprise Value</w:t>
            </w:r>
          </w:p>
        </w:tc>
        <w:tc>
          <w:tcPr>
            <w:tcW w:w="920" w:type="dxa"/>
            <w:vAlign w:val="bottom"/>
          </w:tcPr>
          <w:p>
            <w:pPr>
              <w:jc w:val="center"/>
              <w:ind w:left="149"/>
              <w:spacing w:after="0"/>
              <w:rPr>
                <w:sz w:val="20"/>
                <w:szCs w:val="20"/>
                <w:color w:val="auto"/>
              </w:rPr>
            </w:pPr>
            <w:r>
              <w:rPr>
                <w:rFonts w:ascii="Arial" w:cs="Arial" w:eastAsia="Arial" w:hAnsi="Arial"/>
                <w:sz w:val="11"/>
                <w:szCs w:val="11"/>
                <w:color w:val="262626"/>
                <w:w w:val="95"/>
              </w:rPr>
              <w:t>$20.1 billion</w:t>
            </w:r>
          </w:p>
        </w:tc>
        <w:tc>
          <w:tcPr>
            <w:tcW w:w="660" w:type="dxa"/>
            <w:vAlign w:val="bottom"/>
          </w:tcPr>
          <w:p>
            <w:pPr>
              <w:jc w:val="right"/>
              <w:spacing w:after="0"/>
              <w:rPr>
                <w:sz w:val="20"/>
                <w:szCs w:val="20"/>
                <w:color w:val="auto"/>
              </w:rPr>
            </w:pPr>
            <w:r>
              <w:rPr>
                <w:rFonts w:ascii="Arial" w:cs="Arial" w:eastAsia="Arial" w:hAnsi="Arial"/>
                <w:sz w:val="11"/>
                <w:szCs w:val="11"/>
                <w:color w:val="262626"/>
              </w:rPr>
              <w:t>Range:</w:t>
            </w:r>
          </w:p>
        </w:tc>
        <w:tc>
          <w:tcPr>
            <w:tcW w:w="1280" w:type="dxa"/>
            <w:vAlign w:val="bottom"/>
          </w:tcPr>
          <w:p>
            <w:pPr>
              <w:ind w:left="80"/>
              <w:spacing w:after="0"/>
              <w:rPr>
                <w:sz w:val="20"/>
                <w:szCs w:val="20"/>
                <w:color w:val="auto"/>
              </w:rPr>
            </w:pPr>
            <w:r>
              <w:rPr>
                <w:rFonts w:ascii="Arial" w:cs="Arial" w:eastAsia="Arial" w:hAnsi="Arial"/>
                <w:sz w:val="11"/>
                <w:szCs w:val="11"/>
                <w:color w:val="262626"/>
              </w:rPr>
              <w:t>$6.3 billion–$48.8 billion</w:t>
            </w:r>
          </w:p>
        </w:tc>
        <w:tc>
          <w:tcPr>
            <w:tcW w:w="20" w:type="dxa"/>
            <w:vAlign w:val="bottom"/>
          </w:tcPr>
          <w:p>
            <w:pPr>
              <w:spacing w:after="0"/>
              <w:rPr>
                <w:sz w:val="12"/>
                <w:szCs w:val="12"/>
                <w:color w:val="auto"/>
              </w:rPr>
            </w:pPr>
          </w:p>
        </w:tc>
      </w:tr>
      <w:tr>
        <w:trPr>
          <w:trHeight w:val="199"/>
        </w:trPr>
        <w:tc>
          <w:tcPr>
            <w:tcW w:w="7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262626"/>
              </w:rPr>
              <w:t>Median:</w:t>
            </w:r>
          </w:p>
        </w:tc>
        <w:tc>
          <w:tcPr>
            <w:tcW w:w="1280" w:type="dxa"/>
            <w:vAlign w:val="bottom"/>
          </w:tcPr>
          <w:p>
            <w:pPr>
              <w:ind w:left="80"/>
              <w:spacing w:after="0"/>
              <w:rPr>
                <w:sz w:val="20"/>
                <w:szCs w:val="20"/>
                <w:color w:val="auto"/>
              </w:rPr>
            </w:pPr>
            <w:r>
              <w:rPr>
                <w:rFonts w:ascii="Arial" w:cs="Arial" w:eastAsia="Arial" w:hAnsi="Arial"/>
                <w:sz w:val="11"/>
                <w:szCs w:val="11"/>
                <w:color w:val="262626"/>
              </w:rPr>
              <w:t>$18.8 billion</w:t>
            </w:r>
          </w:p>
        </w:tc>
        <w:tc>
          <w:tcPr>
            <w:tcW w:w="20" w:type="dxa"/>
            <w:vAlign w:val="bottom"/>
          </w:tcPr>
          <w:p>
            <w:pPr>
              <w:spacing w:after="0"/>
              <w:rPr>
                <w:sz w:val="17"/>
                <w:szCs w:val="17"/>
                <w:color w:val="auto"/>
              </w:rPr>
            </w:pPr>
          </w:p>
        </w:tc>
      </w:tr>
      <w:tr>
        <w:trPr>
          <w:trHeight w:val="212"/>
        </w:trPr>
        <w:tc>
          <w:tcPr>
            <w:tcW w:w="7000" w:type="dxa"/>
            <w:vAlign w:val="bottom"/>
          </w:tcPr>
          <w:p>
            <w:pPr>
              <w:spacing w:after="0"/>
              <w:rPr>
                <w:sz w:val="20"/>
                <w:szCs w:val="20"/>
                <w:color w:val="auto"/>
              </w:rPr>
            </w:pPr>
            <w:r>
              <w:rPr>
                <w:rFonts w:ascii="Arial" w:cs="Arial" w:eastAsia="Arial" w:hAnsi="Arial"/>
                <w:sz w:val="11"/>
                <w:szCs w:val="11"/>
                <w:color w:val="262626"/>
              </w:rPr>
              <w:t>Data source: Bloomberg.</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-876300</wp:posOffset>
            </wp:positionV>
            <wp:extent cx="825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309245</wp:posOffset>
            </wp:positionV>
            <wp:extent cx="4776470" cy="1925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76470" cy="192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NON-DISCLOSURE OF CERTAIN METRICS AND TARGETS</w:t>
      </w:r>
    </w:p>
    <w:p>
      <w:pPr>
        <w:spacing w:after="0" w:line="191" w:lineRule="exact"/>
        <w:rPr>
          <w:sz w:val="20"/>
          <w:szCs w:val="20"/>
          <w:color w:val="auto"/>
        </w:rPr>
      </w:pPr>
    </w:p>
    <w:p>
      <w:pPr>
        <w:jc w:val="both"/>
        <w:ind w:left="780" w:right="260"/>
        <w:spacing w:after="0" w:line="243" w:lineRule="auto"/>
        <w:rPr>
          <w:sz w:val="20"/>
          <w:szCs w:val="20"/>
          <w:color w:val="auto"/>
        </w:rPr>
      </w:pPr>
      <w:r>
        <w:rPr>
          <w:rFonts w:ascii="Arial" w:cs="Arial" w:eastAsia="Arial" w:hAnsi="Arial"/>
          <w:sz w:val="14"/>
          <w:szCs w:val="14"/>
          <w:color w:val="262626"/>
        </w:rPr>
        <w:t>The Company believes in transparency and strives to disclose as much information to shareholders as possible except in situations where we believe that providing full, or even limited, disclosure would be detrimental to the interests of shareholders. We believe certain disclosure could provide our competitors with insight regarding confidential business strategies without meaningfully adding to shareholders’ understanding of the metric.</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WHY YOU SHOULD VOTE FOR THE 2019 SAY ON PAY</w:t>
      </w:r>
    </w:p>
    <w:p>
      <w:pPr>
        <w:spacing w:after="0" w:line="222"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Extensive shareholder outreach for feedback</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The Board’s response to 2018 Say-on-Pay, which included significant shareholder outreach and meaningful changes made in response to feedback</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CEO pay level consistent with peers and increased pay-for-performance linkage</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Re-set total compensation benchmark to median of peer group</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85% of CEO compensation is at-risk; nearly two-thirds of incentives are long-term</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CEO stock ownership requirement is 10x annual base salary</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Annual incentive, based on pre-set goals, paid out 50% in equity</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Half of long-term equity is granted as PSUs, with vesting contingent on three-year performance period</w:t>
      </w:r>
    </w:p>
    <w:p>
      <w:pPr>
        <w:spacing w:after="0" w:line="170" w:lineRule="exact"/>
        <w:rPr>
          <w:sz w:val="20"/>
          <w:szCs w:val="20"/>
          <w:color w:val="auto"/>
        </w:rPr>
      </w:pPr>
    </w:p>
    <w:p>
      <w:pPr>
        <w:ind w:left="780" w:right="80"/>
        <w:spacing w:after="0" w:line="243" w:lineRule="auto"/>
        <w:rPr>
          <w:sz w:val="20"/>
          <w:szCs w:val="20"/>
          <w:color w:val="auto"/>
        </w:rPr>
      </w:pPr>
      <w:r>
        <w:rPr>
          <w:rFonts w:ascii="Arial" w:cs="Arial" w:eastAsia="Arial" w:hAnsi="Arial"/>
          <w:sz w:val="14"/>
          <w:szCs w:val="14"/>
          <w:color w:val="262626"/>
        </w:rPr>
        <w:t>Prior to the 2018 Annual Meeting, and again following the Company’s disappointing 2018 Say-on-Pay vote, members of the Board and management reached out to shareholders owning more than half of our outstanding shares to gather feedback. The Compensation Committee approved changes to the pay program that directly address the feedback received.</w:t>
      </w:r>
    </w:p>
    <w:p>
      <w:pPr>
        <w:spacing w:after="0" w:line="173" w:lineRule="exact"/>
        <w:rPr>
          <w:sz w:val="20"/>
          <w:szCs w:val="20"/>
          <w:color w:val="auto"/>
        </w:rPr>
      </w:pPr>
    </w:p>
    <w:p>
      <w:pPr>
        <w:ind w:left="780" w:right="300"/>
        <w:spacing w:after="0" w:line="243" w:lineRule="auto"/>
        <w:rPr>
          <w:sz w:val="20"/>
          <w:szCs w:val="20"/>
          <w:color w:val="auto"/>
        </w:rPr>
      </w:pPr>
      <w:r>
        <w:rPr>
          <w:rFonts w:ascii="Arial" w:cs="Arial" w:eastAsia="Arial" w:hAnsi="Arial"/>
          <w:sz w:val="14"/>
          <w:szCs w:val="14"/>
          <w:color w:val="262626"/>
        </w:rPr>
        <w:t>As a result of a reassessment of the executive compensation program, the Committee also confirmed its commitment to benchmark total compensation at median, and revamped the long-term incentive program to eliminate periodic grants and transition to annual grants, 50% of which will be granted as performance-based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325755</wp:posOffset>
            </wp:positionV>
            <wp:extent cx="521335" cy="2355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36</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180"/>
        <w:spacing w:after="0" w:line="243" w:lineRule="auto"/>
        <w:rPr>
          <w:sz w:val="20"/>
          <w:szCs w:val="20"/>
          <w:color w:val="auto"/>
        </w:rPr>
      </w:pPr>
      <w:r>
        <w:rPr>
          <w:rFonts w:ascii="Arial" w:cs="Arial" w:eastAsia="Arial" w:hAnsi="Arial"/>
          <w:sz w:val="14"/>
          <w:szCs w:val="14"/>
          <w:color w:val="262626"/>
        </w:rPr>
        <w:t>As disclosed in the sections above, the executive compensation program is predicated on sound principles that clearly link compensation with performance. A significant percentage of CEO compensation is at risk, with nearly two-thirds of pay being long term. This coupled with robust stock ownership guidelines ensure that the interests of executives and long-term shareholders are aligned.</w:t>
      </w:r>
    </w:p>
    <w:p>
      <w:pPr>
        <w:spacing w:after="0" w:line="173" w:lineRule="exact"/>
        <w:rPr>
          <w:sz w:val="20"/>
          <w:szCs w:val="20"/>
          <w:color w:val="auto"/>
        </w:rPr>
      </w:pPr>
    </w:p>
    <w:p>
      <w:pPr>
        <w:ind w:left="780" w:right="200"/>
        <w:spacing w:after="0"/>
        <w:rPr>
          <w:sz w:val="20"/>
          <w:szCs w:val="20"/>
          <w:color w:val="auto"/>
        </w:rPr>
      </w:pPr>
      <w:r>
        <w:rPr>
          <w:rFonts w:ascii="Arial" w:cs="Arial" w:eastAsia="Arial" w:hAnsi="Arial"/>
          <w:sz w:val="14"/>
          <w:szCs w:val="14"/>
          <w:color w:val="262626"/>
        </w:rPr>
        <w:t>We believe the changes implemented this year represent significant strides toward designing a world-class compensation structure that rewards executives for actions that create sustainable returns and shareholder value. Our annual incentives are focused on operational excellence and initiatives that align with our long-term strategy; paying 50% of annual incentives earned in equity sharpen the alignment of interests of executives with long-term shareholders. Our long-term incentives – 50% of which are granted as performance-based stock – reward executives in tandem with the creation of long-term value. The annual grants coupled with robust stock ownership guidelines ensure that executives are invested in ensuring the long-term viability of shareholder value.</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OTHER ASPECTS OF OUR EXECUTIVE COMPENSATION</w:t>
      </w:r>
    </w:p>
    <w:p>
      <w:pPr>
        <w:spacing w:after="0" w:line="100" w:lineRule="exact"/>
        <w:rPr>
          <w:sz w:val="20"/>
          <w:szCs w:val="20"/>
          <w:color w:val="auto"/>
        </w:rPr>
      </w:pPr>
    </w:p>
    <w:p>
      <w:pPr>
        <w:ind w:left="780" w:right="340"/>
        <w:spacing w:after="0" w:line="244" w:lineRule="auto"/>
        <w:rPr>
          <w:sz w:val="20"/>
          <w:szCs w:val="20"/>
          <w:color w:val="auto"/>
        </w:rPr>
      </w:pPr>
      <w:r>
        <w:rPr>
          <w:rFonts w:ascii="Arial" w:cs="Arial" w:eastAsia="Arial" w:hAnsi="Arial"/>
          <w:sz w:val="14"/>
          <w:szCs w:val="14"/>
          <w:b w:val="1"/>
          <w:bCs w:val="1"/>
          <w:color w:val="262626"/>
        </w:rPr>
        <w:t xml:space="preserve">Role of the Compensation Consultant: </w:t>
      </w:r>
      <w:r>
        <w:rPr>
          <w:rFonts w:ascii="Arial" w:cs="Arial" w:eastAsia="Arial" w:hAnsi="Arial"/>
          <w:sz w:val="14"/>
          <w:szCs w:val="14"/>
          <w:color w:val="262626"/>
        </w:rPr>
        <w:t>The Compensation Committee has the authority to retain compensation consulting firms exclusively to assist it in</w:t>
      </w:r>
      <w:r>
        <w:rPr>
          <w:rFonts w:ascii="Arial" w:cs="Arial" w:eastAsia="Arial" w:hAnsi="Arial"/>
          <w:sz w:val="14"/>
          <w:szCs w:val="14"/>
          <w:b w:val="1"/>
          <w:bCs w:val="1"/>
          <w:color w:val="262626"/>
        </w:rPr>
        <w:t xml:space="preserve"> </w:t>
      </w:r>
      <w:r>
        <w:rPr>
          <w:rFonts w:ascii="Arial" w:cs="Arial" w:eastAsia="Arial" w:hAnsi="Arial"/>
          <w:sz w:val="14"/>
          <w:szCs w:val="14"/>
          <w:color w:val="262626"/>
        </w:rPr>
        <w:t>the evaluation of senior executive officer and employee compensation and benefit programs. In 2018,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2018, Radford provided the Compensation Committee with a peer group review and competitive compensation analysis, in connection with the Compensation Committee’s review of compensation levels of our NEOs. The Compensation Committee retains sole responsibility for engaging its advisors.</w:t>
      </w:r>
    </w:p>
    <w:p>
      <w:pPr>
        <w:spacing w:after="0" w:line="144" w:lineRule="exact"/>
        <w:rPr>
          <w:sz w:val="20"/>
          <w:szCs w:val="20"/>
          <w:color w:val="auto"/>
        </w:rPr>
      </w:pPr>
    </w:p>
    <w:p>
      <w:pPr>
        <w:ind w:left="780" w:right="240"/>
        <w:spacing w:after="0" w:line="256" w:lineRule="auto"/>
        <w:rPr>
          <w:sz w:val="20"/>
          <w:szCs w:val="20"/>
          <w:color w:val="auto"/>
        </w:rPr>
      </w:pPr>
      <w:r>
        <w:rPr>
          <w:rFonts w:ascii="Arial" w:cs="Arial" w:eastAsia="Arial" w:hAnsi="Arial"/>
          <w:sz w:val="14"/>
          <w:szCs w:val="14"/>
          <w:b w:val="1"/>
          <w:bCs w:val="1"/>
          <w:color w:val="262626"/>
        </w:rPr>
        <w:t xml:space="preserve">Independence of the Compensation Consultant: </w:t>
      </w:r>
      <w:r>
        <w:rPr>
          <w:rFonts w:ascii="Arial" w:cs="Arial" w:eastAsia="Arial" w:hAnsi="Arial"/>
          <w:sz w:val="14"/>
          <w:szCs w:val="14"/>
          <w:color w:val="262626"/>
        </w:rPr>
        <w:t>The Compensation Committee has determined that Radford is independent and the services provided by</w:t>
      </w:r>
      <w:r>
        <w:rPr>
          <w:rFonts w:ascii="Arial" w:cs="Arial" w:eastAsia="Arial" w:hAnsi="Arial"/>
          <w:sz w:val="14"/>
          <w:szCs w:val="14"/>
          <w:b w:val="1"/>
          <w:bCs w:val="1"/>
          <w:color w:val="262626"/>
        </w:rPr>
        <w:t xml:space="preserve"> </w:t>
      </w:r>
      <w:r>
        <w:rPr>
          <w:rFonts w:ascii="Arial" w:cs="Arial" w:eastAsia="Arial" w:hAnsi="Arial"/>
          <w:sz w:val="14"/>
          <w:szCs w:val="14"/>
          <w:color w:val="262626"/>
        </w:rPr>
        <w:t>Radford currently do not and during 2018 did not raise any conflict of interests. In reaching these conclusions, the Compensation Committee considered the factors set forth in Rule 10C-1 of the Exchange Act and applicable listing standards.</w:t>
      </w:r>
    </w:p>
    <w:p>
      <w:pPr>
        <w:spacing w:after="0" w:line="134" w:lineRule="exact"/>
        <w:rPr>
          <w:sz w:val="20"/>
          <w:szCs w:val="20"/>
          <w:color w:val="auto"/>
        </w:rPr>
      </w:pPr>
    </w:p>
    <w:p>
      <w:pPr>
        <w:ind w:left="780" w:right="160"/>
        <w:spacing w:after="0"/>
        <w:rPr>
          <w:sz w:val="20"/>
          <w:szCs w:val="20"/>
          <w:color w:val="auto"/>
        </w:rPr>
      </w:pPr>
      <w:r>
        <w:rPr>
          <w:rFonts w:ascii="Arial" w:cs="Arial" w:eastAsia="Arial" w:hAnsi="Arial"/>
          <w:sz w:val="14"/>
          <w:szCs w:val="14"/>
          <w:b w:val="1"/>
          <w:bCs w:val="1"/>
          <w:color w:val="262626"/>
        </w:rPr>
        <w:t xml:space="preserve">Employment Agreements: </w:t>
      </w:r>
      <w:r>
        <w:rPr>
          <w:rFonts w:ascii="Arial" w:cs="Arial" w:eastAsia="Arial" w:hAnsi="Arial"/>
          <w:sz w:val="14"/>
          <w:szCs w:val="14"/>
          <w:color w:val="262626"/>
        </w:rPr>
        <w:t>We have a longstanding practice of entering into multi-year employment agreements with our senior executive officers and senior</w:t>
      </w:r>
      <w:r>
        <w:rPr>
          <w:rFonts w:ascii="Arial" w:cs="Arial" w:eastAsia="Arial" w:hAnsi="Arial"/>
          <w:sz w:val="14"/>
          <w:szCs w:val="14"/>
          <w:b w:val="1"/>
          <w:bCs w:val="1"/>
          <w:color w:val="262626"/>
        </w:rPr>
        <w:t xml:space="preserve"> </w:t>
      </w:r>
      <w:r>
        <w:rPr>
          <w:rFonts w:ascii="Arial" w:cs="Arial" w:eastAsia="Arial" w:hAnsi="Arial"/>
          <w:sz w:val="14"/>
          <w:szCs w:val="14"/>
          <w:color w:val="262626"/>
        </w:rPr>
        <w:t>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as needed. The employment agreements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certain events. Current employment agreements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200" w:lineRule="exact"/>
        <w:rPr>
          <w:sz w:val="20"/>
          <w:szCs w:val="20"/>
          <w:color w:val="auto"/>
        </w:rPr>
      </w:pPr>
    </w:p>
    <w:p>
      <w:pPr>
        <w:spacing w:after="0" w:line="24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COMPENSATION COMMITTEE REPORT</w:t>
      </w:r>
    </w:p>
    <w:p>
      <w:pPr>
        <w:spacing w:after="0" w:line="118" w:lineRule="exact"/>
        <w:rPr>
          <w:sz w:val="20"/>
          <w:szCs w:val="20"/>
          <w:color w:val="auto"/>
        </w:rPr>
      </w:pPr>
    </w:p>
    <w:p>
      <w:pPr>
        <w:ind w:left="780" w:right="360"/>
        <w:spacing w:after="0" w:line="243" w:lineRule="auto"/>
        <w:rPr>
          <w:sz w:val="20"/>
          <w:szCs w:val="20"/>
          <w:color w:val="auto"/>
        </w:rPr>
      </w:pPr>
      <w:r>
        <w:rPr>
          <w:rFonts w:ascii="Arial" w:cs="Arial" w:eastAsia="Arial" w:hAnsi="Arial"/>
          <w:sz w:val="14"/>
          <w:szCs w:val="14"/>
          <w:color w:val="262626"/>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5"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262626"/>
        </w:rPr>
        <w:t>Compensation Committee</w:t>
      </w:r>
    </w:p>
    <w:p>
      <w:pPr>
        <w:spacing w:after="0" w:line="186" w:lineRule="exact"/>
        <w:rPr>
          <w:sz w:val="20"/>
          <w:szCs w:val="20"/>
          <w:color w:val="auto"/>
        </w:rPr>
      </w:pPr>
    </w:p>
    <w:p>
      <w:pPr>
        <w:ind w:left="7120"/>
        <w:spacing w:after="0"/>
        <w:rPr>
          <w:sz w:val="20"/>
          <w:szCs w:val="20"/>
          <w:color w:val="auto"/>
        </w:rPr>
      </w:pPr>
      <w:r>
        <w:rPr>
          <w:rFonts w:ascii="Arial" w:cs="Arial" w:eastAsia="Arial" w:hAnsi="Arial"/>
          <w:sz w:val="14"/>
          <w:szCs w:val="14"/>
          <w:color w:val="262626"/>
        </w:rPr>
        <w:t>Betsy S. Atkins, Chairperson</w:t>
      </w:r>
    </w:p>
    <w:p>
      <w:pPr>
        <w:ind w:left="7120"/>
        <w:spacing w:after="0" w:line="236" w:lineRule="auto"/>
        <w:rPr>
          <w:sz w:val="20"/>
          <w:szCs w:val="20"/>
          <w:color w:val="auto"/>
        </w:rPr>
      </w:pPr>
      <w:r>
        <w:rPr>
          <w:rFonts w:ascii="Arial" w:cs="Arial" w:eastAsia="Arial" w:hAnsi="Arial"/>
          <w:sz w:val="14"/>
          <w:szCs w:val="14"/>
          <w:color w:val="262626"/>
        </w:rPr>
        <w:t>Richard J. Byrne</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4"/>
          <w:szCs w:val="14"/>
          <w:color w:val="262626"/>
        </w:rPr>
        <w:t>Margaret J. Myers</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37</w:t>
      </w:r>
    </w:p>
    <w:p>
      <w:pPr>
        <w:sectPr>
          <w:pgSz w:w="11900" w:h="16838" w:orient="portrait"/>
          <w:cols w:equalWidth="0" w:num="1">
            <w:col w:w="10800"/>
          </w:cols>
          <w:pgMar w:left="240" w:top="453" w:right="8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262626"/>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38</w:t>
      </w:r>
      <w:r>
        <w:rPr>
          <w:sz w:val="20"/>
          <w:szCs w:val="20"/>
          <w:color w:val="auto"/>
        </w:rPr>
        <w:tab/>
      </w:r>
      <w:r>
        <w:rPr>
          <w:rFonts w:ascii="Arial" w:cs="Arial" w:eastAsia="Arial" w:hAnsi="Arial"/>
          <w:sz w:val="7"/>
          <w:szCs w:val="7"/>
          <w:b w:val="1"/>
          <w:bCs w:val="1"/>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-58420</wp:posOffset>
            </wp:positionV>
            <wp:extent cx="521335" cy="2355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SUMMARY COMPENSATION TABLE</w:t>
      </w:r>
    </w:p>
    <w:p>
      <w:pPr>
        <w:spacing w:after="0" w:line="118" w:lineRule="exact"/>
        <w:rPr>
          <w:sz w:val="20"/>
          <w:szCs w:val="20"/>
          <w:color w:val="auto"/>
        </w:rPr>
      </w:pPr>
    </w:p>
    <w:p>
      <w:pPr>
        <w:ind w:left="780" w:right="180"/>
        <w:spacing w:after="0" w:line="249" w:lineRule="auto"/>
        <w:rPr>
          <w:sz w:val="20"/>
          <w:szCs w:val="20"/>
          <w:color w:val="auto"/>
        </w:rPr>
      </w:pPr>
      <w:r>
        <w:rPr>
          <w:rFonts w:ascii="Arial" w:cs="Arial" w:eastAsia="Arial" w:hAnsi="Arial"/>
          <w:sz w:val="14"/>
          <w:szCs w:val="14"/>
          <w:color w:val="262626"/>
        </w:rPr>
        <w:t>The table below summarizes the total compensation awarded to, earned by, or paid to, each of our NEOs for the fiscal years ended December 31, 2018, 2017 and 2016.</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3480" w:type="dxa"/>
            <w:vAlign w:val="bottom"/>
            <w:shd w:val="clear" w:color="auto" w:fill="A39B8C"/>
          </w:tcPr>
          <w:p>
            <w:pPr>
              <w:spacing w:after="0"/>
              <w:rPr>
                <w:sz w:val="9"/>
                <w:szCs w:val="9"/>
                <w:color w:val="auto"/>
              </w:rPr>
            </w:pPr>
          </w:p>
        </w:tc>
        <w:tc>
          <w:tcPr>
            <w:tcW w:w="460" w:type="dxa"/>
            <w:vAlign w:val="bottom"/>
            <w:shd w:val="clear" w:color="auto" w:fill="A39B8C"/>
          </w:tcPr>
          <w:p>
            <w:pPr>
              <w:spacing w:after="0"/>
              <w:rPr>
                <w:sz w:val="9"/>
                <w:szCs w:val="9"/>
                <w:color w:val="auto"/>
              </w:rPr>
            </w:pPr>
          </w:p>
        </w:tc>
        <w:tc>
          <w:tcPr>
            <w:tcW w:w="260" w:type="dxa"/>
            <w:vAlign w:val="bottom"/>
            <w:shd w:val="clear" w:color="auto" w:fill="A39B8C"/>
          </w:tcPr>
          <w:p>
            <w:pPr>
              <w:spacing w:after="0"/>
              <w:rPr>
                <w:sz w:val="9"/>
                <w:szCs w:val="9"/>
                <w:color w:val="auto"/>
              </w:rPr>
            </w:pPr>
          </w:p>
        </w:tc>
        <w:tc>
          <w:tcPr>
            <w:tcW w:w="560" w:type="dxa"/>
            <w:vAlign w:val="bottom"/>
            <w:shd w:val="clear" w:color="auto" w:fill="A39B8C"/>
          </w:tcPr>
          <w:p>
            <w:pPr>
              <w:spacing w:after="0"/>
              <w:rPr>
                <w:sz w:val="9"/>
                <w:szCs w:val="9"/>
                <w:color w:val="auto"/>
              </w:rPr>
            </w:pPr>
          </w:p>
        </w:tc>
        <w:tc>
          <w:tcPr>
            <w:tcW w:w="160" w:type="dxa"/>
            <w:vAlign w:val="bottom"/>
            <w:shd w:val="clear" w:color="auto" w:fill="A39B8C"/>
          </w:tcPr>
          <w:p>
            <w:pPr>
              <w:spacing w:after="0"/>
              <w:rPr>
                <w:sz w:val="9"/>
                <w:szCs w:val="9"/>
                <w:color w:val="auto"/>
              </w:rPr>
            </w:pPr>
          </w:p>
        </w:tc>
        <w:tc>
          <w:tcPr>
            <w:tcW w:w="640" w:type="dxa"/>
            <w:vAlign w:val="bottom"/>
            <w:shd w:val="clear" w:color="auto" w:fill="A39B8C"/>
          </w:tcPr>
          <w:p>
            <w:pPr>
              <w:spacing w:after="0"/>
              <w:rPr>
                <w:sz w:val="9"/>
                <w:szCs w:val="9"/>
                <w:color w:val="auto"/>
              </w:rPr>
            </w:pPr>
          </w:p>
        </w:tc>
        <w:tc>
          <w:tcPr>
            <w:tcW w:w="160" w:type="dxa"/>
            <w:vAlign w:val="bottom"/>
            <w:shd w:val="clear" w:color="auto" w:fill="A39B8C"/>
          </w:tcPr>
          <w:p>
            <w:pPr>
              <w:spacing w:after="0"/>
              <w:rPr>
                <w:sz w:val="9"/>
                <w:szCs w:val="9"/>
                <w:color w:val="auto"/>
              </w:rPr>
            </w:pPr>
          </w:p>
        </w:tc>
        <w:tc>
          <w:tcPr>
            <w:tcW w:w="720" w:type="dxa"/>
            <w:vAlign w:val="bottom"/>
            <w:shd w:val="clear" w:color="auto" w:fill="A39B8C"/>
          </w:tcPr>
          <w:p>
            <w:pPr>
              <w:spacing w:after="0"/>
              <w:rPr>
                <w:sz w:val="9"/>
                <w:szCs w:val="9"/>
                <w:color w:val="auto"/>
              </w:rPr>
            </w:pPr>
          </w:p>
        </w:tc>
        <w:tc>
          <w:tcPr>
            <w:tcW w:w="320" w:type="dxa"/>
            <w:vAlign w:val="bottom"/>
            <w:shd w:val="clear" w:color="auto" w:fill="A39B8C"/>
          </w:tcPr>
          <w:p>
            <w:pPr>
              <w:spacing w:after="0"/>
              <w:rPr>
                <w:sz w:val="9"/>
                <w:szCs w:val="9"/>
                <w:color w:val="auto"/>
              </w:rPr>
            </w:pPr>
          </w:p>
        </w:tc>
        <w:tc>
          <w:tcPr>
            <w:tcW w:w="1120" w:type="dxa"/>
            <w:vAlign w:val="bottom"/>
            <w:shd w:val="clear" w:color="auto" w:fill="A39B8C"/>
          </w:tcPr>
          <w:p>
            <w:pPr>
              <w:jc w:val="right"/>
              <w:ind w:right="189"/>
              <w:spacing w:after="0"/>
              <w:rPr>
                <w:sz w:val="20"/>
                <w:szCs w:val="20"/>
                <w:color w:val="auto"/>
              </w:rPr>
            </w:pPr>
            <w:r>
              <w:rPr>
                <w:rFonts w:ascii="Arial" w:cs="Arial" w:eastAsia="Arial" w:hAnsi="Arial"/>
                <w:sz w:val="9"/>
                <w:szCs w:val="9"/>
                <w:b w:val="1"/>
                <w:bCs w:val="1"/>
                <w:color w:val="FFFFFF"/>
              </w:rPr>
              <w:t>NON-EQUITY</w:t>
            </w:r>
          </w:p>
        </w:tc>
        <w:tc>
          <w:tcPr>
            <w:tcW w:w="320" w:type="dxa"/>
            <w:vAlign w:val="bottom"/>
            <w:shd w:val="clear" w:color="auto" w:fill="A39B8C"/>
          </w:tcPr>
          <w:p>
            <w:pPr>
              <w:spacing w:after="0"/>
              <w:rPr>
                <w:sz w:val="9"/>
                <w:szCs w:val="9"/>
                <w:color w:val="auto"/>
              </w:rPr>
            </w:pPr>
          </w:p>
        </w:tc>
        <w:tc>
          <w:tcPr>
            <w:tcW w:w="900" w:type="dxa"/>
            <w:vAlign w:val="bottom"/>
            <w:shd w:val="clear" w:color="auto" w:fill="A39B8C"/>
          </w:tcPr>
          <w:p>
            <w:pPr>
              <w:spacing w:after="0"/>
              <w:rPr>
                <w:sz w:val="9"/>
                <w:szCs w:val="9"/>
                <w:color w:val="auto"/>
              </w:rPr>
            </w:pPr>
          </w:p>
        </w:tc>
        <w:tc>
          <w:tcPr>
            <w:tcW w:w="160" w:type="dxa"/>
            <w:vAlign w:val="bottom"/>
            <w:shd w:val="clear" w:color="auto" w:fill="A39B8C"/>
          </w:tcPr>
          <w:p>
            <w:pPr>
              <w:spacing w:after="0"/>
              <w:rPr>
                <w:sz w:val="9"/>
                <w:szCs w:val="9"/>
                <w:color w:val="auto"/>
              </w:rPr>
            </w:pPr>
          </w:p>
        </w:tc>
        <w:tc>
          <w:tcPr>
            <w:tcW w:w="600" w:type="dxa"/>
            <w:vAlign w:val="bottom"/>
            <w:shd w:val="clear" w:color="auto" w:fill="A39B8C"/>
          </w:tcPr>
          <w:p>
            <w:pPr>
              <w:spacing w:after="0"/>
              <w:rPr>
                <w:sz w:val="9"/>
                <w:szCs w:val="9"/>
                <w:color w:val="auto"/>
              </w:rPr>
            </w:pPr>
          </w:p>
        </w:tc>
        <w:tc>
          <w:tcPr>
            <w:tcW w:w="20" w:type="dxa"/>
            <w:vAlign w:val="bottom"/>
            <w:shd w:val="clear" w:color="auto" w:fill="A39B8C"/>
          </w:tcPr>
          <w:p>
            <w:pPr>
              <w:spacing w:after="0"/>
              <w:rPr>
                <w:sz w:val="9"/>
                <w:szCs w:val="9"/>
                <w:color w:val="auto"/>
              </w:rPr>
            </w:pPr>
          </w:p>
        </w:tc>
      </w:tr>
      <w:tr>
        <w:trPr>
          <w:trHeight w:val="93"/>
        </w:trPr>
        <w:tc>
          <w:tcPr>
            <w:tcW w:w="3480" w:type="dxa"/>
            <w:vAlign w:val="bottom"/>
            <w:shd w:val="clear" w:color="auto" w:fill="A39B8C"/>
          </w:tcPr>
          <w:p>
            <w:pPr>
              <w:spacing w:after="0"/>
              <w:rPr>
                <w:sz w:val="8"/>
                <w:szCs w:val="8"/>
                <w:color w:val="auto"/>
              </w:rPr>
            </w:pPr>
          </w:p>
        </w:tc>
        <w:tc>
          <w:tcPr>
            <w:tcW w:w="460" w:type="dxa"/>
            <w:vAlign w:val="bottom"/>
            <w:shd w:val="clear" w:color="auto" w:fill="A39B8C"/>
          </w:tcPr>
          <w:p>
            <w:pPr>
              <w:spacing w:after="0"/>
              <w:rPr>
                <w:sz w:val="8"/>
                <w:szCs w:val="8"/>
                <w:color w:val="auto"/>
              </w:rPr>
            </w:pPr>
          </w:p>
        </w:tc>
        <w:tc>
          <w:tcPr>
            <w:tcW w:w="260" w:type="dxa"/>
            <w:vAlign w:val="bottom"/>
            <w:shd w:val="clear" w:color="auto" w:fill="A39B8C"/>
          </w:tcPr>
          <w:p>
            <w:pPr>
              <w:spacing w:after="0"/>
              <w:rPr>
                <w:sz w:val="8"/>
                <w:szCs w:val="8"/>
                <w:color w:val="auto"/>
              </w:rPr>
            </w:pPr>
          </w:p>
        </w:tc>
        <w:tc>
          <w:tcPr>
            <w:tcW w:w="560" w:type="dxa"/>
            <w:vAlign w:val="bottom"/>
            <w:shd w:val="clear" w:color="auto" w:fill="A39B8C"/>
          </w:tcPr>
          <w:p>
            <w:pPr>
              <w:spacing w:after="0"/>
              <w:rPr>
                <w:sz w:val="8"/>
                <w:szCs w:val="8"/>
                <w:color w:val="auto"/>
              </w:rPr>
            </w:pPr>
          </w:p>
        </w:tc>
        <w:tc>
          <w:tcPr>
            <w:tcW w:w="160" w:type="dxa"/>
            <w:vAlign w:val="bottom"/>
            <w:shd w:val="clear" w:color="auto" w:fill="A39B8C"/>
          </w:tcPr>
          <w:p>
            <w:pPr>
              <w:spacing w:after="0"/>
              <w:rPr>
                <w:sz w:val="8"/>
                <w:szCs w:val="8"/>
                <w:color w:val="auto"/>
              </w:rPr>
            </w:pPr>
          </w:p>
        </w:tc>
        <w:tc>
          <w:tcPr>
            <w:tcW w:w="640" w:type="dxa"/>
            <w:vAlign w:val="bottom"/>
            <w:shd w:val="clear" w:color="auto" w:fill="A39B8C"/>
          </w:tcPr>
          <w:p>
            <w:pPr>
              <w:jc w:val="right"/>
              <w:ind w:right="49"/>
              <w:spacing w:after="0" w:line="93" w:lineRule="exact"/>
              <w:rPr>
                <w:sz w:val="20"/>
                <w:szCs w:val="20"/>
                <w:color w:val="auto"/>
              </w:rPr>
            </w:pPr>
            <w:r>
              <w:rPr>
                <w:rFonts w:ascii="Arial" w:cs="Arial" w:eastAsia="Arial" w:hAnsi="Arial"/>
                <w:sz w:val="9"/>
                <w:szCs w:val="9"/>
                <w:b w:val="1"/>
                <w:bCs w:val="1"/>
                <w:color w:val="FFFFFF"/>
              </w:rPr>
              <w:t>STOCK</w:t>
            </w:r>
          </w:p>
        </w:tc>
        <w:tc>
          <w:tcPr>
            <w:tcW w:w="160" w:type="dxa"/>
            <w:vAlign w:val="bottom"/>
            <w:shd w:val="clear" w:color="auto" w:fill="A39B8C"/>
          </w:tcPr>
          <w:p>
            <w:pPr>
              <w:spacing w:after="0"/>
              <w:rPr>
                <w:sz w:val="8"/>
                <w:szCs w:val="8"/>
                <w:color w:val="auto"/>
              </w:rPr>
            </w:pPr>
          </w:p>
        </w:tc>
        <w:tc>
          <w:tcPr>
            <w:tcW w:w="720" w:type="dxa"/>
            <w:vAlign w:val="bottom"/>
            <w:shd w:val="clear" w:color="auto" w:fill="A39B8C"/>
          </w:tcPr>
          <w:p>
            <w:pPr>
              <w:jc w:val="right"/>
              <w:ind w:right="189"/>
              <w:spacing w:after="0" w:line="93" w:lineRule="exact"/>
              <w:rPr>
                <w:sz w:val="20"/>
                <w:szCs w:val="20"/>
                <w:color w:val="auto"/>
              </w:rPr>
            </w:pPr>
            <w:r>
              <w:rPr>
                <w:rFonts w:ascii="Arial" w:cs="Arial" w:eastAsia="Arial" w:hAnsi="Arial"/>
                <w:sz w:val="9"/>
                <w:szCs w:val="9"/>
                <w:b w:val="1"/>
                <w:bCs w:val="1"/>
                <w:color w:val="FFFFFF"/>
              </w:rPr>
              <w:t>OPTION</w:t>
            </w:r>
          </w:p>
        </w:tc>
        <w:tc>
          <w:tcPr>
            <w:tcW w:w="320" w:type="dxa"/>
            <w:vAlign w:val="bottom"/>
            <w:shd w:val="clear" w:color="auto" w:fill="A39B8C"/>
          </w:tcPr>
          <w:p>
            <w:pPr>
              <w:spacing w:after="0"/>
              <w:rPr>
                <w:sz w:val="8"/>
                <w:szCs w:val="8"/>
                <w:color w:val="auto"/>
              </w:rPr>
            </w:pPr>
          </w:p>
        </w:tc>
        <w:tc>
          <w:tcPr>
            <w:tcW w:w="1120" w:type="dxa"/>
            <w:vAlign w:val="bottom"/>
            <w:shd w:val="clear" w:color="auto" w:fill="A39B8C"/>
          </w:tcPr>
          <w:p>
            <w:pPr>
              <w:jc w:val="right"/>
              <w:ind w:right="189"/>
              <w:spacing w:after="0" w:line="93" w:lineRule="exact"/>
              <w:rPr>
                <w:sz w:val="20"/>
                <w:szCs w:val="20"/>
                <w:color w:val="auto"/>
              </w:rPr>
            </w:pPr>
            <w:r>
              <w:rPr>
                <w:rFonts w:ascii="Arial" w:cs="Arial" w:eastAsia="Arial" w:hAnsi="Arial"/>
                <w:sz w:val="9"/>
                <w:szCs w:val="9"/>
                <w:b w:val="1"/>
                <w:bCs w:val="1"/>
                <w:color w:val="FFFFFF"/>
              </w:rPr>
              <w:t>INCENTIVE PLAN</w:t>
            </w:r>
          </w:p>
        </w:tc>
        <w:tc>
          <w:tcPr>
            <w:tcW w:w="320" w:type="dxa"/>
            <w:vAlign w:val="bottom"/>
            <w:shd w:val="clear" w:color="auto" w:fill="A39B8C"/>
          </w:tcPr>
          <w:p>
            <w:pPr>
              <w:spacing w:after="0"/>
              <w:rPr>
                <w:sz w:val="8"/>
                <w:szCs w:val="8"/>
                <w:color w:val="auto"/>
              </w:rPr>
            </w:pPr>
          </w:p>
        </w:tc>
        <w:tc>
          <w:tcPr>
            <w:tcW w:w="900" w:type="dxa"/>
            <w:vAlign w:val="bottom"/>
            <w:shd w:val="clear" w:color="auto" w:fill="A39B8C"/>
          </w:tcPr>
          <w:p>
            <w:pPr>
              <w:jc w:val="right"/>
              <w:ind w:right="29"/>
              <w:spacing w:after="0" w:line="93" w:lineRule="exact"/>
              <w:rPr>
                <w:sz w:val="20"/>
                <w:szCs w:val="20"/>
                <w:color w:val="auto"/>
              </w:rPr>
            </w:pPr>
            <w:r>
              <w:rPr>
                <w:rFonts w:ascii="Arial" w:cs="Arial" w:eastAsia="Arial" w:hAnsi="Arial"/>
                <w:sz w:val="9"/>
                <w:szCs w:val="9"/>
                <w:b w:val="1"/>
                <w:bCs w:val="1"/>
                <w:color w:val="FFFFFF"/>
              </w:rPr>
              <w:t>ALL OTHER</w:t>
            </w:r>
          </w:p>
        </w:tc>
        <w:tc>
          <w:tcPr>
            <w:tcW w:w="160" w:type="dxa"/>
            <w:vAlign w:val="bottom"/>
            <w:shd w:val="clear" w:color="auto" w:fill="A39B8C"/>
          </w:tcPr>
          <w:p>
            <w:pPr>
              <w:spacing w:after="0"/>
              <w:rPr>
                <w:sz w:val="8"/>
                <w:szCs w:val="8"/>
                <w:color w:val="auto"/>
              </w:rPr>
            </w:pPr>
          </w:p>
        </w:tc>
        <w:tc>
          <w:tcPr>
            <w:tcW w:w="600" w:type="dxa"/>
            <w:vAlign w:val="bottom"/>
            <w:shd w:val="clear" w:color="auto" w:fill="A39B8C"/>
          </w:tcPr>
          <w:p>
            <w:pPr>
              <w:spacing w:after="0"/>
              <w:rPr>
                <w:sz w:val="8"/>
                <w:szCs w:val="8"/>
                <w:color w:val="auto"/>
              </w:rPr>
            </w:pPr>
          </w:p>
        </w:tc>
        <w:tc>
          <w:tcPr>
            <w:tcW w:w="20" w:type="dxa"/>
            <w:vAlign w:val="bottom"/>
            <w:shd w:val="clear" w:color="auto" w:fill="A39B8C"/>
          </w:tcPr>
          <w:p>
            <w:pPr>
              <w:spacing w:after="0"/>
              <w:rPr>
                <w:sz w:val="8"/>
                <w:szCs w:val="8"/>
                <w:color w:val="auto"/>
              </w:rPr>
            </w:pPr>
          </w:p>
        </w:tc>
      </w:tr>
      <w:tr>
        <w:trPr>
          <w:trHeight w:val="93"/>
        </w:trPr>
        <w:tc>
          <w:tcPr>
            <w:tcW w:w="3480" w:type="dxa"/>
            <w:vAlign w:val="bottom"/>
            <w:shd w:val="clear" w:color="auto" w:fill="A39B8C"/>
          </w:tcPr>
          <w:p>
            <w:pPr>
              <w:ind w:left="80"/>
              <w:spacing w:after="0" w:line="93" w:lineRule="exact"/>
              <w:rPr>
                <w:sz w:val="20"/>
                <w:szCs w:val="20"/>
                <w:color w:val="auto"/>
              </w:rPr>
            </w:pPr>
            <w:r>
              <w:rPr>
                <w:rFonts w:ascii="Arial" w:cs="Arial" w:eastAsia="Arial" w:hAnsi="Arial"/>
                <w:sz w:val="9"/>
                <w:szCs w:val="9"/>
                <w:b w:val="1"/>
                <w:bCs w:val="1"/>
                <w:color w:val="FFFFFF"/>
              </w:rPr>
              <w:t>NAME AND</w:t>
            </w:r>
          </w:p>
        </w:tc>
        <w:tc>
          <w:tcPr>
            <w:tcW w:w="460" w:type="dxa"/>
            <w:vAlign w:val="bottom"/>
            <w:shd w:val="clear" w:color="auto" w:fill="A39B8C"/>
          </w:tcPr>
          <w:p>
            <w:pPr>
              <w:spacing w:after="0"/>
              <w:rPr>
                <w:sz w:val="8"/>
                <w:szCs w:val="8"/>
                <w:color w:val="auto"/>
              </w:rPr>
            </w:pPr>
          </w:p>
        </w:tc>
        <w:tc>
          <w:tcPr>
            <w:tcW w:w="260" w:type="dxa"/>
            <w:vAlign w:val="bottom"/>
            <w:shd w:val="clear" w:color="auto" w:fill="A39B8C"/>
          </w:tcPr>
          <w:p>
            <w:pPr>
              <w:spacing w:after="0"/>
              <w:rPr>
                <w:sz w:val="8"/>
                <w:szCs w:val="8"/>
                <w:color w:val="auto"/>
              </w:rPr>
            </w:pPr>
          </w:p>
        </w:tc>
        <w:tc>
          <w:tcPr>
            <w:tcW w:w="560" w:type="dxa"/>
            <w:vAlign w:val="bottom"/>
            <w:shd w:val="clear" w:color="auto" w:fill="A39B8C"/>
          </w:tcPr>
          <w:p>
            <w:pPr>
              <w:spacing w:after="0"/>
              <w:rPr>
                <w:sz w:val="8"/>
                <w:szCs w:val="8"/>
                <w:color w:val="auto"/>
              </w:rPr>
            </w:pPr>
          </w:p>
        </w:tc>
        <w:tc>
          <w:tcPr>
            <w:tcW w:w="160" w:type="dxa"/>
            <w:vAlign w:val="bottom"/>
            <w:shd w:val="clear" w:color="auto" w:fill="A39B8C"/>
          </w:tcPr>
          <w:p>
            <w:pPr>
              <w:spacing w:after="0"/>
              <w:rPr>
                <w:sz w:val="8"/>
                <w:szCs w:val="8"/>
                <w:color w:val="auto"/>
              </w:rPr>
            </w:pPr>
          </w:p>
        </w:tc>
        <w:tc>
          <w:tcPr>
            <w:tcW w:w="640" w:type="dxa"/>
            <w:vAlign w:val="bottom"/>
            <w:shd w:val="clear" w:color="auto" w:fill="A39B8C"/>
          </w:tcPr>
          <w:p>
            <w:pPr>
              <w:jc w:val="right"/>
              <w:ind w:right="49"/>
              <w:spacing w:after="0" w:line="93" w:lineRule="exact"/>
              <w:rPr>
                <w:sz w:val="20"/>
                <w:szCs w:val="20"/>
                <w:color w:val="auto"/>
              </w:rPr>
            </w:pPr>
            <w:r>
              <w:rPr>
                <w:rFonts w:ascii="Arial" w:cs="Arial" w:eastAsia="Arial" w:hAnsi="Arial"/>
                <w:sz w:val="9"/>
                <w:szCs w:val="9"/>
                <w:b w:val="1"/>
                <w:bCs w:val="1"/>
                <w:color w:val="FFFFFF"/>
              </w:rPr>
              <w:t>AWARDS</w:t>
            </w:r>
          </w:p>
        </w:tc>
        <w:tc>
          <w:tcPr>
            <w:tcW w:w="160" w:type="dxa"/>
            <w:vAlign w:val="bottom"/>
            <w:shd w:val="clear" w:color="auto" w:fill="A39B8C"/>
          </w:tcPr>
          <w:p>
            <w:pPr>
              <w:spacing w:after="0"/>
              <w:rPr>
                <w:sz w:val="8"/>
                <w:szCs w:val="8"/>
                <w:color w:val="auto"/>
              </w:rPr>
            </w:pPr>
          </w:p>
        </w:tc>
        <w:tc>
          <w:tcPr>
            <w:tcW w:w="720" w:type="dxa"/>
            <w:vAlign w:val="bottom"/>
            <w:shd w:val="clear" w:color="auto" w:fill="A39B8C"/>
          </w:tcPr>
          <w:p>
            <w:pPr>
              <w:jc w:val="right"/>
              <w:ind w:right="189"/>
              <w:spacing w:after="0" w:line="93" w:lineRule="exact"/>
              <w:rPr>
                <w:sz w:val="20"/>
                <w:szCs w:val="20"/>
                <w:color w:val="auto"/>
              </w:rPr>
            </w:pPr>
            <w:r>
              <w:rPr>
                <w:rFonts w:ascii="Arial" w:cs="Arial" w:eastAsia="Arial" w:hAnsi="Arial"/>
                <w:sz w:val="9"/>
                <w:szCs w:val="9"/>
                <w:b w:val="1"/>
                <w:bCs w:val="1"/>
                <w:color w:val="FFFFFF"/>
              </w:rPr>
              <w:t>AWARDS</w:t>
            </w:r>
          </w:p>
        </w:tc>
        <w:tc>
          <w:tcPr>
            <w:tcW w:w="320" w:type="dxa"/>
            <w:vAlign w:val="bottom"/>
            <w:shd w:val="clear" w:color="auto" w:fill="A39B8C"/>
          </w:tcPr>
          <w:p>
            <w:pPr>
              <w:spacing w:after="0"/>
              <w:rPr>
                <w:sz w:val="8"/>
                <w:szCs w:val="8"/>
                <w:color w:val="auto"/>
              </w:rPr>
            </w:pPr>
          </w:p>
        </w:tc>
        <w:tc>
          <w:tcPr>
            <w:tcW w:w="1120" w:type="dxa"/>
            <w:vAlign w:val="bottom"/>
            <w:shd w:val="clear" w:color="auto" w:fill="A39B8C"/>
          </w:tcPr>
          <w:p>
            <w:pPr>
              <w:jc w:val="right"/>
              <w:ind w:right="189"/>
              <w:spacing w:after="0" w:line="93" w:lineRule="exact"/>
              <w:rPr>
                <w:sz w:val="20"/>
                <w:szCs w:val="20"/>
                <w:color w:val="auto"/>
              </w:rPr>
            </w:pPr>
            <w:r>
              <w:rPr>
                <w:rFonts w:ascii="Arial" w:cs="Arial" w:eastAsia="Arial" w:hAnsi="Arial"/>
                <w:sz w:val="9"/>
                <w:szCs w:val="9"/>
                <w:b w:val="1"/>
                <w:bCs w:val="1"/>
                <w:color w:val="FFFFFF"/>
              </w:rPr>
              <w:t>COMPENSATION</w:t>
            </w:r>
          </w:p>
        </w:tc>
        <w:tc>
          <w:tcPr>
            <w:tcW w:w="320" w:type="dxa"/>
            <w:vAlign w:val="bottom"/>
            <w:shd w:val="clear" w:color="auto" w:fill="A39B8C"/>
          </w:tcPr>
          <w:p>
            <w:pPr>
              <w:spacing w:after="0"/>
              <w:rPr>
                <w:sz w:val="8"/>
                <w:szCs w:val="8"/>
                <w:color w:val="auto"/>
              </w:rPr>
            </w:pPr>
          </w:p>
        </w:tc>
        <w:tc>
          <w:tcPr>
            <w:tcW w:w="900" w:type="dxa"/>
            <w:vAlign w:val="bottom"/>
            <w:shd w:val="clear" w:color="auto" w:fill="A39B8C"/>
          </w:tcPr>
          <w:p>
            <w:pPr>
              <w:jc w:val="right"/>
              <w:ind w:right="29"/>
              <w:spacing w:after="0" w:line="93" w:lineRule="exact"/>
              <w:rPr>
                <w:sz w:val="20"/>
                <w:szCs w:val="20"/>
                <w:color w:val="auto"/>
              </w:rPr>
            </w:pPr>
            <w:r>
              <w:rPr>
                <w:rFonts w:ascii="Arial" w:cs="Arial" w:eastAsia="Arial" w:hAnsi="Arial"/>
                <w:sz w:val="9"/>
                <w:szCs w:val="9"/>
                <w:b w:val="1"/>
                <w:bCs w:val="1"/>
                <w:color w:val="FFFFFF"/>
              </w:rPr>
              <w:t>COMPENSATION</w:t>
            </w:r>
          </w:p>
        </w:tc>
        <w:tc>
          <w:tcPr>
            <w:tcW w:w="160" w:type="dxa"/>
            <w:vAlign w:val="bottom"/>
            <w:shd w:val="clear" w:color="auto" w:fill="A39B8C"/>
          </w:tcPr>
          <w:p>
            <w:pPr>
              <w:spacing w:after="0"/>
              <w:rPr>
                <w:sz w:val="8"/>
                <w:szCs w:val="8"/>
                <w:color w:val="auto"/>
              </w:rPr>
            </w:pPr>
          </w:p>
        </w:tc>
        <w:tc>
          <w:tcPr>
            <w:tcW w:w="60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TOTAL</w:t>
            </w:r>
          </w:p>
        </w:tc>
        <w:tc>
          <w:tcPr>
            <w:tcW w:w="20" w:type="dxa"/>
            <w:vAlign w:val="bottom"/>
            <w:shd w:val="clear" w:color="auto" w:fill="A39B8C"/>
          </w:tcPr>
          <w:p>
            <w:pPr>
              <w:spacing w:after="0"/>
              <w:rPr>
                <w:sz w:val="8"/>
                <w:szCs w:val="8"/>
                <w:color w:val="auto"/>
              </w:rPr>
            </w:pPr>
          </w:p>
        </w:tc>
      </w:tr>
      <w:tr>
        <w:trPr>
          <w:trHeight w:val="123"/>
        </w:trPr>
        <w:tc>
          <w:tcPr>
            <w:tcW w:w="34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PRINCIPAL POSITION</w:t>
            </w:r>
          </w:p>
        </w:tc>
        <w:tc>
          <w:tcPr>
            <w:tcW w:w="46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YEAR</w:t>
            </w:r>
          </w:p>
        </w:tc>
        <w:tc>
          <w:tcPr>
            <w:tcW w:w="820" w:type="dxa"/>
            <w:vAlign w:val="bottom"/>
            <w:tcBorders>
              <w:bottom w:val="single" w:sz="8" w:color="A39B8C"/>
            </w:tcBorders>
            <w:gridSpan w:val="2"/>
            <w:shd w:val="clear" w:color="auto" w:fill="A39B8C"/>
          </w:tcPr>
          <w:p>
            <w:pPr>
              <w:jc w:val="right"/>
              <w:ind w:right="47"/>
              <w:spacing w:after="0"/>
              <w:rPr>
                <w:sz w:val="20"/>
                <w:szCs w:val="20"/>
                <w:color w:val="auto"/>
              </w:rPr>
            </w:pPr>
            <w:r>
              <w:rPr>
                <w:rFonts w:ascii="Arial" w:cs="Arial" w:eastAsia="Arial" w:hAnsi="Arial"/>
                <w:sz w:val="9"/>
                <w:szCs w:val="9"/>
                <w:b w:val="1"/>
                <w:bCs w:val="1"/>
                <w:color w:val="FFFFFF"/>
              </w:rPr>
              <w:t>SALARY ($)</w:t>
            </w:r>
          </w:p>
        </w:tc>
        <w:tc>
          <w:tcPr>
            <w:tcW w:w="160" w:type="dxa"/>
            <w:vAlign w:val="bottom"/>
            <w:tcBorders>
              <w:bottom w:val="single" w:sz="8" w:color="A39B8C"/>
            </w:tcBorders>
            <w:shd w:val="clear" w:color="auto" w:fill="A39B8C"/>
          </w:tcPr>
          <w:p>
            <w:pPr>
              <w:spacing w:after="0"/>
              <w:rPr>
                <w:sz w:val="10"/>
                <w:szCs w:val="10"/>
                <w:color w:val="auto"/>
              </w:rPr>
            </w:pPr>
          </w:p>
        </w:tc>
        <w:tc>
          <w:tcPr>
            <w:tcW w:w="640" w:type="dxa"/>
            <w:vAlign w:val="bottom"/>
            <w:tcBorders>
              <w:bottom w:val="single" w:sz="8" w:color="A39B8C"/>
            </w:tcBorders>
            <w:shd w:val="clear" w:color="auto" w:fill="A39B8C"/>
          </w:tcPr>
          <w:p>
            <w:pPr>
              <w:jc w:val="right"/>
              <w:ind w:right="49"/>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(1)(2)</w:t>
            </w:r>
          </w:p>
        </w:tc>
        <w:tc>
          <w:tcPr>
            <w:tcW w:w="160" w:type="dxa"/>
            <w:vAlign w:val="bottom"/>
            <w:tcBorders>
              <w:bottom w:val="single" w:sz="8" w:color="A39B8C"/>
            </w:tcBorders>
            <w:shd w:val="clear" w:color="auto" w:fill="A39B8C"/>
          </w:tcPr>
          <w:p>
            <w:pPr>
              <w:spacing w:after="0"/>
              <w:rPr>
                <w:sz w:val="10"/>
                <w:szCs w:val="10"/>
                <w:color w:val="auto"/>
              </w:rPr>
            </w:pPr>
          </w:p>
        </w:tc>
        <w:tc>
          <w:tcPr>
            <w:tcW w:w="720" w:type="dxa"/>
            <w:vAlign w:val="bottom"/>
            <w:tcBorders>
              <w:bottom w:val="single" w:sz="8" w:color="A39B8C"/>
            </w:tcBorders>
            <w:shd w:val="clear" w:color="auto" w:fill="A39B8C"/>
          </w:tcPr>
          <w:p>
            <w:pPr>
              <w:jc w:val="right"/>
              <w:ind w:right="189"/>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(2)(3)</w:t>
            </w:r>
          </w:p>
        </w:tc>
        <w:tc>
          <w:tcPr>
            <w:tcW w:w="320" w:type="dxa"/>
            <w:vAlign w:val="bottom"/>
            <w:tcBorders>
              <w:bottom w:val="single" w:sz="8" w:color="A39B8C"/>
            </w:tcBorders>
            <w:shd w:val="clear" w:color="auto" w:fill="A39B8C"/>
          </w:tcPr>
          <w:p>
            <w:pPr>
              <w:spacing w:after="0"/>
              <w:rPr>
                <w:sz w:val="10"/>
                <w:szCs w:val="10"/>
                <w:color w:val="auto"/>
              </w:rPr>
            </w:pPr>
          </w:p>
        </w:tc>
        <w:tc>
          <w:tcPr>
            <w:tcW w:w="1120" w:type="dxa"/>
            <w:vAlign w:val="bottom"/>
            <w:tcBorders>
              <w:bottom w:val="single" w:sz="8" w:color="A39B8C"/>
            </w:tcBorders>
            <w:shd w:val="clear" w:color="auto" w:fill="A39B8C"/>
          </w:tcPr>
          <w:p>
            <w:pPr>
              <w:jc w:val="right"/>
              <w:ind w:right="189"/>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(4)</w:t>
            </w:r>
          </w:p>
        </w:tc>
        <w:tc>
          <w:tcPr>
            <w:tcW w:w="320" w:type="dxa"/>
            <w:vAlign w:val="bottom"/>
            <w:tcBorders>
              <w:bottom w:val="single" w:sz="8" w:color="A39B8C"/>
            </w:tcBorders>
            <w:shd w:val="clear" w:color="auto" w:fill="A39B8C"/>
          </w:tcPr>
          <w:p>
            <w:pPr>
              <w:spacing w:after="0"/>
              <w:rPr>
                <w:sz w:val="10"/>
                <w:szCs w:val="10"/>
                <w:color w:val="auto"/>
              </w:rPr>
            </w:pPr>
          </w:p>
        </w:tc>
        <w:tc>
          <w:tcPr>
            <w:tcW w:w="900" w:type="dxa"/>
            <w:vAlign w:val="bottom"/>
            <w:tcBorders>
              <w:bottom w:val="single" w:sz="8" w:color="A39B8C"/>
            </w:tcBorders>
            <w:shd w:val="clear" w:color="auto" w:fill="A39B8C"/>
          </w:tcPr>
          <w:p>
            <w:pPr>
              <w:jc w:val="right"/>
              <w:ind w:right="29"/>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(5)</w:t>
            </w:r>
          </w:p>
        </w:tc>
        <w:tc>
          <w:tcPr>
            <w:tcW w:w="160" w:type="dxa"/>
            <w:vAlign w:val="bottom"/>
            <w:tcBorders>
              <w:bottom w:val="single" w:sz="8" w:color="A39B8C"/>
            </w:tcBorders>
            <w:shd w:val="clear" w:color="auto" w:fill="A39B8C"/>
          </w:tcPr>
          <w:p>
            <w:pPr>
              <w:spacing w:after="0"/>
              <w:rPr>
                <w:sz w:val="10"/>
                <w:szCs w:val="10"/>
                <w:color w:val="auto"/>
              </w:rPr>
            </w:pPr>
          </w:p>
        </w:tc>
        <w:tc>
          <w:tcPr>
            <w:tcW w:w="60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w:t>
            </w:r>
          </w:p>
        </w:tc>
        <w:tc>
          <w:tcPr>
            <w:tcW w:w="20" w:type="dxa"/>
            <w:vAlign w:val="bottom"/>
            <w:tcBorders>
              <w:bottom w:val="single" w:sz="8" w:color="A39B8C"/>
            </w:tcBorders>
            <w:shd w:val="clear" w:color="auto" w:fill="A39B8C"/>
          </w:tcPr>
          <w:p>
            <w:pPr>
              <w:spacing w:after="0"/>
              <w:rPr>
                <w:sz w:val="10"/>
                <w:szCs w:val="10"/>
                <w:color w:val="auto"/>
              </w:rPr>
            </w:pPr>
          </w:p>
        </w:tc>
      </w:tr>
      <w:tr>
        <w:trPr>
          <w:trHeight w:val="129"/>
        </w:trPr>
        <w:tc>
          <w:tcPr>
            <w:tcW w:w="3480" w:type="dxa"/>
            <w:vAlign w:val="bottom"/>
          </w:tcPr>
          <w:p>
            <w:pPr>
              <w:ind w:left="80"/>
              <w:spacing w:after="0"/>
              <w:rPr>
                <w:sz w:val="20"/>
                <w:szCs w:val="20"/>
                <w:color w:val="auto"/>
              </w:rPr>
            </w:pPr>
            <w:r>
              <w:rPr>
                <w:rFonts w:ascii="Arial" w:cs="Arial" w:eastAsia="Arial" w:hAnsi="Arial"/>
                <w:sz w:val="11"/>
                <w:szCs w:val="11"/>
                <w:color w:val="auto"/>
              </w:rPr>
              <w:t>Matt Maddox</w:t>
            </w:r>
            <w:r>
              <w:rPr>
                <w:rFonts w:ascii="Arial" w:cs="Arial" w:eastAsia="Arial" w:hAnsi="Arial"/>
                <w:sz w:val="9"/>
                <w:szCs w:val="9"/>
                <w:color w:val="auto"/>
              </w:rPr>
              <w:t>(6)</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3480" w:type="dxa"/>
            <w:vAlign w:val="bottom"/>
          </w:tcPr>
          <w:p>
            <w:pPr>
              <w:ind w:left="80"/>
              <w:spacing w:after="0"/>
              <w:rPr>
                <w:sz w:val="20"/>
                <w:szCs w:val="20"/>
                <w:color w:val="auto"/>
              </w:rPr>
            </w:pPr>
            <w:r>
              <w:rPr>
                <w:rFonts w:ascii="Arial" w:cs="Arial" w:eastAsia="Arial" w:hAnsi="Arial"/>
                <w:sz w:val="11"/>
                <w:szCs w:val="11"/>
                <w:color w:val="262626"/>
              </w:rPr>
              <w:t>Chief Executive Officer and President</w:t>
            </w:r>
          </w:p>
        </w:tc>
        <w:tc>
          <w:tcPr>
            <w:tcW w:w="460" w:type="dxa"/>
            <w:vAlign w:val="bottom"/>
          </w:tcPr>
          <w:p>
            <w:pPr>
              <w:jc w:val="right"/>
              <w:spacing w:after="0"/>
              <w:rPr>
                <w:sz w:val="20"/>
                <w:szCs w:val="20"/>
                <w:color w:val="auto"/>
              </w:rPr>
            </w:pPr>
            <w:r>
              <w:rPr>
                <w:rFonts w:ascii="Arial" w:cs="Arial" w:eastAsia="Arial" w:hAnsi="Arial"/>
                <w:sz w:val="11"/>
                <w:szCs w:val="11"/>
                <w:color w:val="262626"/>
              </w:rPr>
              <w:t>2018</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w w:val="89"/>
              </w:rPr>
              <w:t>1,901,923</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w w:val="94"/>
              </w:rPr>
              <w:t>12,032,500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2,500,000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694,760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w w:val="94"/>
              </w:rPr>
              <w:t>17,129,183</w:t>
            </w:r>
          </w:p>
        </w:tc>
        <w:tc>
          <w:tcPr>
            <w:tcW w:w="20" w:type="dxa"/>
            <w:vAlign w:val="bottom"/>
          </w:tcPr>
          <w:p>
            <w:pPr>
              <w:spacing w:after="0"/>
              <w:rPr>
                <w:sz w:val="12"/>
                <w:szCs w:val="12"/>
                <w:color w:val="auto"/>
              </w:rPr>
            </w:pPr>
          </w:p>
        </w:tc>
      </w:tr>
      <w:tr>
        <w:trPr>
          <w:trHeight w:val="199"/>
        </w:trPr>
        <w:tc>
          <w:tcPr>
            <w:tcW w:w="3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262626"/>
              </w:rPr>
              <w:t>2017</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w w:val="89"/>
              </w:rPr>
              <w:t>1,500,000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w w:val="94"/>
              </w:rPr>
              <w:t>21,030,000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1,800,000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486,633</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w w:val="94"/>
              </w:rPr>
              <w:t>24,816,633</w:t>
            </w:r>
          </w:p>
        </w:tc>
        <w:tc>
          <w:tcPr>
            <w:tcW w:w="20" w:type="dxa"/>
            <w:vAlign w:val="bottom"/>
          </w:tcPr>
          <w:p>
            <w:pPr>
              <w:spacing w:after="0"/>
              <w:rPr>
                <w:sz w:val="17"/>
                <w:szCs w:val="17"/>
                <w:color w:val="auto"/>
              </w:rPr>
            </w:pPr>
          </w:p>
        </w:tc>
      </w:tr>
      <w:tr>
        <w:trPr>
          <w:trHeight w:val="199"/>
        </w:trPr>
        <w:tc>
          <w:tcPr>
            <w:tcW w:w="3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262626"/>
              </w:rPr>
              <w:t>2016</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w w:val="89"/>
              </w:rPr>
              <w:t>1,500,000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rPr>
              <w:t>1,500,000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1,500,000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114,703</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rPr>
              <w:t>4,614,703</w:t>
            </w:r>
          </w:p>
        </w:tc>
        <w:tc>
          <w:tcPr>
            <w:tcW w:w="20" w:type="dxa"/>
            <w:vAlign w:val="bottom"/>
          </w:tcPr>
          <w:p>
            <w:pPr>
              <w:spacing w:after="0"/>
              <w:rPr>
                <w:sz w:val="17"/>
                <w:szCs w:val="17"/>
                <w:color w:val="auto"/>
              </w:rPr>
            </w:pPr>
          </w:p>
        </w:tc>
      </w:tr>
      <w:tr>
        <w:trPr>
          <w:trHeight w:val="49"/>
        </w:trPr>
        <w:tc>
          <w:tcPr>
            <w:tcW w:w="3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3"/>
        </w:trPr>
        <w:tc>
          <w:tcPr>
            <w:tcW w:w="3480" w:type="dxa"/>
            <w:vAlign w:val="bottom"/>
            <w:shd w:val="clear" w:color="auto" w:fill="ECEBE8"/>
          </w:tcPr>
          <w:p>
            <w:pPr>
              <w:ind w:left="80"/>
              <w:spacing w:after="0"/>
              <w:rPr>
                <w:sz w:val="20"/>
                <w:szCs w:val="20"/>
                <w:color w:val="auto"/>
              </w:rPr>
            </w:pPr>
            <w:r>
              <w:rPr>
                <w:rFonts w:ascii="Arial" w:cs="Arial" w:eastAsia="Arial" w:hAnsi="Arial"/>
                <w:sz w:val="11"/>
                <w:szCs w:val="11"/>
                <w:color w:val="auto"/>
              </w:rPr>
              <w:t>Craig Billings</w:t>
            </w:r>
          </w:p>
        </w:tc>
        <w:tc>
          <w:tcPr>
            <w:tcW w:w="460" w:type="dxa"/>
            <w:vAlign w:val="bottom"/>
            <w:shd w:val="clear" w:color="auto" w:fill="ECEBE8"/>
          </w:tcPr>
          <w:p>
            <w:pPr>
              <w:spacing w:after="0"/>
              <w:rPr>
                <w:sz w:val="12"/>
                <w:szCs w:val="12"/>
                <w:color w:val="auto"/>
              </w:rPr>
            </w:pPr>
          </w:p>
        </w:tc>
        <w:tc>
          <w:tcPr>
            <w:tcW w:w="260" w:type="dxa"/>
            <w:vAlign w:val="bottom"/>
            <w:shd w:val="clear" w:color="auto" w:fill="ECEBE8"/>
          </w:tcPr>
          <w:p>
            <w:pPr>
              <w:spacing w:after="0"/>
              <w:rPr>
                <w:sz w:val="12"/>
                <w:szCs w:val="12"/>
                <w:color w:val="auto"/>
              </w:rPr>
            </w:pPr>
          </w:p>
        </w:tc>
        <w:tc>
          <w:tcPr>
            <w:tcW w:w="56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64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720" w:type="dxa"/>
            <w:vAlign w:val="bottom"/>
            <w:shd w:val="clear" w:color="auto" w:fill="ECEBE8"/>
          </w:tcPr>
          <w:p>
            <w:pPr>
              <w:spacing w:after="0"/>
              <w:rPr>
                <w:sz w:val="12"/>
                <w:szCs w:val="12"/>
                <w:color w:val="auto"/>
              </w:rPr>
            </w:pPr>
          </w:p>
        </w:tc>
        <w:tc>
          <w:tcPr>
            <w:tcW w:w="320" w:type="dxa"/>
            <w:vAlign w:val="bottom"/>
            <w:shd w:val="clear" w:color="auto" w:fill="ECEBE8"/>
          </w:tcPr>
          <w:p>
            <w:pPr>
              <w:spacing w:after="0"/>
              <w:rPr>
                <w:sz w:val="12"/>
                <w:szCs w:val="12"/>
                <w:color w:val="auto"/>
              </w:rPr>
            </w:pPr>
          </w:p>
        </w:tc>
        <w:tc>
          <w:tcPr>
            <w:tcW w:w="1120" w:type="dxa"/>
            <w:vAlign w:val="bottom"/>
            <w:shd w:val="clear" w:color="auto" w:fill="ECEBE8"/>
          </w:tcPr>
          <w:p>
            <w:pPr>
              <w:spacing w:after="0"/>
              <w:rPr>
                <w:sz w:val="12"/>
                <w:szCs w:val="12"/>
                <w:color w:val="auto"/>
              </w:rPr>
            </w:pPr>
          </w:p>
        </w:tc>
        <w:tc>
          <w:tcPr>
            <w:tcW w:w="320" w:type="dxa"/>
            <w:vAlign w:val="bottom"/>
            <w:shd w:val="clear" w:color="auto" w:fill="ECEBE8"/>
          </w:tcPr>
          <w:p>
            <w:pPr>
              <w:spacing w:after="0"/>
              <w:rPr>
                <w:sz w:val="12"/>
                <w:szCs w:val="12"/>
                <w:color w:val="auto"/>
              </w:rPr>
            </w:pPr>
          </w:p>
        </w:tc>
        <w:tc>
          <w:tcPr>
            <w:tcW w:w="90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600" w:type="dxa"/>
            <w:vAlign w:val="bottom"/>
            <w:shd w:val="clear" w:color="auto" w:fill="ECEBE8"/>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34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Chief Financial Officer and Treasurer</w:t>
            </w:r>
          </w:p>
        </w:tc>
        <w:tc>
          <w:tcPr>
            <w:tcW w:w="4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2018</w:t>
            </w:r>
          </w:p>
        </w:tc>
        <w:tc>
          <w:tcPr>
            <w:tcW w:w="2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shd w:val="clear" w:color="auto" w:fill="ECEBE8"/>
          </w:tcPr>
          <w:p>
            <w:pPr>
              <w:jc w:val="right"/>
              <w:ind w:right="47"/>
              <w:spacing w:after="0"/>
              <w:rPr>
                <w:sz w:val="20"/>
                <w:szCs w:val="20"/>
                <w:color w:val="auto"/>
              </w:rPr>
            </w:pPr>
            <w:r>
              <w:rPr>
                <w:rFonts w:ascii="Arial" w:cs="Arial" w:eastAsia="Arial" w:hAnsi="Arial"/>
                <w:sz w:val="11"/>
                <w:szCs w:val="11"/>
                <w:color w:val="262626"/>
              </w:rPr>
              <w:t>849,519</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shd w:val="clear" w:color="auto" w:fill="ECEBE8"/>
          </w:tcPr>
          <w:p>
            <w:pPr>
              <w:jc w:val="right"/>
              <w:ind w:right="49"/>
              <w:spacing w:after="0"/>
              <w:rPr>
                <w:sz w:val="20"/>
                <w:szCs w:val="20"/>
                <w:color w:val="auto"/>
              </w:rPr>
            </w:pPr>
            <w:r>
              <w:rPr>
                <w:rFonts w:ascii="Arial" w:cs="Arial" w:eastAsia="Arial" w:hAnsi="Arial"/>
                <w:sz w:val="11"/>
                <w:szCs w:val="11"/>
                <w:color w:val="262626"/>
              </w:rPr>
              <w:t>5,641,250</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shd w:val="clear" w:color="auto" w:fill="ECEBE8"/>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20" w:type="dxa"/>
            <w:vAlign w:val="bottom"/>
            <w:shd w:val="clear" w:color="auto" w:fill="ECEBE8"/>
          </w:tcPr>
          <w:p>
            <w:pPr>
              <w:jc w:val="right"/>
              <w:ind w:right="529"/>
              <w:spacing w:after="0"/>
              <w:rPr>
                <w:sz w:val="20"/>
                <w:szCs w:val="20"/>
                <w:color w:val="auto"/>
              </w:rPr>
            </w:pPr>
            <w:r>
              <w:rPr>
                <w:rFonts w:ascii="Arial" w:cs="Arial" w:eastAsia="Arial" w:hAnsi="Arial"/>
                <w:sz w:val="11"/>
                <w:szCs w:val="11"/>
                <w:color w:val="262626"/>
              </w:rPr>
              <w:t>875,000</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00" w:type="dxa"/>
            <w:vAlign w:val="bottom"/>
            <w:shd w:val="clear" w:color="auto" w:fill="ECEBE8"/>
          </w:tcPr>
          <w:p>
            <w:pPr>
              <w:jc w:val="right"/>
              <w:ind w:right="389"/>
              <w:spacing w:after="0"/>
              <w:rPr>
                <w:sz w:val="20"/>
                <w:szCs w:val="20"/>
                <w:color w:val="auto"/>
              </w:rPr>
            </w:pPr>
            <w:r>
              <w:rPr>
                <w:rFonts w:ascii="Arial" w:cs="Arial" w:eastAsia="Arial" w:hAnsi="Arial"/>
                <w:sz w:val="11"/>
                <w:szCs w:val="11"/>
                <w:color w:val="262626"/>
              </w:rPr>
              <w:t>132,276</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shd w:val="clear" w:color="auto" w:fill="ECEBE8"/>
          </w:tcPr>
          <w:p>
            <w:pPr>
              <w:jc w:val="right"/>
              <w:ind w:right="8"/>
              <w:spacing w:after="0"/>
              <w:rPr>
                <w:sz w:val="20"/>
                <w:szCs w:val="20"/>
                <w:color w:val="auto"/>
              </w:rPr>
            </w:pPr>
            <w:r>
              <w:rPr>
                <w:rFonts w:ascii="Arial" w:cs="Arial" w:eastAsia="Arial" w:hAnsi="Arial"/>
                <w:sz w:val="11"/>
                <w:szCs w:val="11"/>
                <w:color w:val="262626"/>
              </w:rPr>
              <w:t>7,498,045</w:t>
            </w:r>
          </w:p>
        </w:tc>
        <w:tc>
          <w:tcPr>
            <w:tcW w:w="20" w:type="dxa"/>
            <w:vAlign w:val="bottom"/>
          </w:tcPr>
          <w:p>
            <w:pPr>
              <w:spacing w:after="0"/>
              <w:rPr>
                <w:sz w:val="11"/>
                <w:szCs w:val="11"/>
                <w:color w:val="auto"/>
              </w:rPr>
            </w:pPr>
          </w:p>
        </w:tc>
      </w:tr>
      <w:tr>
        <w:trPr>
          <w:trHeight w:val="232"/>
        </w:trPr>
        <w:tc>
          <w:tcPr>
            <w:tcW w:w="3480" w:type="dxa"/>
            <w:vAlign w:val="bottom"/>
            <w:tcBorders>
              <w:bottom w:val="single" w:sz="8" w:color="ECEBE8"/>
            </w:tcBorders>
            <w:shd w:val="clear" w:color="auto" w:fill="ECEBE8"/>
          </w:tcPr>
          <w:p>
            <w:pPr>
              <w:spacing w:after="0"/>
              <w:rPr>
                <w:sz w:val="20"/>
                <w:szCs w:val="20"/>
                <w:color w:val="auto"/>
              </w:rPr>
            </w:pPr>
          </w:p>
        </w:tc>
        <w:tc>
          <w:tcPr>
            <w:tcW w:w="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2017</w:t>
            </w:r>
          </w:p>
        </w:tc>
        <w:tc>
          <w:tcPr>
            <w:tcW w:w="2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tcBorders>
              <w:bottom w:val="single" w:sz="8" w:color="ECEBE8"/>
            </w:tcBorders>
            <w:shd w:val="clear" w:color="auto" w:fill="ECEBE8"/>
          </w:tcPr>
          <w:p>
            <w:pPr>
              <w:jc w:val="right"/>
              <w:ind w:right="47"/>
              <w:spacing w:after="0"/>
              <w:rPr>
                <w:sz w:val="20"/>
                <w:szCs w:val="20"/>
                <w:color w:val="auto"/>
              </w:rPr>
            </w:pPr>
            <w:r>
              <w:rPr>
                <w:rFonts w:ascii="Arial" w:cs="Arial" w:eastAsia="Arial" w:hAnsi="Arial"/>
                <w:sz w:val="11"/>
                <w:szCs w:val="11"/>
                <w:color w:val="262626"/>
              </w:rPr>
              <w:t>624,423</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49"/>
              <w:spacing w:after="0"/>
              <w:rPr>
                <w:sz w:val="20"/>
                <w:szCs w:val="20"/>
                <w:color w:val="auto"/>
              </w:rPr>
            </w:pPr>
            <w:r>
              <w:rPr>
                <w:rFonts w:ascii="Arial" w:cs="Arial" w:eastAsia="Arial" w:hAnsi="Arial"/>
                <w:sz w:val="11"/>
                <w:szCs w:val="11"/>
                <w:color w:val="262626"/>
              </w:rPr>
              <w:t>3,981,300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Borders>
              <w:bottom w:val="single" w:sz="8" w:color="ECEBE8"/>
            </w:tcBorders>
            <w:shd w:val="clear" w:color="auto" w:fill="ECEBE8"/>
          </w:tcPr>
          <w:p>
            <w:pPr>
              <w:jc w:val="right"/>
              <w:ind w:right="529"/>
              <w:spacing w:after="0"/>
              <w:rPr>
                <w:sz w:val="20"/>
                <w:szCs w:val="20"/>
                <w:color w:val="auto"/>
              </w:rPr>
            </w:pPr>
            <w:r>
              <w:rPr>
                <w:rFonts w:ascii="Arial" w:cs="Arial" w:eastAsia="Arial" w:hAnsi="Arial"/>
                <w:sz w:val="11"/>
                <w:szCs w:val="11"/>
                <w:color w:val="262626"/>
              </w:rPr>
              <w:t>900,000</w:t>
            </w:r>
          </w:p>
        </w:tc>
        <w:tc>
          <w:tcPr>
            <w:tcW w:w="3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00" w:type="dxa"/>
            <w:vAlign w:val="bottom"/>
            <w:tcBorders>
              <w:bottom w:val="single" w:sz="8" w:color="ECEBE8"/>
            </w:tcBorders>
            <w:shd w:val="clear" w:color="auto" w:fill="ECEBE8"/>
          </w:tcPr>
          <w:p>
            <w:pPr>
              <w:jc w:val="right"/>
              <w:ind w:right="389"/>
              <w:spacing w:after="0"/>
              <w:rPr>
                <w:sz w:val="20"/>
                <w:szCs w:val="20"/>
                <w:color w:val="auto"/>
              </w:rPr>
            </w:pPr>
            <w:r>
              <w:rPr>
                <w:rFonts w:ascii="Arial" w:cs="Arial" w:eastAsia="Arial" w:hAnsi="Arial"/>
                <w:sz w:val="11"/>
                <w:szCs w:val="11"/>
                <w:color w:val="262626"/>
              </w:rPr>
              <w:t>126,570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tcBorders>
              <w:bottom w:val="single" w:sz="8" w:color="ECEBE8"/>
            </w:tcBorders>
            <w:shd w:val="clear" w:color="auto" w:fill="ECEBE8"/>
          </w:tcPr>
          <w:p>
            <w:pPr>
              <w:jc w:val="right"/>
              <w:ind w:right="8"/>
              <w:spacing w:after="0"/>
              <w:rPr>
                <w:sz w:val="20"/>
                <w:szCs w:val="20"/>
                <w:color w:val="auto"/>
              </w:rPr>
            </w:pPr>
            <w:r>
              <w:rPr>
                <w:rFonts w:ascii="Arial" w:cs="Arial" w:eastAsia="Arial" w:hAnsi="Arial"/>
                <w:sz w:val="11"/>
                <w:szCs w:val="11"/>
                <w:color w:val="262626"/>
              </w:rPr>
              <w:t>5,632,293</w:t>
            </w:r>
          </w:p>
        </w:tc>
        <w:tc>
          <w:tcPr>
            <w:tcW w:w="20" w:type="dxa"/>
            <w:vAlign w:val="bottom"/>
          </w:tcPr>
          <w:p>
            <w:pPr>
              <w:spacing w:after="0"/>
              <w:rPr>
                <w:sz w:val="20"/>
                <w:szCs w:val="20"/>
                <w:color w:val="auto"/>
              </w:rPr>
            </w:pPr>
          </w:p>
        </w:tc>
      </w:tr>
      <w:tr>
        <w:trPr>
          <w:trHeight w:val="143"/>
        </w:trPr>
        <w:tc>
          <w:tcPr>
            <w:tcW w:w="3480" w:type="dxa"/>
            <w:vAlign w:val="bottom"/>
          </w:tcPr>
          <w:p>
            <w:pPr>
              <w:ind w:left="80"/>
              <w:spacing w:after="0"/>
              <w:rPr>
                <w:sz w:val="20"/>
                <w:szCs w:val="20"/>
                <w:color w:val="auto"/>
              </w:rPr>
            </w:pPr>
            <w:r>
              <w:rPr>
                <w:rFonts w:ascii="Arial" w:cs="Arial" w:eastAsia="Arial" w:hAnsi="Arial"/>
                <w:sz w:val="11"/>
                <w:szCs w:val="11"/>
                <w:color w:val="auto"/>
              </w:rPr>
              <w:t>Ellen F. Whittemore</w:t>
            </w:r>
            <w:r>
              <w:rPr>
                <w:rFonts w:ascii="Arial" w:cs="Arial" w:eastAsia="Arial" w:hAnsi="Arial"/>
                <w:sz w:val="9"/>
                <w:szCs w:val="9"/>
                <w:color w:val="auto"/>
              </w:rPr>
              <w:t>(7)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3480" w:type="dxa"/>
            <w:vAlign w:val="bottom"/>
          </w:tcPr>
          <w:p>
            <w:pPr>
              <w:ind w:left="80"/>
              <w:spacing w:after="0"/>
              <w:rPr>
                <w:sz w:val="20"/>
                <w:szCs w:val="20"/>
                <w:color w:val="auto"/>
              </w:rPr>
            </w:pPr>
            <w:r>
              <w:rPr>
                <w:rFonts w:ascii="Arial" w:cs="Arial" w:eastAsia="Arial" w:hAnsi="Arial"/>
                <w:sz w:val="11"/>
                <w:szCs w:val="11"/>
                <w:color w:val="262626"/>
              </w:rPr>
              <w:t>EVP, General Counsel and Secretary</w:t>
            </w:r>
          </w:p>
        </w:tc>
        <w:tc>
          <w:tcPr>
            <w:tcW w:w="460" w:type="dxa"/>
            <w:vAlign w:val="bottom"/>
          </w:tcPr>
          <w:p>
            <w:pPr>
              <w:jc w:val="right"/>
              <w:spacing w:after="0"/>
              <w:rPr>
                <w:sz w:val="20"/>
                <w:szCs w:val="20"/>
                <w:color w:val="auto"/>
              </w:rPr>
            </w:pPr>
            <w:r>
              <w:rPr>
                <w:rFonts w:ascii="Arial" w:cs="Arial" w:eastAsia="Arial" w:hAnsi="Arial"/>
                <w:sz w:val="11"/>
                <w:szCs w:val="11"/>
                <w:color w:val="262626"/>
              </w:rPr>
              <w:t>2018</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rPr>
              <w:t>253,846</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rPr>
              <w:t>1,421,550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300,000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14,150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rPr>
              <w:t>1,989,546</w:t>
            </w:r>
          </w:p>
        </w:tc>
        <w:tc>
          <w:tcPr>
            <w:tcW w:w="20" w:type="dxa"/>
            <w:vAlign w:val="bottom"/>
          </w:tcPr>
          <w:p>
            <w:pPr>
              <w:spacing w:after="0"/>
              <w:rPr>
                <w:sz w:val="12"/>
                <w:szCs w:val="12"/>
                <w:color w:val="auto"/>
              </w:rPr>
            </w:pPr>
          </w:p>
        </w:tc>
      </w:tr>
      <w:tr>
        <w:trPr>
          <w:trHeight w:val="49"/>
        </w:trPr>
        <w:tc>
          <w:tcPr>
            <w:tcW w:w="3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3"/>
        </w:trPr>
        <w:tc>
          <w:tcPr>
            <w:tcW w:w="3480" w:type="dxa"/>
            <w:vAlign w:val="bottom"/>
            <w:shd w:val="clear" w:color="auto" w:fill="ECEBE8"/>
          </w:tcPr>
          <w:p>
            <w:pPr>
              <w:ind w:left="80"/>
              <w:spacing w:after="0"/>
              <w:rPr>
                <w:sz w:val="20"/>
                <w:szCs w:val="20"/>
                <w:color w:val="auto"/>
              </w:rPr>
            </w:pPr>
            <w:r>
              <w:rPr>
                <w:rFonts w:ascii="Arial" w:cs="Arial" w:eastAsia="Arial" w:hAnsi="Arial"/>
                <w:sz w:val="11"/>
                <w:szCs w:val="11"/>
                <w:color w:val="auto"/>
              </w:rPr>
              <w:t>Stephen A. Wynn</w:t>
            </w:r>
            <w:r>
              <w:rPr>
                <w:rFonts w:ascii="Arial" w:cs="Arial" w:eastAsia="Arial" w:hAnsi="Arial"/>
                <w:sz w:val="9"/>
                <w:szCs w:val="9"/>
                <w:color w:val="auto"/>
              </w:rPr>
              <w:t>(8)</w:t>
            </w:r>
          </w:p>
        </w:tc>
        <w:tc>
          <w:tcPr>
            <w:tcW w:w="460" w:type="dxa"/>
            <w:vAlign w:val="bottom"/>
            <w:shd w:val="clear" w:color="auto" w:fill="ECEBE8"/>
          </w:tcPr>
          <w:p>
            <w:pPr>
              <w:spacing w:after="0"/>
              <w:rPr>
                <w:sz w:val="12"/>
                <w:szCs w:val="12"/>
                <w:color w:val="auto"/>
              </w:rPr>
            </w:pPr>
          </w:p>
        </w:tc>
        <w:tc>
          <w:tcPr>
            <w:tcW w:w="260" w:type="dxa"/>
            <w:vAlign w:val="bottom"/>
            <w:shd w:val="clear" w:color="auto" w:fill="ECEBE8"/>
          </w:tcPr>
          <w:p>
            <w:pPr>
              <w:spacing w:after="0"/>
              <w:rPr>
                <w:sz w:val="12"/>
                <w:szCs w:val="12"/>
                <w:color w:val="auto"/>
              </w:rPr>
            </w:pPr>
          </w:p>
        </w:tc>
        <w:tc>
          <w:tcPr>
            <w:tcW w:w="56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64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720" w:type="dxa"/>
            <w:vAlign w:val="bottom"/>
            <w:shd w:val="clear" w:color="auto" w:fill="ECEBE8"/>
          </w:tcPr>
          <w:p>
            <w:pPr>
              <w:spacing w:after="0"/>
              <w:rPr>
                <w:sz w:val="12"/>
                <w:szCs w:val="12"/>
                <w:color w:val="auto"/>
              </w:rPr>
            </w:pPr>
          </w:p>
        </w:tc>
        <w:tc>
          <w:tcPr>
            <w:tcW w:w="320" w:type="dxa"/>
            <w:vAlign w:val="bottom"/>
            <w:shd w:val="clear" w:color="auto" w:fill="ECEBE8"/>
          </w:tcPr>
          <w:p>
            <w:pPr>
              <w:spacing w:after="0"/>
              <w:rPr>
                <w:sz w:val="12"/>
                <w:szCs w:val="12"/>
                <w:color w:val="auto"/>
              </w:rPr>
            </w:pPr>
          </w:p>
        </w:tc>
        <w:tc>
          <w:tcPr>
            <w:tcW w:w="1120" w:type="dxa"/>
            <w:vAlign w:val="bottom"/>
            <w:shd w:val="clear" w:color="auto" w:fill="ECEBE8"/>
          </w:tcPr>
          <w:p>
            <w:pPr>
              <w:spacing w:after="0"/>
              <w:rPr>
                <w:sz w:val="12"/>
                <w:szCs w:val="12"/>
                <w:color w:val="auto"/>
              </w:rPr>
            </w:pPr>
          </w:p>
        </w:tc>
        <w:tc>
          <w:tcPr>
            <w:tcW w:w="320" w:type="dxa"/>
            <w:vAlign w:val="bottom"/>
            <w:shd w:val="clear" w:color="auto" w:fill="ECEBE8"/>
          </w:tcPr>
          <w:p>
            <w:pPr>
              <w:spacing w:after="0"/>
              <w:rPr>
                <w:sz w:val="12"/>
                <w:szCs w:val="12"/>
                <w:color w:val="auto"/>
              </w:rPr>
            </w:pPr>
          </w:p>
        </w:tc>
        <w:tc>
          <w:tcPr>
            <w:tcW w:w="900" w:type="dxa"/>
            <w:vAlign w:val="bottom"/>
            <w:shd w:val="clear" w:color="auto" w:fill="ECEBE8"/>
          </w:tcPr>
          <w:p>
            <w:pPr>
              <w:spacing w:after="0"/>
              <w:rPr>
                <w:sz w:val="12"/>
                <w:szCs w:val="12"/>
                <w:color w:val="auto"/>
              </w:rPr>
            </w:pPr>
          </w:p>
        </w:tc>
        <w:tc>
          <w:tcPr>
            <w:tcW w:w="160" w:type="dxa"/>
            <w:vAlign w:val="bottom"/>
            <w:shd w:val="clear" w:color="auto" w:fill="ECEBE8"/>
          </w:tcPr>
          <w:p>
            <w:pPr>
              <w:spacing w:after="0"/>
              <w:rPr>
                <w:sz w:val="12"/>
                <w:szCs w:val="12"/>
                <w:color w:val="auto"/>
              </w:rPr>
            </w:pPr>
          </w:p>
        </w:tc>
        <w:tc>
          <w:tcPr>
            <w:tcW w:w="600" w:type="dxa"/>
            <w:vAlign w:val="bottom"/>
            <w:shd w:val="clear" w:color="auto" w:fill="ECEBE8"/>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34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Former Chief Executive Officer</w:t>
            </w:r>
          </w:p>
        </w:tc>
        <w:tc>
          <w:tcPr>
            <w:tcW w:w="4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2018</w:t>
            </w:r>
          </w:p>
        </w:tc>
        <w:tc>
          <w:tcPr>
            <w:tcW w:w="2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shd w:val="clear" w:color="auto" w:fill="ECEBE8"/>
          </w:tcPr>
          <w:p>
            <w:pPr>
              <w:jc w:val="right"/>
              <w:ind w:right="47"/>
              <w:spacing w:after="0"/>
              <w:rPr>
                <w:sz w:val="20"/>
                <w:szCs w:val="20"/>
                <w:color w:val="auto"/>
              </w:rPr>
            </w:pPr>
            <w:r>
              <w:rPr>
                <w:rFonts w:ascii="Arial" w:cs="Arial" w:eastAsia="Arial" w:hAnsi="Arial"/>
                <w:sz w:val="11"/>
                <w:szCs w:val="11"/>
                <w:color w:val="262626"/>
              </w:rPr>
              <w:t>548,077</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shd w:val="clear" w:color="auto" w:fill="ECEBE8"/>
          </w:tcPr>
          <w:p>
            <w:pPr>
              <w:jc w:val="right"/>
              <w:ind w:right="49"/>
              <w:spacing w:after="0"/>
              <w:rPr>
                <w:sz w:val="20"/>
                <w:szCs w:val="20"/>
                <w:color w:val="auto"/>
              </w:rPr>
            </w:pPr>
            <w:r>
              <w:rPr>
                <w:rFonts w:ascii="Arial" w:cs="Arial" w:eastAsia="Arial" w:hAnsi="Arial"/>
                <w:sz w:val="11"/>
                <w:szCs w:val="11"/>
                <w:color w:val="262626"/>
              </w:rPr>
              <w:t>—</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shd w:val="clear" w:color="auto" w:fill="ECEBE8"/>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20" w:type="dxa"/>
            <w:vAlign w:val="bottom"/>
            <w:shd w:val="clear" w:color="auto" w:fill="ECEBE8"/>
          </w:tcPr>
          <w:p>
            <w:pPr>
              <w:jc w:val="right"/>
              <w:ind w:right="529"/>
              <w:spacing w:after="0"/>
              <w:rPr>
                <w:sz w:val="20"/>
                <w:szCs w:val="20"/>
                <w:color w:val="auto"/>
              </w:rPr>
            </w:pPr>
            <w:r>
              <w:rPr>
                <w:rFonts w:ascii="Arial" w:cs="Arial" w:eastAsia="Arial" w:hAnsi="Arial"/>
                <w:sz w:val="11"/>
                <w:szCs w:val="11"/>
                <w:color w:val="262626"/>
              </w:rPr>
              <w:t>—</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00" w:type="dxa"/>
            <w:vAlign w:val="bottom"/>
            <w:shd w:val="clear" w:color="auto" w:fill="ECEBE8"/>
          </w:tcPr>
          <w:p>
            <w:pPr>
              <w:jc w:val="right"/>
              <w:ind w:right="389"/>
              <w:spacing w:after="0"/>
              <w:rPr>
                <w:sz w:val="20"/>
                <w:szCs w:val="20"/>
                <w:color w:val="auto"/>
              </w:rPr>
            </w:pPr>
            <w:r>
              <w:rPr>
                <w:rFonts w:ascii="Arial" w:cs="Arial" w:eastAsia="Arial" w:hAnsi="Arial"/>
                <w:sz w:val="11"/>
                <w:szCs w:val="11"/>
                <w:color w:val="262626"/>
              </w:rPr>
              <w:t>238,284</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shd w:val="clear" w:color="auto" w:fill="ECEBE8"/>
          </w:tcPr>
          <w:p>
            <w:pPr>
              <w:jc w:val="right"/>
              <w:ind w:right="8"/>
              <w:spacing w:after="0"/>
              <w:rPr>
                <w:sz w:val="20"/>
                <w:szCs w:val="20"/>
                <w:color w:val="auto"/>
              </w:rPr>
            </w:pPr>
            <w:r>
              <w:rPr>
                <w:rFonts w:ascii="Arial" w:cs="Arial" w:eastAsia="Arial" w:hAnsi="Arial"/>
                <w:sz w:val="11"/>
                <w:szCs w:val="11"/>
                <w:color w:val="262626"/>
              </w:rPr>
              <w:t>786,361</w:t>
            </w:r>
          </w:p>
        </w:tc>
        <w:tc>
          <w:tcPr>
            <w:tcW w:w="20" w:type="dxa"/>
            <w:vAlign w:val="bottom"/>
          </w:tcPr>
          <w:p>
            <w:pPr>
              <w:spacing w:after="0"/>
              <w:rPr>
                <w:sz w:val="11"/>
                <w:szCs w:val="11"/>
                <w:color w:val="auto"/>
              </w:rPr>
            </w:pPr>
          </w:p>
        </w:tc>
      </w:tr>
      <w:tr>
        <w:trPr>
          <w:trHeight w:val="199"/>
        </w:trPr>
        <w:tc>
          <w:tcPr>
            <w:tcW w:w="3480" w:type="dxa"/>
            <w:vAlign w:val="bottom"/>
            <w:shd w:val="clear" w:color="auto" w:fill="ECEBE8"/>
          </w:tcPr>
          <w:p>
            <w:pPr>
              <w:spacing w:after="0"/>
              <w:rPr>
                <w:sz w:val="17"/>
                <w:szCs w:val="17"/>
                <w:color w:val="auto"/>
              </w:rPr>
            </w:pPr>
          </w:p>
        </w:tc>
        <w:tc>
          <w:tcPr>
            <w:tcW w:w="4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2017</w:t>
            </w:r>
          </w:p>
        </w:tc>
        <w:tc>
          <w:tcPr>
            <w:tcW w:w="2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shd w:val="clear" w:color="auto" w:fill="ECEBE8"/>
          </w:tcPr>
          <w:p>
            <w:pPr>
              <w:jc w:val="right"/>
              <w:ind w:right="47"/>
              <w:spacing w:after="0"/>
              <w:rPr>
                <w:sz w:val="20"/>
                <w:szCs w:val="20"/>
                <w:color w:val="auto"/>
              </w:rPr>
            </w:pPr>
            <w:r>
              <w:rPr>
                <w:rFonts w:ascii="Arial" w:cs="Arial" w:eastAsia="Arial" w:hAnsi="Arial"/>
                <w:sz w:val="11"/>
                <w:szCs w:val="11"/>
                <w:color w:val="262626"/>
                <w:w w:val="89"/>
              </w:rPr>
              <w:t>2,500,000</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shd w:val="clear" w:color="auto" w:fill="ECEBE8"/>
          </w:tcPr>
          <w:p>
            <w:pPr>
              <w:jc w:val="right"/>
              <w:ind w:right="49"/>
              <w:spacing w:after="0"/>
              <w:rPr>
                <w:sz w:val="20"/>
                <w:szCs w:val="20"/>
                <w:color w:val="auto"/>
              </w:rPr>
            </w:pPr>
            <w:r>
              <w:rPr>
                <w:rFonts w:ascii="Arial" w:cs="Arial" w:eastAsia="Arial" w:hAnsi="Arial"/>
                <w:sz w:val="11"/>
                <w:szCs w:val="11"/>
                <w:color w:val="262626"/>
                <w:w w:val="94"/>
              </w:rPr>
              <w:t>15,000,000</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shd w:val="clear" w:color="auto" w:fill="ECEBE8"/>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20" w:type="dxa"/>
            <w:vAlign w:val="bottom"/>
            <w:shd w:val="clear" w:color="auto" w:fill="ECEBE8"/>
          </w:tcPr>
          <w:p>
            <w:pPr>
              <w:jc w:val="right"/>
              <w:ind w:right="529"/>
              <w:spacing w:after="0"/>
              <w:rPr>
                <w:sz w:val="20"/>
                <w:szCs w:val="20"/>
                <w:color w:val="auto"/>
              </w:rPr>
            </w:pPr>
            <w:r>
              <w:rPr>
                <w:rFonts w:ascii="Arial" w:cs="Arial" w:eastAsia="Arial" w:hAnsi="Arial"/>
                <w:sz w:val="11"/>
                <w:szCs w:val="11"/>
                <w:color w:val="262626"/>
                <w:w w:val="94"/>
              </w:rPr>
              <w:t>15,000,000</w:t>
            </w:r>
          </w:p>
        </w:tc>
        <w:tc>
          <w:tcPr>
            <w:tcW w:w="32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00" w:type="dxa"/>
            <w:vAlign w:val="bottom"/>
            <w:shd w:val="clear" w:color="auto" w:fill="ECEBE8"/>
          </w:tcPr>
          <w:p>
            <w:pPr>
              <w:jc w:val="right"/>
              <w:ind w:right="389"/>
              <w:spacing w:after="0"/>
              <w:rPr>
                <w:sz w:val="20"/>
                <w:szCs w:val="20"/>
                <w:color w:val="auto"/>
              </w:rPr>
            </w:pPr>
            <w:r>
              <w:rPr>
                <w:rFonts w:ascii="Arial" w:cs="Arial" w:eastAsia="Arial" w:hAnsi="Arial"/>
                <w:sz w:val="11"/>
                <w:szCs w:val="11"/>
                <w:color w:val="262626"/>
                <w:w w:val="89"/>
              </w:rPr>
              <w:t>2,022,695</w:t>
            </w:r>
          </w:p>
        </w:tc>
        <w:tc>
          <w:tcPr>
            <w:tcW w:w="16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shd w:val="clear" w:color="auto" w:fill="ECEBE8"/>
          </w:tcPr>
          <w:p>
            <w:pPr>
              <w:jc w:val="right"/>
              <w:ind w:right="8"/>
              <w:spacing w:after="0"/>
              <w:rPr>
                <w:sz w:val="20"/>
                <w:szCs w:val="20"/>
                <w:color w:val="auto"/>
              </w:rPr>
            </w:pPr>
            <w:r>
              <w:rPr>
                <w:rFonts w:ascii="Arial" w:cs="Arial" w:eastAsia="Arial" w:hAnsi="Arial"/>
                <w:sz w:val="11"/>
                <w:szCs w:val="11"/>
                <w:color w:val="262626"/>
                <w:w w:val="94"/>
              </w:rPr>
              <w:t>34,522,695</w:t>
            </w:r>
          </w:p>
        </w:tc>
        <w:tc>
          <w:tcPr>
            <w:tcW w:w="20" w:type="dxa"/>
            <w:vAlign w:val="bottom"/>
          </w:tcPr>
          <w:p>
            <w:pPr>
              <w:spacing w:after="0"/>
              <w:rPr>
                <w:sz w:val="17"/>
                <w:szCs w:val="17"/>
                <w:color w:val="auto"/>
              </w:rPr>
            </w:pPr>
          </w:p>
        </w:tc>
      </w:tr>
      <w:tr>
        <w:trPr>
          <w:trHeight w:val="232"/>
        </w:trPr>
        <w:tc>
          <w:tcPr>
            <w:tcW w:w="3480" w:type="dxa"/>
            <w:vAlign w:val="bottom"/>
            <w:tcBorders>
              <w:bottom w:val="single" w:sz="8" w:color="ECEBE8"/>
            </w:tcBorders>
            <w:shd w:val="clear" w:color="auto" w:fill="ECEBE8"/>
          </w:tcPr>
          <w:p>
            <w:pPr>
              <w:spacing w:after="0"/>
              <w:rPr>
                <w:sz w:val="20"/>
                <w:szCs w:val="20"/>
                <w:color w:val="auto"/>
              </w:rPr>
            </w:pPr>
          </w:p>
        </w:tc>
        <w:tc>
          <w:tcPr>
            <w:tcW w:w="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2016</w:t>
            </w:r>
          </w:p>
        </w:tc>
        <w:tc>
          <w:tcPr>
            <w:tcW w:w="2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tcBorders>
              <w:bottom w:val="single" w:sz="8" w:color="ECEBE8"/>
            </w:tcBorders>
            <w:shd w:val="clear" w:color="auto" w:fill="ECEBE8"/>
          </w:tcPr>
          <w:p>
            <w:pPr>
              <w:jc w:val="right"/>
              <w:ind w:right="47"/>
              <w:spacing w:after="0"/>
              <w:rPr>
                <w:sz w:val="20"/>
                <w:szCs w:val="20"/>
                <w:color w:val="auto"/>
              </w:rPr>
            </w:pPr>
            <w:r>
              <w:rPr>
                <w:rFonts w:ascii="Arial" w:cs="Arial" w:eastAsia="Arial" w:hAnsi="Arial"/>
                <w:sz w:val="11"/>
                <w:szCs w:val="11"/>
                <w:color w:val="262626"/>
                <w:w w:val="89"/>
              </w:rPr>
              <w:t>2,500,000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40" w:type="dxa"/>
            <w:vAlign w:val="bottom"/>
            <w:tcBorders>
              <w:bottom w:val="single" w:sz="8" w:color="ECEBE8"/>
            </w:tcBorders>
            <w:shd w:val="clear" w:color="auto" w:fill="ECEBE8"/>
          </w:tcPr>
          <w:p>
            <w:pPr>
              <w:jc w:val="right"/>
              <w:ind w:right="49"/>
              <w:spacing w:after="0"/>
              <w:rPr>
                <w:sz w:val="20"/>
                <w:szCs w:val="20"/>
                <w:color w:val="auto"/>
              </w:rPr>
            </w:pPr>
            <w:r>
              <w:rPr>
                <w:rFonts w:ascii="Arial" w:cs="Arial" w:eastAsia="Arial" w:hAnsi="Arial"/>
                <w:sz w:val="11"/>
                <w:szCs w:val="11"/>
                <w:color w:val="262626"/>
                <w:w w:val="94"/>
              </w:rPr>
              <w:t>12,500,000</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tcBorders>
              <w:bottom w:val="single" w:sz="8" w:color="ECEBE8"/>
            </w:tcBorders>
            <w:shd w:val="clear" w:color="auto" w:fill="ECEBE8"/>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Borders>
              <w:bottom w:val="single" w:sz="8" w:color="ECEBE8"/>
            </w:tcBorders>
            <w:shd w:val="clear" w:color="auto" w:fill="ECEBE8"/>
          </w:tcPr>
          <w:p>
            <w:pPr>
              <w:jc w:val="right"/>
              <w:ind w:right="529"/>
              <w:spacing w:after="0"/>
              <w:rPr>
                <w:sz w:val="20"/>
                <w:szCs w:val="20"/>
                <w:color w:val="auto"/>
              </w:rPr>
            </w:pPr>
            <w:r>
              <w:rPr>
                <w:rFonts w:ascii="Arial" w:cs="Arial" w:eastAsia="Arial" w:hAnsi="Arial"/>
                <w:sz w:val="11"/>
                <w:szCs w:val="11"/>
                <w:color w:val="262626"/>
                <w:w w:val="94"/>
              </w:rPr>
              <w:t>12,500,000</w:t>
            </w:r>
          </w:p>
        </w:tc>
        <w:tc>
          <w:tcPr>
            <w:tcW w:w="3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00" w:type="dxa"/>
            <w:vAlign w:val="bottom"/>
            <w:tcBorders>
              <w:bottom w:val="single" w:sz="8" w:color="ECEBE8"/>
            </w:tcBorders>
            <w:shd w:val="clear" w:color="auto" w:fill="ECEBE8"/>
          </w:tcPr>
          <w:p>
            <w:pPr>
              <w:jc w:val="right"/>
              <w:ind w:right="389"/>
              <w:spacing w:after="0"/>
              <w:rPr>
                <w:sz w:val="20"/>
                <w:szCs w:val="20"/>
                <w:color w:val="auto"/>
              </w:rPr>
            </w:pPr>
            <w:r>
              <w:rPr>
                <w:rFonts w:ascii="Arial" w:cs="Arial" w:eastAsia="Arial" w:hAnsi="Arial"/>
                <w:sz w:val="11"/>
                <w:szCs w:val="11"/>
                <w:color w:val="262626"/>
              </w:rPr>
              <w:t>656,985</w:t>
            </w:r>
          </w:p>
        </w:tc>
        <w:tc>
          <w:tcPr>
            <w:tcW w:w="1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600" w:type="dxa"/>
            <w:vAlign w:val="bottom"/>
            <w:tcBorders>
              <w:bottom w:val="single" w:sz="8" w:color="ECEBE8"/>
            </w:tcBorders>
            <w:shd w:val="clear" w:color="auto" w:fill="ECEBE8"/>
          </w:tcPr>
          <w:p>
            <w:pPr>
              <w:jc w:val="right"/>
              <w:ind w:right="8"/>
              <w:spacing w:after="0"/>
              <w:rPr>
                <w:sz w:val="20"/>
                <w:szCs w:val="20"/>
                <w:color w:val="auto"/>
              </w:rPr>
            </w:pPr>
            <w:r>
              <w:rPr>
                <w:rFonts w:ascii="Arial" w:cs="Arial" w:eastAsia="Arial" w:hAnsi="Arial"/>
                <w:sz w:val="11"/>
                <w:szCs w:val="11"/>
                <w:color w:val="262626"/>
                <w:w w:val="94"/>
              </w:rPr>
              <w:t>28,156,985</w:t>
            </w:r>
          </w:p>
        </w:tc>
        <w:tc>
          <w:tcPr>
            <w:tcW w:w="20" w:type="dxa"/>
            <w:vAlign w:val="bottom"/>
          </w:tcPr>
          <w:p>
            <w:pPr>
              <w:spacing w:after="0"/>
              <w:rPr>
                <w:sz w:val="20"/>
                <w:szCs w:val="20"/>
                <w:color w:val="auto"/>
              </w:rPr>
            </w:pPr>
          </w:p>
        </w:tc>
      </w:tr>
      <w:tr>
        <w:trPr>
          <w:trHeight w:val="143"/>
        </w:trPr>
        <w:tc>
          <w:tcPr>
            <w:tcW w:w="3480" w:type="dxa"/>
            <w:vAlign w:val="bottom"/>
          </w:tcPr>
          <w:p>
            <w:pPr>
              <w:ind w:left="80"/>
              <w:spacing w:after="0"/>
              <w:rPr>
                <w:sz w:val="20"/>
                <w:szCs w:val="20"/>
                <w:color w:val="auto"/>
              </w:rPr>
            </w:pPr>
            <w:r>
              <w:rPr>
                <w:rFonts w:ascii="Arial" w:cs="Arial" w:eastAsia="Arial" w:hAnsi="Arial"/>
                <w:sz w:val="11"/>
                <w:szCs w:val="11"/>
                <w:color w:val="auto"/>
              </w:rPr>
              <w:t>Kimmarie Sinatra</w:t>
            </w:r>
            <w:r>
              <w:rPr>
                <w:rFonts w:ascii="Arial" w:cs="Arial" w:eastAsia="Arial" w:hAnsi="Arial"/>
                <w:sz w:val="9"/>
                <w:szCs w:val="9"/>
                <w:color w:val="auto"/>
              </w:rPr>
              <w:t>(9)</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3480" w:type="dxa"/>
            <w:vAlign w:val="bottom"/>
          </w:tcPr>
          <w:p>
            <w:pPr>
              <w:ind w:left="80"/>
              <w:spacing w:after="0"/>
              <w:rPr>
                <w:sz w:val="20"/>
                <w:szCs w:val="20"/>
                <w:color w:val="auto"/>
              </w:rPr>
            </w:pPr>
            <w:r>
              <w:rPr>
                <w:rFonts w:ascii="Arial" w:cs="Arial" w:eastAsia="Arial" w:hAnsi="Arial"/>
                <w:sz w:val="11"/>
                <w:szCs w:val="11"/>
                <w:color w:val="262626"/>
              </w:rPr>
              <w:t>Former EVP, General Counsel and Secretary</w:t>
            </w:r>
          </w:p>
        </w:tc>
        <w:tc>
          <w:tcPr>
            <w:tcW w:w="460" w:type="dxa"/>
            <w:vAlign w:val="bottom"/>
          </w:tcPr>
          <w:p>
            <w:pPr>
              <w:jc w:val="right"/>
              <w:spacing w:after="0"/>
              <w:rPr>
                <w:sz w:val="20"/>
                <w:szCs w:val="20"/>
                <w:color w:val="auto"/>
              </w:rPr>
            </w:pPr>
            <w:r>
              <w:rPr>
                <w:rFonts w:ascii="Arial" w:cs="Arial" w:eastAsia="Arial" w:hAnsi="Arial"/>
                <w:sz w:val="11"/>
                <w:szCs w:val="11"/>
                <w:color w:val="262626"/>
              </w:rPr>
              <w:t>2018</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rPr>
              <w:t>615,385</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rPr>
              <w:t>568,323</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w w:val="93"/>
              </w:rPr>
              <w:t>1,843,313</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w w:val="89"/>
              </w:rPr>
              <w:t>1,906,965</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rPr>
              <w:t>4,933,986</w:t>
            </w:r>
          </w:p>
        </w:tc>
        <w:tc>
          <w:tcPr>
            <w:tcW w:w="20" w:type="dxa"/>
            <w:vAlign w:val="bottom"/>
          </w:tcPr>
          <w:p>
            <w:pPr>
              <w:spacing w:after="0"/>
              <w:rPr>
                <w:sz w:val="12"/>
                <w:szCs w:val="12"/>
                <w:color w:val="auto"/>
              </w:rPr>
            </w:pPr>
          </w:p>
        </w:tc>
      </w:tr>
      <w:tr>
        <w:trPr>
          <w:trHeight w:val="199"/>
        </w:trPr>
        <w:tc>
          <w:tcPr>
            <w:tcW w:w="3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262626"/>
              </w:rPr>
              <w:t>2017</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w w:val="89"/>
              </w:rPr>
              <w:t>1,000,000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w w:val="94"/>
              </w:rPr>
              <w:t>10,815,000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1,200,000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279,043</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w w:val="94"/>
              </w:rPr>
              <w:t>13,294,043</w:t>
            </w:r>
          </w:p>
        </w:tc>
        <w:tc>
          <w:tcPr>
            <w:tcW w:w="20" w:type="dxa"/>
            <w:vAlign w:val="bottom"/>
          </w:tcPr>
          <w:p>
            <w:pPr>
              <w:spacing w:after="0"/>
              <w:rPr>
                <w:sz w:val="17"/>
                <w:szCs w:val="17"/>
                <w:color w:val="auto"/>
              </w:rPr>
            </w:pPr>
          </w:p>
        </w:tc>
      </w:tr>
      <w:tr>
        <w:trPr>
          <w:trHeight w:val="199"/>
        </w:trPr>
        <w:tc>
          <w:tcPr>
            <w:tcW w:w="3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262626"/>
              </w:rPr>
              <w:t>2016</w:t>
            </w:r>
          </w:p>
        </w:tc>
        <w:tc>
          <w:tcPr>
            <w:tcW w:w="26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ind w:right="47"/>
              <w:spacing w:after="0"/>
              <w:rPr>
                <w:sz w:val="20"/>
                <w:szCs w:val="20"/>
                <w:color w:val="auto"/>
              </w:rPr>
            </w:pPr>
            <w:r>
              <w:rPr>
                <w:rFonts w:ascii="Arial" w:cs="Arial" w:eastAsia="Arial" w:hAnsi="Arial"/>
                <w:sz w:val="11"/>
                <w:szCs w:val="11"/>
                <w:color w:val="262626"/>
              </w:rPr>
              <w:t>873,654</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262626"/>
              </w:rPr>
              <w:t>850,000</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89"/>
              <w:spacing w:after="0"/>
              <w:rPr>
                <w:sz w:val="20"/>
                <w:szCs w:val="20"/>
                <w:color w:val="auto"/>
              </w:rPr>
            </w:pPr>
            <w:r>
              <w:rPr>
                <w:rFonts w:ascii="Arial" w:cs="Arial" w:eastAsia="Arial" w:hAnsi="Arial"/>
                <w:sz w:val="11"/>
                <w:szCs w:val="11"/>
                <w:color w:val="262626"/>
              </w:rPr>
              <w:t>—</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1120" w:type="dxa"/>
            <w:vAlign w:val="bottom"/>
          </w:tcPr>
          <w:p>
            <w:pPr>
              <w:jc w:val="right"/>
              <w:ind w:right="529"/>
              <w:spacing w:after="0"/>
              <w:rPr>
                <w:sz w:val="20"/>
                <w:szCs w:val="20"/>
                <w:color w:val="auto"/>
              </w:rPr>
            </w:pPr>
            <w:r>
              <w:rPr>
                <w:rFonts w:ascii="Arial" w:cs="Arial" w:eastAsia="Arial" w:hAnsi="Arial"/>
                <w:sz w:val="11"/>
                <w:szCs w:val="11"/>
                <w:color w:val="262626"/>
              </w:rPr>
              <w:t>850,000</w:t>
            </w:r>
          </w:p>
        </w:tc>
        <w:tc>
          <w:tcPr>
            <w:tcW w:w="320" w:type="dxa"/>
            <w:vAlign w:val="bottom"/>
          </w:tcPr>
          <w:p>
            <w:pPr>
              <w:jc w:val="right"/>
              <w:spacing w:after="0"/>
              <w:rPr>
                <w:sz w:val="20"/>
                <w:szCs w:val="20"/>
                <w:color w:val="auto"/>
              </w:rPr>
            </w:pPr>
            <w:r>
              <w:rPr>
                <w:rFonts w:ascii="Arial" w:cs="Arial" w:eastAsia="Arial" w:hAnsi="Arial"/>
                <w:sz w:val="11"/>
                <w:szCs w:val="11"/>
                <w:color w:val="262626"/>
              </w:rPr>
              <w:t>$</w:t>
            </w:r>
          </w:p>
        </w:tc>
        <w:tc>
          <w:tcPr>
            <w:tcW w:w="900" w:type="dxa"/>
            <w:vAlign w:val="bottom"/>
          </w:tcPr>
          <w:p>
            <w:pPr>
              <w:jc w:val="right"/>
              <w:ind w:right="389"/>
              <w:spacing w:after="0"/>
              <w:rPr>
                <w:sz w:val="20"/>
                <w:szCs w:val="20"/>
                <w:color w:val="auto"/>
              </w:rPr>
            </w:pPr>
            <w:r>
              <w:rPr>
                <w:rFonts w:ascii="Arial" w:cs="Arial" w:eastAsia="Arial" w:hAnsi="Arial"/>
                <w:sz w:val="11"/>
                <w:szCs w:val="11"/>
                <w:color w:val="262626"/>
              </w:rPr>
              <w:t>65,086</w:t>
            </w:r>
          </w:p>
        </w:tc>
        <w:tc>
          <w:tcPr>
            <w:tcW w:w="160" w:type="dxa"/>
            <w:vAlign w:val="bottom"/>
          </w:tcPr>
          <w:p>
            <w:pPr>
              <w:jc w:val="right"/>
              <w:spacing w:after="0"/>
              <w:rPr>
                <w:sz w:val="20"/>
                <w:szCs w:val="20"/>
                <w:color w:val="auto"/>
              </w:rPr>
            </w:pPr>
            <w:r>
              <w:rPr>
                <w:rFonts w:ascii="Arial" w:cs="Arial" w:eastAsia="Arial" w:hAnsi="Arial"/>
                <w:sz w:val="11"/>
                <w:szCs w:val="11"/>
                <w:color w:val="262626"/>
              </w:rPr>
              <w:t>$</w:t>
            </w:r>
          </w:p>
        </w:tc>
        <w:tc>
          <w:tcPr>
            <w:tcW w:w="600" w:type="dxa"/>
            <w:vAlign w:val="bottom"/>
          </w:tcPr>
          <w:p>
            <w:pPr>
              <w:jc w:val="right"/>
              <w:ind w:right="8"/>
              <w:spacing w:after="0"/>
              <w:rPr>
                <w:sz w:val="20"/>
                <w:szCs w:val="20"/>
                <w:color w:val="auto"/>
              </w:rPr>
            </w:pPr>
            <w:r>
              <w:rPr>
                <w:rFonts w:ascii="Arial" w:cs="Arial" w:eastAsia="Arial" w:hAnsi="Arial"/>
                <w:sz w:val="11"/>
                <w:szCs w:val="11"/>
                <w:color w:val="262626"/>
              </w:rPr>
              <w:t>2,638,740</w:t>
            </w:r>
          </w:p>
        </w:tc>
        <w:tc>
          <w:tcPr>
            <w:tcW w:w="20" w:type="dxa"/>
            <w:vAlign w:val="bottom"/>
          </w:tcPr>
          <w:p>
            <w:pPr>
              <w:spacing w:after="0"/>
              <w:rPr>
                <w:sz w:val="17"/>
                <w:szCs w:val="17"/>
                <w:color w:val="auto"/>
              </w:rPr>
            </w:pPr>
          </w:p>
        </w:tc>
      </w:tr>
    </w:tbl>
    <w:p>
      <w:pPr>
        <w:spacing w:after="0" w:line="86" w:lineRule="exact"/>
        <w:rPr>
          <w:sz w:val="20"/>
          <w:szCs w:val="20"/>
          <w:color w:val="auto"/>
        </w:rPr>
      </w:pPr>
    </w:p>
    <w:p>
      <w:pPr>
        <w:ind w:left="780" w:right="260" w:firstLine="1"/>
        <w:spacing w:after="0" w:line="227" w:lineRule="auto"/>
        <w:tabs>
          <w:tab w:leader="none" w:pos="915" w:val="left"/>
        </w:tabs>
        <w:numPr>
          <w:ilvl w:val="0"/>
          <w:numId w:val="62"/>
        </w:numPr>
        <w:rPr>
          <w:rFonts w:ascii="Arial" w:cs="Arial" w:eastAsia="Arial" w:hAnsi="Arial"/>
          <w:sz w:val="9"/>
          <w:szCs w:val="9"/>
          <w:color w:val="262626"/>
        </w:rPr>
      </w:pPr>
      <w:r>
        <w:rPr>
          <w:rFonts w:ascii="Arial" w:cs="Arial" w:eastAsia="Arial" w:hAnsi="Arial"/>
          <w:sz w:val="11"/>
          <w:szCs w:val="11"/>
          <w:color w:val="262626"/>
        </w:rPr>
        <w:t>Stock awards granted as a component of the 2018, 2017 and 2016 annual incentive awards are reported in this column as 2018, 2017 and 2016 compensation, respectively, to reflect the applicable service period for such awards; however, stock grants for 2018 and 2016 were approved by the Compensation Committee in January of the following calendar year. Stock grants for 2017 were approved by the Compensation Committee in December 2017. See annual incentive award payouts as described in “Compensation Discussion and Analysis—How We Designed Incentives for 2018—Elements of Pay” for a description of the 2018 annual incentive awards. The amounts reported in 2018 for Mr. Maddox, Mr. Billings and Ms. Whittemore, reflect a portion from restricted stock grants which are not related to the annual incentive awards and were reported in the year of grant. 60% of the 2018 grants for Mr. Maddox, Mr. Billings and Ms. Whittemore vest based on specified performance criteria. The amounts for these performance-based awards reported in this column reflect the entire aggregate grant date fair value. The amount reported in 2018 for Ms. Sinatra relates to the incremental compensation from revaluing 10,715 shares of restricted stock that were accelerated and vested in full upon her separation from the Company.</w:t>
      </w:r>
    </w:p>
    <w:p>
      <w:pPr>
        <w:spacing w:after="0" w:line="36" w:lineRule="exact"/>
        <w:rPr>
          <w:rFonts w:ascii="Arial" w:cs="Arial" w:eastAsia="Arial" w:hAnsi="Arial"/>
          <w:sz w:val="9"/>
          <w:szCs w:val="9"/>
          <w:color w:val="262626"/>
        </w:rPr>
      </w:pPr>
    </w:p>
    <w:p>
      <w:pPr>
        <w:ind w:left="780" w:right="280" w:firstLine="1"/>
        <w:spacing w:after="0" w:line="232" w:lineRule="auto"/>
        <w:tabs>
          <w:tab w:leader="none" w:pos="915" w:val="left"/>
        </w:tabs>
        <w:numPr>
          <w:ilvl w:val="0"/>
          <w:numId w:val="62"/>
        </w:numPr>
        <w:rPr>
          <w:rFonts w:ascii="Arial" w:cs="Arial" w:eastAsia="Arial" w:hAnsi="Arial"/>
          <w:sz w:val="9"/>
          <w:szCs w:val="9"/>
          <w:color w:val="262626"/>
        </w:rPr>
      </w:pPr>
      <w:r>
        <w:rPr>
          <w:rFonts w:ascii="Arial" w:cs="Arial" w:eastAsia="Arial" w:hAnsi="Arial"/>
          <w:sz w:val="11"/>
          <w:szCs w:val="11"/>
          <w:color w:val="262626"/>
        </w:rPr>
        <w:t>The amounts set forth in this column reflect the aggregate grant date fair value of stock awards computed in accordance with accounting standards for stock-based compensation. See our Annual Report on Form 10-K for the year ended December 31, 2018, Item 8, Note 11—“Stock-Based Compensation” to our Consolidated Financial Statements for assumptions used in computing fair value.</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62"/>
        </w:numPr>
        <w:rPr>
          <w:rFonts w:ascii="Arial" w:cs="Arial" w:eastAsia="Arial" w:hAnsi="Arial"/>
          <w:sz w:val="9"/>
          <w:szCs w:val="9"/>
          <w:color w:val="262626"/>
        </w:rPr>
      </w:pPr>
      <w:r>
        <w:rPr>
          <w:rFonts w:ascii="Arial" w:cs="Arial" w:eastAsia="Arial" w:hAnsi="Arial"/>
          <w:sz w:val="11"/>
          <w:szCs w:val="11"/>
          <w:color w:val="262626"/>
        </w:rPr>
        <w:t>The amount reported in 2018 for Ms. Sinatra relates to the incremental compensation from revaluing 25,000 stock options that were accelerated and vested in full upon her separation from the Company.</w:t>
      </w:r>
    </w:p>
    <w:p>
      <w:pPr>
        <w:spacing w:after="0" w:line="33" w:lineRule="exact"/>
        <w:rPr>
          <w:rFonts w:ascii="Arial" w:cs="Arial" w:eastAsia="Arial" w:hAnsi="Arial"/>
          <w:sz w:val="9"/>
          <w:szCs w:val="9"/>
          <w:color w:val="262626"/>
        </w:rPr>
      </w:pPr>
    </w:p>
    <w:p>
      <w:pPr>
        <w:ind w:left="780" w:right="240" w:firstLine="1"/>
        <w:spacing w:after="0" w:line="232" w:lineRule="auto"/>
        <w:tabs>
          <w:tab w:leader="none" w:pos="915" w:val="left"/>
        </w:tabs>
        <w:numPr>
          <w:ilvl w:val="0"/>
          <w:numId w:val="62"/>
        </w:numPr>
        <w:rPr>
          <w:rFonts w:ascii="Arial" w:cs="Arial" w:eastAsia="Arial" w:hAnsi="Arial"/>
          <w:sz w:val="9"/>
          <w:szCs w:val="9"/>
          <w:color w:val="262626"/>
        </w:rPr>
      </w:pPr>
      <w:r>
        <w:rPr>
          <w:rFonts w:ascii="Arial" w:cs="Arial" w:eastAsia="Arial" w:hAnsi="Arial"/>
          <w:sz w:val="11"/>
          <w:szCs w:val="11"/>
          <w:color w:val="262626"/>
        </w:rPr>
        <w:t>As described above under “Compensation Discussion and Analysis—How We Designed Incentives for 2018—Elements of Pay,” in January 2019, the Compensation Committee exercised its discretion to pay 50% of the actual earned annual incentive for all NEOs in stock.</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62"/>
        </w:numPr>
        <w:rPr>
          <w:rFonts w:ascii="Arial" w:cs="Arial" w:eastAsia="Arial" w:hAnsi="Arial"/>
          <w:sz w:val="9"/>
          <w:szCs w:val="9"/>
          <w:color w:val="262626"/>
        </w:rPr>
      </w:pPr>
      <w:r>
        <w:rPr>
          <w:rFonts w:ascii="Arial" w:cs="Arial" w:eastAsia="Arial" w:hAnsi="Arial"/>
          <w:sz w:val="11"/>
          <w:szCs w:val="11"/>
          <w:color w:val="262626"/>
        </w:rPr>
        <w:t>The following amounts for 2018 are included in “All Other Compensation” for Mr. Maddox:</w:t>
      </w:r>
    </w:p>
    <w:p>
      <w:pPr>
        <w:spacing w:after="0" w:line="19" w:lineRule="exact"/>
        <w:rPr>
          <w:rFonts w:ascii="Arial" w:cs="Arial" w:eastAsia="Arial" w:hAnsi="Arial"/>
          <w:sz w:val="9"/>
          <w:szCs w:val="9"/>
          <w:color w:val="262626"/>
        </w:rPr>
      </w:pPr>
    </w:p>
    <w:p>
      <w:pPr>
        <w:ind w:left="1100" w:hanging="122"/>
        <w:spacing w:after="0"/>
        <w:tabs>
          <w:tab w:leader="none" w:pos="1100" w:val="left"/>
        </w:tabs>
        <w:numPr>
          <w:ilvl w:val="1"/>
          <w:numId w:val="62"/>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$662,500;</w:t>
      </w:r>
    </w:p>
    <w:p>
      <w:pPr>
        <w:spacing w:after="0" w:line="98" w:lineRule="exact"/>
        <w:rPr>
          <w:rFonts w:ascii="Arial" w:cs="Arial" w:eastAsia="Arial" w:hAnsi="Arial"/>
          <w:sz w:val="11"/>
          <w:szCs w:val="11"/>
          <w:color w:val="262626"/>
        </w:rPr>
      </w:pPr>
    </w:p>
    <w:p>
      <w:pPr>
        <w:ind w:left="1120" w:hanging="142"/>
        <w:spacing w:after="0"/>
        <w:tabs>
          <w:tab w:leader="none" w:pos="1120" w:val="left"/>
        </w:tabs>
        <w:numPr>
          <w:ilvl w:val="1"/>
          <w:numId w:val="62"/>
        </w:numPr>
        <w:rPr>
          <w:rFonts w:ascii="Arial" w:cs="Arial" w:eastAsia="Arial" w:hAnsi="Arial"/>
          <w:sz w:val="11"/>
          <w:szCs w:val="11"/>
          <w:color w:val="262626"/>
        </w:rPr>
      </w:pPr>
      <w:r>
        <w:rPr>
          <w:rFonts w:ascii="Arial" w:cs="Arial" w:eastAsia="Arial" w:hAnsi="Arial"/>
          <w:sz w:val="11"/>
          <w:szCs w:val="11"/>
          <w:color w:val="262626"/>
        </w:rPr>
        <w:t>insurance premiums and benefits including executive life and medical insurance of $9,565;</w:t>
      </w:r>
    </w:p>
    <w:p>
      <w:pPr>
        <w:spacing w:after="0" w:line="98" w:lineRule="exact"/>
        <w:rPr>
          <w:rFonts w:ascii="Arial" w:cs="Arial" w:eastAsia="Arial" w:hAnsi="Arial"/>
          <w:sz w:val="11"/>
          <w:szCs w:val="11"/>
          <w:color w:val="262626"/>
        </w:rPr>
      </w:pPr>
    </w:p>
    <w:p>
      <w:pPr>
        <w:ind w:left="1140" w:hanging="162"/>
        <w:spacing w:after="0"/>
        <w:tabs>
          <w:tab w:leader="none" w:pos="1140" w:val="left"/>
        </w:tabs>
        <w:numPr>
          <w:ilvl w:val="1"/>
          <w:numId w:val="62"/>
        </w:numPr>
        <w:rPr>
          <w:rFonts w:ascii="Arial" w:cs="Arial" w:eastAsia="Arial" w:hAnsi="Arial"/>
          <w:sz w:val="11"/>
          <w:szCs w:val="11"/>
          <w:color w:val="262626"/>
        </w:rPr>
      </w:pPr>
      <w:r>
        <w:rPr>
          <w:rFonts w:ascii="Arial" w:cs="Arial" w:eastAsia="Arial" w:hAnsi="Arial"/>
          <w:sz w:val="11"/>
          <w:szCs w:val="11"/>
          <w:color w:val="262626"/>
        </w:rPr>
        <w:t>reimbursement of taxes related to work performed in Massachusetts of $14,445; and</w:t>
      </w:r>
    </w:p>
    <w:p>
      <w:pPr>
        <w:spacing w:after="0" w:line="98" w:lineRule="exact"/>
        <w:rPr>
          <w:rFonts w:ascii="Arial" w:cs="Arial" w:eastAsia="Arial" w:hAnsi="Arial"/>
          <w:sz w:val="11"/>
          <w:szCs w:val="11"/>
          <w:color w:val="262626"/>
        </w:rPr>
      </w:pPr>
    </w:p>
    <w:p>
      <w:pPr>
        <w:ind w:left="1160" w:hanging="182"/>
        <w:spacing w:after="0"/>
        <w:tabs>
          <w:tab w:leader="none" w:pos="1160" w:val="left"/>
        </w:tabs>
        <w:numPr>
          <w:ilvl w:val="1"/>
          <w:numId w:val="62"/>
        </w:numPr>
        <w:rPr>
          <w:rFonts w:ascii="Arial" w:cs="Arial" w:eastAsia="Arial" w:hAnsi="Arial"/>
          <w:sz w:val="11"/>
          <w:szCs w:val="11"/>
          <w:color w:val="262626"/>
        </w:rPr>
      </w:pPr>
      <w:r>
        <w:rPr>
          <w:rFonts w:ascii="Arial" w:cs="Arial" w:eastAsia="Arial" w:hAnsi="Arial"/>
          <w:sz w:val="11"/>
          <w:szCs w:val="11"/>
          <w:color w:val="262626"/>
        </w:rPr>
        <w:t>matching contributions made under the Company’s §401(k) Plan, which is generally available to our eligible employees, of $8,250.</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color w:val="262626"/>
        </w:rPr>
        <w:t>The following amounts for 2018 are included in “All Other Compensation” for Mr. Billings:</w:t>
      </w:r>
    </w:p>
    <w:p>
      <w:pPr>
        <w:spacing w:after="0" w:line="99" w:lineRule="exact"/>
        <w:rPr>
          <w:sz w:val="20"/>
          <w:szCs w:val="20"/>
          <w:color w:val="auto"/>
        </w:rPr>
      </w:pPr>
    </w:p>
    <w:p>
      <w:pPr>
        <w:ind w:left="1100" w:hanging="122"/>
        <w:spacing w:after="0"/>
        <w:tabs>
          <w:tab w:leader="none" w:pos="1100" w:val="left"/>
        </w:tabs>
        <w:numPr>
          <w:ilvl w:val="0"/>
          <w:numId w:val="63"/>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$122,250;</w:t>
      </w:r>
    </w:p>
    <w:p>
      <w:pPr>
        <w:spacing w:after="0" w:line="98" w:lineRule="exact"/>
        <w:rPr>
          <w:rFonts w:ascii="Arial" w:cs="Arial" w:eastAsia="Arial" w:hAnsi="Arial"/>
          <w:sz w:val="11"/>
          <w:szCs w:val="11"/>
          <w:color w:val="262626"/>
        </w:rPr>
      </w:pPr>
    </w:p>
    <w:p>
      <w:pPr>
        <w:ind w:left="1120" w:hanging="142"/>
        <w:spacing w:after="0"/>
        <w:tabs>
          <w:tab w:leader="none" w:pos="1120" w:val="left"/>
        </w:tabs>
        <w:numPr>
          <w:ilvl w:val="0"/>
          <w:numId w:val="63"/>
        </w:numPr>
        <w:rPr>
          <w:rFonts w:ascii="Arial" w:cs="Arial" w:eastAsia="Arial" w:hAnsi="Arial"/>
          <w:sz w:val="11"/>
          <w:szCs w:val="11"/>
          <w:color w:val="262626"/>
        </w:rPr>
      </w:pPr>
      <w:r>
        <w:rPr>
          <w:rFonts w:ascii="Arial" w:cs="Arial" w:eastAsia="Arial" w:hAnsi="Arial"/>
          <w:sz w:val="11"/>
          <w:szCs w:val="11"/>
          <w:color w:val="262626"/>
        </w:rPr>
        <w:t>insurance premiums for executive life insurance of $1,419;</w:t>
      </w:r>
    </w:p>
    <w:p>
      <w:pPr>
        <w:spacing w:after="0" w:line="98" w:lineRule="exact"/>
        <w:rPr>
          <w:rFonts w:ascii="Arial" w:cs="Arial" w:eastAsia="Arial" w:hAnsi="Arial"/>
          <w:sz w:val="11"/>
          <w:szCs w:val="11"/>
          <w:color w:val="262626"/>
        </w:rPr>
      </w:pPr>
    </w:p>
    <w:p>
      <w:pPr>
        <w:ind w:left="1140" w:hanging="162"/>
        <w:spacing w:after="0"/>
        <w:tabs>
          <w:tab w:leader="none" w:pos="1140" w:val="left"/>
        </w:tabs>
        <w:numPr>
          <w:ilvl w:val="0"/>
          <w:numId w:val="63"/>
        </w:numPr>
        <w:rPr>
          <w:rFonts w:ascii="Arial" w:cs="Arial" w:eastAsia="Arial" w:hAnsi="Arial"/>
          <w:sz w:val="11"/>
          <w:szCs w:val="11"/>
          <w:color w:val="262626"/>
        </w:rPr>
      </w:pPr>
      <w:r>
        <w:rPr>
          <w:rFonts w:ascii="Arial" w:cs="Arial" w:eastAsia="Arial" w:hAnsi="Arial"/>
          <w:sz w:val="11"/>
          <w:szCs w:val="11"/>
          <w:color w:val="262626"/>
        </w:rPr>
        <w:t>reimbursement of taxes related to work performed in Massachusetts of $357; and</w:t>
      </w:r>
    </w:p>
    <w:p>
      <w:pPr>
        <w:spacing w:after="0" w:line="99" w:lineRule="exact"/>
        <w:rPr>
          <w:rFonts w:ascii="Arial" w:cs="Arial" w:eastAsia="Arial" w:hAnsi="Arial"/>
          <w:sz w:val="11"/>
          <w:szCs w:val="11"/>
          <w:color w:val="262626"/>
        </w:rPr>
      </w:pPr>
    </w:p>
    <w:p>
      <w:pPr>
        <w:ind w:left="880" w:right="3560" w:firstLine="98"/>
        <w:spacing w:after="0" w:line="426" w:lineRule="auto"/>
        <w:tabs>
          <w:tab w:leader="none" w:pos="1155" w:val="left"/>
        </w:tabs>
        <w:numPr>
          <w:ilvl w:val="0"/>
          <w:numId w:val="63"/>
        </w:numPr>
        <w:rPr>
          <w:rFonts w:ascii="Arial" w:cs="Arial" w:eastAsia="Arial" w:hAnsi="Arial"/>
          <w:sz w:val="11"/>
          <w:szCs w:val="11"/>
          <w:color w:val="262626"/>
        </w:rPr>
      </w:pPr>
      <w:r>
        <w:rPr>
          <w:rFonts w:ascii="Arial" w:cs="Arial" w:eastAsia="Arial" w:hAnsi="Arial"/>
          <w:sz w:val="11"/>
          <w:szCs w:val="11"/>
          <w:color w:val="262626"/>
        </w:rPr>
        <w:t>matching contributions made under the Company’s §401(k) Plan, which is generally available to our eligible employees, of $8,250. The following amounts for 2018 are included in “All Other Compensation” for Ms. Whittemore:</w:t>
      </w:r>
    </w:p>
    <w:p>
      <w:pPr>
        <w:ind w:left="1100" w:hanging="122"/>
        <w:spacing w:after="0"/>
        <w:tabs>
          <w:tab w:leader="none" w:pos="1100" w:val="left"/>
        </w:tabs>
        <w:numPr>
          <w:ilvl w:val="0"/>
          <w:numId w:val="64"/>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$11,250;</w:t>
      </w:r>
    </w:p>
    <w:p>
      <w:pPr>
        <w:spacing w:after="0" w:line="98" w:lineRule="exact"/>
        <w:rPr>
          <w:rFonts w:ascii="Arial" w:cs="Arial" w:eastAsia="Arial" w:hAnsi="Arial"/>
          <w:sz w:val="11"/>
          <w:szCs w:val="11"/>
          <w:color w:val="262626"/>
        </w:rPr>
      </w:pPr>
    </w:p>
    <w:p>
      <w:pPr>
        <w:ind w:left="1120" w:hanging="142"/>
        <w:spacing w:after="0"/>
        <w:tabs>
          <w:tab w:leader="none" w:pos="1120" w:val="left"/>
        </w:tabs>
        <w:numPr>
          <w:ilvl w:val="0"/>
          <w:numId w:val="64"/>
        </w:numPr>
        <w:rPr>
          <w:rFonts w:ascii="Arial" w:cs="Arial" w:eastAsia="Arial" w:hAnsi="Arial"/>
          <w:sz w:val="11"/>
          <w:szCs w:val="11"/>
          <w:color w:val="262626"/>
        </w:rPr>
      </w:pPr>
      <w:r>
        <w:rPr>
          <w:rFonts w:ascii="Arial" w:cs="Arial" w:eastAsia="Arial" w:hAnsi="Arial"/>
          <w:sz w:val="11"/>
          <w:szCs w:val="11"/>
          <w:color w:val="262626"/>
        </w:rPr>
        <w:t>insurance premiums for executive life insurance of $907; and</w:t>
      </w:r>
    </w:p>
    <w:p>
      <w:pPr>
        <w:spacing w:after="0" w:line="99" w:lineRule="exact"/>
        <w:rPr>
          <w:rFonts w:ascii="Arial" w:cs="Arial" w:eastAsia="Arial" w:hAnsi="Arial"/>
          <w:sz w:val="11"/>
          <w:szCs w:val="11"/>
          <w:color w:val="262626"/>
        </w:rPr>
      </w:pPr>
    </w:p>
    <w:p>
      <w:pPr>
        <w:ind w:left="880" w:right="5840" w:firstLine="98"/>
        <w:spacing w:after="0" w:line="469" w:lineRule="auto"/>
        <w:tabs>
          <w:tab w:leader="none" w:pos="1149" w:val="left"/>
        </w:tabs>
        <w:numPr>
          <w:ilvl w:val="0"/>
          <w:numId w:val="64"/>
        </w:numPr>
        <w:rPr>
          <w:rFonts w:ascii="Arial" w:cs="Arial" w:eastAsia="Arial" w:hAnsi="Arial"/>
          <w:sz w:val="10"/>
          <w:szCs w:val="10"/>
          <w:color w:val="262626"/>
        </w:rPr>
      </w:pPr>
      <w:r>
        <w:rPr>
          <w:rFonts w:ascii="Arial" w:cs="Arial" w:eastAsia="Arial" w:hAnsi="Arial"/>
          <w:sz w:val="10"/>
          <w:szCs w:val="10"/>
          <w:color w:val="262626"/>
        </w:rPr>
        <w:t>reimbursement of taxes related to work performed in Massachusetts of $1,993. The following amounts for 2018 are included in “All Other Compensation” for Mr. Wynn:</w:t>
      </w:r>
    </w:p>
    <w:p>
      <w:pPr>
        <w:ind w:left="1100" w:hanging="122"/>
        <w:spacing w:after="0"/>
        <w:tabs>
          <w:tab w:leader="none" w:pos="1100" w:val="left"/>
        </w:tabs>
        <w:numPr>
          <w:ilvl w:val="0"/>
          <w:numId w:val="65"/>
        </w:numPr>
        <w:rPr>
          <w:rFonts w:ascii="Arial" w:cs="Arial" w:eastAsia="Arial" w:hAnsi="Arial"/>
          <w:sz w:val="11"/>
          <w:szCs w:val="11"/>
          <w:color w:val="262626"/>
        </w:rPr>
      </w:pPr>
      <w:r>
        <w:rPr>
          <w:rFonts w:ascii="Arial" w:cs="Arial" w:eastAsia="Arial" w:hAnsi="Arial"/>
          <w:sz w:val="11"/>
          <w:szCs w:val="11"/>
          <w:color w:val="262626"/>
        </w:rPr>
        <w:t>personal use of Company aircraft of $87,725 (Mr. Wynn received no tax gross ups relating to the value of aircraft usage that is imputed to him as compensation);</w:t>
      </w:r>
    </w:p>
    <w:p>
      <w:pPr>
        <w:spacing w:after="0" w:line="98" w:lineRule="exact"/>
        <w:rPr>
          <w:rFonts w:ascii="Arial" w:cs="Arial" w:eastAsia="Arial" w:hAnsi="Arial"/>
          <w:sz w:val="11"/>
          <w:szCs w:val="11"/>
          <w:color w:val="262626"/>
        </w:rPr>
      </w:pPr>
    </w:p>
    <w:p>
      <w:pPr>
        <w:ind w:left="1120" w:hanging="142"/>
        <w:spacing w:after="0"/>
        <w:tabs>
          <w:tab w:leader="none" w:pos="1120" w:val="left"/>
        </w:tabs>
        <w:numPr>
          <w:ilvl w:val="0"/>
          <w:numId w:val="65"/>
        </w:numPr>
        <w:rPr>
          <w:rFonts w:ascii="Arial" w:cs="Arial" w:eastAsia="Arial" w:hAnsi="Arial"/>
          <w:sz w:val="11"/>
          <w:szCs w:val="11"/>
          <w:color w:val="262626"/>
        </w:rPr>
      </w:pPr>
      <w:r>
        <w:rPr>
          <w:rFonts w:ascii="Arial" w:cs="Arial" w:eastAsia="Arial" w:hAnsi="Arial"/>
          <w:sz w:val="11"/>
          <w:szCs w:val="11"/>
          <w:color w:val="262626"/>
        </w:rPr>
        <w:t>insurance premiums for executive life insurance of $5,150;</w:t>
      </w:r>
    </w:p>
    <w:p>
      <w:pPr>
        <w:spacing w:after="0" w:line="200" w:lineRule="exact"/>
        <w:rPr>
          <w:sz w:val="20"/>
          <w:szCs w:val="20"/>
          <w:color w:val="auto"/>
        </w:rPr>
      </w:pPr>
    </w:p>
    <w:p>
      <w:pPr>
        <w:spacing w:after="0" w:line="316"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39</w:t>
      </w:r>
    </w:p>
    <w:p>
      <w:pPr>
        <w:sectPr>
          <w:pgSz w:w="11900" w:h="16838" w:orient="portrait"/>
          <w:cols w:equalWidth="0" w:num="1">
            <w:col w:w="10800"/>
          </w:cols>
          <w:pgMar w:left="240" w:top="453" w:right="8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Executive compensation tables</w:t>
      </w:r>
    </w:p>
    <w:p>
      <w:pPr>
        <w:spacing w:after="0" w:line="309" w:lineRule="exact"/>
        <w:rPr>
          <w:sz w:val="20"/>
          <w:szCs w:val="20"/>
          <w:color w:val="auto"/>
        </w:rPr>
      </w:pPr>
    </w:p>
    <w:p>
      <w:pPr>
        <w:ind w:left="1140" w:hanging="162"/>
        <w:spacing w:after="0"/>
        <w:tabs>
          <w:tab w:leader="none" w:pos="1140" w:val="left"/>
        </w:tabs>
        <w:numPr>
          <w:ilvl w:val="0"/>
          <w:numId w:val="66"/>
        </w:numPr>
        <w:rPr>
          <w:rFonts w:ascii="Arial" w:cs="Arial" w:eastAsia="Arial" w:hAnsi="Arial"/>
          <w:sz w:val="11"/>
          <w:szCs w:val="11"/>
          <w:color w:val="262626"/>
        </w:rPr>
      </w:pPr>
      <w:r>
        <w:rPr>
          <w:rFonts w:ascii="Arial" w:cs="Arial" w:eastAsia="Arial" w:hAnsi="Arial"/>
          <w:sz w:val="11"/>
          <w:szCs w:val="11"/>
          <w:color w:val="262626"/>
        </w:rPr>
        <w:t>post-employment medical premiums of $51,942;</w:t>
      </w:r>
    </w:p>
    <w:p>
      <w:pPr>
        <w:spacing w:after="0" w:line="98" w:lineRule="exact"/>
        <w:rPr>
          <w:rFonts w:ascii="Arial" w:cs="Arial" w:eastAsia="Arial" w:hAnsi="Arial"/>
          <w:sz w:val="11"/>
          <w:szCs w:val="11"/>
          <w:color w:val="262626"/>
        </w:rPr>
      </w:pPr>
    </w:p>
    <w:p>
      <w:pPr>
        <w:ind w:left="1160" w:hanging="182"/>
        <w:spacing w:after="0"/>
        <w:tabs>
          <w:tab w:leader="none" w:pos="1160" w:val="left"/>
        </w:tabs>
        <w:numPr>
          <w:ilvl w:val="0"/>
          <w:numId w:val="66"/>
        </w:numPr>
        <w:rPr>
          <w:rFonts w:ascii="Arial" w:cs="Arial" w:eastAsia="Arial" w:hAnsi="Arial"/>
          <w:sz w:val="11"/>
          <w:szCs w:val="11"/>
          <w:color w:val="262626"/>
        </w:rPr>
      </w:pPr>
      <w:r>
        <w:rPr>
          <w:rFonts w:ascii="Arial" w:cs="Arial" w:eastAsia="Arial" w:hAnsi="Arial"/>
          <w:sz w:val="11"/>
          <w:szCs w:val="11"/>
          <w:color w:val="262626"/>
        </w:rPr>
        <w:t>allocated compensation and benefits for the personal use of a driver whom we employed for Mr. Wynn and the personal use of vehicles of $73,497;</w:t>
      </w:r>
    </w:p>
    <w:p>
      <w:pPr>
        <w:spacing w:after="0" w:line="98" w:lineRule="exact"/>
        <w:rPr>
          <w:rFonts w:ascii="Arial" w:cs="Arial" w:eastAsia="Arial" w:hAnsi="Arial"/>
          <w:sz w:val="11"/>
          <w:szCs w:val="11"/>
          <w:color w:val="262626"/>
        </w:rPr>
      </w:pPr>
    </w:p>
    <w:p>
      <w:pPr>
        <w:ind w:left="1140" w:hanging="162"/>
        <w:spacing w:after="0"/>
        <w:tabs>
          <w:tab w:leader="none" w:pos="1140" w:val="left"/>
        </w:tabs>
        <w:numPr>
          <w:ilvl w:val="0"/>
          <w:numId w:val="66"/>
        </w:numPr>
        <w:rPr>
          <w:rFonts w:ascii="Arial" w:cs="Arial" w:eastAsia="Arial" w:hAnsi="Arial"/>
          <w:sz w:val="11"/>
          <w:szCs w:val="11"/>
          <w:color w:val="262626"/>
        </w:rPr>
      </w:pPr>
      <w:r>
        <w:rPr>
          <w:rFonts w:ascii="Arial" w:cs="Arial" w:eastAsia="Arial" w:hAnsi="Arial"/>
          <w:sz w:val="11"/>
          <w:szCs w:val="11"/>
          <w:color w:val="262626"/>
        </w:rPr>
        <w:t>reimbursement of taxes related to work performed in Massachusetts of $19,553; and</w:t>
      </w:r>
    </w:p>
    <w:p>
      <w:pPr>
        <w:spacing w:after="0" w:line="98" w:lineRule="exact"/>
        <w:rPr>
          <w:rFonts w:ascii="Arial" w:cs="Arial" w:eastAsia="Arial" w:hAnsi="Arial"/>
          <w:sz w:val="11"/>
          <w:szCs w:val="11"/>
          <w:color w:val="262626"/>
        </w:rPr>
      </w:pPr>
    </w:p>
    <w:p>
      <w:pPr>
        <w:ind w:left="1160" w:hanging="182"/>
        <w:spacing w:after="0"/>
        <w:tabs>
          <w:tab w:leader="none" w:pos="1160" w:val="left"/>
        </w:tabs>
        <w:numPr>
          <w:ilvl w:val="0"/>
          <w:numId w:val="66"/>
        </w:numPr>
        <w:rPr>
          <w:rFonts w:ascii="Arial" w:cs="Arial" w:eastAsia="Arial" w:hAnsi="Arial"/>
          <w:sz w:val="11"/>
          <w:szCs w:val="11"/>
          <w:color w:val="262626"/>
        </w:rPr>
      </w:pPr>
      <w:r>
        <w:rPr>
          <w:rFonts w:ascii="Arial" w:cs="Arial" w:eastAsia="Arial" w:hAnsi="Arial"/>
          <w:sz w:val="11"/>
          <w:szCs w:val="11"/>
          <w:color w:val="262626"/>
        </w:rPr>
        <w:t>other compensation totaling $417.</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color w:val="262626"/>
        </w:rPr>
        <w:t>The following amounts for 2018 are included in “All Other Compensation” for Ms. Sinatra:</w:t>
      </w:r>
    </w:p>
    <w:p>
      <w:pPr>
        <w:spacing w:after="0" w:line="99" w:lineRule="exact"/>
        <w:rPr>
          <w:sz w:val="20"/>
          <w:szCs w:val="20"/>
          <w:color w:val="auto"/>
        </w:rPr>
      </w:pPr>
    </w:p>
    <w:p>
      <w:pPr>
        <w:ind w:left="1100" w:hanging="122"/>
        <w:spacing w:after="0"/>
        <w:tabs>
          <w:tab w:leader="none" w:pos="1100" w:val="left"/>
        </w:tabs>
        <w:numPr>
          <w:ilvl w:val="1"/>
          <w:numId w:val="67"/>
        </w:numPr>
        <w:rPr>
          <w:rFonts w:ascii="Arial" w:cs="Arial" w:eastAsia="Arial" w:hAnsi="Arial"/>
          <w:sz w:val="11"/>
          <w:szCs w:val="11"/>
          <w:color w:val="262626"/>
        </w:rPr>
      </w:pPr>
      <w:r>
        <w:rPr>
          <w:rFonts w:ascii="Arial" w:cs="Arial" w:eastAsia="Arial" w:hAnsi="Arial"/>
          <w:sz w:val="11"/>
          <w:szCs w:val="11"/>
          <w:color w:val="262626"/>
        </w:rPr>
        <w:t>accrued cash dividends on unvested restricted stock of $49,108;</w:t>
      </w:r>
    </w:p>
    <w:p>
      <w:pPr>
        <w:spacing w:after="0" w:line="98" w:lineRule="exact"/>
        <w:rPr>
          <w:rFonts w:ascii="Arial" w:cs="Arial" w:eastAsia="Arial" w:hAnsi="Arial"/>
          <w:sz w:val="11"/>
          <w:szCs w:val="11"/>
          <w:color w:val="262626"/>
        </w:rPr>
      </w:pPr>
    </w:p>
    <w:p>
      <w:pPr>
        <w:ind w:left="1120" w:hanging="142"/>
        <w:spacing w:after="0"/>
        <w:tabs>
          <w:tab w:leader="none" w:pos="1120" w:val="left"/>
        </w:tabs>
        <w:numPr>
          <w:ilvl w:val="1"/>
          <w:numId w:val="67"/>
        </w:numPr>
        <w:rPr>
          <w:rFonts w:ascii="Arial" w:cs="Arial" w:eastAsia="Arial" w:hAnsi="Arial"/>
          <w:sz w:val="11"/>
          <w:szCs w:val="11"/>
          <w:color w:val="262626"/>
        </w:rPr>
      </w:pPr>
      <w:r>
        <w:rPr>
          <w:rFonts w:ascii="Arial" w:cs="Arial" w:eastAsia="Arial" w:hAnsi="Arial"/>
          <w:sz w:val="11"/>
          <w:szCs w:val="11"/>
          <w:color w:val="262626"/>
        </w:rPr>
        <w:t>insurance premiums for executive life insurance of $3,063;</w:t>
      </w:r>
    </w:p>
    <w:p>
      <w:pPr>
        <w:spacing w:after="0" w:line="98" w:lineRule="exact"/>
        <w:rPr>
          <w:rFonts w:ascii="Arial" w:cs="Arial" w:eastAsia="Arial" w:hAnsi="Arial"/>
          <w:sz w:val="11"/>
          <w:szCs w:val="11"/>
          <w:color w:val="262626"/>
        </w:rPr>
      </w:pPr>
    </w:p>
    <w:p>
      <w:pPr>
        <w:ind w:left="1140" w:hanging="162"/>
        <w:spacing w:after="0"/>
        <w:tabs>
          <w:tab w:leader="none" w:pos="1140" w:val="left"/>
        </w:tabs>
        <w:numPr>
          <w:ilvl w:val="1"/>
          <w:numId w:val="67"/>
        </w:numPr>
        <w:rPr>
          <w:rFonts w:ascii="Arial" w:cs="Arial" w:eastAsia="Arial" w:hAnsi="Arial"/>
          <w:sz w:val="11"/>
          <w:szCs w:val="11"/>
          <w:color w:val="262626"/>
        </w:rPr>
      </w:pPr>
      <w:r>
        <w:rPr>
          <w:rFonts w:ascii="Arial" w:cs="Arial" w:eastAsia="Arial" w:hAnsi="Arial"/>
          <w:sz w:val="11"/>
          <w:szCs w:val="11"/>
          <w:color w:val="262626"/>
        </w:rPr>
        <w:t>post-employment medical premiums of $23,610;</w:t>
      </w:r>
    </w:p>
    <w:p>
      <w:pPr>
        <w:spacing w:after="0" w:line="98" w:lineRule="exact"/>
        <w:rPr>
          <w:rFonts w:ascii="Arial" w:cs="Arial" w:eastAsia="Arial" w:hAnsi="Arial"/>
          <w:sz w:val="11"/>
          <w:szCs w:val="11"/>
          <w:color w:val="262626"/>
        </w:rPr>
      </w:pPr>
    </w:p>
    <w:p>
      <w:pPr>
        <w:ind w:left="1160" w:hanging="182"/>
        <w:spacing w:after="0"/>
        <w:tabs>
          <w:tab w:leader="none" w:pos="1160" w:val="left"/>
        </w:tabs>
        <w:numPr>
          <w:ilvl w:val="1"/>
          <w:numId w:val="67"/>
        </w:numPr>
        <w:rPr>
          <w:rFonts w:ascii="Arial" w:cs="Arial" w:eastAsia="Arial" w:hAnsi="Arial"/>
          <w:sz w:val="11"/>
          <w:szCs w:val="11"/>
          <w:color w:val="262626"/>
        </w:rPr>
      </w:pPr>
      <w:r>
        <w:rPr>
          <w:rFonts w:ascii="Arial" w:cs="Arial" w:eastAsia="Arial" w:hAnsi="Arial"/>
          <w:sz w:val="11"/>
          <w:szCs w:val="11"/>
          <w:color w:val="262626"/>
        </w:rPr>
        <w:t>reimbursement of taxes related to work performed in Massachusetts of $17,184; and</w:t>
      </w:r>
    </w:p>
    <w:p>
      <w:pPr>
        <w:spacing w:after="0" w:line="98" w:lineRule="exact"/>
        <w:rPr>
          <w:rFonts w:ascii="Arial" w:cs="Arial" w:eastAsia="Arial" w:hAnsi="Arial"/>
          <w:sz w:val="11"/>
          <w:szCs w:val="11"/>
          <w:color w:val="262626"/>
        </w:rPr>
      </w:pPr>
    </w:p>
    <w:p>
      <w:pPr>
        <w:ind w:left="1140" w:hanging="162"/>
        <w:spacing w:after="0"/>
        <w:tabs>
          <w:tab w:leader="none" w:pos="1140" w:val="left"/>
        </w:tabs>
        <w:numPr>
          <w:ilvl w:val="1"/>
          <w:numId w:val="67"/>
        </w:numPr>
        <w:rPr>
          <w:rFonts w:ascii="Arial" w:cs="Arial" w:eastAsia="Arial" w:hAnsi="Arial"/>
          <w:sz w:val="11"/>
          <w:szCs w:val="11"/>
          <w:color w:val="262626"/>
        </w:rPr>
      </w:pPr>
      <w:r>
        <w:rPr>
          <w:rFonts w:ascii="Arial" w:cs="Arial" w:eastAsia="Arial" w:hAnsi="Arial"/>
          <w:sz w:val="11"/>
          <w:szCs w:val="11"/>
          <w:color w:val="262626"/>
        </w:rPr>
        <w:t>severance payments of $1,814,000.</w:t>
      </w:r>
    </w:p>
    <w:p>
      <w:pPr>
        <w:spacing w:after="0" w:line="98" w:lineRule="exact"/>
        <w:rPr>
          <w:rFonts w:ascii="Arial" w:cs="Arial" w:eastAsia="Arial" w:hAnsi="Arial"/>
          <w:sz w:val="11"/>
          <w:szCs w:val="11"/>
          <w:color w:val="262626"/>
        </w:rPr>
      </w:pPr>
    </w:p>
    <w:p>
      <w:pPr>
        <w:ind w:left="920" w:hanging="139"/>
        <w:spacing w:after="0"/>
        <w:tabs>
          <w:tab w:leader="none" w:pos="920" w:val="left"/>
        </w:tabs>
        <w:numPr>
          <w:ilvl w:val="0"/>
          <w:numId w:val="68"/>
        </w:numPr>
        <w:rPr>
          <w:rFonts w:ascii="Arial" w:cs="Arial" w:eastAsia="Arial" w:hAnsi="Arial"/>
          <w:sz w:val="9"/>
          <w:szCs w:val="9"/>
          <w:color w:val="262626"/>
        </w:rPr>
      </w:pPr>
      <w:r>
        <w:rPr>
          <w:rFonts w:ascii="Arial" w:cs="Arial" w:eastAsia="Arial" w:hAnsi="Arial"/>
          <w:sz w:val="11"/>
          <w:szCs w:val="11"/>
          <w:color w:val="262626"/>
        </w:rPr>
        <w:t>Mr. Maddox was appointed to serve as Chief Executive Officer effective February 6,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68"/>
        </w:numPr>
        <w:rPr>
          <w:rFonts w:ascii="Arial" w:cs="Arial" w:eastAsia="Arial" w:hAnsi="Arial"/>
          <w:sz w:val="9"/>
          <w:szCs w:val="9"/>
          <w:color w:val="262626"/>
        </w:rPr>
      </w:pPr>
      <w:r>
        <w:rPr>
          <w:rFonts w:ascii="Arial" w:cs="Arial" w:eastAsia="Arial" w:hAnsi="Arial"/>
          <w:sz w:val="11"/>
          <w:szCs w:val="11"/>
          <w:color w:val="262626"/>
        </w:rPr>
        <w:t>Ms. Whittemore joined the Company as EVP, General Counsel and Secretary on July 16, 2018.</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68"/>
        </w:numPr>
        <w:rPr>
          <w:rFonts w:ascii="Arial" w:cs="Arial" w:eastAsia="Arial" w:hAnsi="Arial"/>
          <w:sz w:val="9"/>
          <w:szCs w:val="9"/>
          <w:color w:val="262626"/>
        </w:rPr>
      </w:pPr>
      <w:r>
        <w:rPr>
          <w:rFonts w:ascii="Arial" w:cs="Arial" w:eastAsia="Arial" w:hAnsi="Arial"/>
          <w:sz w:val="11"/>
          <w:szCs w:val="11"/>
          <w:color w:val="262626"/>
        </w:rPr>
        <w:t>Mr. Wynn resigned as Chairman of the Board and Chief Executive Officer effective February 6,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68"/>
        </w:numPr>
        <w:rPr>
          <w:rFonts w:ascii="Arial" w:cs="Arial" w:eastAsia="Arial" w:hAnsi="Arial"/>
          <w:sz w:val="9"/>
          <w:szCs w:val="9"/>
          <w:color w:val="262626"/>
        </w:rPr>
      </w:pPr>
      <w:r>
        <w:rPr>
          <w:rFonts w:ascii="Arial" w:cs="Arial" w:eastAsia="Arial" w:hAnsi="Arial"/>
          <w:sz w:val="11"/>
          <w:szCs w:val="11"/>
          <w:color w:val="262626"/>
        </w:rPr>
        <w:t>Ms. Sinatra left the Company on August 3, 2018.</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DISCUSSION OF SUMMARY COMPENSATION TABLE</w:t>
      </w:r>
    </w:p>
    <w:p>
      <w:pPr>
        <w:spacing w:after="0" w:line="92" w:lineRule="exact"/>
        <w:rPr>
          <w:sz w:val="20"/>
          <w:szCs w:val="20"/>
          <w:color w:val="auto"/>
        </w:rPr>
      </w:pPr>
    </w:p>
    <w:p>
      <w:pPr>
        <w:ind w:left="780" w:right="400"/>
        <w:spacing w:after="0" w:line="249" w:lineRule="auto"/>
        <w:rPr>
          <w:sz w:val="20"/>
          <w:szCs w:val="20"/>
          <w:color w:val="auto"/>
        </w:rPr>
      </w:pPr>
      <w:r>
        <w:rPr>
          <w:rFonts w:ascii="Arial" w:cs="Arial" w:eastAsia="Arial" w:hAnsi="Arial"/>
          <w:sz w:val="14"/>
          <w:szCs w:val="14"/>
          <w:color w:val="262626"/>
        </w:rPr>
        <w:t>In 2018, each of the NEOs received a base salary in accordance with the terms of his or her employment agreement, as approved by the Compensation Committee. Key terms of the agreements, as in effect on 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121285</wp:posOffset>
            </wp:positionV>
            <wp:extent cx="5273040" cy="176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73040" cy="176530"/>
                    </a:xfrm>
                    <a:prstGeom prst="rect">
                      <a:avLst/>
                    </a:prstGeom>
                    <a:noFill/>
                  </pic:spPr>
                </pic:pic>
              </a:graphicData>
            </a:graphic>
          </wp:anchor>
        </w:drawing>
      </w:r>
    </w:p>
    <w:p>
      <w:pPr>
        <w:sectPr>
          <w:pgSz w:w="11900" w:h="16838" w:orient="portrait"/>
          <w:cols w:equalWidth="0" w:num="1">
            <w:col w:w="10660"/>
          </w:cols>
          <w:pgMar w:left="240" w:top="453" w:right="999" w:bottom="1440" w:gutter="0" w:footer="0" w:header="0"/>
        </w:sect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8"/>
          <w:szCs w:val="8"/>
          <w:b w:val="1"/>
          <w:bCs w:val="1"/>
          <w:color w:val="FFFFFF"/>
        </w:rPr>
        <w:t>NAMED EXECUTIVE OFFICER</w:t>
      </w:r>
    </w:p>
    <w:p>
      <w:pPr>
        <w:spacing w:after="0" w:line="87"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5273040" cy="1263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73040" cy="126365"/>
                    </a:xfrm>
                    <a:prstGeom prst="rect">
                      <a:avLst/>
                    </a:prstGeom>
                    <a:noFill/>
                  </pic:spPr>
                </pic:pic>
              </a:graphicData>
            </a:graphic>
          </wp:anchor>
        </w:drawing>
      </w:r>
    </w:p>
    <w:p>
      <w:pPr>
        <w:spacing w:after="0" w:line="5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Craig Billings</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31115</wp:posOffset>
            </wp:positionV>
            <wp:extent cx="5273040" cy="1263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73040" cy="126365"/>
                    </a:xfrm>
                    <a:prstGeom prst="rect">
                      <a:avLst/>
                    </a:prstGeom>
                    <a:noFill/>
                  </pic:spPr>
                </pic:pic>
              </a:graphicData>
            </a:graphic>
          </wp:anchor>
        </w:drawing>
      </w:r>
    </w:p>
    <w:p>
      <w:pPr>
        <w:spacing w:after="0" w:line="5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Stephen A. Wynn</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1"/>
          <w:szCs w:val="11"/>
          <w:color w:val="262626"/>
        </w:rPr>
        <w:t>Kimmarie Sinatra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780" w:type="dxa"/>
            <w:vAlign w:val="bottom"/>
            <w:shd w:val="clear" w:color="auto" w:fill="A39B8C"/>
          </w:tcPr>
          <w:p>
            <w:pPr>
              <w:jc w:val="right"/>
              <w:ind w:right="150"/>
              <w:spacing w:after="0"/>
              <w:rPr>
                <w:sz w:val="20"/>
                <w:szCs w:val="20"/>
                <w:color w:val="auto"/>
              </w:rPr>
            </w:pPr>
            <w:r>
              <w:rPr>
                <w:rFonts w:ascii="Arial" w:cs="Arial" w:eastAsia="Arial" w:hAnsi="Arial"/>
                <w:sz w:val="9"/>
                <w:szCs w:val="9"/>
                <w:b w:val="1"/>
                <w:bCs w:val="1"/>
                <w:color w:val="FFFFFF"/>
              </w:rPr>
              <w:t>CONTRACT</w:t>
            </w:r>
          </w:p>
        </w:tc>
        <w:tc>
          <w:tcPr>
            <w:tcW w:w="140" w:type="dxa"/>
            <w:vAlign w:val="bottom"/>
            <w:shd w:val="clear" w:color="auto" w:fill="A39B8C"/>
          </w:tcPr>
          <w:p>
            <w:pPr>
              <w:spacing w:after="0"/>
              <w:rPr>
                <w:sz w:val="10"/>
                <w:szCs w:val="10"/>
                <w:color w:val="auto"/>
              </w:rPr>
            </w:pPr>
          </w:p>
        </w:tc>
        <w:tc>
          <w:tcPr>
            <w:tcW w:w="620" w:type="dxa"/>
            <w:vAlign w:val="bottom"/>
            <w:shd w:val="clear" w:color="auto" w:fill="A39B8C"/>
          </w:tcPr>
          <w:p>
            <w:pPr>
              <w:spacing w:after="0"/>
              <w:rPr>
                <w:sz w:val="10"/>
                <w:szCs w:val="10"/>
                <w:color w:val="auto"/>
              </w:rPr>
            </w:pPr>
          </w:p>
        </w:tc>
        <w:tc>
          <w:tcPr>
            <w:tcW w:w="20" w:type="dxa"/>
            <w:vAlign w:val="bottom"/>
            <w:shd w:val="clear" w:color="auto" w:fill="A39B8C"/>
          </w:tcPr>
          <w:p>
            <w:pPr>
              <w:spacing w:after="0"/>
              <w:rPr>
                <w:sz w:val="10"/>
                <w:szCs w:val="10"/>
                <w:color w:val="auto"/>
              </w:rPr>
            </w:pPr>
          </w:p>
        </w:tc>
      </w:tr>
      <w:tr>
        <w:trPr>
          <w:trHeight w:val="136"/>
        </w:trPr>
        <w:tc>
          <w:tcPr>
            <w:tcW w:w="780" w:type="dxa"/>
            <w:vAlign w:val="bottom"/>
            <w:tcBorders>
              <w:bottom w:val="single" w:sz="8" w:color="A39B8C"/>
            </w:tcBorders>
            <w:shd w:val="clear" w:color="auto" w:fill="A39B8C"/>
          </w:tcPr>
          <w:p>
            <w:pPr>
              <w:jc w:val="right"/>
              <w:ind w:right="130"/>
              <w:spacing w:after="0"/>
              <w:rPr>
                <w:sz w:val="20"/>
                <w:szCs w:val="20"/>
                <w:color w:val="auto"/>
              </w:rPr>
            </w:pPr>
            <w:r>
              <w:rPr>
                <w:rFonts w:ascii="Arial" w:cs="Arial" w:eastAsia="Arial" w:hAnsi="Arial"/>
                <w:sz w:val="9"/>
                <w:szCs w:val="9"/>
                <w:b w:val="1"/>
                <w:bCs w:val="1"/>
                <w:color w:val="FFFFFF"/>
              </w:rPr>
              <w:t>EXPIRATION</w:t>
            </w:r>
          </w:p>
        </w:tc>
        <w:tc>
          <w:tcPr>
            <w:tcW w:w="760" w:type="dxa"/>
            <w:vAlign w:val="bottom"/>
            <w:tcBorders>
              <w:bottom w:val="single" w:sz="8" w:color="A39B8C"/>
            </w:tcBorders>
            <w:gridSpan w:val="2"/>
            <w:shd w:val="clear" w:color="auto" w:fill="A39B8C"/>
          </w:tcPr>
          <w:p>
            <w:pPr>
              <w:ind w:left="40"/>
              <w:spacing w:after="0"/>
              <w:rPr>
                <w:sz w:val="20"/>
                <w:szCs w:val="20"/>
                <w:color w:val="auto"/>
              </w:rPr>
            </w:pPr>
            <w:r>
              <w:rPr>
                <w:rFonts w:ascii="Arial" w:cs="Arial" w:eastAsia="Arial" w:hAnsi="Arial"/>
                <w:sz w:val="9"/>
                <w:szCs w:val="9"/>
                <w:b w:val="1"/>
                <w:bCs w:val="1"/>
                <w:color w:val="FFFFFF"/>
              </w:rPr>
              <w:t>BASE SALARY</w:t>
            </w:r>
          </w:p>
        </w:tc>
        <w:tc>
          <w:tcPr>
            <w:tcW w:w="20" w:type="dxa"/>
            <w:vAlign w:val="bottom"/>
            <w:tcBorders>
              <w:bottom w:val="single" w:sz="8" w:color="A39B8C"/>
            </w:tcBorders>
            <w:shd w:val="clear" w:color="auto" w:fill="A39B8C"/>
          </w:tcPr>
          <w:p>
            <w:pPr>
              <w:spacing w:after="0"/>
              <w:rPr>
                <w:sz w:val="11"/>
                <w:szCs w:val="11"/>
                <w:color w:val="auto"/>
              </w:rPr>
            </w:pPr>
          </w:p>
        </w:tc>
      </w:tr>
      <w:tr>
        <w:trPr>
          <w:trHeight w:val="149"/>
        </w:trPr>
        <w:tc>
          <w:tcPr>
            <w:tcW w:w="780" w:type="dxa"/>
            <w:vAlign w:val="bottom"/>
          </w:tcPr>
          <w:p>
            <w:pPr>
              <w:jc w:val="right"/>
              <w:ind w:right="130"/>
              <w:spacing w:after="0"/>
              <w:rPr>
                <w:sz w:val="20"/>
                <w:szCs w:val="20"/>
                <w:color w:val="auto"/>
              </w:rPr>
            </w:pPr>
            <w:r>
              <w:rPr>
                <w:rFonts w:ascii="Arial" w:cs="Arial" w:eastAsia="Arial" w:hAnsi="Arial"/>
                <w:sz w:val="11"/>
                <w:szCs w:val="11"/>
                <w:color w:val="262626"/>
              </w:rPr>
              <w:t>2/27/21</w:t>
            </w:r>
          </w:p>
        </w:tc>
        <w:tc>
          <w:tcPr>
            <w:tcW w:w="140" w:type="dxa"/>
            <w:vAlign w:val="bottom"/>
          </w:tcPr>
          <w:p>
            <w:pPr>
              <w:ind w:left="40"/>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47"/>
              <w:spacing w:after="0"/>
              <w:rPr>
                <w:sz w:val="20"/>
                <w:szCs w:val="20"/>
                <w:color w:val="auto"/>
              </w:rPr>
            </w:pPr>
            <w:r>
              <w:rPr>
                <w:rFonts w:ascii="Arial" w:cs="Arial" w:eastAsia="Arial" w:hAnsi="Arial"/>
                <w:sz w:val="11"/>
                <w:szCs w:val="11"/>
                <w:color w:val="262626"/>
              </w:rPr>
              <w:t>2,000,000</w:t>
            </w:r>
          </w:p>
        </w:tc>
        <w:tc>
          <w:tcPr>
            <w:tcW w:w="20" w:type="dxa"/>
            <w:vAlign w:val="bottom"/>
          </w:tcPr>
          <w:p>
            <w:pPr>
              <w:spacing w:after="0"/>
              <w:rPr>
                <w:sz w:val="12"/>
                <w:szCs w:val="12"/>
                <w:color w:val="auto"/>
              </w:rPr>
            </w:pPr>
          </w:p>
        </w:tc>
      </w:tr>
      <w:tr>
        <w:trPr>
          <w:trHeight w:val="4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80" w:type="dxa"/>
            <w:vAlign w:val="bottom"/>
            <w:tcBorders>
              <w:bottom w:val="single" w:sz="8" w:color="ECEBE8"/>
            </w:tcBorders>
            <w:shd w:val="clear" w:color="auto" w:fill="ECEBE8"/>
          </w:tcPr>
          <w:p>
            <w:pPr>
              <w:jc w:val="right"/>
              <w:ind w:right="130"/>
              <w:spacing w:after="0"/>
              <w:rPr>
                <w:sz w:val="20"/>
                <w:szCs w:val="20"/>
                <w:color w:val="auto"/>
              </w:rPr>
            </w:pPr>
            <w:r>
              <w:rPr>
                <w:rFonts w:ascii="Arial" w:cs="Arial" w:eastAsia="Arial" w:hAnsi="Arial"/>
                <w:sz w:val="11"/>
                <w:szCs w:val="11"/>
                <w:color w:val="262626"/>
              </w:rPr>
              <w:t>3/1/21</w:t>
            </w:r>
          </w:p>
        </w:tc>
        <w:tc>
          <w:tcPr>
            <w:tcW w:w="140" w:type="dxa"/>
            <w:vAlign w:val="bottom"/>
            <w:tcBorders>
              <w:bottom w:val="single" w:sz="8" w:color="ECEBE8"/>
            </w:tcBorders>
            <w:shd w:val="clear" w:color="auto" w:fill="ECEBE8"/>
          </w:tcPr>
          <w:p>
            <w:pPr>
              <w:ind w:left="40"/>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jc w:val="right"/>
              <w:ind w:right="47"/>
              <w:spacing w:after="0"/>
              <w:rPr>
                <w:sz w:val="20"/>
                <w:szCs w:val="20"/>
                <w:color w:val="auto"/>
              </w:rPr>
            </w:pPr>
            <w:r>
              <w:rPr>
                <w:rFonts w:ascii="Arial" w:cs="Arial" w:eastAsia="Arial" w:hAnsi="Arial"/>
                <w:sz w:val="11"/>
                <w:szCs w:val="11"/>
                <w:color w:val="262626"/>
              </w:rPr>
              <w:t>875,000</w:t>
            </w:r>
          </w:p>
        </w:tc>
        <w:tc>
          <w:tcPr>
            <w:tcW w:w="20" w:type="dxa"/>
            <w:vAlign w:val="bottom"/>
          </w:tcPr>
          <w:p>
            <w:pPr>
              <w:spacing w:after="0"/>
              <w:rPr>
                <w:sz w:val="15"/>
                <w:szCs w:val="15"/>
                <w:color w:val="auto"/>
              </w:rPr>
            </w:pPr>
          </w:p>
        </w:tc>
      </w:tr>
      <w:tr>
        <w:trPr>
          <w:trHeight w:val="149"/>
        </w:trPr>
        <w:tc>
          <w:tcPr>
            <w:tcW w:w="780" w:type="dxa"/>
            <w:vAlign w:val="bottom"/>
          </w:tcPr>
          <w:p>
            <w:pPr>
              <w:jc w:val="right"/>
              <w:ind w:right="130"/>
              <w:spacing w:after="0"/>
              <w:rPr>
                <w:sz w:val="20"/>
                <w:szCs w:val="20"/>
                <w:color w:val="auto"/>
              </w:rPr>
            </w:pPr>
            <w:r>
              <w:rPr>
                <w:rFonts w:ascii="Arial" w:cs="Arial" w:eastAsia="Arial" w:hAnsi="Arial"/>
                <w:sz w:val="11"/>
                <w:szCs w:val="11"/>
                <w:color w:val="262626"/>
              </w:rPr>
              <w:t>7/16/22</w:t>
            </w:r>
          </w:p>
        </w:tc>
        <w:tc>
          <w:tcPr>
            <w:tcW w:w="140" w:type="dxa"/>
            <w:vAlign w:val="bottom"/>
          </w:tcPr>
          <w:p>
            <w:pPr>
              <w:ind w:left="40"/>
              <w:spacing w:after="0"/>
              <w:rPr>
                <w:sz w:val="20"/>
                <w:szCs w:val="20"/>
                <w:color w:val="auto"/>
              </w:rPr>
            </w:pPr>
            <w:r>
              <w:rPr>
                <w:rFonts w:ascii="Arial" w:cs="Arial" w:eastAsia="Arial" w:hAnsi="Arial"/>
                <w:sz w:val="11"/>
                <w:szCs w:val="11"/>
                <w:color w:val="262626"/>
              </w:rPr>
              <w:t>$</w:t>
            </w:r>
          </w:p>
        </w:tc>
        <w:tc>
          <w:tcPr>
            <w:tcW w:w="620" w:type="dxa"/>
            <w:vAlign w:val="bottom"/>
          </w:tcPr>
          <w:p>
            <w:pPr>
              <w:jc w:val="right"/>
              <w:ind w:right="47"/>
              <w:spacing w:after="0"/>
              <w:rPr>
                <w:sz w:val="20"/>
                <w:szCs w:val="20"/>
                <w:color w:val="auto"/>
              </w:rPr>
            </w:pPr>
            <w:r>
              <w:rPr>
                <w:rFonts w:ascii="Arial" w:cs="Arial" w:eastAsia="Arial" w:hAnsi="Arial"/>
                <w:sz w:val="11"/>
                <w:szCs w:val="11"/>
                <w:color w:val="262626"/>
              </w:rPr>
              <w:t>600,000</w:t>
            </w:r>
          </w:p>
        </w:tc>
        <w:tc>
          <w:tcPr>
            <w:tcW w:w="20" w:type="dxa"/>
            <w:vAlign w:val="bottom"/>
          </w:tcPr>
          <w:p>
            <w:pPr>
              <w:spacing w:after="0"/>
              <w:rPr>
                <w:sz w:val="12"/>
                <w:szCs w:val="12"/>
                <w:color w:val="auto"/>
              </w:rPr>
            </w:pPr>
          </w:p>
        </w:tc>
      </w:tr>
      <w:tr>
        <w:trPr>
          <w:trHeight w:val="4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80" w:type="dxa"/>
            <w:vAlign w:val="bottom"/>
            <w:tcBorders>
              <w:bottom w:val="single" w:sz="8" w:color="ECEBE8"/>
            </w:tcBorders>
            <w:shd w:val="clear" w:color="auto" w:fill="ECEBE8"/>
          </w:tcPr>
          <w:p>
            <w:pPr>
              <w:jc w:val="right"/>
              <w:ind w:right="10"/>
              <w:spacing w:after="0"/>
              <w:rPr>
                <w:sz w:val="20"/>
                <w:szCs w:val="20"/>
                <w:color w:val="auto"/>
              </w:rPr>
            </w:pPr>
            <w:r>
              <w:rPr>
                <w:rFonts w:ascii="Arial" w:cs="Arial" w:eastAsia="Arial" w:hAnsi="Arial"/>
                <w:sz w:val="11"/>
                <w:szCs w:val="11"/>
                <w:color w:val="262626"/>
              </w:rPr>
              <w:t>N/A</w:t>
            </w:r>
            <w:r>
              <w:rPr>
                <w:rFonts w:ascii="Arial" w:cs="Arial" w:eastAsia="Arial" w:hAnsi="Arial"/>
                <w:sz w:val="9"/>
                <w:szCs w:val="9"/>
                <w:color w:val="262626"/>
              </w:rPr>
              <w:t>(1)</w:t>
            </w:r>
          </w:p>
        </w:tc>
        <w:tc>
          <w:tcPr>
            <w:tcW w:w="140" w:type="dxa"/>
            <w:vAlign w:val="bottom"/>
            <w:tcBorders>
              <w:bottom w:val="single" w:sz="8" w:color="ECEBE8"/>
            </w:tcBorders>
            <w:shd w:val="clear" w:color="auto" w:fill="ECEBE8"/>
          </w:tcPr>
          <w:p>
            <w:pPr>
              <w:spacing w:after="0"/>
              <w:rPr>
                <w:sz w:val="15"/>
                <w:szCs w:val="15"/>
                <w:color w:val="auto"/>
              </w:rPr>
            </w:pPr>
          </w:p>
        </w:tc>
        <w:tc>
          <w:tcPr>
            <w:tcW w:w="620" w:type="dxa"/>
            <w:vAlign w:val="bottom"/>
            <w:tcBorders>
              <w:bottom w:val="single" w:sz="8" w:color="ECEBE8"/>
            </w:tcBorders>
            <w:shd w:val="clear" w:color="auto" w:fill="ECEBE8"/>
          </w:tcPr>
          <w:p>
            <w:pPr>
              <w:jc w:val="right"/>
              <w:ind w:right="47"/>
              <w:spacing w:after="0"/>
              <w:rPr>
                <w:sz w:val="20"/>
                <w:szCs w:val="20"/>
                <w:color w:val="auto"/>
              </w:rPr>
            </w:pPr>
            <w:r>
              <w:rPr>
                <w:rFonts w:ascii="Arial" w:cs="Arial" w:eastAsia="Arial" w:hAnsi="Arial"/>
                <w:sz w:val="11"/>
                <w:szCs w:val="11"/>
                <w:color w:val="262626"/>
              </w:rPr>
              <w:t>N/A</w:t>
            </w:r>
          </w:p>
        </w:tc>
        <w:tc>
          <w:tcPr>
            <w:tcW w:w="20" w:type="dxa"/>
            <w:vAlign w:val="bottom"/>
          </w:tcPr>
          <w:p>
            <w:pPr>
              <w:spacing w:after="0"/>
              <w:rPr>
                <w:sz w:val="15"/>
                <w:szCs w:val="15"/>
                <w:color w:val="auto"/>
              </w:rPr>
            </w:pPr>
          </w:p>
        </w:tc>
      </w:tr>
      <w:tr>
        <w:trPr>
          <w:trHeight w:val="149"/>
        </w:trPr>
        <w:tc>
          <w:tcPr>
            <w:tcW w:w="780" w:type="dxa"/>
            <w:vAlign w:val="bottom"/>
          </w:tcPr>
          <w:p>
            <w:pPr>
              <w:jc w:val="right"/>
              <w:ind w:right="10"/>
              <w:spacing w:after="0"/>
              <w:rPr>
                <w:sz w:val="20"/>
                <w:szCs w:val="20"/>
                <w:color w:val="auto"/>
              </w:rPr>
            </w:pPr>
            <w:r>
              <w:rPr>
                <w:rFonts w:ascii="Arial" w:cs="Arial" w:eastAsia="Arial" w:hAnsi="Arial"/>
                <w:sz w:val="11"/>
                <w:szCs w:val="11"/>
                <w:color w:val="262626"/>
              </w:rPr>
              <w:t>N/A</w:t>
            </w:r>
            <w:r>
              <w:rPr>
                <w:rFonts w:ascii="Arial" w:cs="Arial" w:eastAsia="Arial" w:hAnsi="Arial"/>
                <w:sz w:val="9"/>
                <w:szCs w:val="9"/>
                <w:color w:val="262626"/>
              </w:rPr>
              <w:t>(2)</w:t>
            </w:r>
          </w:p>
        </w:tc>
        <w:tc>
          <w:tcPr>
            <w:tcW w:w="140" w:type="dxa"/>
            <w:vAlign w:val="bottom"/>
          </w:tcPr>
          <w:p>
            <w:pPr>
              <w:spacing w:after="0"/>
              <w:rPr>
                <w:sz w:val="12"/>
                <w:szCs w:val="12"/>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262626"/>
              </w:rPr>
              <w:t>N/A</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-615315</wp:posOffset>
            </wp:positionV>
            <wp:extent cx="825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380" w:space="720"/>
            <w:col w:w="1560"/>
          </w:cols>
          <w:pgMar w:left="240" w:top="453" w:right="999" w:bottom="1440" w:gutter="0" w:footer="0" w:header="0"/>
          <w:type w:val="continuous"/>
        </w:sectPr>
      </w:pPr>
    </w:p>
    <w:p>
      <w:pPr>
        <w:ind w:left="920" w:hanging="139"/>
        <w:spacing w:after="0"/>
        <w:tabs>
          <w:tab w:leader="none" w:pos="920" w:val="left"/>
        </w:tabs>
        <w:numPr>
          <w:ilvl w:val="0"/>
          <w:numId w:val="69"/>
        </w:numPr>
        <w:rPr>
          <w:rFonts w:ascii="Arial" w:cs="Arial" w:eastAsia="Arial" w:hAnsi="Arial"/>
          <w:sz w:val="9"/>
          <w:szCs w:val="9"/>
          <w:color w:val="262626"/>
        </w:rPr>
      </w:pPr>
      <w:r>
        <w:rPr>
          <w:rFonts w:ascii="Arial" w:cs="Arial" w:eastAsia="Arial" w:hAnsi="Arial"/>
          <w:sz w:val="11"/>
          <w:szCs w:val="11"/>
          <w:color w:val="262626"/>
        </w:rPr>
        <w:t>Mr. Wynn left the Company on February 6, 2018.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69"/>
        </w:numPr>
        <w:rPr>
          <w:rFonts w:ascii="Arial" w:cs="Arial" w:eastAsia="Arial" w:hAnsi="Arial"/>
          <w:sz w:val="9"/>
          <w:szCs w:val="9"/>
          <w:color w:val="262626"/>
        </w:rPr>
      </w:pPr>
      <w:r>
        <w:rPr>
          <w:rFonts w:ascii="Arial" w:cs="Arial" w:eastAsia="Arial" w:hAnsi="Arial"/>
          <w:sz w:val="11"/>
          <w:szCs w:val="11"/>
          <w:color w:val="262626"/>
        </w:rPr>
        <w:t>Ms. Sinatra left the Company on August 3, 2018.</w:t>
      </w:r>
    </w:p>
    <w:p>
      <w:pPr>
        <w:spacing w:after="0" w:line="173" w:lineRule="exact"/>
        <w:rPr>
          <w:sz w:val="20"/>
          <w:szCs w:val="20"/>
          <w:color w:val="auto"/>
        </w:rPr>
      </w:pPr>
    </w:p>
    <w:p>
      <w:pPr>
        <w:ind w:left="780" w:right="320"/>
        <w:spacing w:after="0" w:line="241" w:lineRule="auto"/>
        <w:rPr>
          <w:sz w:val="20"/>
          <w:szCs w:val="20"/>
          <w:color w:val="auto"/>
        </w:rPr>
      </w:pPr>
      <w:r>
        <w:rPr>
          <w:rFonts w:ascii="Arial" w:cs="Arial" w:eastAsia="Arial" w:hAnsi="Arial"/>
          <w:sz w:val="14"/>
          <w:szCs w:val="14"/>
          <w:color w:val="262626"/>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2018 GRANTS OF PLAN-BASED AWARDS TABLE</w:t>
      </w:r>
    </w:p>
    <w:p>
      <w:pPr>
        <w:spacing w:after="0" w:line="79" w:lineRule="exact"/>
        <w:rPr>
          <w:sz w:val="20"/>
          <w:szCs w:val="20"/>
          <w:color w:val="auto"/>
        </w:rPr>
      </w:pPr>
    </w:p>
    <w:p>
      <w:pPr>
        <w:ind w:left="780" w:right="80"/>
        <w:spacing w:after="0" w:line="243" w:lineRule="auto"/>
        <w:rPr>
          <w:sz w:val="20"/>
          <w:szCs w:val="20"/>
          <w:color w:val="auto"/>
        </w:rPr>
      </w:pPr>
      <w:r>
        <w:rPr>
          <w:rFonts w:ascii="Arial" w:cs="Arial" w:eastAsia="Arial" w:hAnsi="Arial"/>
          <w:sz w:val="14"/>
          <w:szCs w:val="14"/>
          <w:color w:val="262626"/>
        </w:rPr>
        <w:t>The Omnibus Plan rewards management for creation of superior return to shareholders, measured by the operating performance of our resorts. The amounts shown in the table below reflect potential payments. Actual payouts are reflected in the “Stock Awards” and “Non-Equity Incentive Plan” columns of the Summary Compensation table.</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22"/>
        </w:trPr>
        <w:tc>
          <w:tcPr>
            <w:tcW w:w="4780" w:type="dxa"/>
            <w:vAlign w:val="bottom"/>
            <w:shd w:val="clear" w:color="auto" w:fill="A39B8C"/>
          </w:tcPr>
          <w:p>
            <w:pPr>
              <w:spacing w:after="0"/>
              <w:rPr>
                <w:sz w:val="10"/>
                <w:szCs w:val="10"/>
                <w:color w:val="auto"/>
              </w:rPr>
            </w:pPr>
          </w:p>
        </w:tc>
        <w:tc>
          <w:tcPr>
            <w:tcW w:w="720" w:type="dxa"/>
            <w:vAlign w:val="bottom"/>
            <w:shd w:val="clear" w:color="auto" w:fill="A39B8C"/>
          </w:tcPr>
          <w:p>
            <w:pPr>
              <w:spacing w:after="0"/>
              <w:rPr>
                <w:sz w:val="10"/>
                <w:szCs w:val="10"/>
                <w:color w:val="auto"/>
              </w:rPr>
            </w:pPr>
          </w:p>
        </w:tc>
        <w:tc>
          <w:tcPr>
            <w:tcW w:w="780" w:type="dxa"/>
            <w:vAlign w:val="bottom"/>
            <w:shd w:val="clear" w:color="auto" w:fill="A39B8C"/>
          </w:tcPr>
          <w:p>
            <w:pPr>
              <w:spacing w:after="0"/>
              <w:rPr>
                <w:sz w:val="10"/>
                <w:szCs w:val="10"/>
                <w:color w:val="auto"/>
              </w:rPr>
            </w:pPr>
          </w:p>
        </w:tc>
        <w:tc>
          <w:tcPr>
            <w:tcW w:w="900" w:type="dxa"/>
            <w:vAlign w:val="bottom"/>
            <w:shd w:val="clear" w:color="auto" w:fill="A39B8C"/>
          </w:tcPr>
          <w:p>
            <w:pPr>
              <w:spacing w:after="0"/>
              <w:rPr>
                <w:sz w:val="10"/>
                <w:szCs w:val="10"/>
                <w:color w:val="auto"/>
              </w:rPr>
            </w:pPr>
          </w:p>
        </w:tc>
        <w:tc>
          <w:tcPr>
            <w:tcW w:w="180" w:type="dxa"/>
            <w:vAlign w:val="bottom"/>
            <w:shd w:val="clear" w:color="auto" w:fill="A39B8C"/>
          </w:tcPr>
          <w:p>
            <w:pPr>
              <w:spacing w:after="0"/>
              <w:rPr>
                <w:sz w:val="10"/>
                <w:szCs w:val="10"/>
                <w:color w:val="auto"/>
              </w:rPr>
            </w:pPr>
          </w:p>
        </w:tc>
        <w:tc>
          <w:tcPr>
            <w:tcW w:w="580" w:type="dxa"/>
            <w:vAlign w:val="bottom"/>
            <w:shd w:val="clear" w:color="auto" w:fill="A39B8C"/>
          </w:tcPr>
          <w:p>
            <w:pPr>
              <w:spacing w:after="0"/>
              <w:rPr>
                <w:sz w:val="10"/>
                <w:szCs w:val="10"/>
                <w:color w:val="auto"/>
              </w:rPr>
            </w:pPr>
          </w:p>
        </w:tc>
        <w:tc>
          <w:tcPr>
            <w:tcW w:w="620" w:type="dxa"/>
            <w:vAlign w:val="bottom"/>
            <w:shd w:val="clear" w:color="auto" w:fill="A39B8C"/>
          </w:tcPr>
          <w:p>
            <w:pPr>
              <w:spacing w:after="0"/>
              <w:rPr>
                <w:sz w:val="10"/>
                <w:szCs w:val="10"/>
                <w:color w:val="auto"/>
              </w:rPr>
            </w:pPr>
          </w:p>
        </w:tc>
        <w:tc>
          <w:tcPr>
            <w:tcW w:w="500" w:type="dxa"/>
            <w:vAlign w:val="bottom"/>
            <w:shd w:val="clear" w:color="auto" w:fill="A39B8C"/>
          </w:tcPr>
          <w:p>
            <w:pPr>
              <w:spacing w:after="0"/>
              <w:rPr>
                <w:sz w:val="10"/>
                <w:szCs w:val="10"/>
                <w:color w:val="auto"/>
              </w:rPr>
            </w:pPr>
          </w:p>
        </w:tc>
        <w:tc>
          <w:tcPr>
            <w:tcW w:w="800" w:type="dxa"/>
            <w:vAlign w:val="bottom"/>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GRANT DATE</w:t>
            </w:r>
          </w:p>
        </w:tc>
      </w:tr>
      <w:tr>
        <w:trPr>
          <w:trHeight w:val="93"/>
        </w:trPr>
        <w:tc>
          <w:tcPr>
            <w:tcW w:w="4780" w:type="dxa"/>
            <w:vAlign w:val="bottom"/>
            <w:shd w:val="clear" w:color="auto" w:fill="A39B8C"/>
          </w:tcPr>
          <w:p>
            <w:pPr>
              <w:spacing w:after="0"/>
              <w:rPr>
                <w:sz w:val="8"/>
                <w:szCs w:val="8"/>
                <w:color w:val="auto"/>
              </w:rPr>
            </w:pPr>
          </w:p>
        </w:tc>
        <w:tc>
          <w:tcPr>
            <w:tcW w:w="720" w:type="dxa"/>
            <w:vAlign w:val="bottom"/>
            <w:shd w:val="clear" w:color="auto" w:fill="A39B8C"/>
          </w:tcPr>
          <w:p>
            <w:pPr>
              <w:spacing w:after="0"/>
              <w:rPr>
                <w:sz w:val="8"/>
                <w:szCs w:val="8"/>
                <w:color w:val="auto"/>
              </w:rPr>
            </w:pPr>
          </w:p>
        </w:tc>
        <w:tc>
          <w:tcPr>
            <w:tcW w:w="780" w:type="dxa"/>
            <w:vAlign w:val="bottom"/>
            <w:shd w:val="clear" w:color="auto" w:fill="A39B8C"/>
          </w:tcPr>
          <w:p>
            <w:pPr>
              <w:spacing w:after="0"/>
              <w:rPr>
                <w:sz w:val="8"/>
                <w:szCs w:val="8"/>
                <w:color w:val="auto"/>
              </w:rPr>
            </w:pPr>
          </w:p>
        </w:tc>
        <w:tc>
          <w:tcPr>
            <w:tcW w:w="900" w:type="dxa"/>
            <w:vAlign w:val="bottom"/>
            <w:shd w:val="clear" w:color="auto" w:fill="A39B8C"/>
          </w:tcPr>
          <w:p>
            <w:pPr>
              <w:spacing w:after="0"/>
              <w:rPr>
                <w:sz w:val="8"/>
                <w:szCs w:val="8"/>
                <w:color w:val="auto"/>
              </w:rPr>
            </w:pPr>
          </w:p>
        </w:tc>
        <w:tc>
          <w:tcPr>
            <w:tcW w:w="180" w:type="dxa"/>
            <w:vAlign w:val="bottom"/>
            <w:shd w:val="clear" w:color="auto" w:fill="A39B8C"/>
          </w:tcPr>
          <w:p>
            <w:pPr>
              <w:spacing w:after="0"/>
              <w:rPr>
                <w:sz w:val="8"/>
                <w:szCs w:val="8"/>
                <w:color w:val="auto"/>
              </w:rPr>
            </w:pPr>
          </w:p>
        </w:tc>
        <w:tc>
          <w:tcPr>
            <w:tcW w:w="580" w:type="dxa"/>
            <w:vAlign w:val="bottom"/>
            <w:shd w:val="clear" w:color="auto" w:fill="A39B8C"/>
          </w:tcPr>
          <w:p>
            <w:pPr>
              <w:spacing w:after="0"/>
              <w:rPr>
                <w:sz w:val="8"/>
                <w:szCs w:val="8"/>
                <w:color w:val="auto"/>
              </w:rPr>
            </w:pPr>
          </w:p>
        </w:tc>
        <w:tc>
          <w:tcPr>
            <w:tcW w:w="1120" w:type="dxa"/>
            <w:vAlign w:val="bottom"/>
            <w:gridSpan w:val="2"/>
            <w:shd w:val="clear" w:color="auto" w:fill="A39B8C"/>
          </w:tcPr>
          <w:p>
            <w:pPr>
              <w:jc w:val="right"/>
              <w:ind w:right="129"/>
              <w:spacing w:after="0" w:line="93" w:lineRule="exact"/>
              <w:rPr>
                <w:sz w:val="20"/>
                <w:szCs w:val="20"/>
                <w:color w:val="auto"/>
              </w:rPr>
            </w:pPr>
            <w:r>
              <w:rPr>
                <w:rFonts w:ascii="Arial" w:cs="Arial" w:eastAsia="Arial" w:hAnsi="Arial"/>
                <w:sz w:val="9"/>
                <w:szCs w:val="9"/>
                <w:b w:val="1"/>
                <w:bCs w:val="1"/>
                <w:color w:val="FFFFFF"/>
              </w:rPr>
              <w:t>ALL OTHER STOCK</w:t>
            </w:r>
          </w:p>
        </w:tc>
        <w:tc>
          <w:tcPr>
            <w:tcW w:w="800" w:type="dxa"/>
            <w:vAlign w:val="bottom"/>
            <w:shd w:val="clear" w:color="auto" w:fill="A39B8C"/>
          </w:tcPr>
          <w:p>
            <w:pPr>
              <w:jc w:val="right"/>
              <w:ind w:right="93"/>
              <w:spacing w:after="0" w:line="93" w:lineRule="exact"/>
              <w:rPr>
                <w:sz w:val="20"/>
                <w:szCs w:val="20"/>
                <w:color w:val="auto"/>
              </w:rPr>
            </w:pPr>
            <w:r>
              <w:rPr>
                <w:rFonts w:ascii="Arial" w:cs="Arial" w:eastAsia="Arial" w:hAnsi="Arial"/>
                <w:sz w:val="9"/>
                <w:szCs w:val="9"/>
                <w:b w:val="1"/>
                <w:bCs w:val="1"/>
                <w:color w:val="FFFFFF"/>
              </w:rPr>
              <w:t>FAIR</w:t>
            </w:r>
          </w:p>
        </w:tc>
      </w:tr>
      <w:tr>
        <w:trPr>
          <w:trHeight w:val="93"/>
        </w:trPr>
        <w:tc>
          <w:tcPr>
            <w:tcW w:w="4780" w:type="dxa"/>
            <w:vAlign w:val="bottom"/>
            <w:shd w:val="clear" w:color="auto" w:fill="A39B8C"/>
          </w:tcPr>
          <w:p>
            <w:pPr>
              <w:spacing w:after="0"/>
              <w:rPr>
                <w:sz w:val="8"/>
                <w:szCs w:val="8"/>
                <w:color w:val="auto"/>
              </w:rPr>
            </w:pPr>
          </w:p>
        </w:tc>
        <w:tc>
          <w:tcPr>
            <w:tcW w:w="720" w:type="dxa"/>
            <w:vAlign w:val="bottom"/>
            <w:shd w:val="clear" w:color="auto" w:fill="A39B8C"/>
          </w:tcPr>
          <w:p>
            <w:pPr>
              <w:spacing w:after="0"/>
              <w:rPr>
                <w:sz w:val="8"/>
                <w:szCs w:val="8"/>
                <w:color w:val="auto"/>
              </w:rPr>
            </w:pPr>
          </w:p>
        </w:tc>
        <w:tc>
          <w:tcPr>
            <w:tcW w:w="780" w:type="dxa"/>
            <w:vAlign w:val="bottom"/>
            <w:shd w:val="clear" w:color="auto" w:fill="A39B8C"/>
          </w:tcPr>
          <w:p>
            <w:pPr>
              <w:spacing w:after="0"/>
              <w:rPr>
                <w:sz w:val="8"/>
                <w:szCs w:val="8"/>
                <w:color w:val="auto"/>
              </w:rPr>
            </w:pPr>
          </w:p>
        </w:tc>
        <w:tc>
          <w:tcPr>
            <w:tcW w:w="1660" w:type="dxa"/>
            <w:vAlign w:val="bottom"/>
            <w:gridSpan w:val="3"/>
            <w:shd w:val="clear" w:color="auto" w:fill="A39B8C"/>
          </w:tcPr>
          <w:p>
            <w:pPr>
              <w:jc w:val="right"/>
              <w:ind w:right="51"/>
              <w:spacing w:after="0" w:line="93" w:lineRule="exact"/>
              <w:rPr>
                <w:sz w:val="20"/>
                <w:szCs w:val="20"/>
                <w:color w:val="auto"/>
              </w:rPr>
            </w:pPr>
            <w:r>
              <w:rPr>
                <w:rFonts w:ascii="Arial" w:cs="Arial" w:eastAsia="Arial" w:hAnsi="Arial"/>
                <w:sz w:val="9"/>
                <w:szCs w:val="9"/>
                <w:b w:val="1"/>
                <w:bCs w:val="1"/>
                <w:color w:val="FFFFFF"/>
              </w:rPr>
              <w:t>ESTIMATED FUTURE PAYOUTS</w:t>
            </w:r>
          </w:p>
        </w:tc>
        <w:tc>
          <w:tcPr>
            <w:tcW w:w="1120" w:type="dxa"/>
            <w:vAlign w:val="bottom"/>
            <w:gridSpan w:val="2"/>
            <w:shd w:val="clear" w:color="auto" w:fill="A39B8C"/>
          </w:tcPr>
          <w:p>
            <w:pPr>
              <w:jc w:val="right"/>
              <w:ind w:right="129"/>
              <w:spacing w:after="0" w:line="93" w:lineRule="exact"/>
              <w:rPr>
                <w:sz w:val="20"/>
                <w:szCs w:val="20"/>
                <w:color w:val="auto"/>
              </w:rPr>
            </w:pPr>
            <w:r>
              <w:rPr>
                <w:rFonts w:ascii="Arial" w:cs="Arial" w:eastAsia="Arial" w:hAnsi="Arial"/>
                <w:sz w:val="9"/>
                <w:szCs w:val="9"/>
                <w:b w:val="1"/>
                <w:bCs w:val="1"/>
                <w:color w:val="FFFFFF"/>
              </w:rPr>
              <w:t>AWARDS:</w:t>
            </w:r>
          </w:p>
        </w:tc>
        <w:tc>
          <w:tcPr>
            <w:tcW w:w="800" w:type="dxa"/>
            <w:vAlign w:val="bottom"/>
            <w:shd w:val="clear" w:color="auto" w:fill="A39B8C"/>
          </w:tcPr>
          <w:p>
            <w:pPr>
              <w:jc w:val="right"/>
              <w:ind w:right="93"/>
              <w:spacing w:after="0" w:line="93" w:lineRule="exact"/>
              <w:rPr>
                <w:sz w:val="20"/>
                <w:szCs w:val="20"/>
                <w:color w:val="auto"/>
              </w:rPr>
            </w:pPr>
            <w:r>
              <w:rPr>
                <w:rFonts w:ascii="Arial" w:cs="Arial" w:eastAsia="Arial" w:hAnsi="Arial"/>
                <w:sz w:val="9"/>
                <w:szCs w:val="9"/>
                <w:b w:val="1"/>
                <w:bCs w:val="1"/>
                <w:color w:val="FFFFFF"/>
              </w:rPr>
              <w:t>VALUE OF</w:t>
            </w:r>
          </w:p>
        </w:tc>
      </w:tr>
      <w:tr>
        <w:trPr>
          <w:trHeight w:val="93"/>
        </w:trPr>
        <w:tc>
          <w:tcPr>
            <w:tcW w:w="4780" w:type="dxa"/>
            <w:vAlign w:val="bottom"/>
            <w:shd w:val="clear" w:color="auto" w:fill="A39B8C"/>
          </w:tcPr>
          <w:p>
            <w:pPr>
              <w:spacing w:after="0"/>
              <w:rPr>
                <w:sz w:val="8"/>
                <w:szCs w:val="8"/>
                <w:color w:val="auto"/>
              </w:rPr>
            </w:pPr>
          </w:p>
        </w:tc>
        <w:tc>
          <w:tcPr>
            <w:tcW w:w="720" w:type="dxa"/>
            <w:vAlign w:val="bottom"/>
            <w:shd w:val="clear" w:color="auto" w:fill="A39B8C"/>
          </w:tcPr>
          <w:p>
            <w:pPr>
              <w:spacing w:after="0"/>
              <w:rPr>
                <w:sz w:val="8"/>
                <w:szCs w:val="8"/>
                <w:color w:val="auto"/>
              </w:rPr>
            </w:pPr>
          </w:p>
        </w:tc>
        <w:tc>
          <w:tcPr>
            <w:tcW w:w="780" w:type="dxa"/>
            <w:vAlign w:val="bottom"/>
            <w:shd w:val="clear" w:color="auto" w:fill="A39B8C"/>
          </w:tcPr>
          <w:p>
            <w:pPr>
              <w:spacing w:after="0"/>
              <w:rPr>
                <w:sz w:val="8"/>
                <w:szCs w:val="8"/>
                <w:color w:val="auto"/>
              </w:rPr>
            </w:pPr>
          </w:p>
        </w:tc>
        <w:tc>
          <w:tcPr>
            <w:tcW w:w="1660" w:type="dxa"/>
            <w:vAlign w:val="bottom"/>
            <w:gridSpan w:val="3"/>
            <w:shd w:val="clear" w:color="auto" w:fill="A39B8C"/>
          </w:tcPr>
          <w:p>
            <w:pPr>
              <w:jc w:val="right"/>
              <w:ind w:right="51"/>
              <w:spacing w:after="0" w:line="93" w:lineRule="exact"/>
              <w:rPr>
                <w:sz w:val="20"/>
                <w:szCs w:val="20"/>
                <w:color w:val="auto"/>
              </w:rPr>
            </w:pPr>
            <w:r>
              <w:rPr>
                <w:rFonts w:ascii="Arial" w:cs="Arial" w:eastAsia="Arial" w:hAnsi="Arial"/>
                <w:sz w:val="9"/>
                <w:szCs w:val="9"/>
                <w:b w:val="1"/>
                <w:bCs w:val="1"/>
                <w:color w:val="FFFFFF"/>
              </w:rPr>
              <w:t>UNDER NON-EQUITY</w:t>
            </w:r>
          </w:p>
        </w:tc>
        <w:tc>
          <w:tcPr>
            <w:tcW w:w="1120" w:type="dxa"/>
            <w:vAlign w:val="bottom"/>
            <w:gridSpan w:val="2"/>
            <w:shd w:val="clear" w:color="auto" w:fill="A39B8C"/>
          </w:tcPr>
          <w:p>
            <w:pPr>
              <w:jc w:val="right"/>
              <w:ind w:right="129"/>
              <w:spacing w:after="0" w:line="93" w:lineRule="exact"/>
              <w:rPr>
                <w:sz w:val="20"/>
                <w:szCs w:val="20"/>
                <w:color w:val="auto"/>
              </w:rPr>
            </w:pPr>
            <w:r>
              <w:rPr>
                <w:rFonts w:ascii="Arial" w:cs="Arial" w:eastAsia="Arial" w:hAnsi="Arial"/>
                <w:sz w:val="9"/>
                <w:szCs w:val="9"/>
                <w:b w:val="1"/>
                <w:bCs w:val="1"/>
                <w:color w:val="FFFFFF"/>
              </w:rPr>
              <w:t>NUMBER OF</w:t>
            </w:r>
          </w:p>
        </w:tc>
        <w:tc>
          <w:tcPr>
            <w:tcW w:w="800" w:type="dxa"/>
            <w:vAlign w:val="bottom"/>
            <w:shd w:val="clear" w:color="auto" w:fill="A39B8C"/>
          </w:tcPr>
          <w:p>
            <w:pPr>
              <w:jc w:val="right"/>
              <w:ind w:right="93"/>
              <w:spacing w:after="0" w:line="93" w:lineRule="exact"/>
              <w:rPr>
                <w:sz w:val="20"/>
                <w:szCs w:val="20"/>
                <w:color w:val="auto"/>
              </w:rPr>
            </w:pPr>
            <w:r>
              <w:rPr>
                <w:rFonts w:ascii="Arial" w:cs="Arial" w:eastAsia="Arial" w:hAnsi="Arial"/>
                <w:sz w:val="9"/>
                <w:szCs w:val="9"/>
                <w:b w:val="1"/>
                <w:bCs w:val="1"/>
                <w:color w:val="FFFFFF"/>
              </w:rPr>
              <w:t>STOCK</w:t>
            </w:r>
          </w:p>
        </w:tc>
      </w:tr>
      <w:tr>
        <w:trPr>
          <w:trHeight w:val="116"/>
        </w:trPr>
        <w:tc>
          <w:tcPr>
            <w:tcW w:w="4780" w:type="dxa"/>
            <w:vAlign w:val="bottom"/>
            <w:shd w:val="clear" w:color="auto" w:fill="A39B8C"/>
          </w:tcPr>
          <w:p>
            <w:pPr>
              <w:spacing w:after="0"/>
              <w:rPr>
                <w:sz w:val="10"/>
                <w:szCs w:val="10"/>
                <w:color w:val="auto"/>
              </w:rPr>
            </w:pPr>
          </w:p>
        </w:tc>
        <w:tc>
          <w:tcPr>
            <w:tcW w:w="720" w:type="dxa"/>
            <w:vAlign w:val="bottom"/>
            <w:shd w:val="clear" w:color="auto" w:fill="A39B8C"/>
          </w:tcPr>
          <w:p>
            <w:pPr>
              <w:spacing w:after="0"/>
              <w:rPr>
                <w:sz w:val="10"/>
                <w:szCs w:val="10"/>
                <w:color w:val="auto"/>
              </w:rPr>
            </w:pPr>
          </w:p>
        </w:tc>
        <w:tc>
          <w:tcPr>
            <w:tcW w:w="780" w:type="dxa"/>
            <w:vAlign w:val="bottom"/>
            <w:shd w:val="clear" w:color="auto" w:fill="A39B8C"/>
          </w:tcPr>
          <w:p>
            <w:pPr>
              <w:spacing w:after="0"/>
              <w:rPr>
                <w:sz w:val="10"/>
                <w:szCs w:val="10"/>
                <w:color w:val="auto"/>
              </w:rPr>
            </w:pPr>
          </w:p>
        </w:tc>
        <w:tc>
          <w:tcPr>
            <w:tcW w:w="1660" w:type="dxa"/>
            <w:vAlign w:val="bottom"/>
            <w:gridSpan w:val="3"/>
            <w:shd w:val="clear" w:color="auto" w:fill="A39B8C"/>
          </w:tcPr>
          <w:p>
            <w:pPr>
              <w:jc w:val="right"/>
              <w:ind w:right="51"/>
              <w:spacing w:after="0"/>
              <w:rPr>
                <w:sz w:val="20"/>
                <w:szCs w:val="20"/>
                <w:color w:val="auto"/>
              </w:rPr>
            </w:pPr>
            <w:r>
              <w:rPr>
                <w:rFonts w:ascii="Arial" w:cs="Arial" w:eastAsia="Arial" w:hAnsi="Arial"/>
                <w:sz w:val="9"/>
                <w:szCs w:val="9"/>
                <w:b w:val="1"/>
                <w:bCs w:val="1"/>
                <w:color w:val="FFFFFF"/>
              </w:rPr>
              <w:t>INCENTIVE PLAN AWARDS ($)</w:t>
            </w:r>
            <w:r>
              <w:rPr>
                <w:rFonts w:ascii="Arial" w:cs="Arial" w:eastAsia="Arial" w:hAnsi="Arial"/>
                <w:sz w:val="7"/>
                <w:szCs w:val="7"/>
                <w:b w:val="1"/>
                <w:bCs w:val="1"/>
                <w:color w:val="FFFFFF"/>
              </w:rPr>
              <w:t>(1)</w:t>
            </w:r>
          </w:p>
        </w:tc>
        <w:tc>
          <w:tcPr>
            <w:tcW w:w="1120" w:type="dxa"/>
            <w:vAlign w:val="bottom"/>
            <w:gridSpan w:val="2"/>
            <w:shd w:val="clear" w:color="auto" w:fill="A39B8C"/>
          </w:tcPr>
          <w:p>
            <w:pPr>
              <w:jc w:val="right"/>
              <w:ind w:right="129"/>
              <w:spacing w:after="0"/>
              <w:rPr>
                <w:sz w:val="20"/>
                <w:szCs w:val="20"/>
                <w:color w:val="auto"/>
              </w:rPr>
            </w:pPr>
            <w:r>
              <w:rPr>
                <w:rFonts w:ascii="Arial" w:cs="Arial" w:eastAsia="Arial" w:hAnsi="Arial"/>
                <w:sz w:val="9"/>
                <w:szCs w:val="9"/>
                <w:b w:val="1"/>
                <w:bCs w:val="1"/>
                <w:color w:val="FFFFFF"/>
              </w:rPr>
              <w:t>SHARES OF</w:t>
            </w:r>
          </w:p>
        </w:tc>
        <w:tc>
          <w:tcPr>
            <w:tcW w:w="800" w:type="dxa"/>
            <w:vAlign w:val="bottom"/>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AND OPTION</w:t>
            </w:r>
          </w:p>
        </w:tc>
      </w:tr>
      <w:tr>
        <w:trPr>
          <w:trHeight w:val="109"/>
        </w:trPr>
        <w:tc>
          <w:tcPr>
            <w:tcW w:w="4780" w:type="dxa"/>
            <w:vAlign w:val="bottom"/>
            <w:shd w:val="clear" w:color="auto" w:fill="A39B8C"/>
          </w:tcPr>
          <w:p>
            <w:pPr>
              <w:spacing w:after="0"/>
              <w:rPr>
                <w:sz w:val="9"/>
                <w:szCs w:val="9"/>
                <w:color w:val="auto"/>
              </w:rPr>
            </w:pPr>
          </w:p>
        </w:tc>
        <w:tc>
          <w:tcPr>
            <w:tcW w:w="720" w:type="dxa"/>
            <w:vAlign w:val="bottom"/>
            <w:shd w:val="clear" w:color="auto" w:fill="A39B8C"/>
          </w:tcPr>
          <w:p>
            <w:pPr>
              <w:jc w:val="right"/>
              <w:ind w:right="49"/>
              <w:spacing w:after="0"/>
              <w:rPr>
                <w:sz w:val="20"/>
                <w:szCs w:val="20"/>
                <w:color w:val="auto"/>
              </w:rPr>
            </w:pPr>
            <w:r>
              <w:rPr>
                <w:rFonts w:ascii="Arial" w:cs="Arial" w:eastAsia="Arial" w:hAnsi="Arial"/>
                <w:sz w:val="9"/>
                <w:szCs w:val="9"/>
                <w:b w:val="1"/>
                <w:bCs w:val="1"/>
                <w:color w:val="FFFFFF"/>
              </w:rPr>
              <w:t>GRANT</w:t>
            </w:r>
          </w:p>
        </w:tc>
        <w:tc>
          <w:tcPr>
            <w:tcW w:w="780" w:type="dxa"/>
            <w:vAlign w:val="bottom"/>
            <w:shd w:val="clear" w:color="auto" w:fill="A39B8C"/>
          </w:tcPr>
          <w:p>
            <w:pPr>
              <w:jc w:val="right"/>
              <w:spacing w:after="0"/>
              <w:rPr>
                <w:sz w:val="20"/>
                <w:szCs w:val="20"/>
                <w:color w:val="auto"/>
              </w:rPr>
            </w:pPr>
            <w:r>
              <w:rPr>
                <w:rFonts w:ascii="Arial" w:cs="Arial" w:eastAsia="Arial" w:hAnsi="Arial"/>
                <w:sz w:val="9"/>
                <w:szCs w:val="9"/>
                <w:b w:val="1"/>
                <w:bCs w:val="1"/>
                <w:color w:val="FFFFFF"/>
              </w:rPr>
              <w:t>THRESHOLD</w:t>
            </w:r>
          </w:p>
        </w:tc>
        <w:tc>
          <w:tcPr>
            <w:tcW w:w="900" w:type="dxa"/>
            <w:vAlign w:val="bottom"/>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TARGET</w:t>
            </w:r>
          </w:p>
        </w:tc>
        <w:tc>
          <w:tcPr>
            <w:tcW w:w="180" w:type="dxa"/>
            <w:vAlign w:val="bottom"/>
            <w:shd w:val="clear" w:color="auto" w:fill="A39B8C"/>
          </w:tcPr>
          <w:p>
            <w:pPr>
              <w:spacing w:after="0"/>
              <w:rPr>
                <w:sz w:val="9"/>
                <w:szCs w:val="9"/>
                <w:color w:val="auto"/>
              </w:rPr>
            </w:pPr>
          </w:p>
        </w:tc>
        <w:tc>
          <w:tcPr>
            <w:tcW w:w="580" w:type="dxa"/>
            <w:vAlign w:val="bottom"/>
            <w:shd w:val="clear" w:color="auto" w:fill="A39B8C"/>
          </w:tcPr>
          <w:p>
            <w:pPr>
              <w:jc w:val="right"/>
              <w:ind w:right="51"/>
              <w:spacing w:after="0"/>
              <w:rPr>
                <w:sz w:val="20"/>
                <w:szCs w:val="20"/>
                <w:color w:val="auto"/>
              </w:rPr>
            </w:pPr>
            <w:r>
              <w:rPr>
                <w:rFonts w:ascii="Arial" w:cs="Arial" w:eastAsia="Arial" w:hAnsi="Arial"/>
                <w:sz w:val="9"/>
                <w:szCs w:val="9"/>
                <w:b w:val="1"/>
                <w:bCs w:val="1"/>
                <w:color w:val="FFFFFF"/>
              </w:rPr>
              <w:t>MAXIMUM</w:t>
            </w:r>
          </w:p>
        </w:tc>
        <w:tc>
          <w:tcPr>
            <w:tcW w:w="1120" w:type="dxa"/>
            <w:vAlign w:val="bottom"/>
            <w:gridSpan w:val="2"/>
            <w:shd w:val="clear" w:color="auto" w:fill="A39B8C"/>
          </w:tcPr>
          <w:p>
            <w:pPr>
              <w:jc w:val="right"/>
              <w:ind w:right="129"/>
              <w:spacing w:after="0"/>
              <w:rPr>
                <w:sz w:val="20"/>
                <w:szCs w:val="20"/>
                <w:color w:val="auto"/>
              </w:rPr>
            </w:pPr>
            <w:r>
              <w:rPr>
                <w:rFonts w:ascii="Arial" w:cs="Arial" w:eastAsia="Arial" w:hAnsi="Arial"/>
                <w:sz w:val="9"/>
                <w:szCs w:val="9"/>
                <w:b w:val="1"/>
                <w:bCs w:val="1"/>
                <w:color w:val="FFFFFF"/>
              </w:rPr>
              <w:t>STOCK OR UNITS</w:t>
            </w:r>
          </w:p>
        </w:tc>
        <w:tc>
          <w:tcPr>
            <w:tcW w:w="800" w:type="dxa"/>
            <w:vAlign w:val="bottom"/>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AWARDS</w:t>
            </w:r>
          </w:p>
        </w:tc>
      </w:tr>
      <w:tr>
        <w:trPr>
          <w:trHeight w:val="149"/>
        </w:trPr>
        <w:tc>
          <w:tcPr>
            <w:tcW w:w="47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NAMED EXECUTIVE OFFICER</w:t>
            </w:r>
          </w:p>
        </w:tc>
        <w:tc>
          <w:tcPr>
            <w:tcW w:w="720" w:type="dxa"/>
            <w:vAlign w:val="bottom"/>
            <w:tcBorders>
              <w:bottom w:val="single" w:sz="8" w:color="A39B8C"/>
            </w:tcBorders>
            <w:shd w:val="clear" w:color="auto" w:fill="A39B8C"/>
          </w:tcPr>
          <w:p>
            <w:pPr>
              <w:jc w:val="right"/>
              <w:ind w:right="49"/>
              <w:spacing w:after="0"/>
              <w:rPr>
                <w:sz w:val="20"/>
                <w:szCs w:val="20"/>
                <w:color w:val="auto"/>
              </w:rPr>
            </w:pPr>
            <w:r>
              <w:rPr>
                <w:rFonts w:ascii="Arial" w:cs="Arial" w:eastAsia="Arial" w:hAnsi="Arial"/>
                <w:sz w:val="9"/>
                <w:szCs w:val="9"/>
                <w:b w:val="1"/>
                <w:bCs w:val="1"/>
                <w:color w:val="FFFFFF"/>
              </w:rPr>
              <w:t>DATE</w:t>
            </w:r>
          </w:p>
        </w:tc>
        <w:tc>
          <w:tcPr>
            <w:tcW w:w="78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(3)</w:t>
            </w:r>
          </w:p>
        </w:tc>
        <w:tc>
          <w:tcPr>
            <w:tcW w:w="900" w:type="dxa"/>
            <w:vAlign w:val="bottom"/>
            <w:tcBorders>
              <w:bottom w:val="single" w:sz="8" w:color="A39B8C"/>
            </w:tcBorders>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(4)</w:t>
            </w:r>
          </w:p>
        </w:tc>
        <w:tc>
          <w:tcPr>
            <w:tcW w:w="180" w:type="dxa"/>
            <w:vAlign w:val="bottom"/>
            <w:tcBorders>
              <w:bottom w:val="single" w:sz="8" w:color="A39B8C"/>
            </w:tcBorders>
            <w:shd w:val="clear" w:color="auto" w:fill="A39B8C"/>
          </w:tcPr>
          <w:p>
            <w:pPr>
              <w:spacing w:after="0"/>
              <w:rPr>
                <w:sz w:val="12"/>
                <w:szCs w:val="12"/>
                <w:color w:val="auto"/>
              </w:rPr>
            </w:pPr>
          </w:p>
        </w:tc>
        <w:tc>
          <w:tcPr>
            <w:tcW w:w="580" w:type="dxa"/>
            <w:vAlign w:val="bottom"/>
            <w:tcBorders>
              <w:bottom w:val="single" w:sz="8" w:color="A39B8C"/>
            </w:tcBorders>
            <w:shd w:val="clear" w:color="auto" w:fill="A39B8C"/>
          </w:tcPr>
          <w:p>
            <w:pPr>
              <w:jc w:val="right"/>
              <w:ind w:right="51"/>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(5)</w:t>
            </w:r>
          </w:p>
        </w:tc>
        <w:tc>
          <w:tcPr>
            <w:tcW w:w="620" w:type="dxa"/>
            <w:vAlign w:val="bottom"/>
            <w:tcBorders>
              <w:bottom w:val="single" w:sz="8" w:color="A39B8C"/>
            </w:tcBorders>
            <w:shd w:val="clear" w:color="auto" w:fill="A39B8C"/>
          </w:tcPr>
          <w:p>
            <w:pPr>
              <w:spacing w:after="0"/>
              <w:rPr>
                <w:sz w:val="12"/>
                <w:szCs w:val="12"/>
                <w:color w:val="auto"/>
              </w:rPr>
            </w:pPr>
          </w:p>
        </w:tc>
        <w:tc>
          <w:tcPr>
            <w:tcW w:w="500" w:type="dxa"/>
            <w:vAlign w:val="bottom"/>
            <w:tcBorders>
              <w:bottom w:val="single" w:sz="8" w:color="A39B8C"/>
            </w:tcBorders>
            <w:shd w:val="clear" w:color="auto" w:fill="A39B8C"/>
          </w:tcPr>
          <w:p>
            <w:pPr>
              <w:jc w:val="right"/>
              <w:ind w:right="129"/>
              <w:spacing w:after="0"/>
              <w:rPr>
                <w:sz w:val="20"/>
                <w:szCs w:val="20"/>
                <w:color w:val="auto"/>
              </w:rPr>
            </w:pPr>
            <w:r>
              <w:rPr>
                <w:rFonts w:ascii="Arial" w:cs="Arial" w:eastAsia="Arial" w:hAnsi="Arial"/>
                <w:sz w:val="9"/>
                <w:szCs w:val="9"/>
                <w:b w:val="1"/>
                <w:bCs w:val="1"/>
                <w:color w:val="FFFFFF"/>
              </w:rPr>
              <w:t>(#)</w:t>
            </w:r>
          </w:p>
        </w:tc>
        <w:tc>
          <w:tcPr>
            <w:tcW w:w="800" w:type="dxa"/>
            <w:vAlign w:val="bottom"/>
            <w:tcBorders>
              <w:bottom w:val="single" w:sz="8" w:color="A39B8C"/>
            </w:tcBorders>
            <w:shd w:val="clear" w:color="auto" w:fill="A39B8C"/>
          </w:tcPr>
          <w:p>
            <w:pPr>
              <w:jc w:val="right"/>
              <w:ind w:right="9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7"/>
                <w:szCs w:val="7"/>
                <w:b w:val="1"/>
                <w:bCs w:val="1"/>
                <w:color w:val="FFFFFF"/>
              </w:rPr>
              <w:t>(2)</w:t>
            </w:r>
          </w:p>
        </w:tc>
      </w:tr>
      <w:tr>
        <w:trPr>
          <w:trHeight w:val="149"/>
        </w:trPr>
        <w:tc>
          <w:tcPr>
            <w:tcW w:w="4780" w:type="dxa"/>
            <w:vAlign w:val="bottom"/>
          </w:tcPr>
          <w:p>
            <w:pPr>
              <w:ind w:left="80"/>
              <w:spacing w:after="0"/>
              <w:rPr>
                <w:sz w:val="20"/>
                <w:szCs w:val="20"/>
                <w:color w:val="auto"/>
              </w:rPr>
            </w:pPr>
            <w:r>
              <w:rPr>
                <w:rFonts w:ascii="Arial" w:cs="Arial" w:eastAsia="Arial" w:hAnsi="Arial"/>
                <w:sz w:val="11"/>
                <w:szCs w:val="11"/>
                <w:color w:val="262626"/>
              </w:rPr>
              <w:t>Matt Maddox</w:t>
            </w:r>
          </w:p>
        </w:tc>
        <w:tc>
          <w:tcPr>
            <w:tcW w:w="720" w:type="dxa"/>
            <w:vAlign w:val="bottom"/>
          </w:tcPr>
          <w:p>
            <w:pPr>
              <w:jc w:val="right"/>
              <w:ind w:right="49"/>
              <w:spacing w:after="0"/>
              <w:rPr>
                <w:sz w:val="20"/>
                <w:szCs w:val="20"/>
                <w:color w:val="auto"/>
              </w:rPr>
            </w:pPr>
            <w:r>
              <w:rPr>
                <w:rFonts w:ascii="Arial" w:cs="Arial" w:eastAsia="Arial" w:hAnsi="Arial"/>
                <w:sz w:val="11"/>
                <w:szCs w:val="11"/>
                <w:color w:val="262626"/>
              </w:rPr>
              <w:t>N/A</w:t>
            </w:r>
          </w:p>
        </w:tc>
        <w:tc>
          <w:tcPr>
            <w:tcW w:w="780" w:type="dxa"/>
            <w:vAlign w:val="bottom"/>
          </w:tcPr>
          <w:p>
            <w:pPr>
              <w:jc w:val="right"/>
              <w:spacing w:after="0"/>
              <w:rPr>
                <w:sz w:val="20"/>
                <w:szCs w:val="20"/>
                <w:color w:val="auto"/>
              </w:rPr>
            </w:pPr>
            <w:r>
              <w:rPr>
                <w:rFonts w:ascii="Arial" w:cs="Arial" w:eastAsia="Arial" w:hAnsi="Arial"/>
                <w:sz w:val="11"/>
                <w:szCs w:val="11"/>
                <w:color w:val="262626"/>
              </w:rPr>
              <w:t>$4,000,000</w:t>
            </w:r>
          </w:p>
        </w:tc>
        <w:tc>
          <w:tcPr>
            <w:tcW w:w="900" w:type="dxa"/>
            <w:vAlign w:val="bottom"/>
          </w:tcPr>
          <w:p>
            <w:pPr>
              <w:jc w:val="right"/>
              <w:ind w:right="93"/>
              <w:spacing w:after="0"/>
              <w:rPr>
                <w:sz w:val="20"/>
                <w:szCs w:val="20"/>
                <w:color w:val="auto"/>
              </w:rPr>
            </w:pPr>
            <w:r>
              <w:rPr>
                <w:rFonts w:ascii="Arial" w:cs="Arial" w:eastAsia="Arial" w:hAnsi="Arial"/>
                <w:sz w:val="11"/>
                <w:szCs w:val="11"/>
                <w:color w:val="262626"/>
              </w:rPr>
              <w:t>$5,000,000</w:t>
            </w:r>
          </w:p>
        </w:tc>
        <w:tc>
          <w:tcPr>
            <w:tcW w:w="180" w:type="dxa"/>
            <w:vAlign w:val="bottom"/>
          </w:tcPr>
          <w:p>
            <w:pPr>
              <w:jc w:val="right"/>
              <w:spacing w:after="0"/>
              <w:rPr>
                <w:sz w:val="20"/>
                <w:szCs w:val="20"/>
                <w:color w:val="auto"/>
              </w:rPr>
            </w:pPr>
            <w:r>
              <w:rPr>
                <w:rFonts w:ascii="Arial" w:cs="Arial" w:eastAsia="Arial" w:hAnsi="Arial"/>
                <w:sz w:val="11"/>
                <w:szCs w:val="11"/>
                <w:color w:val="262626"/>
              </w:rPr>
              <w:t>$</w:t>
            </w:r>
          </w:p>
        </w:tc>
        <w:tc>
          <w:tcPr>
            <w:tcW w:w="580" w:type="dxa"/>
            <w:vAlign w:val="bottom"/>
          </w:tcPr>
          <w:p>
            <w:pPr>
              <w:jc w:val="right"/>
              <w:ind w:right="51"/>
              <w:spacing w:after="0"/>
              <w:rPr>
                <w:sz w:val="20"/>
                <w:szCs w:val="20"/>
                <w:color w:val="auto"/>
              </w:rPr>
            </w:pPr>
            <w:r>
              <w:rPr>
                <w:rFonts w:ascii="Arial" w:cs="Arial" w:eastAsia="Arial" w:hAnsi="Arial"/>
                <w:sz w:val="11"/>
                <w:szCs w:val="11"/>
                <w:color w:val="262626"/>
                <w:w w:val="93"/>
              </w:rPr>
              <w:t>6,000,000</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9"/>
        </w:trPr>
        <w:tc>
          <w:tcPr>
            <w:tcW w:w="478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1"/>
                <w:szCs w:val="11"/>
                <w:color w:val="262626"/>
              </w:rPr>
              <w:t>4/17/2018</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500" w:type="dxa"/>
            <w:vAlign w:val="bottom"/>
          </w:tcPr>
          <w:p>
            <w:pPr>
              <w:jc w:val="right"/>
              <w:ind w:right="9"/>
              <w:spacing w:after="0"/>
              <w:rPr>
                <w:sz w:val="20"/>
                <w:szCs w:val="20"/>
                <w:color w:val="auto"/>
              </w:rPr>
            </w:pPr>
            <w:r>
              <w:rPr>
                <w:rFonts w:ascii="Arial" w:cs="Arial" w:eastAsia="Arial" w:hAnsi="Arial"/>
                <w:sz w:val="11"/>
                <w:szCs w:val="11"/>
                <w:color w:val="262626"/>
                <w:w w:val="93"/>
              </w:rPr>
              <w:t>50,000</w:t>
            </w:r>
            <w:r>
              <w:rPr>
                <w:rFonts w:ascii="Arial" w:cs="Arial" w:eastAsia="Arial" w:hAnsi="Arial"/>
                <w:sz w:val="9"/>
                <w:szCs w:val="9"/>
                <w:b w:val="1"/>
                <w:bCs w:val="1"/>
                <w:color w:val="262626"/>
                <w:w w:val="93"/>
              </w:rPr>
              <w:t>(6)</w:t>
            </w:r>
          </w:p>
        </w:tc>
        <w:tc>
          <w:tcPr>
            <w:tcW w:w="800" w:type="dxa"/>
            <w:vAlign w:val="bottom"/>
          </w:tcPr>
          <w:p>
            <w:pPr>
              <w:jc w:val="right"/>
              <w:ind w:right="113"/>
              <w:spacing w:after="0"/>
              <w:rPr>
                <w:sz w:val="20"/>
                <w:szCs w:val="20"/>
                <w:color w:val="auto"/>
              </w:rPr>
            </w:pPr>
            <w:r>
              <w:rPr>
                <w:rFonts w:ascii="Arial" w:cs="Arial" w:eastAsia="Arial" w:hAnsi="Arial"/>
                <w:sz w:val="11"/>
                <w:szCs w:val="11"/>
                <w:color w:val="262626"/>
              </w:rPr>
              <w:t>$ 9,532,500</w:t>
            </w:r>
          </w:p>
        </w:tc>
      </w:tr>
      <w:tr>
        <w:trPr>
          <w:trHeight w:val="49"/>
        </w:trPr>
        <w:tc>
          <w:tcPr>
            <w:tcW w:w="4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46"/>
        </w:trPr>
        <w:tc>
          <w:tcPr>
            <w:tcW w:w="478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Craig Billings</w:t>
            </w:r>
          </w:p>
        </w:tc>
        <w:tc>
          <w:tcPr>
            <w:tcW w:w="720" w:type="dxa"/>
            <w:vAlign w:val="bottom"/>
            <w:shd w:val="clear" w:color="auto" w:fill="ECEBE8"/>
          </w:tcPr>
          <w:p>
            <w:pPr>
              <w:jc w:val="right"/>
              <w:ind w:right="49"/>
              <w:spacing w:after="0"/>
              <w:rPr>
                <w:sz w:val="20"/>
                <w:szCs w:val="20"/>
                <w:color w:val="auto"/>
              </w:rPr>
            </w:pPr>
            <w:r>
              <w:rPr>
                <w:rFonts w:ascii="Arial" w:cs="Arial" w:eastAsia="Arial" w:hAnsi="Arial"/>
                <w:sz w:val="11"/>
                <w:szCs w:val="11"/>
                <w:color w:val="262626"/>
              </w:rPr>
              <w:t>N/A</w:t>
            </w:r>
          </w:p>
        </w:tc>
        <w:tc>
          <w:tcPr>
            <w:tcW w:w="78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$1,400,000</w:t>
            </w:r>
          </w:p>
        </w:tc>
        <w:tc>
          <w:tcPr>
            <w:tcW w:w="900" w:type="dxa"/>
            <w:vAlign w:val="bottom"/>
            <w:shd w:val="clear" w:color="auto" w:fill="ECEBE8"/>
          </w:tcPr>
          <w:p>
            <w:pPr>
              <w:jc w:val="right"/>
              <w:ind w:right="93"/>
              <w:spacing w:after="0"/>
              <w:rPr>
                <w:sz w:val="20"/>
                <w:szCs w:val="20"/>
                <w:color w:val="auto"/>
              </w:rPr>
            </w:pPr>
            <w:r>
              <w:rPr>
                <w:rFonts w:ascii="Arial" w:cs="Arial" w:eastAsia="Arial" w:hAnsi="Arial"/>
                <w:sz w:val="11"/>
                <w:szCs w:val="11"/>
                <w:color w:val="262626"/>
              </w:rPr>
              <w:t>$1,750,000</w:t>
            </w:r>
          </w:p>
        </w:tc>
        <w:tc>
          <w:tcPr>
            <w:tcW w:w="18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80" w:type="dxa"/>
            <w:vAlign w:val="bottom"/>
            <w:shd w:val="clear" w:color="auto" w:fill="ECEBE8"/>
          </w:tcPr>
          <w:p>
            <w:pPr>
              <w:jc w:val="right"/>
              <w:ind w:right="51"/>
              <w:spacing w:after="0"/>
              <w:rPr>
                <w:sz w:val="20"/>
                <w:szCs w:val="20"/>
                <w:color w:val="auto"/>
              </w:rPr>
            </w:pPr>
            <w:r>
              <w:rPr>
                <w:rFonts w:ascii="Arial" w:cs="Arial" w:eastAsia="Arial" w:hAnsi="Arial"/>
                <w:sz w:val="11"/>
                <w:szCs w:val="11"/>
                <w:color w:val="262626"/>
                <w:w w:val="93"/>
              </w:rPr>
              <w:t>2,100,000</w:t>
            </w:r>
          </w:p>
        </w:tc>
        <w:tc>
          <w:tcPr>
            <w:tcW w:w="620" w:type="dxa"/>
            <w:vAlign w:val="bottom"/>
            <w:shd w:val="clear" w:color="auto" w:fill="ECEBE8"/>
          </w:tcPr>
          <w:p>
            <w:pPr>
              <w:spacing w:after="0"/>
              <w:rPr>
                <w:sz w:val="12"/>
                <w:szCs w:val="12"/>
                <w:color w:val="auto"/>
              </w:rPr>
            </w:pPr>
          </w:p>
        </w:tc>
        <w:tc>
          <w:tcPr>
            <w:tcW w:w="500" w:type="dxa"/>
            <w:vAlign w:val="bottom"/>
            <w:shd w:val="clear" w:color="auto" w:fill="ECEBE8"/>
          </w:tcPr>
          <w:p>
            <w:pPr>
              <w:spacing w:after="0"/>
              <w:rPr>
                <w:sz w:val="12"/>
                <w:szCs w:val="12"/>
                <w:color w:val="auto"/>
              </w:rPr>
            </w:pPr>
          </w:p>
        </w:tc>
        <w:tc>
          <w:tcPr>
            <w:tcW w:w="800" w:type="dxa"/>
            <w:vAlign w:val="bottom"/>
            <w:shd w:val="clear" w:color="auto" w:fill="ECEBE8"/>
          </w:tcPr>
          <w:p>
            <w:pPr>
              <w:spacing w:after="0"/>
              <w:rPr>
                <w:sz w:val="12"/>
                <w:szCs w:val="12"/>
                <w:color w:val="auto"/>
              </w:rPr>
            </w:pPr>
          </w:p>
        </w:tc>
      </w:tr>
      <w:tr>
        <w:trPr>
          <w:trHeight w:val="232"/>
        </w:trPr>
        <w:tc>
          <w:tcPr>
            <w:tcW w:w="4780" w:type="dxa"/>
            <w:vAlign w:val="bottom"/>
            <w:tcBorders>
              <w:bottom w:val="single" w:sz="8" w:color="ECEBE8"/>
            </w:tcBorders>
            <w:shd w:val="clear" w:color="auto" w:fill="ECEBE8"/>
          </w:tcPr>
          <w:p>
            <w:pPr>
              <w:spacing w:after="0"/>
              <w:rPr>
                <w:sz w:val="20"/>
                <w:szCs w:val="20"/>
                <w:color w:val="auto"/>
              </w:rPr>
            </w:pPr>
          </w:p>
        </w:tc>
        <w:tc>
          <w:tcPr>
            <w:tcW w:w="720" w:type="dxa"/>
            <w:vAlign w:val="bottom"/>
            <w:tcBorders>
              <w:bottom w:val="single" w:sz="8" w:color="ECEBE8"/>
            </w:tcBorders>
            <w:shd w:val="clear" w:color="auto" w:fill="ECEBE8"/>
          </w:tcPr>
          <w:p>
            <w:pPr>
              <w:jc w:val="right"/>
              <w:ind w:right="49"/>
              <w:spacing w:after="0"/>
              <w:rPr>
                <w:sz w:val="20"/>
                <w:szCs w:val="20"/>
                <w:color w:val="auto"/>
              </w:rPr>
            </w:pPr>
            <w:r>
              <w:rPr>
                <w:rFonts w:ascii="Arial" w:cs="Arial" w:eastAsia="Arial" w:hAnsi="Arial"/>
                <w:sz w:val="11"/>
                <w:szCs w:val="11"/>
                <w:color w:val="262626"/>
              </w:rPr>
              <w:t>4/17/2018</w:t>
            </w:r>
          </w:p>
        </w:tc>
        <w:tc>
          <w:tcPr>
            <w:tcW w:w="780" w:type="dxa"/>
            <w:vAlign w:val="bottom"/>
            <w:tcBorders>
              <w:bottom w:val="single" w:sz="8" w:color="ECEBE8"/>
            </w:tcBorders>
            <w:shd w:val="clear" w:color="auto" w:fill="ECEBE8"/>
          </w:tcPr>
          <w:p>
            <w:pPr>
              <w:spacing w:after="0"/>
              <w:rPr>
                <w:sz w:val="20"/>
                <w:szCs w:val="20"/>
                <w:color w:val="auto"/>
              </w:rPr>
            </w:pPr>
          </w:p>
        </w:tc>
        <w:tc>
          <w:tcPr>
            <w:tcW w:w="900" w:type="dxa"/>
            <w:vAlign w:val="bottom"/>
            <w:tcBorders>
              <w:bottom w:val="single" w:sz="8" w:color="ECEBE8"/>
            </w:tcBorders>
            <w:shd w:val="clear" w:color="auto" w:fill="ECEBE8"/>
          </w:tcPr>
          <w:p>
            <w:pPr>
              <w:spacing w:after="0"/>
              <w:rPr>
                <w:sz w:val="20"/>
                <w:szCs w:val="20"/>
                <w:color w:val="auto"/>
              </w:rPr>
            </w:pPr>
          </w:p>
        </w:tc>
        <w:tc>
          <w:tcPr>
            <w:tcW w:w="180" w:type="dxa"/>
            <w:vAlign w:val="bottom"/>
            <w:tcBorders>
              <w:bottom w:val="single" w:sz="8" w:color="ECEBE8"/>
            </w:tcBorders>
            <w:shd w:val="clear" w:color="auto" w:fill="ECEBE8"/>
          </w:tcPr>
          <w:p>
            <w:pPr>
              <w:spacing w:after="0"/>
              <w:rPr>
                <w:sz w:val="20"/>
                <w:szCs w:val="20"/>
                <w:color w:val="auto"/>
              </w:rPr>
            </w:pPr>
          </w:p>
        </w:tc>
        <w:tc>
          <w:tcPr>
            <w:tcW w:w="580" w:type="dxa"/>
            <w:vAlign w:val="bottom"/>
            <w:tcBorders>
              <w:bottom w:val="single" w:sz="8" w:color="ECEBE8"/>
            </w:tcBorders>
            <w:shd w:val="clear" w:color="auto" w:fill="ECEBE8"/>
          </w:tcPr>
          <w:p>
            <w:pPr>
              <w:spacing w:after="0"/>
              <w:rPr>
                <w:sz w:val="20"/>
                <w:szCs w:val="20"/>
                <w:color w:val="auto"/>
              </w:rPr>
            </w:pPr>
          </w:p>
        </w:tc>
        <w:tc>
          <w:tcPr>
            <w:tcW w:w="6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00" w:type="dxa"/>
            <w:vAlign w:val="bottom"/>
            <w:tcBorders>
              <w:bottom w:val="single" w:sz="8" w:color="ECEBE8"/>
            </w:tcBorders>
            <w:shd w:val="clear" w:color="auto" w:fill="ECEBE8"/>
          </w:tcPr>
          <w:p>
            <w:pPr>
              <w:jc w:val="right"/>
              <w:ind w:right="9"/>
              <w:spacing w:after="0"/>
              <w:rPr>
                <w:sz w:val="20"/>
                <w:szCs w:val="20"/>
                <w:color w:val="auto"/>
              </w:rPr>
            </w:pPr>
            <w:r>
              <w:rPr>
                <w:rFonts w:ascii="Arial" w:cs="Arial" w:eastAsia="Arial" w:hAnsi="Arial"/>
                <w:sz w:val="11"/>
                <w:szCs w:val="11"/>
                <w:color w:val="262626"/>
                <w:w w:val="93"/>
              </w:rPr>
              <w:t>25,000</w:t>
            </w:r>
            <w:r>
              <w:rPr>
                <w:rFonts w:ascii="Arial" w:cs="Arial" w:eastAsia="Arial" w:hAnsi="Arial"/>
                <w:sz w:val="9"/>
                <w:szCs w:val="9"/>
                <w:b w:val="1"/>
                <w:bCs w:val="1"/>
                <w:color w:val="262626"/>
                <w:w w:val="93"/>
              </w:rPr>
              <w:t>(6)</w:t>
            </w:r>
          </w:p>
        </w:tc>
        <w:tc>
          <w:tcPr>
            <w:tcW w:w="800" w:type="dxa"/>
            <w:vAlign w:val="bottom"/>
            <w:tcBorders>
              <w:bottom w:val="single" w:sz="8" w:color="ECEBE8"/>
            </w:tcBorders>
            <w:shd w:val="clear" w:color="auto" w:fill="ECEBE8"/>
          </w:tcPr>
          <w:p>
            <w:pPr>
              <w:jc w:val="right"/>
              <w:ind w:right="113"/>
              <w:spacing w:after="0"/>
              <w:rPr>
                <w:sz w:val="20"/>
                <w:szCs w:val="20"/>
                <w:color w:val="auto"/>
              </w:rPr>
            </w:pPr>
            <w:r>
              <w:rPr>
                <w:rFonts w:ascii="Arial" w:cs="Arial" w:eastAsia="Arial" w:hAnsi="Arial"/>
                <w:sz w:val="11"/>
                <w:szCs w:val="11"/>
                <w:color w:val="262626"/>
              </w:rPr>
              <w:t>$ 4,766,250</w:t>
            </w:r>
          </w:p>
        </w:tc>
      </w:tr>
      <w:tr>
        <w:trPr>
          <w:trHeight w:val="149"/>
        </w:trPr>
        <w:tc>
          <w:tcPr>
            <w:tcW w:w="4780" w:type="dxa"/>
            <w:vAlign w:val="bottom"/>
          </w:tcPr>
          <w:p>
            <w:pPr>
              <w:ind w:left="80"/>
              <w:spacing w:after="0"/>
              <w:rPr>
                <w:sz w:val="20"/>
                <w:szCs w:val="20"/>
                <w:color w:val="auto"/>
              </w:rPr>
            </w:pPr>
            <w:r>
              <w:rPr>
                <w:rFonts w:ascii="Arial" w:cs="Arial" w:eastAsia="Arial" w:hAnsi="Arial"/>
                <w:sz w:val="11"/>
                <w:szCs w:val="11"/>
                <w:color w:val="262626"/>
              </w:rPr>
              <w:t>Ellen F. Whittemore</w:t>
            </w:r>
          </w:p>
        </w:tc>
        <w:tc>
          <w:tcPr>
            <w:tcW w:w="720" w:type="dxa"/>
            <w:vAlign w:val="bottom"/>
          </w:tcPr>
          <w:p>
            <w:pPr>
              <w:jc w:val="right"/>
              <w:ind w:right="49"/>
              <w:spacing w:after="0"/>
              <w:rPr>
                <w:sz w:val="20"/>
                <w:szCs w:val="20"/>
                <w:color w:val="auto"/>
              </w:rPr>
            </w:pPr>
            <w:r>
              <w:rPr>
                <w:rFonts w:ascii="Arial" w:cs="Arial" w:eastAsia="Arial" w:hAnsi="Arial"/>
                <w:sz w:val="11"/>
                <w:szCs w:val="11"/>
                <w:color w:val="262626"/>
              </w:rPr>
              <w:t>N/A</w:t>
            </w:r>
          </w:p>
        </w:tc>
        <w:tc>
          <w:tcPr>
            <w:tcW w:w="780" w:type="dxa"/>
            <w:vAlign w:val="bottom"/>
          </w:tcPr>
          <w:p>
            <w:pPr>
              <w:jc w:val="right"/>
              <w:spacing w:after="0"/>
              <w:rPr>
                <w:sz w:val="20"/>
                <w:szCs w:val="20"/>
                <w:color w:val="auto"/>
              </w:rPr>
            </w:pPr>
            <w:r>
              <w:rPr>
                <w:rFonts w:ascii="Arial" w:cs="Arial" w:eastAsia="Arial" w:hAnsi="Arial"/>
                <w:sz w:val="11"/>
                <w:szCs w:val="11"/>
                <w:color w:val="262626"/>
              </w:rPr>
              <w:t>$  480,000</w:t>
            </w:r>
          </w:p>
        </w:tc>
        <w:tc>
          <w:tcPr>
            <w:tcW w:w="900" w:type="dxa"/>
            <w:vAlign w:val="bottom"/>
          </w:tcPr>
          <w:p>
            <w:pPr>
              <w:jc w:val="right"/>
              <w:ind w:right="93"/>
              <w:spacing w:after="0"/>
              <w:rPr>
                <w:sz w:val="20"/>
                <w:szCs w:val="20"/>
                <w:color w:val="auto"/>
              </w:rPr>
            </w:pPr>
            <w:r>
              <w:rPr>
                <w:rFonts w:ascii="Arial" w:cs="Arial" w:eastAsia="Arial" w:hAnsi="Arial"/>
                <w:sz w:val="11"/>
                <w:szCs w:val="11"/>
                <w:color w:val="262626"/>
              </w:rPr>
              <w:t>$  600,000</w:t>
            </w:r>
          </w:p>
        </w:tc>
        <w:tc>
          <w:tcPr>
            <w:tcW w:w="180" w:type="dxa"/>
            <w:vAlign w:val="bottom"/>
          </w:tcPr>
          <w:p>
            <w:pPr>
              <w:jc w:val="right"/>
              <w:spacing w:after="0"/>
              <w:rPr>
                <w:sz w:val="20"/>
                <w:szCs w:val="20"/>
                <w:color w:val="auto"/>
              </w:rPr>
            </w:pPr>
            <w:r>
              <w:rPr>
                <w:rFonts w:ascii="Arial" w:cs="Arial" w:eastAsia="Arial" w:hAnsi="Arial"/>
                <w:sz w:val="11"/>
                <w:szCs w:val="11"/>
                <w:color w:val="262626"/>
              </w:rPr>
              <w:t>$</w:t>
            </w:r>
          </w:p>
        </w:tc>
        <w:tc>
          <w:tcPr>
            <w:tcW w:w="580" w:type="dxa"/>
            <w:vAlign w:val="bottom"/>
          </w:tcPr>
          <w:p>
            <w:pPr>
              <w:jc w:val="right"/>
              <w:ind w:right="51"/>
              <w:spacing w:after="0"/>
              <w:rPr>
                <w:sz w:val="20"/>
                <w:szCs w:val="20"/>
                <w:color w:val="auto"/>
              </w:rPr>
            </w:pPr>
            <w:r>
              <w:rPr>
                <w:rFonts w:ascii="Arial" w:cs="Arial" w:eastAsia="Arial" w:hAnsi="Arial"/>
                <w:sz w:val="11"/>
                <w:szCs w:val="11"/>
                <w:color w:val="262626"/>
              </w:rPr>
              <w:t>720,000</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9"/>
        </w:trPr>
        <w:tc>
          <w:tcPr>
            <w:tcW w:w="478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1"/>
                <w:szCs w:val="11"/>
                <w:color w:val="262626"/>
              </w:rPr>
              <w:t>8/2/2018</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500" w:type="dxa"/>
            <w:vAlign w:val="bottom"/>
          </w:tcPr>
          <w:p>
            <w:pPr>
              <w:jc w:val="right"/>
              <w:ind w:right="9"/>
              <w:spacing w:after="0"/>
              <w:rPr>
                <w:sz w:val="20"/>
                <w:szCs w:val="20"/>
                <w:color w:val="auto"/>
              </w:rPr>
            </w:pPr>
            <w:r>
              <w:rPr>
                <w:rFonts w:ascii="Arial" w:cs="Arial" w:eastAsia="Arial" w:hAnsi="Arial"/>
                <w:sz w:val="11"/>
                <w:szCs w:val="11"/>
                <w:color w:val="262626"/>
              </w:rPr>
              <w:t>7,500</w:t>
            </w:r>
            <w:r>
              <w:rPr>
                <w:rFonts w:ascii="Arial" w:cs="Arial" w:eastAsia="Arial" w:hAnsi="Arial"/>
                <w:sz w:val="9"/>
                <w:szCs w:val="9"/>
                <w:b w:val="1"/>
                <w:bCs w:val="1"/>
                <w:color w:val="262626"/>
              </w:rPr>
              <w:t>(7)</w:t>
            </w:r>
          </w:p>
        </w:tc>
        <w:tc>
          <w:tcPr>
            <w:tcW w:w="800" w:type="dxa"/>
            <w:vAlign w:val="bottom"/>
          </w:tcPr>
          <w:p>
            <w:pPr>
              <w:jc w:val="right"/>
              <w:ind w:right="113"/>
              <w:spacing w:after="0"/>
              <w:rPr>
                <w:sz w:val="20"/>
                <w:szCs w:val="20"/>
                <w:color w:val="auto"/>
              </w:rPr>
            </w:pPr>
            <w:r>
              <w:rPr>
                <w:rFonts w:ascii="Arial" w:cs="Arial" w:eastAsia="Arial" w:hAnsi="Arial"/>
                <w:sz w:val="11"/>
                <w:szCs w:val="11"/>
                <w:color w:val="262626"/>
              </w:rPr>
              <w:t>$ 1,121,550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-901700</wp:posOffset>
            </wp:positionV>
            <wp:extent cx="15138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367665</wp:posOffset>
            </wp:positionV>
            <wp:extent cx="521335" cy="2355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40</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80" w:right="260" w:firstLine="1"/>
        <w:spacing w:after="0" w:line="228" w:lineRule="auto"/>
        <w:tabs>
          <w:tab w:leader="none" w:pos="919"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The potential 2018 performance-based annual incentive awards that could have been earned for 2018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2018 performance criteria: (i) achievement of a 2018 Adjusted Property EBITDA goal; (ii) retention of specified third party recognition of quality and performance, and (iii) achievement of key strategic initiatives. Actual payouts are described in “Compensation Discussion and Analysis—How We Designed Incentives for 2018—Elements of Pay.”</w:t>
      </w:r>
    </w:p>
    <w:p>
      <w:pPr>
        <w:spacing w:after="0" w:line="34" w:lineRule="exact"/>
        <w:rPr>
          <w:rFonts w:ascii="Arial" w:cs="Arial" w:eastAsia="Arial" w:hAnsi="Arial"/>
          <w:sz w:val="9"/>
          <w:szCs w:val="9"/>
          <w:color w:val="262626"/>
        </w:rPr>
      </w:pPr>
    </w:p>
    <w:p>
      <w:pPr>
        <w:ind w:left="780" w:right="280" w:firstLine="1"/>
        <w:spacing w:after="0" w:line="232" w:lineRule="auto"/>
        <w:tabs>
          <w:tab w:leader="none" w:pos="915"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The amounts set forth in this column reflect the aggregate grant date fair value of stock awards computed in accordance with accounting standards for stock-based compensation. See our Annual Report on Form 10-K for the year ended December 31, 2018, Item 8, Note 11—“Stock-Based Compensation” to our Consolidated Financial Statements for assumptions used in computing fair value.</w:t>
      </w:r>
    </w:p>
    <w:p>
      <w:pPr>
        <w:spacing w:after="0" w:line="33" w:lineRule="exact"/>
        <w:rPr>
          <w:rFonts w:ascii="Arial" w:cs="Arial" w:eastAsia="Arial" w:hAnsi="Arial"/>
          <w:sz w:val="9"/>
          <w:szCs w:val="9"/>
          <w:color w:val="262626"/>
        </w:rPr>
      </w:pPr>
    </w:p>
    <w:p>
      <w:pPr>
        <w:ind w:left="780" w:right="360" w:firstLine="1"/>
        <w:spacing w:after="0" w:line="232" w:lineRule="auto"/>
        <w:tabs>
          <w:tab w:leader="none" w:pos="915"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Amounts in the Threshold column reflect potential awards for achievement of 2018 Adjusted Property EBITDA between $1.8 billion to $2.0 billion and achievement of goals 2 and 3. No awards would have been payable under goal 1 if the 2016 Adjusted Property EBITDA were below $1.0 billion.</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Amounts in the Target Column reflect potential awards for achievement of 2018 Adjustment Property EBITDA between $2.0 billion to $2.2 billion and achievement of goals 2 and 3.</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Amounts in the Maximum column reflect potential awards for achievement of 2018 Adjustment Property EBITDA of over $2.2 billion and achievement of goals 2 and 3.</w:t>
      </w:r>
    </w:p>
    <w:p>
      <w:pPr>
        <w:spacing w:after="0" w:line="33" w:lineRule="exact"/>
        <w:rPr>
          <w:rFonts w:ascii="Arial" w:cs="Arial" w:eastAsia="Arial" w:hAnsi="Arial"/>
          <w:sz w:val="9"/>
          <w:szCs w:val="9"/>
          <w:color w:val="262626"/>
        </w:rPr>
      </w:pPr>
    </w:p>
    <w:p>
      <w:pPr>
        <w:jc w:val="both"/>
        <w:ind w:left="780" w:right="300" w:firstLine="1"/>
        <w:spacing w:after="0" w:line="260" w:lineRule="auto"/>
        <w:tabs>
          <w:tab w:leader="none" w:pos="915" w:val="left"/>
        </w:tabs>
        <w:numPr>
          <w:ilvl w:val="0"/>
          <w:numId w:val="70"/>
        </w:numPr>
        <w:rPr>
          <w:rFonts w:ascii="Arial" w:cs="Arial" w:eastAsia="Arial" w:hAnsi="Arial"/>
          <w:sz w:val="8"/>
          <w:szCs w:val="8"/>
          <w:color w:val="262626"/>
        </w:rPr>
      </w:pPr>
      <w:r>
        <w:rPr>
          <w:rFonts w:ascii="Arial" w:cs="Arial" w:eastAsia="Arial" w:hAnsi="Arial"/>
          <w:sz w:val="10"/>
          <w:szCs w:val="10"/>
          <w:color w:val="262626"/>
        </w:rPr>
        <w:t>Mr. Maddox and Mr. Billings were granted 50,000 and 25,000 shares of restricted stock, respectively. The restricted stock awards provided that the shares would vest over each of the next five years ending March 1, 2023 subject to continued employment and 60% of which are subject to the achievement of pre-established property-level revenue and Adjusted Property EBITDA performance goals, provided that if the executive’s employment terminates before such date, certain accelerated vesting provisions may apply as described below under “Potential Payments upon Termination or Change in Control.”</w:t>
      </w:r>
    </w:p>
    <w:p>
      <w:pPr>
        <w:spacing w:after="0" w:line="10" w:lineRule="exact"/>
        <w:rPr>
          <w:rFonts w:ascii="Arial" w:cs="Arial" w:eastAsia="Arial" w:hAnsi="Arial"/>
          <w:sz w:val="8"/>
          <w:szCs w:val="8"/>
          <w:color w:val="262626"/>
        </w:rPr>
      </w:pPr>
    </w:p>
    <w:p>
      <w:pPr>
        <w:ind w:left="780" w:right="540" w:firstLine="1"/>
        <w:spacing w:after="0" w:line="230" w:lineRule="auto"/>
        <w:tabs>
          <w:tab w:leader="none" w:pos="915" w:val="left"/>
        </w:tabs>
        <w:numPr>
          <w:ilvl w:val="0"/>
          <w:numId w:val="70"/>
        </w:numPr>
        <w:rPr>
          <w:rFonts w:ascii="Arial" w:cs="Arial" w:eastAsia="Arial" w:hAnsi="Arial"/>
          <w:sz w:val="9"/>
          <w:szCs w:val="9"/>
          <w:color w:val="262626"/>
        </w:rPr>
      </w:pPr>
      <w:r>
        <w:rPr>
          <w:rFonts w:ascii="Arial" w:cs="Arial" w:eastAsia="Arial" w:hAnsi="Arial"/>
          <w:sz w:val="11"/>
          <w:szCs w:val="11"/>
          <w:color w:val="262626"/>
        </w:rPr>
        <w:t>Ms. Whittemore was granted 7,500 shares of restricted stock. The restricted stock award provided that the shares would vest over each of the next four years ending July 15, 2022 subject to continued employment and 60% of which are subject to the achievement of pre-established property-level revenue and Adjusted Property EBITDA performance goals, provided that if the executive’s employment terminates before such date, certain accelerated vesting provisions may apply as described below under “Potential Payments upon Termination or Change in Control.”</w:t>
      </w:r>
    </w:p>
    <w:p>
      <w:pPr>
        <w:spacing w:after="0" w:line="227"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OUTSTANDING EQUITY AWARDS AT FISCAL YEAR-END</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119"/>
        </w:trPr>
        <w:tc>
          <w:tcPr>
            <w:tcW w:w="4260" w:type="dxa"/>
            <w:vAlign w:val="bottom"/>
            <w:shd w:val="clear" w:color="auto" w:fill="A39B8C"/>
          </w:tcPr>
          <w:p>
            <w:pPr>
              <w:spacing w:after="0"/>
              <w:rPr>
                <w:sz w:val="10"/>
                <w:szCs w:val="10"/>
                <w:color w:val="auto"/>
              </w:rPr>
            </w:pPr>
          </w:p>
        </w:tc>
        <w:tc>
          <w:tcPr>
            <w:tcW w:w="940" w:type="dxa"/>
            <w:vAlign w:val="bottom"/>
            <w:shd w:val="clear" w:color="auto" w:fill="A39B8C"/>
          </w:tcPr>
          <w:p>
            <w:pPr>
              <w:spacing w:after="0"/>
              <w:rPr>
                <w:sz w:val="10"/>
                <w:szCs w:val="10"/>
                <w:color w:val="auto"/>
              </w:rPr>
            </w:pPr>
          </w:p>
        </w:tc>
        <w:tc>
          <w:tcPr>
            <w:tcW w:w="1900" w:type="dxa"/>
            <w:vAlign w:val="bottom"/>
            <w:gridSpan w:val="2"/>
            <w:shd w:val="clear" w:color="auto" w:fill="A39B8C"/>
          </w:tcPr>
          <w:p>
            <w:pPr>
              <w:jc w:val="right"/>
              <w:ind w:right="530"/>
              <w:spacing w:after="0"/>
              <w:rPr>
                <w:sz w:val="20"/>
                <w:szCs w:val="20"/>
                <w:color w:val="auto"/>
              </w:rPr>
            </w:pPr>
            <w:r>
              <w:rPr>
                <w:rFonts w:ascii="Arial" w:cs="Arial" w:eastAsia="Arial" w:hAnsi="Arial"/>
                <w:sz w:val="9"/>
                <w:szCs w:val="9"/>
                <w:b w:val="1"/>
                <w:bCs w:val="1"/>
                <w:color w:val="FFFFFF"/>
              </w:rPr>
              <w:t>OPTION AWARDS</w:t>
            </w:r>
          </w:p>
        </w:tc>
        <w:tc>
          <w:tcPr>
            <w:tcW w:w="840" w:type="dxa"/>
            <w:vAlign w:val="bottom"/>
            <w:shd w:val="clear" w:color="auto" w:fill="A39B8C"/>
          </w:tcPr>
          <w:p>
            <w:pPr>
              <w:spacing w:after="0"/>
              <w:rPr>
                <w:sz w:val="10"/>
                <w:szCs w:val="10"/>
                <w:color w:val="auto"/>
              </w:rPr>
            </w:pPr>
          </w:p>
        </w:tc>
        <w:tc>
          <w:tcPr>
            <w:tcW w:w="1920" w:type="dxa"/>
            <w:vAlign w:val="bottom"/>
            <w:gridSpan w:val="3"/>
            <w:shd w:val="clear" w:color="auto" w:fill="A39B8C"/>
          </w:tcPr>
          <w:p>
            <w:pPr>
              <w:jc w:val="right"/>
              <w:ind w:right="611"/>
              <w:spacing w:after="0"/>
              <w:rPr>
                <w:sz w:val="20"/>
                <w:szCs w:val="20"/>
                <w:color w:val="auto"/>
              </w:rPr>
            </w:pPr>
            <w:r>
              <w:rPr>
                <w:rFonts w:ascii="Arial" w:cs="Arial" w:eastAsia="Arial" w:hAnsi="Arial"/>
                <w:sz w:val="9"/>
                <w:szCs w:val="9"/>
                <w:b w:val="1"/>
                <w:bCs w:val="1"/>
                <w:color w:val="FFFFFF"/>
              </w:rPr>
              <w:t>STOCK AWARDS</w:t>
            </w:r>
          </w:p>
        </w:tc>
      </w:tr>
      <w:tr>
        <w:trPr>
          <w:trHeight w:val="96"/>
        </w:trPr>
        <w:tc>
          <w:tcPr>
            <w:tcW w:w="4260" w:type="dxa"/>
            <w:vAlign w:val="bottom"/>
            <w:shd w:val="clear" w:color="auto" w:fill="A39B8C"/>
          </w:tcPr>
          <w:p>
            <w:pPr>
              <w:spacing w:after="0"/>
              <w:rPr>
                <w:sz w:val="8"/>
                <w:szCs w:val="8"/>
                <w:color w:val="auto"/>
              </w:rPr>
            </w:pPr>
          </w:p>
        </w:tc>
        <w:tc>
          <w:tcPr>
            <w:tcW w:w="940" w:type="dxa"/>
            <w:vAlign w:val="bottom"/>
            <w:shd w:val="clear" w:color="auto" w:fill="A39B8C"/>
          </w:tcPr>
          <w:p>
            <w:pPr>
              <w:jc w:val="right"/>
              <w:spacing w:after="0" w:line="96" w:lineRule="exact"/>
              <w:rPr>
                <w:sz w:val="20"/>
                <w:szCs w:val="20"/>
                <w:color w:val="auto"/>
              </w:rPr>
            </w:pPr>
            <w:r>
              <w:rPr>
                <w:rFonts w:ascii="Arial" w:cs="Arial" w:eastAsia="Arial" w:hAnsi="Arial"/>
                <w:sz w:val="9"/>
                <w:szCs w:val="9"/>
                <w:b w:val="1"/>
                <w:bCs w:val="1"/>
                <w:color w:val="FFFFFF"/>
              </w:rPr>
              <w:t>NUMBER OF</w:t>
            </w:r>
          </w:p>
        </w:tc>
        <w:tc>
          <w:tcPr>
            <w:tcW w:w="1160" w:type="dxa"/>
            <w:vAlign w:val="bottom"/>
            <w:shd w:val="clear" w:color="auto" w:fill="A39B8C"/>
          </w:tcPr>
          <w:p>
            <w:pPr>
              <w:jc w:val="right"/>
              <w:ind w:right="112"/>
              <w:spacing w:after="0" w:line="96" w:lineRule="exact"/>
              <w:rPr>
                <w:sz w:val="20"/>
                <w:szCs w:val="20"/>
                <w:color w:val="auto"/>
              </w:rPr>
            </w:pPr>
            <w:r>
              <w:rPr>
                <w:rFonts w:ascii="Arial" w:cs="Arial" w:eastAsia="Arial" w:hAnsi="Arial"/>
                <w:sz w:val="9"/>
                <w:szCs w:val="9"/>
                <w:b w:val="1"/>
                <w:bCs w:val="1"/>
                <w:color w:val="FFFFFF"/>
              </w:rPr>
              <w:t>NUMBER OF</w:t>
            </w:r>
          </w:p>
        </w:tc>
        <w:tc>
          <w:tcPr>
            <w:tcW w:w="740" w:type="dxa"/>
            <w:vAlign w:val="bottom"/>
            <w:shd w:val="clear" w:color="auto" w:fill="A39B8C"/>
          </w:tcPr>
          <w:p>
            <w:pPr>
              <w:spacing w:after="0"/>
              <w:rPr>
                <w:sz w:val="8"/>
                <w:szCs w:val="8"/>
                <w:color w:val="auto"/>
              </w:rPr>
            </w:pPr>
          </w:p>
        </w:tc>
        <w:tc>
          <w:tcPr>
            <w:tcW w:w="84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132"/>
              <w:spacing w:after="0" w:line="96" w:lineRule="exact"/>
              <w:rPr>
                <w:sz w:val="20"/>
                <w:szCs w:val="20"/>
                <w:color w:val="auto"/>
              </w:rPr>
            </w:pPr>
            <w:r>
              <w:rPr>
                <w:rFonts w:ascii="Arial" w:cs="Arial" w:eastAsia="Arial" w:hAnsi="Arial"/>
                <w:sz w:val="9"/>
                <w:szCs w:val="9"/>
                <w:b w:val="1"/>
                <w:bCs w:val="1"/>
                <w:color w:val="FFFFFF"/>
              </w:rPr>
              <w:t>NUMBER OF</w:t>
            </w:r>
          </w:p>
        </w:tc>
        <w:tc>
          <w:tcPr>
            <w:tcW w:w="1040" w:type="dxa"/>
            <w:vAlign w:val="bottom"/>
            <w:gridSpan w:val="2"/>
            <w:shd w:val="clear" w:color="auto" w:fill="A39B8C"/>
          </w:tcPr>
          <w:p>
            <w:pPr>
              <w:ind w:left="100"/>
              <w:spacing w:after="0" w:line="96" w:lineRule="exact"/>
              <w:rPr>
                <w:sz w:val="20"/>
                <w:szCs w:val="20"/>
                <w:color w:val="auto"/>
              </w:rPr>
            </w:pPr>
            <w:r>
              <w:rPr>
                <w:rFonts w:ascii="Arial" w:cs="Arial" w:eastAsia="Arial" w:hAnsi="Arial"/>
                <w:sz w:val="9"/>
                <w:szCs w:val="9"/>
                <w:b w:val="1"/>
                <w:bCs w:val="1"/>
                <w:color w:val="FFFFFF"/>
              </w:rPr>
              <w:t>MARKET VALUE</w:t>
            </w:r>
          </w:p>
        </w:tc>
      </w:tr>
      <w:tr>
        <w:trPr>
          <w:trHeight w:val="93"/>
        </w:trPr>
        <w:tc>
          <w:tcPr>
            <w:tcW w:w="4260" w:type="dxa"/>
            <w:vAlign w:val="bottom"/>
            <w:shd w:val="clear" w:color="auto" w:fill="A39B8C"/>
          </w:tcPr>
          <w:p>
            <w:pPr>
              <w:spacing w:after="0"/>
              <w:rPr>
                <w:sz w:val="8"/>
                <w:szCs w:val="8"/>
                <w:color w:val="auto"/>
              </w:rPr>
            </w:pPr>
          </w:p>
        </w:tc>
        <w:tc>
          <w:tcPr>
            <w:tcW w:w="9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SECURITIES</w:t>
            </w:r>
          </w:p>
        </w:tc>
        <w:tc>
          <w:tcPr>
            <w:tcW w:w="1160" w:type="dxa"/>
            <w:vAlign w:val="bottom"/>
            <w:shd w:val="clear" w:color="auto" w:fill="A39B8C"/>
          </w:tcPr>
          <w:p>
            <w:pPr>
              <w:jc w:val="right"/>
              <w:ind w:right="112"/>
              <w:spacing w:after="0" w:line="93" w:lineRule="exact"/>
              <w:rPr>
                <w:sz w:val="20"/>
                <w:szCs w:val="20"/>
                <w:color w:val="auto"/>
              </w:rPr>
            </w:pPr>
            <w:r>
              <w:rPr>
                <w:rFonts w:ascii="Arial" w:cs="Arial" w:eastAsia="Arial" w:hAnsi="Arial"/>
                <w:sz w:val="9"/>
                <w:szCs w:val="9"/>
                <w:b w:val="1"/>
                <w:bCs w:val="1"/>
                <w:color w:val="FFFFFF"/>
              </w:rPr>
              <w:t>SECURITIES</w:t>
            </w:r>
          </w:p>
        </w:tc>
        <w:tc>
          <w:tcPr>
            <w:tcW w:w="740" w:type="dxa"/>
            <w:vAlign w:val="bottom"/>
            <w:shd w:val="clear" w:color="auto" w:fill="A39B8C"/>
          </w:tcPr>
          <w:p>
            <w:pPr>
              <w:spacing w:after="0"/>
              <w:rPr>
                <w:sz w:val="8"/>
                <w:szCs w:val="8"/>
                <w:color w:val="auto"/>
              </w:rPr>
            </w:pPr>
          </w:p>
        </w:tc>
        <w:tc>
          <w:tcPr>
            <w:tcW w:w="84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132"/>
              <w:spacing w:after="0" w:line="93" w:lineRule="exact"/>
              <w:rPr>
                <w:sz w:val="20"/>
                <w:szCs w:val="20"/>
                <w:color w:val="auto"/>
              </w:rPr>
            </w:pPr>
            <w:r>
              <w:rPr>
                <w:rFonts w:ascii="Arial" w:cs="Arial" w:eastAsia="Arial" w:hAnsi="Arial"/>
                <w:sz w:val="9"/>
                <w:szCs w:val="9"/>
                <w:b w:val="1"/>
                <w:bCs w:val="1"/>
                <w:color w:val="FFFFFF"/>
              </w:rPr>
              <w:t>SHARES OR</w:t>
            </w:r>
          </w:p>
        </w:tc>
        <w:tc>
          <w:tcPr>
            <w:tcW w:w="1040" w:type="dxa"/>
            <w:vAlign w:val="bottom"/>
            <w:gridSpan w:val="2"/>
            <w:shd w:val="clear" w:color="auto" w:fill="A39B8C"/>
          </w:tcPr>
          <w:p>
            <w:pPr>
              <w:jc w:val="right"/>
              <w:ind w:right="211"/>
              <w:spacing w:after="0" w:line="93" w:lineRule="exact"/>
              <w:rPr>
                <w:sz w:val="20"/>
                <w:szCs w:val="20"/>
                <w:color w:val="auto"/>
              </w:rPr>
            </w:pPr>
            <w:r>
              <w:rPr>
                <w:rFonts w:ascii="Arial" w:cs="Arial" w:eastAsia="Arial" w:hAnsi="Arial"/>
                <w:sz w:val="9"/>
                <w:szCs w:val="9"/>
                <w:b w:val="1"/>
                <w:bCs w:val="1"/>
                <w:color w:val="FFFFFF"/>
              </w:rPr>
              <w:t>OF SHARES OR</w:t>
            </w:r>
          </w:p>
        </w:tc>
      </w:tr>
      <w:tr>
        <w:trPr>
          <w:trHeight w:val="93"/>
        </w:trPr>
        <w:tc>
          <w:tcPr>
            <w:tcW w:w="4260" w:type="dxa"/>
            <w:vAlign w:val="bottom"/>
            <w:shd w:val="clear" w:color="auto" w:fill="A39B8C"/>
          </w:tcPr>
          <w:p>
            <w:pPr>
              <w:spacing w:after="0"/>
              <w:rPr>
                <w:sz w:val="8"/>
                <w:szCs w:val="8"/>
                <w:color w:val="auto"/>
              </w:rPr>
            </w:pPr>
          </w:p>
        </w:tc>
        <w:tc>
          <w:tcPr>
            <w:tcW w:w="9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UNDERLYING</w:t>
            </w:r>
          </w:p>
        </w:tc>
        <w:tc>
          <w:tcPr>
            <w:tcW w:w="1160" w:type="dxa"/>
            <w:vAlign w:val="bottom"/>
            <w:shd w:val="clear" w:color="auto" w:fill="A39B8C"/>
          </w:tcPr>
          <w:p>
            <w:pPr>
              <w:jc w:val="right"/>
              <w:ind w:right="112"/>
              <w:spacing w:after="0" w:line="93" w:lineRule="exact"/>
              <w:rPr>
                <w:sz w:val="20"/>
                <w:szCs w:val="20"/>
                <w:color w:val="auto"/>
              </w:rPr>
            </w:pPr>
            <w:r>
              <w:rPr>
                <w:rFonts w:ascii="Arial" w:cs="Arial" w:eastAsia="Arial" w:hAnsi="Arial"/>
                <w:sz w:val="9"/>
                <w:szCs w:val="9"/>
                <w:b w:val="1"/>
                <w:bCs w:val="1"/>
                <w:color w:val="FFFFFF"/>
              </w:rPr>
              <w:t>UNDERLYING</w:t>
            </w:r>
          </w:p>
        </w:tc>
        <w:tc>
          <w:tcPr>
            <w:tcW w:w="740" w:type="dxa"/>
            <w:vAlign w:val="bottom"/>
            <w:shd w:val="clear" w:color="auto" w:fill="A39B8C"/>
          </w:tcPr>
          <w:p>
            <w:pPr>
              <w:spacing w:after="0"/>
              <w:rPr>
                <w:sz w:val="8"/>
                <w:szCs w:val="8"/>
                <w:color w:val="auto"/>
              </w:rPr>
            </w:pPr>
          </w:p>
        </w:tc>
        <w:tc>
          <w:tcPr>
            <w:tcW w:w="84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132"/>
              <w:spacing w:after="0" w:line="93" w:lineRule="exact"/>
              <w:rPr>
                <w:sz w:val="20"/>
                <w:szCs w:val="20"/>
                <w:color w:val="auto"/>
              </w:rPr>
            </w:pPr>
            <w:r>
              <w:rPr>
                <w:rFonts w:ascii="Arial" w:cs="Arial" w:eastAsia="Arial" w:hAnsi="Arial"/>
                <w:sz w:val="9"/>
                <w:szCs w:val="9"/>
                <w:b w:val="1"/>
                <w:bCs w:val="1"/>
                <w:color w:val="FFFFFF"/>
              </w:rPr>
              <w:t>UNITS OF</w:t>
            </w:r>
          </w:p>
        </w:tc>
        <w:tc>
          <w:tcPr>
            <w:tcW w:w="16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211"/>
              <w:spacing w:after="0" w:line="93" w:lineRule="exact"/>
              <w:rPr>
                <w:sz w:val="20"/>
                <w:szCs w:val="20"/>
                <w:color w:val="auto"/>
              </w:rPr>
            </w:pPr>
            <w:r>
              <w:rPr>
                <w:rFonts w:ascii="Arial" w:cs="Arial" w:eastAsia="Arial" w:hAnsi="Arial"/>
                <w:sz w:val="9"/>
                <w:szCs w:val="9"/>
                <w:b w:val="1"/>
                <w:bCs w:val="1"/>
                <w:color w:val="FFFFFF"/>
              </w:rPr>
              <w:t>UNITS OF</w:t>
            </w:r>
          </w:p>
        </w:tc>
      </w:tr>
      <w:tr>
        <w:trPr>
          <w:trHeight w:val="93"/>
        </w:trPr>
        <w:tc>
          <w:tcPr>
            <w:tcW w:w="4260" w:type="dxa"/>
            <w:vAlign w:val="bottom"/>
            <w:shd w:val="clear" w:color="auto" w:fill="A39B8C"/>
          </w:tcPr>
          <w:p>
            <w:pPr>
              <w:spacing w:after="0"/>
              <w:rPr>
                <w:sz w:val="8"/>
                <w:szCs w:val="8"/>
                <w:color w:val="auto"/>
              </w:rPr>
            </w:pPr>
          </w:p>
        </w:tc>
        <w:tc>
          <w:tcPr>
            <w:tcW w:w="9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UNEXERCISED</w:t>
            </w:r>
          </w:p>
        </w:tc>
        <w:tc>
          <w:tcPr>
            <w:tcW w:w="1160" w:type="dxa"/>
            <w:vAlign w:val="bottom"/>
            <w:shd w:val="clear" w:color="auto" w:fill="A39B8C"/>
          </w:tcPr>
          <w:p>
            <w:pPr>
              <w:jc w:val="right"/>
              <w:ind w:right="112"/>
              <w:spacing w:after="0" w:line="93" w:lineRule="exact"/>
              <w:rPr>
                <w:sz w:val="20"/>
                <w:szCs w:val="20"/>
                <w:color w:val="auto"/>
              </w:rPr>
            </w:pPr>
            <w:r>
              <w:rPr>
                <w:rFonts w:ascii="Arial" w:cs="Arial" w:eastAsia="Arial" w:hAnsi="Arial"/>
                <w:sz w:val="9"/>
                <w:szCs w:val="9"/>
                <w:b w:val="1"/>
                <w:bCs w:val="1"/>
                <w:color w:val="FFFFFF"/>
              </w:rPr>
              <w:t>UNEXERCISED</w:t>
            </w:r>
          </w:p>
        </w:tc>
        <w:tc>
          <w:tcPr>
            <w:tcW w:w="740" w:type="dxa"/>
            <w:vAlign w:val="bottom"/>
            <w:shd w:val="clear" w:color="auto" w:fill="A39B8C"/>
          </w:tcPr>
          <w:p>
            <w:pPr>
              <w:jc w:val="right"/>
              <w:ind w:right="110"/>
              <w:spacing w:after="0" w:line="93" w:lineRule="exact"/>
              <w:rPr>
                <w:sz w:val="20"/>
                <w:szCs w:val="20"/>
                <w:color w:val="auto"/>
              </w:rPr>
            </w:pPr>
            <w:r>
              <w:rPr>
                <w:rFonts w:ascii="Arial" w:cs="Arial" w:eastAsia="Arial" w:hAnsi="Arial"/>
                <w:sz w:val="9"/>
                <w:szCs w:val="9"/>
                <w:b w:val="1"/>
                <w:bCs w:val="1"/>
                <w:color w:val="FFFFFF"/>
              </w:rPr>
              <w:t>OPTION</w:t>
            </w:r>
          </w:p>
        </w:tc>
        <w:tc>
          <w:tcPr>
            <w:tcW w:w="840" w:type="dxa"/>
            <w:vAlign w:val="bottom"/>
            <w:shd w:val="clear" w:color="auto" w:fill="A39B8C"/>
          </w:tcPr>
          <w:p>
            <w:pPr>
              <w:jc w:val="right"/>
              <w:ind w:right="110"/>
              <w:spacing w:after="0" w:line="93" w:lineRule="exact"/>
              <w:rPr>
                <w:sz w:val="20"/>
                <w:szCs w:val="20"/>
                <w:color w:val="auto"/>
              </w:rPr>
            </w:pPr>
            <w:r>
              <w:rPr>
                <w:rFonts w:ascii="Arial" w:cs="Arial" w:eastAsia="Arial" w:hAnsi="Arial"/>
                <w:sz w:val="9"/>
                <w:szCs w:val="9"/>
                <w:b w:val="1"/>
                <w:bCs w:val="1"/>
                <w:color w:val="FFFFFF"/>
              </w:rPr>
              <w:t>OPTION</w:t>
            </w:r>
          </w:p>
        </w:tc>
        <w:tc>
          <w:tcPr>
            <w:tcW w:w="880" w:type="dxa"/>
            <w:vAlign w:val="bottom"/>
            <w:shd w:val="clear" w:color="auto" w:fill="A39B8C"/>
          </w:tcPr>
          <w:p>
            <w:pPr>
              <w:jc w:val="right"/>
              <w:ind w:right="132"/>
              <w:spacing w:after="0" w:line="93" w:lineRule="exact"/>
              <w:rPr>
                <w:sz w:val="20"/>
                <w:szCs w:val="20"/>
                <w:color w:val="auto"/>
              </w:rPr>
            </w:pPr>
            <w:r>
              <w:rPr>
                <w:rFonts w:ascii="Arial" w:cs="Arial" w:eastAsia="Arial" w:hAnsi="Arial"/>
                <w:sz w:val="9"/>
                <w:szCs w:val="9"/>
                <w:b w:val="1"/>
                <w:bCs w:val="1"/>
                <w:color w:val="FFFFFF"/>
              </w:rPr>
              <w:t>STOCK THAT</w:t>
            </w:r>
          </w:p>
        </w:tc>
        <w:tc>
          <w:tcPr>
            <w:tcW w:w="16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211"/>
              <w:spacing w:after="0" w:line="93" w:lineRule="exact"/>
              <w:rPr>
                <w:sz w:val="20"/>
                <w:szCs w:val="20"/>
                <w:color w:val="auto"/>
              </w:rPr>
            </w:pPr>
            <w:r>
              <w:rPr>
                <w:rFonts w:ascii="Arial" w:cs="Arial" w:eastAsia="Arial" w:hAnsi="Arial"/>
                <w:sz w:val="9"/>
                <w:szCs w:val="9"/>
                <w:b w:val="1"/>
                <w:bCs w:val="1"/>
                <w:color w:val="FFFFFF"/>
              </w:rPr>
              <w:t>STOCK THAT</w:t>
            </w:r>
          </w:p>
        </w:tc>
      </w:tr>
      <w:tr>
        <w:trPr>
          <w:trHeight w:val="93"/>
        </w:trPr>
        <w:tc>
          <w:tcPr>
            <w:tcW w:w="4260" w:type="dxa"/>
            <w:vAlign w:val="bottom"/>
            <w:shd w:val="clear" w:color="auto" w:fill="A39B8C"/>
          </w:tcPr>
          <w:p>
            <w:pPr>
              <w:spacing w:after="0"/>
              <w:rPr>
                <w:sz w:val="8"/>
                <w:szCs w:val="8"/>
                <w:color w:val="auto"/>
              </w:rPr>
            </w:pPr>
          </w:p>
        </w:tc>
        <w:tc>
          <w:tcPr>
            <w:tcW w:w="9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OPTIONS (#)</w:t>
            </w:r>
          </w:p>
        </w:tc>
        <w:tc>
          <w:tcPr>
            <w:tcW w:w="1160" w:type="dxa"/>
            <w:vAlign w:val="bottom"/>
            <w:shd w:val="clear" w:color="auto" w:fill="A39B8C"/>
          </w:tcPr>
          <w:p>
            <w:pPr>
              <w:jc w:val="right"/>
              <w:ind w:right="112"/>
              <w:spacing w:after="0" w:line="93" w:lineRule="exact"/>
              <w:rPr>
                <w:sz w:val="20"/>
                <w:szCs w:val="20"/>
                <w:color w:val="auto"/>
              </w:rPr>
            </w:pPr>
            <w:r>
              <w:rPr>
                <w:rFonts w:ascii="Arial" w:cs="Arial" w:eastAsia="Arial" w:hAnsi="Arial"/>
                <w:sz w:val="9"/>
                <w:szCs w:val="9"/>
                <w:b w:val="1"/>
                <w:bCs w:val="1"/>
                <w:color w:val="FFFFFF"/>
              </w:rPr>
              <w:t>OPTIONS (#)</w:t>
            </w:r>
          </w:p>
        </w:tc>
        <w:tc>
          <w:tcPr>
            <w:tcW w:w="740" w:type="dxa"/>
            <w:vAlign w:val="bottom"/>
            <w:shd w:val="clear" w:color="auto" w:fill="A39B8C"/>
          </w:tcPr>
          <w:p>
            <w:pPr>
              <w:jc w:val="right"/>
              <w:ind w:right="110"/>
              <w:spacing w:after="0" w:line="93" w:lineRule="exact"/>
              <w:rPr>
                <w:sz w:val="20"/>
                <w:szCs w:val="20"/>
                <w:color w:val="auto"/>
              </w:rPr>
            </w:pPr>
            <w:r>
              <w:rPr>
                <w:rFonts w:ascii="Arial" w:cs="Arial" w:eastAsia="Arial" w:hAnsi="Arial"/>
                <w:sz w:val="9"/>
                <w:szCs w:val="9"/>
                <w:b w:val="1"/>
                <w:bCs w:val="1"/>
                <w:color w:val="FFFFFF"/>
              </w:rPr>
              <w:t>EXERCISE</w:t>
            </w:r>
          </w:p>
        </w:tc>
        <w:tc>
          <w:tcPr>
            <w:tcW w:w="840" w:type="dxa"/>
            <w:vAlign w:val="bottom"/>
            <w:shd w:val="clear" w:color="auto" w:fill="A39B8C"/>
          </w:tcPr>
          <w:p>
            <w:pPr>
              <w:jc w:val="right"/>
              <w:ind w:right="110"/>
              <w:spacing w:after="0" w:line="93" w:lineRule="exact"/>
              <w:rPr>
                <w:sz w:val="20"/>
                <w:szCs w:val="20"/>
                <w:color w:val="auto"/>
              </w:rPr>
            </w:pPr>
            <w:r>
              <w:rPr>
                <w:rFonts w:ascii="Arial" w:cs="Arial" w:eastAsia="Arial" w:hAnsi="Arial"/>
                <w:sz w:val="9"/>
                <w:szCs w:val="9"/>
                <w:b w:val="1"/>
                <w:bCs w:val="1"/>
                <w:color w:val="FFFFFF"/>
              </w:rPr>
              <w:t>EXPIRATION</w:t>
            </w:r>
          </w:p>
        </w:tc>
        <w:tc>
          <w:tcPr>
            <w:tcW w:w="880" w:type="dxa"/>
            <w:vAlign w:val="bottom"/>
            <w:shd w:val="clear" w:color="auto" w:fill="A39B8C"/>
          </w:tcPr>
          <w:p>
            <w:pPr>
              <w:jc w:val="right"/>
              <w:ind w:right="132"/>
              <w:spacing w:after="0" w:line="93" w:lineRule="exact"/>
              <w:rPr>
                <w:sz w:val="20"/>
                <w:szCs w:val="20"/>
                <w:color w:val="auto"/>
              </w:rPr>
            </w:pPr>
            <w:r>
              <w:rPr>
                <w:rFonts w:ascii="Arial" w:cs="Arial" w:eastAsia="Arial" w:hAnsi="Arial"/>
                <w:sz w:val="9"/>
                <w:szCs w:val="9"/>
                <w:b w:val="1"/>
                <w:bCs w:val="1"/>
                <w:color w:val="FFFFFF"/>
              </w:rPr>
              <w:t>HAVE NOT</w:t>
            </w:r>
          </w:p>
        </w:tc>
        <w:tc>
          <w:tcPr>
            <w:tcW w:w="160" w:type="dxa"/>
            <w:vAlign w:val="bottom"/>
            <w:shd w:val="clear" w:color="auto" w:fill="A39B8C"/>
          </w:tcPr>
          <w:p>
            <w:pPr>
              <w:spacing w:after="0"/>
              <w:rPr>
                <w:sz w:val="8"/>
                <w:szCs w:val="8"/>
                <w:color w:val="auto"/>
              </w:rPr>
            </w:pPr>
          </w:p>
        </w:tc>
        <w:tc>
          <w:tcPr>
            <w:tcW w:w="880" w:type="dxa"/>
            <w:vAlign w:val="bottom"/>
            <w:shd w:val="clear" w:color="auto" w:fill="A39B8C"/>
          </w:tcPr>
          <w:p>
            <w:pPr>
              <w:jc w:val="right"/>
              <w:ind w:right="211"/>
              <w:spacing w:after="0" w:line="93" w:lineRule="exact"/>
              <w:rPr>
                <w:sz w:val="20"/>
                <w:szCs w:val="20"/>
                <w:color w:val="auto"/>
              </w:rPr>
            </w:pPr>
            <w:r>
              <w:rPr>
                <w:rFonts w:ascii="Arial" w:cs="Arial" w:eastAsia="Arial" w:hAnsi="Arial"/>
                <w:sz w:val="9"/>
                <w:szCs w:val="9"/>
                <w:b w:val="1"/>
                <w:bCs w:val="1"/>
                <w:color w:val="FFFFFF"/>
              </w:rPr>
              <w:t>HAVE NOT</w:t>
            </w:r>
          </w:p>
        </w:tc>
      </w:tr>
      <w:tr>
        <w:trPr>
          <w:trHeight w:val="116"/>
        </w:trPr>
        <w:tc>
          <w:tcPr>
            <w:tcW w:w="4260" w:type="dxa"/>
            <w:vAlign w:val="bottom"/>
            <w:shd w:val="clear" w:color="auto" w:fill="A39B8C"/>
          </w:tcPr>
          <w:p>
            <w:pPr>
              <w:ind w:left="80"/>
              <w:spacing w:after="0"/>
              <w:rPr>
                <w:sz w:val="20"/>
                <w:szCs w:val="20"/>
                <w:color w:val="auto"/>
              </w:rPr>
            </w:pPr>
            <w:r>
              <w:rPr>
                <w:rFonts w:ascii="Arial" w:cs="Arial" w:eastAsia="Arial" w:hAnsi="Arial"/>
                <w:sz w:val="9"/>
                <w:szCs w:val="9"/>
                <w:b w:val="1"/>
                <w:bCs w:val="1"/>
                <w:color w:val="FFFFFF"/>
              </w:rPr>
              <w:t>NAME</w:t>
            </w:r>
          </w:p>
        </w:tc>
        <w:tc>
          <w:tcPr>
            <w:tcW w:w="940" w:type="dxa"/>
            <w:vAlign w:val="bottom"/>
            <w:shd w:val="clear" w:color="auto" w:fill="A39B8C"/>
          </w:tcPr>
          <w:p>
            <w:pPr>
              <w:jc w:val="right"/>
              <w:spacing w:after="0"/>
              <w:rPr>
                <w:sz w:val="20"/>
                <w:szCs w:val="20"/>
                <w:color w:val="auto"/>
              </w:rPr>
            </w:pPr>
            <w:r>
              <w:rPr>
                <w:rFonts w:ascii="Arial" w:cs="Arial" w:eastAsia="Arial" w:hAnsi="Arial"/>
                <w:sz w:val="9"/>
                <w:szCs w:val="9"/>
                <w:b w:val="1"/>
                <w:bCs w:val="1"/>
                <w:color w:val="FFFFFF"/>
              </w:rPr>
              <w:t>EXERCISABLE</w:t>
            </w:r>
          </w:p>
        </w:tc>
        <w:tc>
          <w:tcPr>
            <w:tcW w:w="1160" w:type="dxa"/>
            <w:vAlign w:val="bottom"/>
            <w:shd w:val="clear" w:color="auto" w:fill="A39B8C"/>
          </w:tcPr>
          <w:p>
            <w:pPr>
              <w:jc w:val="right"/>
              <w:ind w:right="112"/>
              <w:spacing w:after="0"/>
              <w:rPr>
                <w:sz w:val="20"/>
                <w:szCs w:val="20"/>
                <w:color w:val="auto"/>
              </w:rPr>
            </w:pPr>
            <w:r>
              <w:rPr>
                <w:rFonts w:ascii="Arial" w:cs="Arial" w:eastAsia="Arial" w:hAnsi="Arial"/>
                <w:sz w:val="9"/>
                <w:szCs w:val="9"/>
                <w:b w:val="1"/>
                <w:bCs w:val="1"/>
                <w:color w:val="FFFFFF"/>
              </w:rPr>
              <w:t>UNEXERCISABLE</w:t>
            </w:r>
          </w:p>
        </w:tc>
        <w:tc>
          <w:tcPr>
            <w:tcW w:w="740" w:type="dxa"/>
            <w:vAlign w:val="bottom"/>
            <w:shd w:val="clear" w:color="auto" w:fill="A39B8C"/>
          </w:tcPr>
          <w:p>
            <w:pPr>
              <w:jc w:val="right"/>
              <w:ind w:right="110"/>
              <w:spacing w:after="0"/>
              <w:rPr>
                <w:sz w:val="20"/>
                <w:szCs w:val="20"/>
                <w:color w:val="auto"/>
              </w:rPr>
            </w:pPr>
            <w:r>
              <w:rPr>
                <w:rFonts w:ascii="Arial" w:cs="Arial" w:eastAsia="Arial" w:hAnsi="Arial"/>
                <w:sz w:val="9"/>
                <w:szCs w:val="9"/>
                <w:b w:val="1"/>
                <w:bCs w:val="1"/>
                <w:color w:val="FFFFFF"/>
              </w:rPr>
              <w:t>PRICE ($)</w:t>
            </w:r>
          </w:p>
        </w:tc>
        <w:tc>
          <w:tcPr>
            <w:tcW w:w="840" w:type="dxa"/>
            <w:vAlign w:val="bottom"/>
            <w:shd w:val="clear" w:color="auto" w:fill="A39B8C"/>
          </w:tcPr>
          <w:p>
            <w:pPr>
              <w:jc w:val="right"/>
              <w:ind w:right="110"/>
              <w:spacing w:after="0"/>
              <w:rPr>
                <w:sz w:val="20"/>
                <w:szCs w:val="20"/>
                <w:color w:val="auto"/>
              </w:rPr>
            </w:pPr>
            <w:r>
              <w:rPr>
                <w:rFonts w:ascii="Arial" w:cs="Arial" w:eastAsia="Arial" w:hAnsi="Arial"/>
                <w:sz w:val="9"/>
                <w:szCs w:val="9"/>
                <w:b w:val="1"/>
                <w:bCs w:val="1"/>
                <w:color w:val="FFFFFF"/>
              </w:rPr>
              <w:t>DATE</w:t>
            </w:r>
          </w:p>
        </w:tc>
        <w:tc>
          <w:tcPr>
            <w:tcW w:w="880" w:type="dxa"/>
            <w:vAlign w:val="bottom"/>
            <w:shd w:val="clear" w:color="auto" w:fill="A39B8C"/>
          </w:tcPr>
          <w:p>
            <w:pPr>
              <w:jc w:val="right"/>
              <w:ind w:right="132"/>
              <w:spacing w:after="0"/>
              <w:rPr>
                <w:sz w:val="20"/>
                <w:szCs w:val="20"/>
                <w:color w:val="auto"/>
              </w:rPr>
            </w:pPr>
            <w:r>
              <w:rPr>
                <w:rFonts w:ascii="Arial" w:cs="Arial" w:eastAsia="Arial" w:hAnsi="Arial"/>
                <w:sz w:val="9"/>
                <w:szCs w:val="9"/>
                <w:b w:val="1"/>
                <w:bCs w:val="1"/>
                <w:color w:val="FFFFFF"/>
              </w:rPr>
              <w:t>VESTED (#)</w:t>
            </w:r>
          </w:p>
        </w:tc>
        <w:tc>
          <w:tcPr>
            <w:tcW w:w="160" w:type="dxa"/>
            <w:vAlign w:val="bottom"/>
            <w:shd w:val="clear" w:color="auto" w:fill="A39B8C"/>
          </w:tcPr>
          <w:p>
            <w:pPr>
              <w:spacing w:after="0"/>
              <w:rPr>
                <w:sz w:val="10"/>
                <w:szCs w:val="10"/>
                <w:color w:val="auto"/>
              </w:rPr>
            </w:pPr>
          </w:p>
        </w:tc>
        <w:tc>
          <w:tcPr>
            <w:tcW w:w="880" w:type="dxa"/>
            <w:vAlign w:val="bottom"/>
            <w:shd w:val="clear" w:color="auto" w:fill="A39B8C"/>
          </w:tcPr>
          <w:p>
            <w:pPr>
              <w:jc w:val="right"/>
              <w:ind w:right="231"/>
              <w:spacing w:after="0"/>
              <w:rPr>
                <w:sz w:val="20"/>
                <w:szCs w:val="20"/>
                <w:color w:val="auto"/>
              </w:rPr>
            </w:pPr>
            <w:r>
              <w:rPr>
                <w:rFonts w:ascii="Arial" w:cs="Arial" w:eastAsia="Arial" w:hAnsi="Arial"/>
                <w:sz w:val="9"/>
                <w:szCs w:val="9"/>
                <w:b w:val="1"/>
                <w:bCs w:val="1"/>
                <w:color w:val="FFFFFF"/>
                <w:w w:val="99"/>
              </w:rPr>
              <w:t>VESTED ($)</w:t>
            </w:r>
            <w:r>
              <w:rPr>
                <w:rFonts w:ascii="Arial" w:cs="Arial" w:eastAsia="Arial" w:hAnsi="Arial"/>
                <w:sz w:val="7"/>
                <w:szCs w:val="7"/>
                <w:b w:val="1"/>
                <w:bCs w:val="1"/>
                <w:color w:val="FFFFFF"/>
                <w:w w:val="99"/>
              </w:rPr>
              <w:t>(5)</w:t>
            </w:r>
          </w:p>
        </w:tc>
      </w:tr>
      <w:tr>
        <w:trPr>
          <w:trHeight w:val="149"/>
        </w:trPr>
        <w:tc>
          <w:tcPr>
            <w:tcW w:w="4260" w:type="dxa"/>
            <w:vAlign w:val="bottom"/>
          </w:tcPr>
          <w:p>
            <w:pPr>
              <w:ind w:left="80"/>
              <w:spacing w:after="0"/>
              <w:rPr>
                <w:sz w:val="20"/>
                <w:szCs w:val="20"/>
                <w:color w:val="auto"/>
              </w:rPr>
            </w:pPr>
            <w:r>
              <w:rPr>
                <w:rFonts w:ascii="Arial" w:cs="Arial" w:eastAsia="Arial" w:hAnsi="Arial"/>
                <w:sz w:val="11"/>
                <w:szCs w:val="11"/>
                <w:color w:val="262626"/>
              </w:rPr>
              <w:t>Matt Maddox</w:t>
            </w:r>
            <w:r>
              <w:rPr>
                <w:rFonts w:ascii="Arial" w:cs="Arial" w:eastAsia="Arial" w:hAnsi="Arial"/>
                <w:sz w:val="9"/>
                <w:szCs w:val="9"/>
                <w:b w:val="1"/>
                <w:bCs w:val="1"/>
                <w:color w:val="262626"/>
              </w:rPr>
              <w:t>(1)</w:t>
            </w:r>
          </w:p>
        </w:tc>
        <w:tc>
          <w:tcPr>
            <w:tcW w:w="940" w:type="dxa"/>
            <w:vAlign w:val="bottom"/>
          </w:tcPr>
          <w:p>
            <w:pPr>
              <w:jc w:val="right"/>
              <w:spacing w:after="0"/>
              <w:rPr>
                <w:sz w:val="20"/>
                <w:szCs w:val="20"/>
                <w:color w:val="auto"/>
              </w:rPr>
            </w:pPr>
            <w:r>
              <w:rPr>
                <w:rFonts w:ascii="Arial" w:cs="Arial" w:eastAsia="Arial" w:hAnsi="Arial"/>
                <w:sz w:val="11"/>
                <w:szCs w:val="11"/>
                <w:color w:val="262626"/>
              </w:rPr>
              <w:t>30,000</w:t>
            </w:r>
          </w:p>
        </w:tc>
        <w:tc>
          <w:tcPr>
            <w:tcW w:w="1160" w:type="dxa"/>
            <w:vAlign w:val="bottom"/>
          </w:tcPr>
          <w:p>
            <w:pPr>
              <w:jc w:val="right"/>
              <w:ind w:right="112"/>
              <w:spacing w:after="0"/>
              <w:rPr>
                <w:sz w:val="20"/>
                <w:szCs w:val="20"/>
                <w:color w:val="auto"/>
              </w:rPr>
            </w:pPr>
            <w:r>
              <w:rPr>
                <w:rFonts w:ascii="Arial" w:cs="Arial" w:eastAsia="Arial" w:hAnsi="Arial"/>
                <w:sz w:val="11"/>
                <w:szCs w:val="11"/>
                <w:color w:val="262626"/>
              </w:rPr>
              <w:t>30,000</w:t>
            </w:r>
          </w:p>
        </w:tc>
        <w:tc>
          <w:tcPr>
            <w:tcW w:w="740" w:type="dxa"/>
            <w:vAlign w:val="bottom"/>
          </w:tcPr>
          <w:p>
            <w:pPr>
              <w:jc w:val="right"/>
              <w:ind w:right="110"/>
              <w:spacing w:after="0"/>
              <w:rPr>
                <w:sz w:val="20"/>
                <w:szCs w:val="20"/>
                <w:color w:val="auto"/>
              </w:rPr>
            </w:pPr>
            <w:r>
              <w:rPr>
                <w:rFonts w:ascii="Arial" w:cs="Arial" w:eastAsia="Arial" w:hAnsi="Arial"/>
                <w:sz w:val="11"/>
                <w:szCs w:val="11"/>
                <w:color w:val="262626"/>
              </w:rPr>
              <w:t>$  47.12</w:t>
            </w:r>
          </w:p>
        </w:tc>
        <w:tc>
          <w:tcPr>
            <w:tcW w:w="840" w:type="dxa"/>
            <w:vAlign w:val="bottom"/>
          </w:tcPr>
          <w:p>
            <w:pPr>
              <w:jc w:val="right"/>
              <w:ind w:right="110"/>
              <w:spacing w:after="0"/>
              <w:rPr>
                <w:sz w:val="20"/>
                <w:szCs w:val="20"/>
                <w:color w:val="auto"/>
              </w:rPr>
            </w:pPr>
            <w:r>
              <w:rPr>
                <w:rFonts w:ascii="Arial" w:cs="Arial" w:eastAsia="Arial" w:hAnsi="Arial"/>
                <w:sz w:val="11"/>
                <w:szCs w:val="11"/>
                <w:color w:val="262626"/>
              </w:rPr>
              <w:t>5/6/2019</w:t>
            </w:r>
          </w:p>
        </w:tc>
        <w:tc>
          <w:tcPr>
            <w:tcW w:w="880" w:type="dxa"/>
            <w:vAlign w:val="bottom"/>
          </w:tcPr>
          <w:p>
            <w:pPr>
              <w:jc w:val="right"/>
              <w:ind w:right="12"/>
              <w:spacing w:after="0"/>
              <w:rPr>
                <w:sz w:val="20"/>
                <w:szCs w:val="20"/>
                <w:color w:val="auto"/>
              </w:rPr>
            </w:pPr>
            <w:r>
              <w:rPr>
                <w:rFonts w:ascii="Arial" w:cs="Arial" w:eastAsia="Arial" w:hAnsi="Arial"/>
                <w:sz w:val="11"/>
                <w:szCs w:val="11"/>
                <w:color w:val="262626"/>
              </w:rPr>
              <w:t>250,000</w:t>
            </w:r>
            <w:r>
              <w:rPr>
                <w:rFonts w:ascii="Arial" w:cs="Arial" w:eastAsia="Arial" w:hAnsi="Arial"/>
                <w:sz w:val="9"/>
                <w:szCs w:val="9"/>
                <w:b w:val="1"/>
                <w:bCs w:val="1"/>
                <w:color w:val="262626"/>
              </w:rPr>
              <w:t>(2)</w:t>
            </w:r>
          </w:p>
        </w:tc>
        <w:tc>
          <w:tcPr>
            <w:tcW w:w="160" w:type="dxa"/>
            <w:vAlign w:val="bottom"/>
          </w:tcPr>
          <w:p>
            <w:pPr>
              <w:ind w:left="80"/>
              <w:spacing w:after="0"/>
              <w:rPr>
                <w:sz w:val="20"/>
                <w:szCs w:val="20"/>
                <w:color w:val="auto"/>
              </w:rPr>
            </w:pPr>
            <w:r>
              <w:rPr>
                <w:rFonts w:ascii="Arial" w:cs="Arial" w:eastAsia="Arial" w:hAnsi="Arial"/>
                <w:sz w:val="11"/>
                <w:szCs w:val="11"/>
                <w:color w:val="262626"/>
                <w:w w:val="97"/>
              </w:rPr>
              <w:t>$</w:t>
            </w:r>
          </w:p>
        </w:tc>
        <w:tc>
          <w:tcPr>
            <w:tcW w:w="880" w:type="dxa"/>
            <w:vAlign w:val="bottom"/>
          </w:tcPr>
          <w:p>
            <w:pPr>
              <w:jc w:val="right"/>
              <w:ind w:right="231"/>
              <w:spacing w:after="0"/>
              <w:rPr>
                <w:sz w:val="20"/>
                <w:szCs w:val="20"/>
                <w:color w:val="auto"/>
              </w:rPr>
            </w:pPr>
            <w:r>
              <w:rPr>
                <w:rFonts w:ascii="Arial" w:cs="Arial" w:eastAsia="Arial" w:hAnsi="Arial"/>
                <w:sz w:val="11"/>
                <w:szCs w:val="11"/>
                <w:color w:val="262626"/>
              </w:rPr>
              <w:t>24,727,500</w:t>
            </w:r>
          </w:p>
        </w:tc>
      </w:tr>
      <w:tr>
        <w:trPr>
          <w:trHeight w:val="49"/>
        </w:trPr>
        <w:tc>
          <w:tcPr>
            <w:tcW w:w="4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179"/>
        </w:trPr>
        <w:tc>
          <w:tcPr>
            <w:tcW w:w="42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p>
        </w:tc>
        <w:tc>
          <w:tcPr>
            <w:tcW w:w="9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60" w:type="dxa"/>
            <w:vAlign w:val="bottom"/>
            <w:tcBorders>
              <w:bottom w:val="single" w:sz="8" w:color="ECEBE8"/>
            </w:tcBorders>
            <w:shd w:val="clear" w:color="auto" w:fill="ECEBE8"/>
          </w:tcPr>
          <w:p>
            <w:pPr>
              <w:jc w:val="right"/>
              <w:ind w:right="112"/>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110"/>
              <w:spacing w:after="0"/>
              <w:rPr>
                <w:sz w:val="20"/>
                <w:szCs w:val="20"/>
                <w:color w:val="auto"/>
              </w:rPr>
            </w:pPr>
            <w:r>
              <w:rPr>
                <w:rFonts w:ascii="Arial" w:cs="Arial" w:eastAsia="Arial" w:hAnsi="Arial"/>
                <w:sz w:val="11"/>
                <w:szCs w:val="11"/>
                <w:color w:val="262626"/>
              </w:rPr>
              <w:t>—</w:t>
            </w:r>
          </w:p>
        </w:tc>
        <w:tc>
          <w:tcPr>
            <w:tcW w:w="840" w:type="dxa"/>
            <w:vAlign w:val="bottom"/>
            <w:tcBorders>
              <w:bottom w:val="single" w:sz="8" w:color="ECEBE8"/>
            </w:tcBorders>
            <w:shd w:val="clear" w:color="auto" w:fill="ECEBE8"/>
          </w:tcPr>
          <w:p>
            <w:pPr>
              <w:jc w:val="right"/>
              <w:ind w:right="110"/>
              <w:spacing w:after="0"/>
              <w:rPr>
                <w:sz w:val="20"/>
                <w:szCs w:val="20"/>
                <w:color w:val="auto"/>
              </w:rPr>
            </w:pPr>
            <w:r>
              <w:rPr>
                <w:rFonts w:ascii="Arial" w:cs="Arial" w:eastAsia="Arial" w:hAnsi="Arial"/>
                <w:sz w:val="11"/>
                <w:szCs w:val="11"/>
                <w:color w:val="262626"/>
              </w:rPr>
              <w:t>—</w:t>
            </w:r>
          </w:p>
        </w:tc>
        <w:tc>
          <w:tcPr>
            <w:tcW w:w="880" w:type="dxa"/>
            <w:vAlign w:val="bottom"/>
            <w:tcBorders>
              <w:bottom w:val="single" w:sz="8" w:color="ECEBE8"/>
            </w:tcBorders>
            <w:shd w:val="clear" w:color="auto" w:fill="ECEBE8"/>
          </w:tcPr>
          <w:p>
            <w:pPr>
              <w:jc w:val="right"/>
              <w:ind w:right="12"/>
              <w:spacing w:after="0"/>
              <w:rPr>
                <w:sz w:val="20"/>
                <w:szCs w:val="20"/>
                <w:color w:val="auto"/>
              </w:rPr>
            </w:pPr>
            <w:r>
              <w:rPr>
                <w:rFonts w:ascii="Arial" w:cs="Arial" w:eastAsia="Arial" w:hAnsi="Arial"/>
                <w:sz w:val="11"/>
                <w:szCs w:val="11"/>
                <w:color w:val="262626"/>
              </w:rPr>
              <w:t>49,000</w:t>
            </w:r>
            <w:r>
              <w:rPr>
                <w:rFonts w:ascii="Arial" w:cs="Arial" w:eastAsia="Arial" w:hAnsi="Arial"/>
                <w:sz w:val="9"/>
                <w:szCs w:val="9"/>
                <w:b w:val="1"/>
                <w:bCs w:val="1"/>
                <w:color w:val="262626"/>
              </w:rPr>
              <w:t>(3)</w:t>
            </w:r>
          </w:p>
        </w:tc>
        <w:tc>
          <w:tcPr>
            <w:tcW w:w="1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w w:val="97"/>
              </w:rPr>
              <w:t>$</w:t>
            </w:r>
          </w:p>
        </w:tc>
        <w:tc>
          <w:tcPr>
            <w:tcW w:w="880" w:type="dxa"/>
            <w:vAlign w:val="bottom"/>
            <w:tcBorders>
              <w:bottom w:val="single" w:sz="8" w:color="ECEBE8"/>
            </w:tcBorders>
            <w:shd w:val="clear" w:color="auto" w:fill="ECEBE8"/>
          </w:tcPr>
          <w:p>
            <w:pPr>
              <w:jc w:val="right"/>
              <w:ind w:right="231"/>
              <w:spacing w:after="0"/>
              <w:rPr>
                <w:sz w:val="20"/>
                <w:szCs w:val="20"/>
                <w:color w:val="auto"/>
              </w:rPr>
            </w:pPr>
            <w:r>
              <w:rPr>
                <w:rFonts w:ascii="Arial" w:cs="Arial" w:eastAsia="Arial" w:hAnsi="Arial"/>
                <w:sz w:val="11"/>
                <w:szCs w:val="11"/>
                <w:color w:val="262626"/>
              </w:rPr>
              <w:t>4,846,590</w:t>
            </w:r>
          </w:p>
        </w:tc>
      </w:tr>
      <w:tr>
        <w:trPr>
          <w:trHeight w:val="149"/>
        </w:trPr>
        <w:tc>
          <w:tcPr>
            <w:tcW w:w="4260" w:type="dxa"/>
            <w:vAlign w:val="bottom"/>
          </w:tcPr>
          <w:p>
            <w:pPr>
              <w:ind w:left="80"/>
              <w:spacing w:after="0"/>
              <w:rPr>
                <w:sz w:val="20"/>
                <w:szCs w:val="20"/>
                <w:color w:val="auto"/>
              </w:rPr>
            </w:pPr>
            <w:r>
              <w:rPr>
                <w:rFonts w:ascii="Arial" w:cs="Arial" w:eastAsia="Arial" w:hAnsi="Arial"/>
                <w:sz w:val="11"/>
                <w:szCs w:val="11"/>
                <w:color w:val="262626"/>
              </w:rPr>
              <w:t>Ellen F. Whittemore</w:t>
            </w:r>
          </w:p>
        </w:tc>
        <w:tc>
          <w:tcPr>
            <w:tcW w:w="940" w:type="dxa"/>
            <w:vAlign w:val="bottom"/>
          </w:tcPr>
          <w:p>
            <w:pPr>
              <w:jc w:val="right"/>
              <w:spacing w:after="0"/>
              <w:rPr>
                <w:sz w:val="20"/>
                <w:szCs w:val="20"/>
                <w:color w:val="auto"/>
              </w:rPr>
            </w:pPr>
            <w:r>
              <w:rPr>
                <w:rFonts w:ascii="Arial" w:cs="Arial" w:eastAsia="Arial" w:hAnsi="Arial"/>
                <w:sz w:val="11"/>
                <w:szCs w:val="11"/>
                <w:color w:val="262626"/>
              </w:rPr>
              <w:t>—</w:t>
            </w:r>
          </w:p>
        </w:tc>
        <w:tc>
          <w:tcPr>
            <w:tcW w:w="1160" w:type="dxa"/>
            <w:vAlign w:val="bottom"/>
          </w:tcPr>
          <w:p>
            <w:pPr>
              <w:jc w:val="right"/>
              <w:ind w:right="112"/>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110"/>
              <w:spacing w:after="0"/>
              <w:rPr>
                <w:sz w:val="20"/>
                <w:szCs w:val="20"/>
                <w:color w:val="auto"/>
              </w:rPr>
            </w:pPr>
            <w:r>
              <w:rPr>
                <w:rFonts w:ascii="Arial" w:cs="Arial" w:eastAsia="Arial" w:hAnsi="Arial"/>
                <w:sz w:val="11"/>
                <w:szCs w:val="11"/>
                <w:color w:val="262626"/>
              </w:rPr>
              <w:t>—</w:t>
            </w:r>
          </w:p>
        </w:tc>
        <w:tc>
          <w:tcPr>
            <w:tcW w:w="840" w:type="dxa"/>
            <w:vAlign w:val="bottom"/>
          </w:tcPr>
          <w:p>
            <w:pPr>
              <w:jc w:val="right"/>
              <w:ind w:right="110"/>
              <w:spacing w:after="0"/>
              <w:rPr>
                <w:sz w:val="20"/>
                <w:szCs w:val="20"/>
                <w:color w:val="auto"/>
              </w:rPr>
            </w:pPr>
            <w:r>
              <w:rPr>
                <w:rFonts w:ascii="Arial" w:cs="Arial" w:eastAsia="Arial" w:hAnsi="Arial"/>
                <w:sz w:val="11"/>
                <w:szCs w:val="11"/>
                <w:color w:val="262626"/>
              </w:rPr>
              <w:t>—</w:t>
            </w:r>
          </w:p>
        </w:tc>
        <w:tc>
          <w:tcPr>
            <w:tcW w:w="880" w:type="dxa"/>
            <w:vAlign w:val="bottom"/>
          </w:tcPr>
          <w:p>
            <w:pPr>
              <w:jc w:val="right"/>
              <w:ind w:right="12"/>
              <w:spacing w:after="0"/>
              <w:rPr>
                <w:sz w:val="20"/>
                <w:szCs w:val="20"/>
                <w:color w:val="auto"/>
              </w:rPr>
            </w:pPr>
            <w:r>
              <w:rPr>
                <w:rFonts w:ascii="Arial" w:cs="Arial" w:eastAsia="Arial" w:hAnsi="Arial"/>
                <w:sz w:val="11"/>
                <w:szCs w:val="11"/>
                <w:color w:val="262626"/>
              </w:rPr>
              <w:t>7,500</w:t>
            </w:r>
            <w:r>
              <w:rPr>
                <w:rFonts w:ascii="Arial" w:cs="Arial" w:eastAsia="Arial" w:hAnsi="Arial"/>
                <w:sz w:val="9"/>
                <w:szCs w:val="9"/>
                <w:b w:val="1"/>
                <w:bCs w:val="1"/>
                <w:color w:val="262626"/>
              </w:rPr>
              <w:t>(4)</w:t>
            </w:r>
          </w:p>
        </w:tc>
        <w:tc>
          <w:tcPr>
            <w:tcW w:w="160" w:type="dxa"/>
            <w:vAlign w:val="bottom"/>
          </w:tcPr>
          <w:p>
            <w:pPr>
              <w:ind w:left="80"/>
              <w:spacing w:after="0"/>
              <w:rPr>
                <w:sz w:val="20"/>
                <w:szCs w:val="20"/>
                <w:color w:val="auto"/>
              </w:rPr>
            </w:pPr>
            <w:r>
              <w:rPr>
                <w:rFonts w:ascii="Arial" w:cs="Arial" w:eastAsia="Arial" w:hAnsi="Arial"/>
                <w:sz w:val="11"/>
                <w:szCs w:val="11"/>
                <w:color w:val="262626"/>
                <w:w w:val="97"/>
              </w:rPr>
              <w:t>$</w:t>
            </w:r>
          </w:p>
        </w:tc>
        <w:tc>
          <w:tcPr>
            <w:tcW w:w="880" w:type="dxa"/>
            <w:vAlign w:val="bottom"/>
          </w:tcPr>
          <w:p>
            <w:pPr>
              <w:jc w:val="right"/>
              <w:ind w:right="231"/>
              <w:spacing w:after="0"/>
              <w:rPr>
                <w:sz w:val="20"/>
                <w:szCs w:val="20"/>
                <w:color w:val="auto"/>
              </w:rPr>
            </w:pPr>
            <w:r>
              <w:rPr>
                <w:rFonts w:ascii="Arial" w:cs="Arial" w:eastAsia="Arial" w:hAnsi="Arial"/>
                <w:sz w:val="11"/>
                <w:szCs w:val="11"/>
                <w:color w:val="262626"/>
              </w:rPr>
              <w:t>741,825</w:t>
            </w:r>
          </w:p>
        </w:tc>
      </w:tr>
      <w:tr>
        <w:trPr>
          <w:trHeight w:val="49"/>
        </w:trPr>
        <w:tc>
          <w:tcPr>
            <w:tcW w:w="4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179"/>
        </w:trPr>
        <w:tc>
          <w:tcPr>
            <w:tcW w:w="42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Stephen A. Wynn</w:t>
            </w:r>
          </w:p>
        </w:tc>
        <w:tc>
          <w:tcPr>
            <w:tcW w:w="94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160" w:type="dxa"/>
            <w:vAlign w:val="bottom"/>
            <w:tcBorders>
              <w:bottom w:val="single" w:sz="8" w:color="ECEBE8"/>
            </w:tcBorders>
            <w:shd w:val="clear" w:color="auto" w:fill="ECEBE8"/>
          </w:tcPr>
          <w:p>
            <w:pPr>
              <w:jc w:val="right"/>
              <w:ind w:right="112"/>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110"/>
              <w:spacing w:after="0"/>
              <w:rPr>
                <w:sz w:val="20"/>
                <w:szCs w:val="20"/>
                <w:color w:val="auto"/>
              </w:rPr>
            </w:pPr>
            <w:r>
              <w:rPr>
                <w:rFonts w:ascii="Arial" w:cs="Arial" w:eastAsia="Arial" w:hAnsi="Arial"/>
                <w:sz w:val="11"/>
                <w:szCs w:val="11"/>
                <w:color w:val="262626"/>
              </w:rPr>
              <w:t>—</w:t>
            </w:r>
          </w:p>
        </w:tc>
        <w:tc>
          <w:tcPr>
            <w:tcW w:w="840" w:type="dxa"/>
            <w:vAlign w:val="bottom"/>
            <w:tcBorders>
              <w:bottom w:val="single" w:sz="8" w:color="ECEBE8"/>
            </w:tcBorders>
            <w:shd w:val="clear" w:color="auto" w:fill="ECEBE8"/>
          </w:tcPr>
          <w:p>
            <w:pPr>
              <w:jc w:val="right"/>
              <w:ind w:right="110"/>
              <w:spacing w:after="0"/>
              <w:rPr>
                <w:sz w:val="20"/>
                <w:szCs w:val="20"/>
                <w:color w:val="auto"/>
              </w:rPr>
            </w:pPr>
            <w:r>
              <w:rPr>
                <w:rFonts w:ascii="Arial" w:cs="Arial" w:eastAsia="Arial" w:hAnsi="Arial"/>
                <w:sz w:val="11"/>
                <w:szCs w:val="11"/>
                <w:color w:val="262626"/>
              </w:rPr>
              <w:t>—</w:t>
            </w:r>
          </w:p>
        </w:tc>
        <w:tc>
          <w:tcPr>
            <w:tcW w:w="880" w:type="dxa"/>
            <w:vAlign w:val="bottom"/>
            <w:tcBorders>
              <w:bottom w:val="single" w:sz="8" w:color="ECEBE8"/>
            </w:tcBorders>
            <w:shd w:val="clear" w:color="auto" w:fill="ECEBE8"/>
          </w:tcPr>
          <w:p>
            <w:pPr>
              <w:jc w:val="right"/>
              <w:ind w:right="132"/>
              <w:spacing w:after="0"/>
              <w:rPr>
                <w:sz w:val="20"/>
                <w:szCs w:val="20"/>
                <w:color w:val="auto"/>
              </w:rPr>
            </w:pPr>
            <w:r>
              <w:rPr>
                <w:rFonts w:ascii="Arial" w:cs="Arial" w:eastAsia="Arial" w:hAnsi="Arial"/>
                <w:sz w:val="11"/>
                <w:szCs w:val="11"/>
                <w:color w:val="262626"/>
              </w:rPr>
              <w:t>—</w:t>
            </w:r>
          </w:p>
        </w:tc>
        <w:tc>
          <w:tcPr>
            <w:tcW w:w="16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w w:val="97"/>
              </w:rPr>
              <w:t>$</w:t>
            </w:r>
          </w:p>
        </w:tc>
        <w:tc>
          <w:tcPr>
            <w:tcW w:w="880" w:type="dxa"/>
            <w:vAlign w:val="bottom"/>
            <w:tcBorders>
              <w:bottom w:val="single" w:sz="8" w:color="ECEBE8"/>
            </w:tcBorders>
            <w:shd w:val="clear" w:color="auto" w:fill="ECEBE8"/>
          </w:tcPr>
          <w:p>
            <w:pPr>
              <w:jc w:val="right"/>
              <w:ind w:right="231"/>
              <w:spacing w:after="0"/>
              <w:rPr>
                <w:sz w:val="20"/>
                <w:szCs w:val="20"/>
                <w:color w:val="auto"/>
              </w:rPr>
            </w:pPr>
            <w:r>
              <w:rPr>
                <w:rFonts w:ascii="Arial" w:cs="Arial" w:eastAsia="Arial" w:hAnsi="Arial"/>
                <w:sz w:val="11"/>
                <w:szCs w:val="11"/>
                <w:color w:val="262626"/>
              </w:rPr>
              <w:t>—</w:t>
            </w:r>
          </w:p>
        </w:tc>
      </w:tr>
      <w:tr>
        <w:trPr>
          <w:trHeight w:val="149"/>
        </w:trPr>
        <w:tc>
          <w:tcPr>
            <w:tcW w:w="4260" w:type="dxa"/>
            <w:vAlign w:val="bottom"/>
          </w:tcPr>
          <w:p>
            <w:pPr>
              <w:ind w:left="80"/>
              <w:spacing w:after="0"/>
              <w:rPr>
                <w:sz w:val="20"/>
                <w:szCs w:val="20"/>
                <w:color w:val="auto"/>
              </w:rPr>
            </w:pPr>
            <w:r>
              <w:rPr>
                <w:rFonts w:ascii="Arial" w:cs="Arial" w:eastAsia="Arial" w:hAnsi="Arial"/>
                <w:sz w:val="11"/>
                <w:szCs w:val="11"/>
                <w:color w:val="262626"/>
              </w:rPr>
              <w:t>Kimmarie Sinatra</w:t>
            </w:r>
          </w:p>
        </w:tc>
        <w:tc>
          <w:tcPr>
            <w:tcW w:w="940" w:type="dxa"/>
            <w:vAlign w:val="bottom"/>
          </w:tcPr>
          <w:p>
            <w:pPr>
              <w:jc w:val="right"/>
              <w:spacing w:after="0"/>
              <w:rPr>
                <w:sz w:val="20"/>
                <w:szCs w:val="20"/>
                <w:color w:val="auto"/>
              </w:rPr>
            </w:pPr>
            <w:r>
              <w:rPr>
                <w:rFonts w:ascii="Arial" w:cs="Arial" w:eastAsia="Arial" w:hAnsi="Arial"/>
                <w:sz w:val="11"/>
                <w:szCs w:val="11"/>
                <w:color w:val="262626"/>
              </w:rPr>
              <w:t>—</w:t>
            </w:r>
          </w:p>
        </w:tc>
        <w:tc>
          <w:tcPr>
            <w:tcW w:w="1160" w:type="dxa"/>
            <w:vAlign w:val="bottom"/>
          </w:tcPr>
          <w:p>
            <w:pPr>
              <w:jc w:val="right"/>
              <w:ind w:right="112"/>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110"/>
              <w:spacing w:after="0"/>
              <w:rPr>
                <w:sz w:val="20"/>
                <w:szCs w:val="20"/>
                <w:color w:val="auto"/>
              </w:rPr>
            </w:pPr>
            <w:r>
              <w:rPr>
                <w:rFonts w:ascii="Arial" w:cs="Arial" w:eastAsia="Arial" w:hAnsi="Arial"/>
                <w:sz w:val="11"/>
                <w:szCs w:val="11"/>
                <w:color w:val="262626"/>
              </w:rPr>
              <w:t>—</w:t>
            </w:r>
          </w:p>
        </w:tc>
        <w:tc>
          <w:tcPr>
            <w:tcW w:w="840" w:type="dxa"/>
            <w:vAlign w:val="bottom"/>
          </w:tcPr>
          <w:p>
            <w:pPr>
              <w:jc w:val="right"/>
              <w:ind w:right="110"/>
              <w:spacing w:after="0"/>
              <w:rPr>
                <w:sz w:val="20"/>
                <w:szCs w:val="20"/>
                <w:color w:val="auto"/>
              </w:rPr>
            </w:pPr>
            <w:r>
              <w:rPr>
                <w:rFonts w:ascii="Arial" w:cs="Arial" w:eastAsia="Arial" w:hAnsi="Arial"/>
                <w:sz w:val="11"/>
                <w:szCs w:val="11"/>
                <w:color w:val="262626"/>
              </w:rPr>
              <w:t>—</w:t>
            </w:r>
          </w:p>
        </w:tc>
        <w:tc>
          <w:tcPr>
            <w:tcW w:w="880" w:type="dxa"/>
            <w:vAlign w:val="bottom"/>
          </w:tcPr>
          <w:p>
            <w:pPr>
              <w:jc w:val="right"/>
              <w:ind w:right="132"/>
              <w:spacing w:after="0"/>
              <w:rPr>
                <w:sz w:val="20"/>
                <w:szCs w:val="20"/>
                <w:color w:val="auto"/>
              </w:rPr>
            </w:pPr>
            <w:r>
              <w:rPr>
                <w:rFonts w:ascii="Arial" w:cs="Arial" w:eastAsia="Arial" w:hAnsi="Arial"/>
                <w:sz w:val="11"/>
                <w:szCs w:val="11"/>
                <w:color w:val="262626"/>
              </w:rPr>
              <w:t>—</w:t>
            </w:r>
          </w:p>
        </w:tc>
        <w:tc>
          <w:tcPr>
            <w:tcW w:w="160" w:type="dxa"/>
            <w:vAlign w:val="bottom"/>
          </w:tcPr>
          <w:p>
            <w:pPr>
              <w:ind w:left="80"/>
              <w:spacing w:after="0"/>
              <w:rPr>
                <w:sz w:val="20"/>
                <w:szCs w:val="20"/>
                <w:color w:val="auto"/>
              </w:rPr>
            </w:pPr>
            <w:r>
              <w:rPr>
                <w:rFonts w:ascii="Arial" w:cs="Arial" w:eastAsia="Arial" w:hAnsi="Arial"/>
                <w:sz w:val="11"/>
                <w:szCs w:val="11"/>
                <w:color w:val="262626"/>
                <w:w w:val="97"/>
              </w:rPr>
              <w:t>$</w:t>
            </w:r>
          </w:p>
        </w:tc>
        <w:tc>
          <w:tcPr>
            <w:tcW w:w="880" w:type="dxa"/>
            <w:vAlign w:val="bottom"/>
          </w:tcPr>
          <w:p>
            <w:pPr>
              <w:jc w:val="right"/>
              <w:ind w:right="231"/>
              <w:spacing w:after="0"/>
              <w:rPr>
                <w:sz w:val="20"/>
                <w:szCs w:val="20"/>
                <w:color w:val="auto"/>
              </w:rPr>
            </w:pPr>
            <w:r>
              <w:rPr>
                <w:rFonts w:ascii="Arial" w:cs="Arial" w:eastAsia="Arial" w:hAnsi="Arial"/>
                <w:sz w:val="11"/>
                <w:szCs w:val="11"/>
                <w:color w:val="26262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-969010</wp:posOffset>
            </wp:positionV>
            <wp:extent cx="32969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65" w:lineRule="exact"/>
        <w:rPr>
          <w:sz w:val="20"/>
          <w:szCs w:val="20"/>
          <w:color w:val="auto"/>
        </w:rPr>
      </w:pPr>
    </w:p>
    <w:p>
      <w:pPr>
        <w:ind w:left="920" w:hanging="139"/>
        <w:spacing w:after="0"/>
        <w:tabs>
          <w:tab w:leader="none" w:pos="920" w:val="left"/>
        </w:tabs>
        <w:numPr>
          <w:ilvl w:val="0"/>
          <w:numId w:val="71"/>
        </w:numPr>
        <w:rPr>
          <w:rFonts w:ascii="Arial" w:cs="Arial" w:eastAsia="Arial" w:hAnsi="Arial"/>
          <w:sz w:val="9"/>
          <w:szCs w:val="9"/>
          <w:color w:val="262626"/>
        </w:rPr>
      </w:pPr>
      <w:r>
        <w:rPr>
          <w:rFonts w:ascii="Arial" w:cs="Arial" w:eastAsia="Arial" w:hAnsi="Arial"/>
          <w:sz w:val="11"/>
          <w:szCs w:val="11"/>
          <w:color w:val="262626"/>
        </w:rPr>
        <w:t>30,000 stock options will vest on May 6, 2019.</w:t>
      </w:r>
    </w:p>
    <w:p>
      <w:pPr>
        <w:spacing w:after="0" w:line="19" w:lineRule="exact"/>
        <w:rPr>
          <w:rFonts w:ascii="Arial" w:cs="Arial" w:eastAsia="Arial" w:hAnsi="Arial"/>
          <w:sz w:val="9"/>
          <w:szCs w:val="9"/>
          <w:color w:val="262626"/>
        </w:rPr>
      </w:pPr>
    </w:p>
    <w:p>
      <w:pPr>
        <w:ind w:left="780" w:right="200" w:firstLine="1"/>
        <w:spacing w:after="0" w:line="232" w:lineRule="auto"/>
        <w:tabs>
          <w:tab w:leader="none" w:pos="915" w:val="left"/>
        </w:tabs>
        <w:numPr>
          <w:ilvl w:val="0"/>
          <w:numId w:val="71"/>
        </w:numPr>
        <w:rPr>
          <w:rFonts w:ascii="Arial" w:cs="Arial" w:eastAsia="Arial" w:hAnsi="Arial"/>
          <w:sz w:val="9"/>
          <w:szCs w:val="9"/>
          <w:color w:val="262626"/>
        </w:rPr>
      </w:pPr>
      <w:r>
        <w:rPr>
          <w:rFonts w:ascii="Arial" w:cs="Arial" w:eastAsia="Arial" w:hAnsi="Arial"/>
          <w:sz w:val="11"/>
          <w:szCs w:val="11"/>
          <w:color w:val="262626"/>
        </w:rPr>
        <w:t>50,000 shares will vest on March 1, 2019, 2020 and 2021, subject to continued employment and the achievement of pre-established property-level revenue and Adjusted Property EBITDA performance goals. 40,000 shares will vest on November 4, 2020 and 2021 and 10,000 shares will vest on March 1, 2022 and 2023, all of which are subject to continued employment.</w:t>
      </w:r>
    </w:p>
    <w:p>
      <w:pPr>
        <w:spacing w:after="0" w:line="33" w:lineRule="exact"/>
        <w:rPr>
          <w:rFonts w:ascii="Arial" w:cs="Arial" w:eastAsia="Arial" w:hAnsi="Arial"/>
          <w:sz w:val="9"/>
          <w:szCs w:val="9"/>
          <w:color w:val="262626"/>
        </w:rPr>
      </w:pPr>
    </w:p>
    <w:p>
      <w:pPr>
        <w:ind w:left="780" w:right="240" w:firstLine="1"/>
        <w:spacing w:after="0" w:line="271" w:lineRule="auto"/>
        <w:tabs>
          <w:tab w:leader="none" w:pos="915" w:val="left"/>
        </w:tabs>
        <w:numPr>
          <w:ilvl w:val="0"/>
          <w:numId w:val="71"/>
        </w:numPr>
        <w:rPr>
          <w:rFonts w:ascii="Arial" w:cs="Arial" w:eastAsia="Arial" w:hAnsi="Arial"/>
          <w:sz w:val="8"/>
          <w:szCs w:val="8"/>
          <w:color w:val="262626"/>
        </w:rPr>
      </w:pPr>
      <w:r>
        <w:rPr>
          <w:rFonts w:ascii="Arial" w:cs="Arial" w:eastAsia="Arial" w:hAnsi="Arial"/>
          <w:sz w:val="10"/>
          <w:szCs w:val="10"/>
          <w:color w:val="262626"/>
        </w:rPr>
        <w:t>5,000 shares will vest on March 1, 2019, 2020 and 2021, subject to continued employment and the achievement of pre-established property-level revenue and Adjusted Property EBITDA performance goals. 6,000 shares will vest on March 1, 2019, 2020 and 2021; 11,000 shares will vest on March 1, 2022; and 5,000 shares will vest on March 1, 2023, all of which are subject to continued employment.</w:t>
      </w:r>
    </w:p>
    <w:p>
      <w:pPr>
        <w:spacing w:after="0" w:line="18" w:lineRule="exact"/>
        <w:rPr>
          <w:rFonts w:ascii="Arial" w:cs="Arial" w:eastAsia="Arial" w:hAnsi="Arial"/>
          <w:sz w:val="8"/>
          <w:szCs w:val="8"/>
          <w:color w:val="262626"/>
        </w:rPr>
      </w:pPr>
    </w:p>
    <w:p>
      <w:pPr>
        <w:ind w:left="780" w:right="260" w:firstLine="1"/>
        <w:spacing w:after="0" w:line="232" w:lineRule="auto"/>
        <w:tabs>
          <w:tab w:leader="none" w:pos="915" w:val="left"/>
        </w:tabs>
        <w:numPr>
          <w:ilvl w:val="0"/>
          <w:numId w:val="71"/>
        </w:numPr>
        <w:rPr>
          <w:rFonts w:ascii="Arial" w:cs="Arial" w:eastAsia="Arial" w:hAnsi="Arial"/>
          <w:sz w:val="9"/>
          <w:szCs w:val="9"/>
          <w:color w:val="262626"/>
        </w:rPr>
      </w:pPr>
      <w:r>
        <w:rPr>
          <w:rFonts w:ascii="Arial" w:cs="Arial" w:eastAsia="Arial" w:hAnsi="Arial"/>
          <w:sz w:val="11"/>
          <w:szCs w:val="11"/>
          <w:color w:val="262626"/>
        </w:rPr>
        <w:t>1,125 shares will vest on March 1, 2019, 2020, 2021 and 2022, subject to continued employment and the achievement of pre-established property-level revenue and Adjusted Property EBITDA performance goals. 1,000 shares will vest on July 15, 2020, 2021 and 2022 subject to continued employment.</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1"/>
        </w:numPr>
        <w:rPr>
          <w:rFonts w:ascii="Arial" w:cs="Arial" w:eastAsia="Arial" w:hAnsi="Arial"/>
          <w:sz w:val="9"/>
          <w:szCs w:val="9"/>
          <w:color w:val="262626"/>
        </w:rPr>
      </w:pPr>
      <w:r>
        <w:rPr>
          <w:rFonts w:ascii="Arial" w:cs="Arial" w:eastAsia="Arial" w:hAnsi="Arial"/>
          <w:sz w:val="11"/>
          <w:szCs w:val="11"/>
          <w:color w:val="262626"/>
        </w:rPr>
        <w:t>Amounts in this column are based upon the closing price of the Company’s stock at December 31, 2018, which was $98.91.</w:t>
      </w:r>
    </w:p>
    <w:p>
      <w:pPr>
        <w:spacing w:after="0" w:line="187" w:lineRule="exact"/>
        <w:rPr>
          <w:sz w:val="20"/>
          <w:szCs w:val="20"/>
          <w:color w:val="auto"/>
        </w:rPr>
      </w:pPr>
    </w:p>
    <w:p>
      <w:pPr>
        <w:ind w:left="780" w:right="400"/>
        <w:spacing w:after="0" w:line="249" w:lineRule="auto"/>
        <w:rPr>
          <w:sz w:val="20"/>
          <w:szCs w:val="20"/>
          <w:color w:val="auto"/>
        </w:rPr>
      </w:pPr>
      <w:r>
        <w:rPr>
          <w:rFonts w:ascii="Arial" w:cs="Arial" w:eastAsia="Arial" w:hAnsi="Arial"/>
          <w:sz w:val="14"/>
          <w:szCs w:val="14"/>
          <w:color w:val="262626"/>
        </w:rPr>
        <w:t>All vesting is conditioned upon such NEOs being an employee of the Company on the vesting date, except as discussed below under “Potential Payments Upon Termination or Change in Control.”</w:t>
      </w:r>
    </w:p>
    <w:p>
      <w:pPr>
        <w:spacing w:after="0" w:line="27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OPTION EXERCISES AND STOCK VESTED IN 2018</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119"/>
        </w:trPr>
        <w:tc>
          <w:tcPr>
            <w:tcW w:w="3540" w:type="dxa"/>
            <w:vAlign w:val="bottom"/>
            <w:shd w:val="clear" w:color="auto" w:fill="A39B8C"/>
          </w:tcPr>
          <w:p>
            <w:pPr>
              <w:spacing w:after="0"/>
              <w:rPr>
                <w:sz w:val="10"/>
                <w:szCs w:val="10"/>
                <w:color w:val="auto"/>
              </w:rPr>
            </w:pPr>
          </w:p>
        </w:tc>
        <w:tc>
          <w:tcPr>
            <w:tcW w:w="2240" w:type="dxa"/>
            <w:vAlign w:val="bottom"/>
            <w:shd w:val="clear" w:color="auto" w:fill="A39B8C"/>
          </w:tcPr>
          <w:p>
            <w:pPr>
              <w:jc w:val="right"/>
              <w:ind w:right="11"/>
              <w:spacing w:after="0"/>
              <w:rPr>
                <w:sz w:val="20"/>
                <w:szCs w:val="20"/>
                <w:color w:val="auto"/>
              </w:rPr>
            </w:pPr>
            <w:r>
              <w:rPr>
                <w:rFonts w:ascii="Arial" w:cs="Arial" w:eastAsia="Arial" w:hAnsi="Arial"/>
                <w:sz w:val="9"/>
                <w:szCs w:val="9"/>
                <w:b w:val="1"/>
                <w:bCs w:val="1"/>
                <w:color w:val="FFFFFF"/>
              </w:rPr>
              <w:t>OPTION AWARDS</w:t>
            </w:r>
          </w:p>
        </w:tc>
        <w:tc>
          <w:tcPr>
            <w:tcW w:w="260" w:type="dxa"/>
            <w:vAlign w:val="bottom"/>
            <w:shd w:val="clear" w:color="auto" w:fill="A39B8C"/>
          </w:tcPr>
          <w:p>
            <w:pPr>
              <w:spacing w:after="0"/>
              <w:rPr>
                <w:sz w:val="10"/>
                <w:szCs w:val="10"/>
                <w:color w:val="auto"/>
              </w:rPr>
            </w:pPr>
          </w:p>
        </w:tc>
        <w:tc>
          <w:tcPr>
            <w:tcW w:w="620" w:type="dxa"/>
            <w:vAlign w:val="bottom"/>
            <w:shd w:val="clear" w:color="auto" w:fill="A39B8C"/>
          </w:tcPr>
          <w:p>
            <w:pPr>
              <w:spacing w:after="0"/>
              <w:rPr>
                <w:sz w:val="10"/>
                <w:szCs w:val="10"/>
                <w:color w:val="auto"/>
              </w:rPr>
            </w:pPr>
          </w:p>
        </w:tc>
        <w:tc>
          <w:tcPr>
            <w:tcW w:w="2120" w:type="dxa"/>
            <w:vAlign w:val="bottom"/>
            <w:shd w:val="clear" w:color="auto" w:fill="A39B8C"/>
          </w:tcPr>
          <w:p>
            <w:pPr>
              <w:jc w:val="right"/>
              <w:spacing w:after="0"/>
              <w:rPr>
                <w:sz w:val="20"/>
                <w:szCs w:val="20"/>
                <w:color w:val="auto"/>
              </w:rPr>
            </w:pPr>
            <w:r>
              <w:rPr>
                <w:rFonts w:ascii="Arial" w:cs="Arial" w:eastAsia="Arial" w:hAnsi="Arial"/>
                <w:sz w:val="9"/>
                <w:szCs w:val="9"/>
                <w:b w:val="1"/>
                <w:bCs w:val="1"/>
                <w:color w:val="FFFFFF"/>
              </w:rPr>
              <w:t>STOCK AWARDS</w:t>
            </w:r>
          </w:p>
        </w:tc>
        <w:tc>
          <w:tcPr>
            <w:tcW w:w="100" w:type="dxa"/>
            <w:vAlign w:val="bottom"/>
            <w:shd w:val="clear" w:color="auto" w:fill="A39B8C"/>
          </w:tcPr>
          <w:p>
            <w:pPr>
              <w:spacing w:after="0"/>
              <w:rPr>
                <w:sz w:val="10"/>
                <w:szCs w:val="10"/>
                <w:color w:val="auto"/>
              </w:rPr>
            </w:pPr>
          </w:p>
        </w:tc>
        <w:tc>
          <w:tcPr>
            <w:tcW w:w="980" w:type="dxa"/>
            <w:vAlign w:val="bottom"/>
            <w:shd w:val="clear" w:color="auto" w:fill="A39B8C"/>
          </w:tcPr>
          <w:p>
            <w:pPr>
              <w:spacing w:after="0"/>
              <w:rPr>
                <w:sz w:val="10"/>
                <w:szCs w:val="10"/>
                <w:color w:val="auto"/>
              </w:rPr>
            </w:pPr>
          </w:p>
        </w:tc>
        <w:tc>
          <w:tcPr>
            <w:tcW w:w="20" w:type="dxa"/>
            <w:vAlign w:val="bottom"/>
            <w:shd w:val="clear" w:color="auto" w:fill="A39B8C"/>
          </w:tcPr>
          <w:p>
            <w:pPr>
              <w:spacing w:after="0"/>
              <w:rPr>
                <w:sz w:val="10"/>
                <w:szCs w:val="10"/>
                <w:color w:val="auto"/>
              </w:rPr>
            </w:pPr>
          </w:p>
        </w:tc>
      </w:tr>
      <w:tr>
        <w:trPr>
          <w:trHeight w:val="96"/>
        </w:trPr>
        <w:tc>
          <w:tcPr>
            <w:tcW w:w="3540" w:type="dxa"/>
            <w:vAlign w:val="bottom"/>
            <w:shd w:val="clear" w:color="auto" w:fill="A39B8C"/>
          </w:tcPr>
          <w:p>
            <w:pPr>
              <w:spacing w:after="0"/>
              <w:rPr>
                <w:sz w:val="8"/>
                <w:szCs w:val="8"/>
                <w:color w:val="auto"/>
              </w:rPr>
            </w:pPr>
          </w:p>
        </w:tc>
        <w:tc>
          <w:tcPr>
            <w:tcW w:w="2240" w:type="dxa"/>
            <w:vAlign w:val="bottom"/>
            <w:shd w:val="clear" w:color="auto" w:fill="A39B8C"/>
          </w:tcPr>
          <w:p>
            <w:pPr>
              <w:jc w:val="right"/>
              <w:ind w:right="431"/>
              <w:spacing w:after="0" w:line="96" w:lineRule="exact"/>
              <w:rPr>
                <w:sz w:val="20"/>
                <w:szCs w:val="20"/>
                <w:color w:val="auto"/>
              </w:rPr>
            </w:pPr>
            <w:r>
              <w:rPr>
                <w:rFonts w:ascii="Arial" w:cs="Arial" w:eastAsia="Arial" w:hAnsi="Arial"/>
                <w:sz w:val="9"/>
                <w:szCs w:val="9"/>
                <w:b w:val="1"/>
                <w:bCs w:val="1"/>
                <w:color w:val="FFFFFF"/>
              </w:rPr>
              <w:t>NUMBER OF SHARES</w:t>
            </w:r>
          </w:p>
        </w:tc>
        <w:tc>
          <w:tcPr>
            <w:tcW w:w="880" w:type="dxa"/>
            <w:vAlign w:val="bottom"/>
            <w:gridSpan w:val="2"/>
            <w:shd w:val="clear" w:color="auto" w:fill="A39B8C"/>
          </w:tcPr>
          <w:p>
            <w:pPr>
              <w:ind w:left="100"/>
              <w:spacing w:after="0" w:line="96" w:lineRule="exact"/>
              <w:rPr>
                <w:sz w:val="20"/>
                <w:szCs w:val="20"/>
                <w:color w:val="auto"/>
              </w:rPr>
            </w:pPr>
            <w:r>
              <w:rPr>
                <w:rFonts w:ascii="Arial" w:cs="Arial" w:eastAsia="Arial" w:hAnsi="Arial"/>
                <w:sz w:val="9"/>
                <w:szCs w:val="9"/>
                <w:b w:val="1"/>
                <w:bCs w:val="1"/>
                <w:color w:val="FFFFFF"/>
                <w:w w:val="97"/>
              </w:rPr>
              <w:t>VALUE REALIZED</w:t>
            </w:r>
          </w:p>
        </w:tc>
        <w:tc>
          <w:tcPr>
            <w:tcW w:w="2120" w:type="dxa"/>
            <w:vAlign w:val="bottom"/>
            <w:shd w:val="clear" w:color="auto" w:fill="A39B8C"/>
          </w:tcPr>
          <w:p>
            <w:pPr>
              <w:jc w:val="right"/>
              <w:ind w:right="231"/>
              <w:spacing w:after="0" w:line="96" w:lineRule="exact"/>
              <w:rPr>
                <w:sz w:val="20"/>
                <w:szCs w:val="20"/>
                <w:color w:val="auto"/>
              </w:rPr>
            </w:pPr>
            <w:r>
              <w:rPr>
                <w:rFonts w:ascii="Arial" w:cs="Arial" w:eastAsia="Arial" w:hAnsi="Arial"/>
                <w:sz w:val="9"/>
                <w:szCs w:val="9"/>
                <w:b w:val="1"/>
                <w:bCs w:val="1"/>
                <w:color w:val="FFFFFF"/>
              </w:rPr>
              <w:t>NUMBER OF SHARES</w:t>
            </w:r>
          </w:p>
        </w:tc>
        <w:tc>
          <w:tcPr>
            <w:tcW w:w="1080" w:type="dxa"/>
            <w:vAlign w:val="bottom"/>
            <w:gridSpan w:val="2"/>
            <w:shd w:val="clear" w:color="auto" w:fill="A39B8C"/>
          </w:tcPr>
          <w:p>
            <w:pPr>
              <w:ind w:left="40"/>
              <w:spacing w:after="0" w:line="96" w:lineRule="exact"/>
              <w:rPr>
                <w:sz w:val="20"/>
                <w:szCs w:val="20"/>
                <w:color w:val="auto"/>
              </w:rPr>
            </w:pPr>
            <w:r>
              <w:rPr>
                <w:rFonts w:ascii="Arial" w:cs="Arial" w:eastAsia="Arial" w:hAnsi="Arial"/>
                <w:sz w:val="9"/>
                <w:szCs w:val="9"/>
                <w:b w:val="1"/>
                <w:bCs w:val="1"/>
                <w:color w:val="FFFFFF"/>
              </w:rPr>
              <w:t>VALUE REALIZED</w:t>
            </w:r>
          </w:p>
        </w:tc>
        <w:tc>
          <w:tcPr>
            <w:tcW w:w="20" w:type="dxa"/>
            <w:vAlign w:val="bottom"/>
            <w:shd w:val="clear" w:color="auto" w:fill="A39B8C"/>
          </w:tcPr>
          <w:p>
            <w:pPr>
              <w:spacing w:after="0"/>
              <w:rPr>
                <w:sz w:val="8"/>
                <w:szCs w:val="8"/>
                <w:color w:val="auto"/>
              </w:rPr>
            </w:pPr>
          </w:p>
        </w:tc>
      </w:tr>
      <w:tr>
        <w:trPr>
          <w:trHeight w:val="149"/>
        </w:trPr>
        <w:tc>
          <w:tcPr>
            <w:tcW w:w="354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w:t>
            </w:r>
          </w:p>
        </w:tc>
        <w:tc>
          <w:tcPr>
            <w:tcW w:w="2240" w:type="dxa"/>
            <w:vAlign w:val="bottom"/>
            <w:tcBorders>
              <w:bottom w:val="single" w:sz="8" w:color="A39B8C"/>
            </w:tcBorders>
            <w:shd w:val="clear" w:color="auto" w:fill="A39B8C"/>
          </w:tcPr>
          <w:p>
            <w:pPr>
              <w:jc w:val="right"/>
              <w:ind w:right="431"/>
              <w:spacing w:after="0"/>
              <w:rPr>
                <w:sz w:val="20"/>
                <w:szCs w:val="20"/>
                <w:color w:val="auto"/>
              </w:rPr>
            </w:pPr>
            <w:r>
              <w:rPr>
                <w:rFonts w:ascii="Arial" w:cs="Arial" w:eastAsia="Arial" w:hAnsi="Arial"/>
                <w:sz w:val="9"/>
                <w:szCs w:val="9"/>
                <w:b w:val="1"/>
                <w:bCs w:val="1"/>
                <w:color w:val="FFFFFF"/>
              </w:rPr>
              <w:t>ACQUIRED ON EXERCISE (#)</w:t>
            </w:r>
          </w:p>
        </w:tc>
        <w:tc>
          <w:tcPr>
            <w:tcW w:w="880" w:type="dxa"/>
            <w:vAlign w:val="bottom"/>
            <w:tcBorders>
              <w:bottom w:val="single" w:sz="8" w:color="A39B8C"/>
            </w:tcBorders>
            <w:gridSpan w:val="2"/>
            <w:shd w:val="clear" w:color="auto" w:fill="A39B8C"/>
          </w:tcPr>
          <w:p>
            <w:pPr>
              <w:ind w:left="120"/>
              <w:spacing w:after="0"/>
              <w:rPr>
                <w:sz w:val="20"/>
                <w:szCs w:val="20"/>
                <w:color w:val="auto"/>
              </w:rPr>
            </w:pPr>
            <w:r>
              <w:rPr>
                <w:rFonts w:ascii="Arial" w:cs="Arial" w:eastAsia="Arial" w:hAnsi="Arial"/>
                <w:sz w:val="9"/>
                <w:szCs w:val="9"/>
                <w:b w:val="1"/>
                <w:bCs w:val="1"/>
                <w:color w:val="FFFFFF"/>
                <w:w w:val="98"/>
              </w:rPr>
              <w:t>ON EXERCISE ($)</w:t>
            </w:r>
          </w:p>
        </w:tc>
        <w:tc>
          <w:tcPr>
            <w:tcW w:w="2120" w:type="dxa"/>
            <w:vAlign w:val="bottom"/>
            <w:tcBorders>
              <w:bottom w:val="single" w:sz="8" w:color="A39B8C"/>
            </w:tcBorders>
            <w:shd w:val="clear" w:color="auto" w:fill="A39B8C"/>
          </w:tcPr>
          <w:p>
            <w:pPr>
              <w:jc w:val="right"/>
              <w:ind w:right="231"/>
              <w:spacing w:after="0"/>
              <w:rPr>
                <w:sz w:val="20"/>
                <w:szCs w:val="20"/>
                <w:color w:val="auto"/>
              </w:rPr>
            </w:pPr>
            <w:r>
              <w:rPr>
                <w:rFonts w:ascii="Arial" w:cs="Arial" w:eastAsia="Arial" w:hAnsi="Arial"/>
                <w:sz w:val="9"/>
                <w:szCs w:val="9"/>
                <w:b w:val="1"/>
                <w:bCs w:val="1"/>
                <w:color w:val="FFFFFF"/>
              </w:rPr>
              <w:t>ACQUIRED ON VESTING (#)</w:t>
            </w:r>
            <w:r>
              <w:rPr>
                <w:rFonts w:ascii="Arial" w:cs="Arial" w:eastAsia="Arial" w:hAnsi="Arial"/>
                <w:sz w:val="7"/>
                <w:szCs w:val="7"/>
                <w:b w:val="1"/>
                <w:bCs w:val="1"/>
                <w:color w:val="FFFFFF"/>
              </w:rPr>
              <w:t>(1)</w:t>
            </w:r>
          </w:p>
        </w:tc>
        <w:tc>
          <w:tcPr>
            <w:tcW w:w="100" w:type="dxa"/>
            <w:vAlign w:val="bottom"/>
            <w:tcBorders>
              <w:bottom w:val="single" w:sz="8" w:color="A39B8C"/>
            </w:tcBorders>
            <w:shd w:val="clear" w:color="auto" w:fill="A39B8C"/>
          </w:tcPr>
          <w:p>
            <w:pPr>
              <w:spacing w:after="0"/>
              <w:rPr>
                <w:sz w:val="12"/>
                <w:szCs w:val="12"/>
                <w:color w:val="auto"/>
              </w:rPr>
            </w:pPr>
          </w:p>
        </w:tc>
        <w:tc>
          <w:tcPr>
            <w:tcW w:w="980" w:type="dxa"/>
            <w:vAlign w:val="bottom"/>
            <w:tcBorders>
              <w:bottom w:val="single" w:sz="8" w:color="A39B8C"/>
            </w:tcBorders>
            <w:shd w:val="clear" w:color="auto" w:fill="A39B8C"/>
          </w:tcPr>
          <w:p>
            <w:pPr>
              <w:jc w:val="right"/>
              <w:ind w:right="229"/>
              <w:spacing w:after="0"/>
              <w:rPr>
                <w:sz w:val="20"/>
                <w:szCs w:val="20"/>
                <w:color w:val="auto"/>
              </w:rPr>
            </w:pPr>
            <w:r>
              <w:rPr>
                <w:rFonts w:ascii="Arial" w:cs="Arial" w:eastAsia="Arial" w:hAnsi="Arial"/>
                <w:sz w:val="9"/>
                <w:szCs w:val="9"/>
                <w:b w:val="1"/>
                <w:bCs w:val="1"/>
                <w:color w:val="FFFFFF"/>
                <w:w w:val="98"/>
              </w:rPr>
              <w:t>ON VESTING ($)</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9"/>
        </w:trPr>
        <w:tc>
          <w:tcPr>
            <w:tcW w:w="3540" w:type="dxa"/>
            <w:vAlign w:val="bottom"/>
          </w:tcPr>
          <w:p>
            <w:pPr>
              <w:ind w:left="80"/>
              <w:spacing w:after="0"/>
              <w:rPr>
                <w:sz w:val="20"/>
                <w:szCs w:val="20"/>
                <w:color w:val="auto"/>
              </w:rPr>
            </w:pPr>
            <w:r>
              <w:rPr>
                <w:rFonts w:ascii="Arial" w:cs="Arial" w:eastAsia="Arial" w:hAnsi="Arial"/>
                <w:sz w:val="11"/>
                <w:szCs w:val="11"/>
                <w:color w:val="262626"/>
              </w:rPr>
              <w:t>Matt Maddox</w:t>
            </w:r>
          </w:p>
        </w:tc>
        <w:tc>
          <w:tcPr>
            <w:tcW w:w="2240" w:type="dxa"/>
            <w:vAlign w:val="bottom"/>
          </w:tcPr>
          <w:p>
            <w:pPr>
              <w:jc w:val="right"/>
              <w:ind w:right="431"/>
              <w:spacing w:after="0"/>
              <w:rPr>
                <w:sz w:val="20"/>
                <w:szCs w:val="20"/>
                <w:color w:val="auto"/>
              </w:rPr>
            </w:pPr>
            <w:r>
              <w:rPr>
                <w:rFonts w:ascii="Arial" w:cs="Arial" w:eastAsia="Arial" w:hAnsi="Arial"/>
                <w:sz w:val="11"/>
                <w:szCs w:val="11"/>
                <w:color w:val="262626"/>
              </w:rPr>
              <w:t>25,000</w:t>
            </w:r>
          </w:p>
        </w:tc>
        <w:tc>
          <w:tcPr>
            <w:tcW w:w="260" w:type="dxa"/>
            <w:vAlign w:val="bottom"/>
          </w:tcPr>
          <w:p>
            <w:pPr>
              <w:ind w:left="80"/>
              <w:spacing w:after="0"/>
              <w:rPr>
                <w:sz w:val="20"/>
                <w:szCs w:val="20"/>
                <w:color w:val="auto"/>
              </w:rPr>
            </w:pPr>
            <w:r>
              <w:rPr>
                <w:rFonts w:ascii="Arial" w:cs="Arial" w:eastAsia="Arial" w:hAnsi="Arial"/>
                <w:sz w:val="11"/>
                <w:szCs w:val="11"/>
                <w:color w:val="262626"/>
              </w:rPr>
              <w:t>$</w:t>
            </w:r>
          </w:p>
        </w:tc>
        <w:tc>
          <w:tcPr>
            <w:tcW w:w="620" w:type="dxa"/>
            <w:vAlign w:val="bottom"/>
          </w:tcPr>
          <w:p>
            <w:pPr>
              <w:jc w:val="right"/>
              <w:spacing w:after="0"/>
              <w:rPr>
                <w:sz w:val="20"/>
                <w:szCs w:val="20"/>
                <w:color w:val="auto"/>
              </w:rPr>
            </w:pPr>
            <w:r>
              <w:rPr>
                <w:rFonts w:ascii="Arial" w:cs="Arial" w:eastAsia="Arial" w:hAnsi="Arial"/>
                <w:sz w:val="11"/>
                <w:szCs w:val="11"/>
                <w:color w:val="262626"/>
              </w:rPr>
              <w:t>2,083,417</w:t>
            </w:r>
          </w:p>
        </w:tc>
        <w:tc>
          <w:tcPr>
            <w:tcW w:w="2120" w:type="dxa"/>
            <w:vAlign w:val="bottom"/>
          </w:tcPr>
          <w:p>
            <w:pPr>
              <w:jc w:val="right"/>
              <w:ind w:right="231"/>
              <w:spacing w:after="0"/>
              <w:rPr>
                <w:sz w:val="20"/>
                <w:szCs w:val="20"/>
                <w:color w:val="auto"/>
              </w:rPr>
            </w:pPr>
            <w:r>
              <w:rPr>
                <w:rFonts w:ascii="Arial" w:cs="Arial" w:eastAsia="Arial" w:hAnsi="Arial"/>
                <w:sz w:val="11"/>
                <w:szCs w:val="11"/>
                <w:color w:val="262626"/>
              </w:rPr>
              <w:t>—</w:t>
            </w:r>
          </w:p>
        </w:tc>
        <w:tc>
          <w:tcPr>
            <w:tcW w:w="100" w:type="dxa"/>
            <w:vAlign w:val="bottom"/>
          </w:tcPr>
          <w:p>
            <w:pPr>
              <w:ind w:left="40"/>
              <w:spacing w:after="0"/>
              <w:rPr>
                <w:sz w:val="20"/>
                <w:szCs w:val="20"/>
                <w:color w:val="auto"/>
              </w:rPr>
            </w:pPr>
            <w:r>
              <w:rPr>
                <w:rFonts w:ascii="Arial" w:cs="Arial" w:eastAsia="Arial" w:hAnsi="Arial"/>
                <w:sz w:val="10"/>
                <w:szCs w:val="10"/>
                <w:color w:val="262626"/>
                <w:w w:val="71"/>
              </w:rPr>
              <w:t>$</w:t>
            </w:r>
          </w:p>
        </w:tc>
        <w:tc>
          <w:tcPr>
            <w:tcW w:w="980" w:type="dxa"/>
            <w:vAlign w:val="bottom"/>
          </w:tcPr>
          <w:p>
            <w:pPr>
              <w:jc w:val="right"/>
              <w:ind w:right="229"/>
              <w:spacing w:after="0"/>
              <w:rPr>
                <w:sz w:val="20"/>
                <w:szCs w:val="20"/>
                <w:color w:val="auto"/>
              </w:rPr>
            </w:pPr>
            <w:r>
              <w:rPr>
                <w:rFonts w:ascii="Arial" w:cs="Arial" w:eastAsia="Arial" w:hAnsi="Arial"/>
                <w:sz w:val="11"/>
                <w:szCs w:val="11"/>
                <w:color w:val="262626"/>
              </w:rPr>
              <w:t>—</w:t>
            </w:r>
          </w:p>
        </w:tc>
        <w:tc>
          <w:tcPr>
            <w:tcW w:w="20" w:type="dxa"/>
            <w:vAlign w:val="bottom"/>
          </w:tcPr>
          <w:p>
            <w:pPr>
              <w:spacing w:after="0"/>
              <w:rPr>
                <w:sz w:val="12"/>
                <w:szCs w:val="12"/>
                <w:color w:val="auto"/>
              </w:rPr>
            </w:pPr>
          </w:p>
        </w:tc>
      </w:tr>
      <w:tr>
        <w:trPr>
          <w:trHeight w:val="49"/>
        </w:trPr>
        <w:tc>
          <w:tcPr>
            <w:tcW w:w="35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35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p>
        </w:tc>
        <w:tc>
          <w:tcPr>
            <w:tcW w:w="2240" w:type="dxa"/>
            <w:vAlign w:val="bottom"/>
            <w:tcBorders>
              <w:bottom w:val="single" w:sz="8" w:color="ECEBE8"/>
            </w:tcBorders>
            <w:shd w:val="clear" w:color="auto" w:fill="ECEBE8"/>
          </w:tcPr>
          <w:p>
            <w:pPr>
              <w:jc w:val="right"/>
              <w:ind w:right="431"/>
              <w:spacing w:after="0"/>
              <w:rPr>
                <w:sz w:val="20"/>
                <w:szCs w:val="20"/>
                <w:color w:val="auto"/>
              </w:rPr>
            </w:pPr>
            <w:r>
              <w:rPr>
                <w:rFonts w:ascii="Arial" w:cs="Arial" w:eastAsia="Arial" w:hAnsi="Arial"/>
                <w:sz w:val="11"/>
                <w:szCs w:val="11"/>
                <w:color w:val="262626"/>
              </w:rPr>
              <w:t>—</w:t>
            </w:r>
          </w:p>
        </w:tc>
        <w:tc>
          <w:tcPr>
            <w:tcW w:w="260" w:type="dxa"/>
            <w:vAlign w:val="bottom"/>
            <w:tcBorders>
              <w:bottom w:val="single" w:sz="8" w:color="ECEBE8"/>
            </w:tcBorders>
            <w:shd w:val="clear" w:color="auto" w:fill="ECEBE8"/>
          </w:tcPr>
          <w:p>
            <w:pPr>
              <w:spacing w:after="0"/>
              <w:rPr>
                <w:sz w:val="15"/>
                <w:szCs w:val="15"/>
                <w:color w:val="auto"/>
              </w:rPr>
            </w:pPr>
          </w:p>
        </w:tc>
        <w:tc>
          <w:tcPr>
            <w:tcW w:w="6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2120" w:type="dxa"/>
            <w:vAlign w:val="bottom"/>
            <w:tcBorders>
              <w:bottom w:val="single" w:sz="8" w:color="ECEBE8"/>
            </w:tcBorders>
            <w:shd w:val="clear" w:color="auto" w:fill="ECEBE8"/>
          </w:tcPr>
          <w:p>
            <w:pPr>
              <w:jc w:val="right"/>
              <w:ind w:right="231"/>
              <w:spacing w:after="0"/>
              <w:rPr>
                <w:sz w:val="20"/>
                <w:szCs w:val="20"/>
                <w:color w:val="auto"/>
              </w:rPr>
            </w:pPr>
            <w:r>
              <w:rPr>
                <w:rFonts w:ascii="Arial" w:cs="Arial" w:eastAsia="Arial" w:hAnsi="Arial"/>
                <w:sz w:val="11"/>
                <w:szCs w:val="11"/>
                <w:color w:val="262626"/>
              </w:rPr>
              <w:t>6,000</w:t>
            </w:r>
          </w:p>
        </w:tc>
        <w:tc>
          <w:tcPr>
            <w:tcW w:w="100" w:type="dxa"/>
            <w:vAlign w:val="bottom"/>
            <w:tcBorders>
              <w:bottom w:val="single" w:sz="8" w:color="ECEBE8"/>
            </w:tcBorders>
            <w:shd w:val="clear" w:color="auto" w:fill="ECEBE8"/>
          </w:tcPr>
          <w:p>
            <w:pPr>
              <w:ind w:left="40"/>
              <w:spacing w:after="0"/>
              <w:rPr>
                <w:sz w:val="20"/>
                <w:szCs w:val="20"/>
                <w:color w:val="auto"/>
              </w:rPr>
            </w:pPr>
            <w:r>
              <w:rPr>
                <w:rFonts w:ascii="Arial" w:cs="Arial" w:eastAsia="Arial" w:hAnsi="Arial"/>
                <w:sz w:val="10"/>
                <w:szCs w:val="10"/>
                <w:color w:val="262626"/>
                <w:w w:val="71"/>
              </w:rPr>
              <w:t>$</w:t>
            </w:r>
          </w:p>
        </w:tc>
        <w:tc>
          <w:tcPr>
            <w:tcW w:w="980" w:type="dxa"/>
            <w:vAlign w:val="bottom"/>
            <w:tcBorders>
              <w:bottom w:val="single" w:sz="8" w:color="ECEBE8"/>
            </w:tcBorders>
            <w:shd w:val="clear" w:color="auto" w:fill="ECEBE8"/>
          </w:tcPr>
          <w:p>
            <w:pPr>
              <w:jc w:val="right"/>
              <w:ind w:right="229"/>
              <w:spacing w:after="0"/>
              <w:rPr>
                <w:sz w:val="20"/>
                <w:szCs w:val="20"/>
                <w:color w:val="auto"/>
              </w:rPr>
            </w:pPr>
            <w:r>
              <w:rPr>
                <w:rFonts w:ascii="Arial" w:cs="Arial" w:eastAsia="Arial" w:hAnsi="Arial"/>
                <w:sz w:val="11"/>
                <w:szCs w:val="11"/>
                <w:color w:val="262626"/>
              </w:rPr>
              <w:t>980,520</w:t>
            </w:r>
          </w:p>
        </w:tc>
        <w:tc>
          <w:tcPr>
            <w:tcW w:w="20" w:type="dxa"/>
            <w:vAlign w:val="bottom"/>
          </w:tcPr>
          <w:p>
            <w:pPr>
              <w:spacing w:after="0"/>
              <w:rPr>
                <w:sz w:val="15"/>
                <w:szCs w:val="15"/>
                <w:color w:val="auto"/>
              </w:rPr>
            </w:pPr>
          </w:p>
        </w:tc>
      </w:tr>
      <w:tr>
        <w:trPr>
          <w:trHeight w:val="149"/>
        </w:trPr>
        <w:tc>
          <w:tcPr>
            <w:tcW w:w="3540" w:type="dxa"/>
            <w:vAlign w:val="bottom"/>
          </w:tcPr>
          <w:p>
            <w:pPr>
              <w:ind w:left="80"/>
              <w:spacing w:after="0"/>
              <w:rPr>
                <w:sz w:val="20"/>
                <w:szCs w:val="20"/>
                <w:color w:val="auto"/>
              </w:rPr>
            </w:pPr>
            <w:r>
              <w:rPr>
                <w:rFonts w:ascii="Arial" w:cs="Arial" w:eastAsia="Arial" w:hAnsi="Arial"/>
                <w:sz w:val="11"/>
                <w:szCs w:val="11"/>
                <w:color w:val="262626"/>
              </w:rPr>
              <w:t>Kimmarie Sinatra</w:t>
            </w:r>
          </w:p>
        </w:tc>
        <w:tc>
          <w:tcPr>
            <w:tcW w:w="2240" w:type="dxa"/>
            <w:vAlign w:val="bottom"/>
          </w:tcPr>
          <w:p>
            <w:pPr>
              <w:jc w:val="right"/>
              <w:ind w:right="431"/>
              <w:spacing w:after="0"/>
              <w:rPr>
                <w:sz w:val="20"/>
                <w:szCs w:val="20"/>
                <w:color w:val="auto"/>
              </w:rPr>
            </w:pPr>
            <w:r>
              <w:rPr>
                <w:rFonts w:ascii="Arial" w:cs="Arial" w:eastAsia="Arial" w:hAnsi="Arial"/>
                <w:sz w:val="11"/>
                <w:szCs w:val="11"/>
                <w:color w:val="262626"/>
              </w:rPr>
              <w:t>75,000</w:t>
            </w:r>
          </w:p>
        </w:tc>
        <w:tc>
          <w:tcPr>
            <w:tcW w:w="260" w:type="dxa"/>
            <w:vAlign w:val="bottom"/>
          </w:tcPr>
          <w:p>
            <w:pPr>
              <w:ind w:left="80"/>
              <w:spacing w:after="0"/>
              <w:rPr>
                <w:sz w:val="20"/>
                <w:szCs w:val="20"/>
                <w:color w:val="auto"/>
              </w:rPr>
            </w:pPr>
            <w:r>
              <w:rPr>
                <w:rFonts w:ascii="Arial" w:cs="Arial" w:eastAsia="Arial" w:hAnsi="Arial"/>
                <w:sz w:val="11"/>
                <w:szCs w:val="11"/>
                <w:color w:val="262626"/>
              </w:rPr>
              <w:t>$</w:t>
            </w:r>
          </w:p>
        </w:tc>
        <w:tc>
          <w:tcPr>
            <w:tcW w:w="620" w:type="dxa"/>
            <w:vAlign w:val="bottom"/>
          </w:tcPr>
          <w:p>
            <w:pPr>
              <w:jc w:val="right"/>
              <w:spacing w:after="0"/>
              <w:rPr>
                <w:sz w:val="20"/>
                <w:szCs w:val="20"/>
                <w:color w:val="auto"/>
              </w:rPr>
            </w:pPr>
            <w:r>
              <w:rPr>
                <w:rFonts w:ascii="Arial" w:cs="Arial" w:eastAsia="Arial" w:hAnsi="Arial"/>
                <w:sz w:val="11"/>
                <w:szCs w:val="11"/>
                <w:color w:val="262626"/>
              </w:rPr>
              <w:t>7,309,953</w:t>
            </w:r>
          </w:p>
        </w:tc>
        <w:tc>
          <w:tcPr>
            <w:tcW w:w="2120" w:type="dxa"/>
            <w:vAlign w:val="bottom"/>
          </w:tcPr>
          <w:p>
            <w:pPr>
              <w:jc w:val="right"/>
              <w:ind w:right="231"/>
              <w:spacing w:after="0"/>
              <w:rPr>
                <w:sz w:val="20"/>
                <w:szCs w:val="20"/>
                <w:color w:val="auto"/>
              </w:rPr>
            </w:pPr>
            <w:r>
              <w:rPr>
                <w:rFonts w:ascii="Arial" w:cs="Arial" w:eastAsia="Arial" w:hAnsi="Arial"/>
                <w:sz w:val="11"/>
                <w:szCs w:val="11"/>
                <w:color w:val="262626"/>
              </w:rPr>
              <w:t>39,286</w:t>
            </w:r>
          </w:p>
        </w:tc>
        <w:tc>
          <w:tcPr>
            <w:tcW w:w="100" w:type="dxa"/>
            <w:vAlign w:val="bottom"/>
          </w:tcPr>
          <w:p>
            <w:pPr>
              <w:ind w:left="40"/>
              <w:spacing w:after="0"/>
              <w:rPr>
                <w:sz w:val="20"/>
                <w:szCs w:val="20"/>
                <w:color w:val="auto"/>
              </w:rPr>
            </w:pPr>
            <w:r>
              <w:rPr>
                <w:rFonts w:ascii="Arial" w:cs="Arial" w:eastAsia="Arial" w:hAnsi="Arial"/>
                <w:sz w:val="10"/>
                <w:szCs w:val="10"/>
                <w:color w:val="262626"/>
                <w:w w:val="71"/>
              </w:rPr>
              <w:t>$</w:t>
            </w:r>
          </w:p>
        </w:tc>
        <w:tc>
          <w:tcPr>
            <w:tcW w:w="980" w:type="dxa"/>
            <w:vAlign w:val="bottom"/>
          </w:tcPr>
          <w:p>
            <w:pPr>
              <w:jc w:val="right"/>
              <w:ind w:right="229"/>
              <w:spacing w:after="0"/>
              <w:rPr>
                <w:sz w:val="20"/>
                <w:szCs w:val="20"/>
                <w:color w:val="auto"/>
              </w:rPr>
            </w:pPr>
            <w:r>
              <w:rPr>
                <w:rFonts w:ascii="Arial" w:cs="Arial" w:eastAsia="Arial" w:hAnsi="Arial"/>
                <w:sz w:val="11"/>
                <w:szCs w:val="11"/>
                <w:color w:val="262626"/>
              </w:rPr>
              <w:t>5,861,078</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-363220</wp:posOffset>
            </wp:positionV>
            <wp:extent cx="825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-514350</wp:posOffset>
            </wp:positionV>
            <wp:extent cx="35071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07105" cy="8255"/>
                    </a:xfrm>
                    <a:prstGeom prst="rect">
                      <a:avLst/>
                    </a:prstGeom>
                    <a:noFill/>
                  </pic:spPr>
                </pic:pic>
              </a:graphicData>
            </a:graphic>
          </wp:anchor>
        </w:drawing>
      </w:r>
    </w:p>
    <w:p>
      <w:pPr>
        <w:spacing w:after="0" w:line="53" w:lineRule="exact"/>
        <w:rPr>
          <w:sz w:val="20"/>
          <w:szCs w:val="20"/>
          <w:color w:val="auto"/>
        </w:rPr>
      </w:pPr>
    </w:p>
    <w:p>
      <w:pPr>
        <w:ind w:left="780" w:right="240" w:firstLine="1"/>
        <w:spacing w:after="0" w:line="232" w:lineRule="auto"/>
        <w:tabs>
          <w:tab w:leader="none" w:pos="915" w:val="left"/>
        </w:tabs>
        <w:numPr>
          <w:ilvl w:val="0"/>
          <w:numId w:val="72"/>
        </w:numPr>
        <w:rPr>
          <w:rFonts w:ascii="Arial" w:cs="Arial" w:eastAsia="Arial" w:hAnsi="Arial"/>
          <w:sz w:val="9"/>
          <w:szCs w:val="9"/>
          <w:color w:val="262626"/>
        </w:rPr>
      </w:pPr>
      <w:r>
        <w:rPr>
          <w:rFonts w:ascii="Arial" w:cs="Arial" w:eastAsia="Arial" w:hAnsi="Arial"/>
          <w:sz w:val="11"/>
          <w:szCs w:val="11"/>
          <w:color w:val="262626"/>
        </w:rPr>
        <w:t>Ms. Sinatra’s shares represent the total shares that vested effective August 3, 2018 in connection with her separation from the Company. 6,000 of Mr. Billings 30,000 shares granted on March 1, 2017 vested on March 1, 2018.</w:t>
      </w:r>
    </w:p>
    <w:p>
      <w:pPr>
        <w:spacing w:after="0" w:line="187" w:lineRule="exact"/>
        <w:rPr>
          <w:sz w:val="20"/>
          <w:szCs w:val="20"/>
          <w:color w:val="auto"/>
        </w:rPr>
      </w:pPr>
    </w:p>
    <w:p>
      <w:pPr>
        <w:ind w:left="780" w:right="280"/>
        <w:spacing w:after="0" w:line="249" w:lineRule="auto"/>
        <w:rPr>
          <w:sz w:val="20"/>
          <w:szCs w:val="20"/>
          <w:color w:val="auto"/>
        </w:rPr>
      </w:pPr>
      <w:r>
        <w:rPr>
          <w:rFonts w:ascii="Arial" w:cs="Arial" w:eastAsia="Arial" w:hAnsi="Arial"/>
          <w:sz w:val="14"/>
          <w:szCs w:val="14"/>
          <w:color w:val="262626"/>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41</w:t>
      </w:r>
    </w:p>
    <w:p>
      <w:pPr>
        <w:sectPr>
          <w:pgSz w:w="11900" w:h="16838" w:orient="portrait"/>
          <w:cols w:equalWidth="0" w:num="1">
            <w:col w:w="10800"/>
          </w:cols>
          <w:pgMar w:left="240" w:top="453" w:right="8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Executive compensation tables</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POTENTIAL PAYMENTS UPON TERMINATION OR CHANGE IN CONTROL</w:t>
      </w:r>
    </w:p>
    <w:p>
      <w:pPr>
        <w:spacing w:after="0" w:line="61" w:lineRule="exact"/>
        <w:rPr>
          <w:sz w:val="20"/>
          <w:szCs w:val="20"/>
          <w:color w:val="auto"/>
        </w:rPr>
      </w:pPr>
    </w:p>
    <w:p>
      <w:pPr>
        <w:ind w:left="780" w:right="40"/>
        <w:spacing w:after="0" w:line="246" w:lineRule="auto"/>
        <w:rPr>
          <w:sz w:val="20"/>
          <w:szCs w:val="20"/>
          <w:color w:val="auto"/>
        </w:rPr>
      </w:pPr>
      <w:r>
        <w:rPr>
          <w:rFonts w:ascii="Arial" w:cs="Arial" w:eastAsia="Arial" w:hAnsi="Arial"/>
          <w:sz w:val="14"/>
          <w:szCs w:val="14"/>
          <w:b w:val="1"/>
          <w:bCs w:val="1"/>
          <w:color w:val="262626"/>
        </w:rPr>
        <w:t>Payments Made Upon Termination Due to Death, Complete Disability or License Revocation</w:t>
      </w:r>
      <w:r>
        <w:rPr>
          <w:rFonts w:ascii="Arial" w:cs="Arial" w:eastAsia="Arial" w:hAnsi="Arial"/>
          <w:sz w:val="14"/>
          <w:szCs w:val="14"/>
          <w:color w:val="262626"/>
        </w:rPr>
        <w:t>. The Company’s employment agreements with its current</w:t>
      </w:r>
      <w:r>
        <w:rPr>
          <w:rFonts w:ascii="Arial" w:cs="Arial" w:eastAsia="Arial" w:hAnsi="Arial"/>
          <w:sz w:val="14"/>
          <w:szCs w:val="14"/>
          <w:b w:val="1"/>
          <w:bCs w:val="1"/>
          <w:color w:val="262626"/>
        </w:rPr>
        <w:t xml:space="preserve"> </w:t>
      </w:r>
      <w:r>
        <w:rPr>
          <w:rFonts w:ascii="Arial" w:cs="Arial" w:eastAsia="Arial" w:hAnsi="Arial"/>
          <w:sz w:val="14"/>
          <w:szCs w:val="14"/>
          <w:color w:val="262626"/>
        </w:rPr>
        <w:t>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w:t>
      </w:r>
    </w:p>
    <w:p>
      <w:pPr>
        <w:spacing w:after="0" w:line="155" w:lineRule="exact"/>
        <w:rPr>
          <w:sz w:val="20"/>
          <w:szCs w:val="20"/>
          <w:color w:val="auto"/>
        </w:rPr>
      </w:pPr>
    </w:p>
    <w:p>
      <w:pPr>
        <w:ind w:left="780"/>
        <w:spacing w:after="0" w:line="239" w:lineRule="auto"/>
        <w:rPr>
          <w:sz w:val="20"/>
          <w:szCs w:val="20"/>
          <w:color w:val="auto"/>
        </w:rPr>
      </w:pPr>
      <w:r>
        <w:rPr>
          <w:rFonts w:ascii="Arial" w:cs="Arial" w:eastAsia="Arial" w:hAnsi="Arial"/>
          <w:sz w:val="14"/>
          <w:szCs w:val="14"/>
          <w:b w:val="1"/>
          <w:bCs w:val="1"/>
          <w:color w:val="262626"/>
        </w:rPr>
        <w:t>Payments Made Upon Termination Without Cause at Employer’s Election or at Employee’s Election Upon Material Breach During the Term</w:t>
      </w:r>
      <w:r>
        <w:rPr>
          <w:rFonts w:ascii="Arial" w:cs="Arial" w:eastAsia="Arial" w:hAnsi="Arial"/>
          <w:sz w:val="14"/>
          <w:szCs w:val="14"/>
          <w:color w:val="262626"/>
        </w:rPr>
        <w:t>. The</w:t>
      </w:r>
      <w:r>
        <w:rPr>
          <w:rFonts w:ascii="Arial" w:cs="Arial" w:eastAsia="Arial" w:hAnsi="Arial"/>
          <w:sz w:val="14"/>
          <w:szCs w:val="14"/>
          <w:b w:val="1"/>
          <w:bCs w:val="1"/>
          <w:color w:val="262626"/>
        </w:rPr>
        <w:t xml:space="preserve"> </w:t>
      </w:r>
      <w:r>
        <w:rPr>
          <w:rFonts w:ascii="Arial" w:cs="Arial" w:eastAsia="Arial" w:hAnsi="Arial"/>
          <w:sz w:val="14"/>
          <w:szCs w:val="14"/>
          <w:color w:val="262626"/>
        </w:rPr>
        <w:t>Company’s employment agreements with its current NEOs provide that such agreements are terminable by the Company without cause upon notice to the employee, so long as a “separation payment” is paid as provided in such contracts, or by the employee upon written notice to the Company of the Company’s uncured material breach of the agreement. Cause is generally defined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w:t>
      </w:r>
    </w:p>
    <w:p>
      <w:pPr>
        <w:spacing w:after="0" w:line="3" w:lineRule="exact"/>
        <w:rPr>
          <w:sz w:val="20"/>
          <w:szCs w:val="20"/>
          <w:color w:val="auto"/>
        </w:rPr>
      </w:pPr>
    </w:p>
    <w:p>
      <w:pPr>
        <w:ind w:left="780" w:right="80" w:firstLine="1"/>
        <w:spacing w:after="0" w:line="243" w:lineRule="auto"/>
        <w:tabs>
          <w:tab w:leader="none" w:pos="944" w:val="left"/>
        </w:tabs>
        <w:numPr>
          <w:ilvl w:val="0"/>
          <w:numId w:val="73"/>
        </w:numPr>
        <w:rPr>
          <w:rFonts w:ascii="Arial" w:cs="Arial" w:eastAsia="Arial" w:hAnsi="Arial"/>
          <w:sz w:val="14"/>
          <w:szCs w:val="14"/>
          <w:color w:val="262626"/>
        </w:rPr>
      </w:pPr>
      <w:r>
        <w:rPr>
          <w:rFonts w:ascii="Arial" w:cs="Arial" w:eastAsia="Arial" w:hAnsi="Arial"/>
          <w:sz w:val="14"/>
          <w:szCs w:val="14"/>
          <w:color w:val="262626"/>
        </w:rPr>
        <w:t>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160" w:lineRule="exact"/>
        <w:rPr>
          <w:sz w:val="20"/>
          <w:szCs w:val="20"/>
          <w:color w:val="auto"/>
        </w:rPr>
      </w:pPr>
    </w:p>
    <w:p>
      <w:pPr>
        <w:ind w:left="780" w:right="160"/>
        <w:spacing w:after="0" w:line="241" w:lineRule="auto"/>
        <w:rPr>
          <w:sz w:val="20"/>
          <w:szCs w:val="20"/>
          <w:color w:val="auto"/>
        </w:rPr>
      </w:pPr>
      <w:r>
        <w:rPr>
          <w:rFonts w:ascii="Arial" w:cs="Arial" w:eastAsia="Arial" w:hAnsi="Arial"/>
          <w:sz w:val="14"/>
          <w:szCs w:val="14"/>
          <w:color w:val="262626"/>
        </w:rPr>
        <w:t>The “separation payment” for all current NEOs equals the sum of (a) base salary for the remainder of the term of the employment agreement, but not less than 12 months (except for Mr. Maddox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w:t>
      </w:r>
    </w:p>
    <w:p>
      <w:pPr>
        <w:spacing w:after="0" w:line="161" w:lineRule="exact"/>
        <w:rPr>
          <w:sz w:val="20"/>
          <w:szCs w:val="20"/>
          <w:color w:val="auto"/>
        </w:rPr>
      </w:pPr>
    </w:p>
    <w:p>
      <w:pPr>
        <w:ind w:left="780"/>
        <w:spacing w:after="0" w:line="238" w:lineRule="auto"/>
        <w:rPr>
          <w:sz w:val="20"/>
          <w:szCs w:val="20"/>
          <w:color w:val="auto"/>
        </w:rPr>
      </w:pPr>
      <w:r>
        <w:rPr>
          <w:rFonts w:ascii="Arial" w:cs="Arial" w:eastAsia="Arial" w:hAnsi="Arial"/>
          <w:sz w:val="14"/>
          <w:szCs w:val="14"/>
          <w:color w:val="262626"/>
        </w:rPr>
        <w:t>If Mr. Maddox, Mr. Billings or Ms. Whittemore is terminated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Health benefits are to be provided until the earlier of the remainder of the original term, or until the employee is covered by a plan of another employer. Pursuant to the terms of the applicable restricted stock grant agreements, all of the unvested restricted stock held by such NEOs would vest pro rata for the number of months served since the grant date upon termination by the Company without “cause” or by the employee upon the Company’s material breach.</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Payments Made Upon Termination by Employee for Good Reason after Change in Control</w:t>
      </w:r>
      <w:r>
        <w:rPr>
          <w:rFonts w:ascii="Arial" w:cs="Arial" w:eastAsia="Arial" w:hAnsi="Arial"/>
          <w:sz w:val="14"/>
          <w:szCs w:val="14"/>
          <w:color w:val="262626"/>
        </w:rPr>
        <w:t>. The Company’s employment agreements with its current</w:t>
      </w:r>
      <w:r>
        <w:rPr>
          <w:rFonts w:ascii="Arial" w:cs="Arial" w:eastAsia="Arial" w:hAnsi="Arial"/>
          <w:sz w:val="14"/>
          <w:szCs w:val="14"/>
          <w:b w:val="1"/>
          <w:bCs w:val="1"/>
          <w:color w:val="262626"/>
        </w:rPr>
        <w:t xml:space="preserve"> </w:t>
      </w:r>
      <w:r>
        <w:rPr>
          <w:rFonts w:ascii="Arial" w:cs="Arial" w:eastAsia="Arial" w:hAnsi="Arial"/>
          <w:sz w:val="14"/>
          <w:szCs w:val="14"/>
          <w:color w:val="262626"/>
        </w:rPr>
        <w:t>NEOs provide that such agreements are terminable by the employee for good reason after a change of control. A change of control is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330200</wp:posOffset>
            </wp:positionV>
            <wp:extent cx="521335" cy="2355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42</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180"/>
        <w:spacing w:after="0"/>
        <w:rPr>
          <w:sz w:val="20"/>
          <w:szCs w:val="20"/>
          <w:color w:val="auto"/>
        </w:rPr>
      </w:pPr>
      <w:r>
        <w:rPr>
          <w:rFonts w:ascii="Arial" w:cs="Arial" w:eastAsia="Arial" w:hAnsi="Arial"/>
          <w:sz w:val="14"/>
          <w:szCs w:val="14"/>
          <w:color w:val="262626"/>
        </w:rPr>
        <w:t>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w:t>
      </w:r>
    </w:p>
    <w:p>
      <w:pPr>
        <w:spacing w:after="0" w:line="157" w:lineRule="exact"/>
        <w:rPr>
          <w:sz w:val="20"/>
          <w:szCs w:val="20"/>
          <w:color w:val="auto"/>
        </w:rPr>
      </w:pPr>
    </w:p>
    <w:p>
      <w:pPr>
        <w:ind w:left="780" w:right="200"/>
        <w:spacing w:after="0" w:line="241" w:lineRule="auto"/>
        <w:rPr>
          <w:sz w:val="20"/>
          <w:szCs w:val="20"/>
          <w:color w:val="auto"/>
        </w:rPr>
      </w:pPr>
      <w:r>
        <w:rPr>
          <w:rFonts w:ascii="Arial" w:cs="Arial" w:eastAsia="Arial" w:hAnsi="Arial"/>
          <w:sz w:val="14"/>
          <w:szCs w:val="14"/>
          <w:b w:val="1"/>
          <w:bCs w:val="1"/>
          <w:color w:val="262626"/>
        </w:rPr>
        <w:t>Payments Made Upon Termination</w:t>
      </w:r>
      <w:r>
        <w:rPr>
          <w:rFonts w:ascii="Arial" w:cs="Arial" w:eastAsia="Arial" w:hAnsi="Arial"/>
          <w:sz w:val="14"/>
          <w:szCs w:val="14"/>
          <w:color w:val="262626"/>
        </w:rPr>
        <w:t>. The tables below reflect the amount of compensation that would become payable to each of our current NEOs under</w:t>
      </w:r>
      <w:r>
        <w:rPr>
          <w:rFonts w:ascii="Arial" w:cs="Arial" w:eastAsia="Arial" w:hAnsi="Arial"/>
          <w:sz w:val="14"/>
          <w:szCs w:val="14"/>
          <w:b w:val="1"/>
          <w:bCs w:val="1"/>
          <w:color w:val="262626"/>
        </w:rPr>
        <w:t xml:space="preserve"> </w:t>
      </w:r>
      <w:r>
        <w:rPr>
          <w:rFonts w:ascii="Arial" w:cs="Arial" w:eastAsia="Arial" w:hAnsi="Arial"/>
          <w:sz w:val="14"/>
          <w:szCs w:val="14"/>
          <w:color w:val="262626"/>
        </w:rPr>
        <w:t>existing agreements and arrangements if the NEO’s employment had terminated on December 31, 2018, given the NEO’s compensation as of such date and, if applicable, based on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82"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86995</wp:posOffset>
            </wp:positionV>
            <wp:extent cx="62566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63"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5300" w:type="dxa"/>
            <w:vAlign w:val="bottom"/>
            <w:shd w:val="clear" w:color="auto" w:fill="A39B8C"/>
          </w:tcPr>
          <w:p>
            <w:pPr>
              <w:spacing w:after="0"/>
              <w:rPr>
                <w:sz w:val="9"/>
                <w:szCs w:val="9"/>
                <w:color w:val="auto"/>
              </w:rPr>
            </w:pPr>
          </w:p>
        </w:tc>
        <w:tc>
          <w:tcPr>
            <w:tcW w:w="1000" w:type="dxa"/>
            <w:vAlign w:val="bottom"/>
            <w:shd w:val="clear" w:color="auto" w:fill="A39B8C"/>
          </w:tcPr>
          <w:p>
            <w:pPr>
              <w:spacing w:after="0"/>
              <w:rPr>
                <w:sz w:val="9"/>
                <w:szCs w:val="9"/>
                <w:color w:val="auto"/>
              </w:rPr>
            </w:pPr>
          </w:p>
        </w:tc>
        <w:tc>
          <w:tcPr>
            <w:tcW w:w="560" w:type="dxa"/>
            <w:vAlign w:val="bottom"/>
            <w:shd w:val="clear" w:color="auto" w:fill="A39B8C"/>
          </w:tcPr>
          <w:p>
            <w:pPr>
              <w:spacing w:after="0"/>
              <w:rPr>
                <w:sz w:val="9"/>
                <w:szCs w:val="9"/>
                <w:color w:val="auto"/>
              </w:rPr>
            </w:pPr>
          </w:p>
        </w:tc>
        <w:tc>
          <w:tcPr>
            <w:tcW w:w="1600" w:type="dxa"/>
            <w:vAlign w:val="bottom"/>
            <w:gridSpan w:val="2"/>
            <w:shd w:val="clear" w:color="auto" w:fill="A39B8C"/>
          </w:tcPr>
          <w:p>
            <w:pPr>
              <w:ind w:left="800"/>
              <w:spacing w:after="0"/>
              <w:rPr>
                <w:sz w:val="20"/>
                <w:szCs w:val="20"/>
                <w:color w:val="auto"/>
              </w:rPr>
            </w:pPr>
            <w:r>
              <w:rPr>
                <w:rFonts w:ascii="Arial" w:cs="Arial" w:eastAsia="Arial" w:hAnsi="Arial"/>
                <w:sz w:val="9"/>
                <w:szCs w:val="9"/>
                <w:b w:val="1"/>
                <w:bCs w:val="1"/>
                <w:color w:val="FFFFFF"/>
              </w:rPr>
              <w:t>TERMINATION</w:t>
            </w:r>
          </w:p>
        </w:tc>
        <w:tc>
          <w:tcPr>
            <w:tcW w:w="1400" w:type="dxa"/>
            <w:vAlign w:val="bottom"/>
            <w:gridSpan w:val="2"/>
            <w:shd w:val="clear" w:color="auto" w:fill="A39B8C"/>
          </w:tcPr>
          <w:p>
            <w:pPr>
              <w:jc w:val="right"/>
              <w:ind w:right="167"/>
              <w:spacing w:after="0"/>
              <w:rPr>
                <w:sz w:val="20"/>
                <w:szCs w:val="20"/>
                <w:color w:val="auto"/>
              </w:rPr>
            </w:pPr>
            <w:r>
              <w:rPr>
                <w:rFonts w:ascii="Arial" w:cs="Arial" w:eastAsia="Arial" w:hAnsi="Arial"/>
                <w:sz w:val="9"/>
                <w:szCs w:val="9"/>
                <w:b w:val="1"/>
                <w:bCs w:val="1"/>
                <w:color w:val="FFFFFF"/>
              </w:rPr>
              <w:t>TERMINATION BY</w:t>
            </w:r>
          </w:p>
        </w:tc>
        <w:tc>
          <w:tcPr>
            <w:tcW w:w="20" w:type="dxa"/>
            <w:vAlign w:val="bottom"/>
            <w:shd w:val="clear" w:color="auto" w:fill="A39B8C"/>
          </w:tcPr>
          <w:p>
            <w:pPr>
              <w:spacing w:after="0"/>
              <w:rPr>
                <w:sz w:val="9"/>
                <w:szCs w:val="9"/>
                <w:color w:val="auto"/>
              </w:rPr>
            </w:pPr>
          </w:p>
        </w:tc>
      </w:tr>
      <w:tr>
        <w:trPr>
          <w:trHeight w:val="103"/>
        </w:trPr>
        <w:tc>
          <w:tcPr>
            <w:tcW w:w="5300" w:type="dxa"/>
            <w:vAlign w:val="bottom"/>
            <w:shd w:val="clear" w:color="auto" w:fill="A39B8C"/>
          </w:tcPr>
          <w:p>
            <w:pPr>
              <w:spacing w:after="0"/>
              <w:rPr>
                <w:sz w:val="8"/>
                <w:szCs w:val="8"/>
                <w:color w:val="auto"/>
              </w:rPr>
            </w:pPr>
          </w:p>
        </w:tc>
        <w:tc>
          <w:tcPr>
            <w:tcW w:w="1560" w:type="dxa"/>
            <w:vAlign w:val="bottom"/>
            <w:gridSpan w:val="2"/>
            <w:shd w:val="clear" w:color="auto" w:fill="A39B8C"/>
          </w:tcPr>
          <w:p>
            <w:pPr>
              <w:jc w:val="right"/>
              <w:spacing w:after="0"/>
              <w:rPr>
                <w:sz w:val="20"/>
                <w:szCs w:val="20"/>
                <w:color w:val="auto"/>
              </w:rPr>
            </w:pPr>
            <w:r>
              <w:rPr>
                <w:rFonts w:ascii="Arial" w:cs="Arial" w:eastAsia="Arial" w:hAnsi="Arial"/>
                <w:sz w:val="9"/>
                <w:szCs w:val="9"/>
                <w:b w:val="1"/>
                <w:bCs w:val="1"/>
                <w:color w:val="FFFFFF"/>
              </w:rPr>
              <w:t>TERMINATION UPON</w:t>
            </w:r>
          </w:p>
        </w:tc>
        <w:tc>
          <w:tcPr>
            <w:tcW w:w="1600" w:type="dxa"/>
            <w:vAlign w:val="bottom"/>
            <w:gridSpan w:val="2"/>
            <w:shd w:val="clear" w:color="auto" w:fill="A39B8C"/>
          </w:tcPr>
          <w:p>
            <w:pPr>
              <w:jc w:val="right"/>
              <w:ind w:right="129"/>
              <w:spacing w:after="0"/>
              <w:rPr>
                <w:sz w:val="20"/>
                <w:szCs w:val="20"/>
                <w:color w:val="auto"/>
              </w:rPr>
            </w:pPr>
            <w:r>
              <w:rPr>
                <w:rFonts w:ascii="Arial" w:cs="Arial" w:eastAsia="Arial" w:hAnsi="Arial"/>
                <w:sz w:val="9"/>
                <w:szCs w:val="9"/>
                <w:b w:val="1"/>
                <w:bCs w:val="1"/>
                <w:color w:val="FFFFFF"/>
              </w:rPr>
              <w:t>WITHOUT CAUSE OR</w:t>
            </w:r>
          </w:p>
        </w:tc>
        <w:tc>
          <w:tcPr>
            <w:tcW w:w="1400" w:type="dxa"/>
            <w:vAlign w:val="bottom"/>
            <w:gridSpan w:val="2"/>
            <w:shd w:val="clear" w:color="auto" w:fill="A39B8C"/>
          </w:tcPr>
          <w:p>
            <w:pPr>
              <w:jc w:val="right"/>
              <w:ind w:right="167"/>
              <w:spacing w:after="0"/>
              <w:rPr>
                <w:sz w:val="20"/>
                <w:szCs w:val="20"/>
                <w:color w:val="auto"/>
              </w:rPr>
            </w:pPr>
            <w:r>
              <w:rPr>
                <w:rFonts w:ascii="Arial" w:cs="Arial" w:eastAsia="Arial" w:hAnsi="Arial"/>
                <w:sz w:val="9"/>
                <w:szCs w:val="9"/>
                <w:b w:val="1"/>
                <w:bCs w:val="1"/>
                <w:color w:val="FFFFFF"/>
              </w:rPr>
              <w:t>EMPLOYEE FOR GOOD</w:t>
            </w:r>
          </w:p>
        </w:tc>
        <w:tc>
          <w:tcPr>
            <w:tcW w:w="20" w:type="dxa"/>
            <w:vAlign w:val="bottom"/>
            <w:shd w:val="clear" w:color="auto" w:fill="A39B8C"/>
          </w:tcPr>
          <w:p>
            <w:pPr>
              <w:spacing w:after="0"/>
              <w:rPr>
                <w:sz w:val="8"/>
                <w:szCs w:val="8"/>
                <w:color w:val="auto"/>
              </w:rPr>
            </w:pPr>
          </w:p>
        </w:tc>
      </w:tr>
      <w:tr>
        <w:trPr>
          <w:trHeight w:val="93"/>
        </w:trPr>
        <w:tc>
          <w:tcPr>
            <w:tcW w:w="5300" w:type="dxa"/>
            <w:vAlign w:val="bottom"/>
            <w:shd w:val="clear" w:color="auto" w:fill="A39B8C"/>
          </w:tcPr>
          <w:p>
            <w:pPr>
              <w:spacing w:after="0"/>
              <w:rPr>
                <w:sz w:val="8"/>
                <w:szCs w:val="8"/>
                <w:color w:val="auto"/>
              </w:rPr>
            </w:pPr>
          </w:p>
        </w:tc>
        <w:tc>
          <w:tcPr>
            <w:tcW w:w="1560" w:type="dxa"/>
            <w:vAlign w:val="bottom"/>
            <w:gridSpan w:val="2"/>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DEATH OR COMPLETE</w:t>
            </w:r>
          </w:p>
        </w:tc>
        <w:tc>
          <w:tcPr>
            <w:tcW w:w="1600" w:type="dxa"/>
            <w:vAlign w:val="bottom"/>
            <w:gridSpan w:val="2"/>
            <w:shd w:val="clear" w:color="auto" w:fill="A39B8C"/>
          </w:tcPr>
          <w:p>
            <w:pPr>
              <w:jc w:val="right"/>
              <w:ind w:right="129"/>
              <w:spacing w:after="0" w:line="93" w:lineRule="exact"/>
              <w:rPr>
                <w:sz w:val="20"/>
                <w:szCs w:val="20"/>
                <w:color w:val="auto"/>
              </w:rPr>
            </w:pPr>
            <w:r>
              <w:rPr>
                <w:rFonts w:ascii="Arial" w:cs="Arial" w:eastAsia="Arial" w:hAnsi="Arial"/>
                <w:sz w:val="9"/>
                <w:szCs w:val="9"/>
                <w:b w:val="1"/>
                <w:bCs w:val="1"/>
                <w:color w:val="FFFFFF"/>
              </w:rPr>
              <w:t>UPON MATERIAL</w:t>
            </w:r>
          </w:p>
        </w:tc>
        <w:tc>
          <w:tcPr>
            <w:tcW w:w="1400" w:type="dxa"/>
            <w:vAlign w:val="bottom"/>
            <w:gridSpan w:val="2"/>
            <w:shd w:val="clear" w:color="auto" w:fill="A39B8C"/>
          </w:tcPr>
          <w:p>
            <w:pPr>
              <w:jc w:val="right"/>
              <w:ind w:right="167"/>
              <w:spacing w:after="0" w:line="93" w:lineRule="exact"/>
              <w:rPr>
                <w:sz w:val="20"/>
                <w:szCs w:val="20"/>
                <w:color w:val="auto"/>
              </w:rPr>
            </w:pPr>
            <w:r>
              <w:rPr>
                <w:rFonts w:ascii="Arial" w:cs="Arial" w:eastAsia="Arial" w:hAnsi="Arial"/>
                <w:sz w:val="9"/>
                <w:szCs w:val="9"/>
                <w:b w:val="1"/>
                <w:bCs w:val="1"/>
                <w:color w:val="FFFFFF"/>
              </w:rPr>
              <w:t>REASON AFTER</w:t>
            </w:r>
          </w:p>
        </w:tc>
        <w:tc>
          <w:tcPr>
            <w:tcW w:w="20" w:type="dxa"/>
            <w:vAlign w:val="bottom"/>
            <w:shd w:val="clear" w:color="auto" w:fill="A39B8C"/>
          </w:tcPr>
          <w:p>
            <w:pPr>
              <w:spacing w:after="0"/>
              <w:rPr>
                <w:sz w:val="8"/>
                <w:szCs w:val="8"/>
                <w:color w:val="auto"/>
              </w:rPr>
            </w:pPr>
          </w:p>
        </w:tc>
      </w:tr>
      <w:tr>
        <w:trPr>
          <w:trHeight w:val="139"/>
        </w:trPr>
        <w:tc>
          <w:tcPr>
            <w:tcW w:w="5300" w:type="dxa"/>
            <w:vAlign w:val="bottom"/>
            <w:tcBorders>
              <w:bottom w:val="single" w:sz="8" w:color="A39B8C"/>
            </w:tcBorders>
            <w:shd w:val="clear" w:color="auto" w:fill="A39B8C"/>
          </w:tcPr>
          <w:p>
            <w:pPr>
              <w:spacing w:after="0"/>
              <w:rPr>
                <w:sz w:val="12"/>
                <w:szCs w:val="12"/>
                <w:color w:val="auto"/>
              </w:rPr>
            </w:pPr>
          </w:p>
        </w:tc>
        <w:tc>
          <w:tcPr>
            <w:tcW w:w="1000" w:type="dxa"/>
            <w:vAlign w:val="bottom"/>
            <w:tcBorders>
              <w:bottom w:val="single" w:sz="8" w:color="A39B8C"/>
            </w:tcBorders>
            <w:shd w:val="clear" w:color="auto" w:fill="A39B8C"/>
          </w:tcPr>
          <w:p>
            <w:pPr>
              <w:spacing w:after="0"/>
              <w:rPr>
                <w:sz w:val="12"/>
                <w:szCs w:val="12"/>
                <w:color w:val="auto"/>
              </w:rPr>
            </w:pPr>
          </w:p>
        </w:tc>
        <w:tc>
          <w:tcPr>
            <w:tcW w:w="56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w w:val="99"/>
              </w:rPr>
              <w:t>DISABILITY</w:t>
            </w:r>
          </w:p>
        </w:tc>
        <w:tc>
          <w:tcPr>
            <w:tcW w:w="860" w:type="dxa"/>
            <w:vAlign w:val="bottom"/>
            <w:tcBorders>
              <w:bottom w:val="single" w:sz="8" w:color="A39B8C"/>
            </w:tcBorders>
            <w:shd w:val="clear" w:color="auto" w:fill="A39B8C"/>
          </w:tcPr>
          <w:p>
            <w:pPr>
              <w:spacing w:after="0"/>
              <w:rPr>
                <w:sz w:val="12"/>
                <w:szCs w:val="12"/>
                <w:color w:val="auto"/>
              </w:rPr>
            </w:pPr>
          </w:p>
        </w:tc>
        <w:tc>
          <w:tcPr>
            <w:tcW w:w="740" w:type="dxa"/>
            <w:vAlign w:val="bottom"/>
            <w:tcBorders>
              <w:bottom w:val="single" w:sz="8" w:color="A39B8C"/>
            </w:tcBorders>
            <w:shd w:val="clear" w:color="auto" w:fill="A39B8C"/>
          </w:tcPr>
          <w:p>
            <w:pPr>
              <w:jc w:val="right"/>
              <w:ind w:right="129"/>
              <w:spacing w:after="0"/>
              <w:rPr>
                <w:sz w:val="20"/>
                <w:szCs w:val="20"/>
                <w:color w:val="auto"/>
              </w:rPr>
            </w:pPr>
            <w:r>
              <w:rPr>
                <w:rFonts w:ascii="Arial" w:cs="Arial" w:eastAsia="Arial" w:hAnsi="Arial"/>
                <w:sz w:val="9"/>
                <w:szCs w:val="9"/>
                <w:b w:val="1"/>
                <w:bCs w:val="1"/>
                <w:color w:val="FFFFFF"/>
              </w:rPr>
              <w:t>BREACH</w:t>
            </w:r>
          </w:p>
        </w:tc>
        <w:tc>
          <w:tcPr>
            <w:tcW w:w="1400" w:type="dxa"/>
            <w:vAlign w:val="bottom"/>
            <w:tcBorders>
              <w:bottom w:val="single" w:sz="8" w:color="A39B8C"/>
            </w:tcBorders>
            <w:gridSpan w:val="2"/>
            <w:shd w:val="clear" w:color="auto" w:fill="A39B8C"/>
          </w:tcPr>
          <w:p>
            <w:pPr>
              <w:jc w:val="right"/>
              <w:ind w:right="167"/>
              <w:spacing w:after="0"/>
              <w:rPr>
                <w:sz w:val="20"/>
                <w:szCs w:val="20"/>
                <w:color w:val="auto"/>
              </w:rPr>
            </w:pPr>
            <w:r>
              <w:rPr>
                <w:rFonts w:ascii="Arial" w:cs="Arial" w:eastAsia="Arial" w:hAnsi="Arial"/>
                <w:sz w:val="9"/>
                <w:szCs w:val="9"/>
                <w:b w:val="1"/>
                <w:bCs w:val="1"/>
                <w:color w:val="FFFFFF"/>
              </w:rPr>
              <w:t>CHANGE IN CONTROL</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3"/>
        </w:trPr>
        <w:tc>
          <w:tcPr>
            <w:tcW w:w="5300" w:type="dxa"/>
            <w:vAlign w:val="bottom"/>
          </w:tcPr>
          <w:p>
            <w:pPr>
              <w:ind w:left="120"/>
              <w:spacing w:after="0"/>
              <w:rPr>
                <w:sz w:val="20"/>
                <w:szCs w:val="20"/>
                <w:color w:val="auto"/>
              </w:rPr>
            </w:pPr>
            <w:r>
              <w:rPr>
                <w:rFonts w:ascii="Arial" w:cs="Arial" w:eastAsia="Arial" w:hAnsi="Arial"/>
                <w:sz w:val="11"/>
                <w:szCs w:val="11"/>
                <w:color w:val="262626"/>
              </w:rPr>
              <w:t>Base Salary</w:t>
            </w:r>
          </w:p>
        </w:tc>
        <w:tc>
          <w:tcPr>
            <w:tcW w:w="1560" w:type="dxa"/>
            <w:vAlign w:val="bottom"/>
            <w:gridSpan w:val="2"/>
          </w:tcPr>
          <w:p>
            <w:pPr>
              <w:jc w:val="right"/>
              <w:spacing w:after="0"/>
              <w:rPr>
                <w:sz w:val="20"/>
                <w:szCs w:val="20"/>
                <w:color w:val="auto"/>
              </w:rPr>
            </w:pPr>
            <w:r>
              <w:rPr>
                <w:rFonts w:ascii="Arial" w:cs="Arial" w:eastAsia="Arial" w:hAnsi="Arial"/>
                <w:sz w:val="11"/>
                <w:szCs w:val="11"/>
                <w:color w:val="262626"/>
              </w:rPr>
              <w:t>Amounts earned and</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5300" w:type="dxa"/>
            <w:vAlign w:val="bottom"/>
          </w:tcPr>
          <w:p>
            <w:pPr>
              <w:spacing w:after="0"/>
              <w:rPr>
                <w:sz w:val="10"/>
                <w:szCs w:val="10"/>
                <w:color w:val="auto"/>
              </w:rPr>
            </w:pPr>
          </w:p>
        </w:tc>
        <w:tc>
          <w:tcPr>
            <w:tcW w:w="1560" w:type="dxa"/>
            <w:vAlign w:val="bottom"/>
            <w:gridSpan w:val="2"/>
          </w:tcPr>
          <w:p>
            <w:pPr>
              <w:jc w:val="right"/>
              <w:spacing w:after="0" w:line="120" w:lineRule="exact"/>
              <w:rPr>
                <w:sz w:val="20"/>
                <w:szCs w:val="20"/>
                <w:color w:val="auto"/>
              </w:rPr>
            </w:pPr>
            <w:r>
              <w:rPr>
                <w:rFonts w:ascii="Arial" w:cs="Arial" w:eastAsia="Arial" w:hAnsi="Arial"/>
                <w:sz w:val="11"/>
                <w:szCs w:val="11"/>
                <w:color w:val="262626"/>
              </w:rPr>
              <w:t>unpaid through the</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5300" w:type="dxa"/>
            <w:vAlign w:val="bottom"/>
          </w:tcPr>
          <w:p>
            <w:pPr>
              <w:spacing w:after="0"/>
              <w:rPr>
                <w:sz w:val="10"/>
                <w:szCs w:val="10"/>
                <w:color w:val="auto"/>
              </w:rPr>
            </w:pPr>
          </w:p>
        </w:tc>
        <w:tc>
          <w:tcPr>
            <w:tcW w:w="1560" w:type="dxa"/>
            <w:vAlign w:val="bottom"/>
            <w:gridSpan w:val="2"/>
          </w:tcPr>
          <w:p>
            <w:pPr>
              <w:jc w:val="right"/>
              <w:spacing w:after="0"/>
              <w:rPr>
                <w:sz w:val="20"/>
                <w:szCs w:val="20"/>
                <w:color w:val="auto"/>
              </w:rPr>
            </w:pPr>
            <w:r>
              <w:rPr>
                <w:rFonts w:ascii="Arial" w:cs="Arial" w:eastAsia="Arial" w:hAnsi="Arial"/>
                <w:sz w:val="11"/>
                <w:szCs w:val="11"/>
                <w:color w:val="262626"/>
              </w:rPr>
              <w:t>date of termination</w:t>
            </w:r>
          </w:p>
        </w:tc>
        <w:tc>
          <w:tcPr>
            <w:tcW w:w="860" w:type="dxa"/>
            <w:vAlign w:val="bottom"/>
          </w:tcPr>
          <w:p>
            <w:pPr>
              <w:ind w:left="800"/>
              <w:spacing w:after="0"/>
              <w:rPr>
                <w:sz w:val="20"/>
                <w:szCs w:val="20"/>
                <w:color w:val="auto"/>
              </w:rPr>
            </w:pPr>
            <w:r>
              <w:rPr>
                <w:rFonts w:ascii="Arial" w:cs="Arial" w:eastAsia="Arial" w:hAnsi="Arial"/>
                <w:sz w:val="10"/>
                <w:szCs w:val="10"/>
                <w:color w:val="262626"/>
                <w:w w:val="71"/>
              </w:rPr>
              <w:t>$</w:t>
            </w:r>
          </w:p>
        </w:tc>
        <w:tc>
          <w:tcPr>
            <w:tcW w:w="740" w:type="dxa"/>
            <w:vAlign w:val="bottom"/>
          </w:tcPr>
          <w:p>
            <w:pPr>
              <w:jc w:val="right"/>
              <w:ind w:right="129"/>
              <w:spacing w:after="0"/>
              <w:rPr>
                <w:sz w:val="20"/>
                <w:szCs w:val="20"/>
                <w:color w:val="auto"/>
              </w:rPr>
            </w:pPr>
            <w:r>
              <w:rPr>
                <w:rFonts w:ascii="Arial" w:cs="Arial" w:eastAsia="Arial" w:hAnsi="Arial"/>
                <w:sz w:val="11"/>
                <w:szCs w:val="11"/>
                <w:color w:val="262626"/>
              </w:rPr>
              <w:t>4,333,333</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780" w:type="dxa"/>
            <w:vAlign w:val="bottom"/>
          </w:tcPr>
          <w:p>
            <w:pPr>
              <w:jc w:val="right"/>
              <w:ind w:right="187"/>
              <w:spacing w:after="0"/>
              <w:rPr>
                <w:sz w:val="20"/>
                <w:szCs w:val="20"/>
                <w:color w:val="auto"/>
              </w:rPr>
            </w:pPr>
            <w:r>
              <w:rPr>
                <w:rFonts w:ascii="Arial" w:cs="Arial" w:eastAsia="Arial" w:hAnsi="Arial"/>
                <w:sz w:val="11"/>
                <w:szCs w:val="11"/>
                <w:color w:val="262626"/>
              </w:rPr>
              <w:t>4,333,333</w:t>
            </w:r>
          </w:p>
        </w:tc>
        <w:tc>
          <w:tcPr>
            <w:tcW w:w="20" w:type="dxa"/>
            <w:vAlign w:val="bottom"/>
          </w:tcPr>
          <w:p>
            <w:pPr>
              <w:spacing w:after="0"/>
              <w:rPr>
                <w:sz w:val="10"/>
                <w:szCs w:val="10"/>
                <w:color w:val="auto"/>
              </w:rPr>
            </w:pPr>
          </w:p>
        </w:tc>
      </w:tr>
      <w:tr>
        <w:trPr>
          <w:trHeight w:val="49"/>
        </w:trPr>
        <w:tc>
          <w:tcPr>
            <w:tcW w:w="5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30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Bonus</w:t>
            </w:r>
          </w:p>
        </w:tc>
        <w:tc>
          <w:tcPr>
            <w:tcW w:w="1000" w:type="dxa"/>
            <w:vAlign w:val="bottom"/>
            <w:tcBorders>
              <w:bottom w:val="single" w:sz="8" w:color="ECEBE8"/>
            </w:tcBorders>
            <w:shd w:val="clear" w:color="auto" w:fill="ECEBE8"/>
          </w:tcPr>
          <w:p>
            <w:pPr>
              <w:spacing w:after="0"/>
              <w:rPr>
                <w:sz w:val="15"/>
                <w:szCs w:val="15"/>
                <w:color w:val="auto"/>
              </w:rPr>
            </w:pPr>
          </w:p>
        </w:tc>
        <w:tc>
          <w:tcPr>
            <w:tcW w:w="5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60" w:type="dxa"/>
            <w:vAlign w:val="bottom"/>
            <w:tcBorders>
              <w:bottom w:val="single" w:sz="8" w:color="ECEBE8"/>
            </w:tcBorders>
            <w:shd w:val="clear" w:color="auto" w:fill="ECEBE8"/>
          </w:tcPr>
          <w:p>
            <w:pPr>
              <w:ind w:left="800"/>
              <w:spacing w:after="0"/>
              <w:rPr>
                <w:sz w:val="20"/>
                <w:szCs w:val="20"/>
                <w:color w:val="auto"/>
              </w:rPr>
            </w:pPr>
            <w:r>
              <w:rPr>
                <w:rFonts w:ascii="Arial" w:cs="Arial" w:eastAsia="Arial" w:hAnsi="Arial"/>
                <w:sz w:val="10"/>
                <w:szCs w:val="10"/>
                <w:color w:val="262626"/>
                <w:w w:val="71"/>
              </w:rPr>
              <w:t>$</w:t>
            </w:r>
          </w:p>
        </w:tc>
        <w:tc>
          <w:tcPr>
            <w:tcW w:w="740" w:type="dxa"/>
            <w:vAlign w:val="bottom"/>
            <w:tcBorders>
              <w:bottom w:val="single" w:sz="8" w:color="ECEBE8"/>
            </w:tcBorders>
            <w:shd w:val="clear" w:color="auto" w:fill="ECEBE8"/>
          </w:tcPr>
          <w:p>
            <w:pPr>
              <w:jc w:val="right"/>
              <w:ind w:right="129"/>
              <w:spacing w:after="0"/>
              <w:rPr>
                <w:sz w:val="20"/>
                <w:szCs w:val="20"/>
                <w:color w:val="auto"/>
              </w:rPr>
            </w:pPr>
            <w:r>
              <w:rPr>
                <w:rFonts w:ascii="Arial" w:cs="Arial" w:eastAsia="Arial" w:hAnsi="Arial"/>
                <w:sz w:val="11"/>
                <w:szCs w:val="11"/>
                <w:color w:val="262626"/>
                <w:w w:val="98"/>
              </w:rPr>
              <w:t>10,833,333</w:t>
            </w:r>
          </w:p>
        </w:tc>
        <w:tc>
          <w:tcPr>
            <w:tcW w:w="6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80" w:type="dxa"/>
            <w:vAlign w:val="bottom"/>
            <w:tcBorders>
              <w:bottom w:val="single" w:sz="8" w:color="ECEBE8"/>
            </w:tcBorders>
            <w:shd w:val="clear" w:color="auto" w:fill="ECEBE8"/>
          </w:tcPr>
          <w:p>
            <w:pPr>
              <w:jc w:val="right"/>
              <w:ind w:right="187"/>
              <w:spacing w:after="0"/>
              <w:rPr>
                <w:sz w:val="20"/>
                <w:szCs w:val="20"/>
                <w:color w:val="auto"/>
              </w:rPr>
            </w:pPr>
            <w:r>
              <w:rPr>
                <w:rFonts w:ascii="Arial" w:cs="Arial" w:eastAsia="Arial" w:hAnsi="Arial"/>
                <w:sz w:val="11"/>
                <w:szCs w:val="11"/>
                <w:color w:val="262626"/>
                <w:w w:val="94"/>
              </w:rPr>
              <w:t>10,833,333</w:t>
            </w:r>
          </w:p>
        </w:tc>
        <w:tc>
          <w:tcPr>
            <w:tcW w:w="20" w:type="dxa"/>
            <w:vAlign w:val="bottom"/>
          </w:tcPr>
          <w:p>
            <w:pPr>
              <w:spacing w:after="0"/>
              <w:rPr>
                <w:sz w:val="15"/>
                <w:szCs w:val="15"/>
                <w:color w:val="auto"/>
              </w:rPr>
            </w:pPr>
          </w:p>
        </w:tc>
      </w:tr>
      <w:tr>
        <w:trPr>
          <w:trHeight w:val="149"/>
        </w:trPr>
        <w:tc>
          <w:tcPr>
            <w:tcW w:w="5300" w:type="dxa"/>
            <w:vAlign w:val="bottom"/>
          </w:tcPr>
          <w:p>
            <w:pPr>
              <w:ind w:left="120"/>
              <w:spacing w:after="0"/>
              <w:rPr>
                <w:sz w:val="20"/>
                <w:szCs w:val="20"/>
                <w:color w:val="auto"/>
              </w:rPr>
            </w:pPr>
            <w:r>
              <w:rPr>
                <w:rFonts w:ascii="Arial" w:cs="Arial" w:eastAsia="Arial" w:hAnsi="Arial"/>
                <w:sz w:val="11"/>
                <w:szCs w:val="11"/>
                <w:color w:val="262626"/>
              </w:rPr>
              <w:t>Stock Options/Restricted Stock</w:t>
            </w:r>
            <w:r>
              <w:rPr>
                <w:rFonts w:ascii="Arial" w:cs="Arial" w:eastAsia="Arial" w:hAnsi="Arial"/>
                <w:sz w:val="9"/>
                <w:szCs w:val="9"/>
                <w:color w:val="262626"/>
              </w:rPr>
              <w:t>(1)(2)(3)</w:t>
            </w:r>
          </w:p>
        </w:tc>
        <w:tc>
          <w:tcPr>
            <w:tcW w:w="1000" w:type="dxa"/>
            <w:vAlign w:val="bottom"/>
          </w:tcPr>
          <w:p>
            <w:pPr>
              <w:jc w:val="right"/>
              <w:spacing w:after="0"/>
              <w:rPr>
                <w:sz w:val="20"/>
                <w:szCs w:val="20"/>
                <w:color w:val="auto"/>
              </w:rPr>
            </w:pPr>
            <w:r>
              <w:rPr>
                <w:rFonts w:ascii="Arial" w:cs="Arial" w:eastAsia="Arial" w:hAnsi="Arial"/>
                <w:sz w:val="11"/>
                <w:szCs w:val="11"/>
                <w:color w:val="262626"/>
              </w:rPr>
              <w:t>$</w:t>
            </w:r>
          </w:p>
        </w:tc>
        <w:tc>
          <w:tcPr>
            <w:tcW w:w="560" w:type="dxa"/>
            <w:vAlign w:val="bottom"/>
          </w:tcPr>
          <w:p>
            <w:pPr>
              <w:jc w:val="right"/>
              <w:spacing w:after="0"/>
              <w:rPr>
                <w:sz w:val="20"/>
                <w:szCs w:val="20"/>
                <w:color w:val="auto"/>
              </w:rPr>
            </w:pPr>
            <w:r>
              <w:rPr>
                <w:rFonts w:ascii="Arial" w:cs="Arial" w:eastAsia="Arial" w:hAnsi="Arial"/>
                <w:sz w:val="11"/>
                <w:szCs w:val="11"/>
                <w:color w:val="262626"/>
                <w:w w:val="90"/>
              </w:rPr>
              <w:t>28,797,400</w:t>
            </w:r>
          </w:p>
        </w:tc>
        <w:tc>
          <w:tcPr>
            <w:tcW w:w="860" w:type="dxa"/>
            <w:vAlign w:val="bottom"/>
          </w:tcPr>
          <w:p>
            <w:pPr>
              <w:ind w:left="800"/>
              <w:spacing w:after="0"/>
              <w:rPr>
                <w:sz w:val="20"/>
                <w:szCs w:val="20"/>
                <w:color w:val="auto"/>
              </w:rPr>
            </w:pPr>
            <w:r>
              <w:rPr>
                <w:rFonts w:ascii="Arial" w:cs="Arial" w:eastAsia="Arial" w:hAnsi="Arial"/>
                <w:sz w:val="10"/>
                <w:szCs w:val="10"/>
                <w:color w:val="262626"/>
                <w:w w:val="71"/>
              </w:rPr>
              <w:t>$</w:t>
            </w:r>
          </w:p>
        </w:tc>
        <w:tc>
          <w:tcPr>
            <w:tcW w:w="740" w:type="dxa"/>
            <w:vAlign w:val="bottom"/>
          </w:tcPr>
          <w:p>
            <w:pPr>
              <w:jc w:val="right"/>
              <w:ind w:right="129"/>
              <w:spacing w:after="0"/>
              <w:rPr>
                <w:sz w:val="20"/>
                <w:szCs w:val="20"/>
                <w:color w:val="auto"/>
              </w:rPr>
            </w:pPr>
            <w:r>
              <w:rPr>
                <w:rFonts w:ascii="Arial" w:cs="Arial" w:eastAsia="Arial" w:hAnsi="Arial"/>
                <w:sz w:val="11"/>
                <w:szCs w:val="11"/>
                <w:color w:val="262626"/>
                <w:w w:val="98"/>
              </w:rPr>
              <w:t>10,356,784</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780" w:type="dxa"/>
            <w:vAlign w:val="bottom"/>
          </w:tcPr>
          <w:p>
            <w:pPr>
              <w:jc w:val="right"/>
              <w:ind w:right="187"/>
              <w:spacing w:after="0"/>
              <w:rPr>
                <w:sz w:val="20"/>
                <w:szCs w:val="20"/>
                <w:color w:val="auto"/>
              </w:rPr>
            </w:pPr>
            <w:r>
              <w:rPr>
                <w:rFonts w:ascii="Arial" w:cs="Arial" w:eastAsia="Arial" w:hAnsi="Arial"/>
                <w:sz w:val="11"/>
                <w:szCs w:val="11"/>
                <w:color w:val="262626"/>
                <w:w w:val="94"/>
              </w:rPr>
              <w:t>27,243,700</w:t>
            </w:r>
          </w:p>
        </w:tc>
        <w:tc>
          <w:tcPr>
            <w:tcW w:w="20" w:type="dxa"/>
            <w:vAlign w:val="bottom"/>
          </w:tcPr>
          <w:p>
            <w:pPr>
              <w:spacing w:after="0"/>
              <w:rPr>
                <w:sz w:val="12"/>
                <w:szCs w:val="12"/>
                <w:color w:val="auto"/>
              </w:rPr>
            </w:pPr>
          </w:p>
        </w:tc>
      </w:tr>
      <w:tr>
        <w:trPr>
          <w:trHeight w:val="49"/>
        </w:trPr>
        <w:tc>
          <w:tcPr>
            <w:tcW w:w="5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30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Company Paid Life Insurance</w:t>
            </w:r>
          </w:p>
        </w:tc>
        <w:tc>
          <w:tcPr>
            <w:tcW w:w="10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2,000,000</w:t>
            </w:r>
          </w:p>
        </w:tc>
        <w:tc>
          <w:tcPr>
            <w:tcW w:w="860" w:type="dxa"/>
            <w:vAlign w:val="bottom"/>
            <w:tcBorders>
              <w:bottom w:val="single" w:sz="8" w:color="ECEBE8"/>
            </w:tcBorders>
            <w:shd w:val="clear" w:color="auto" w:fill="ECEBE8"/>
          </w:tcPr>
          <w:p>
            <w:pPr>
              <w:spacing w:after="0"/>
              <w:rPr>
                <w:sz w:val="15"/>
                <w:szCs w:val="15"/>
                <w:color w:val="auto"/>
              </w:rPr>
            </w:pPr>
          </w:p>
        </w:tc>
        <w:tc>
          <w:tcPr>
            <w:tcW w:w="740" w:type="dxa"/>
            <w:vAlign w:val="bottom"/>
            <w:tcBorders>
              <w:bottom w:val="single" w:sz="8" w:color="ECEBE8"/>
            </w:tcBorders>
            <w:shd w:val="clear" w:color="auto" w:fill="ECEBE8"/>
          </w:tcPr>
          <w:p>
            <w:pPr>
              <w:jc w:val="right"/>
              <w:ind w:right="129"/>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spacing w:after="0"/>
              <w:rPr>
                <w:sz w:val="15"/>
                <w:szCs w:val="15"/>
                <w:color w:val="auto"/>
              </w:rPr>
            </w:pPr>
          </w:p>
        </w:tc>
        <w:tc>
          <w:tcPr>
            <w:tcW w:w="780" w:type="dxa"/>
            <w:vAlign w:val="bottom"/>
            <w:tcBorders>
              <w:bottom w:val="single" w:sz="8" w:color="ECEBE8"/>
            </w:tcBorders>
            <w:shd w:val="clear" w:color="auto" w:fill="ECEBE8"/>
          </w:tcPr>
          <w:p>
            <w:pPr>
              <w:jc w:val="right"/>
              <w:ind w:right="187"/>
              <w:spacing w:after="0"/>
              <w:rPr>
                <w:sz w:val="20"/>
                <w:szCs w:val="20"/>
                <w:color w:val="auto"/>
              </w:rPr>
            </w:pPr>
            <w:r>
              <w:rPr>
                <w:rFonts w:ascii="Arial" w:cs="Arial" w:eastAsia="Arial" w:hAnsi="Arial"/>
                <w:sz w:val="11"/>
                <w:szCs w:val="11"/>
                <w:color w:val="262626"/>
              </w:rPr>
              <w:t>—</w:t>
            </w:r>
          </w:p>
        </w:tc>
        <w:tc>
          <w:tcPr>
            <w:tcW w:w="20" w:type="dxa"/>
            <w:vAlign w:val="bottom"/>
          </w:tcPr>
          <w:p>
            <w:pPr>
              <w:spacing w:after="0"/>
              <w:rPr>
                <w:sz w:val="15"/>
                <w:szCs w:val="15"/>
                <w:color w:val="auto"/>
              </w:rPr>
            </w:pPr>
          </w:p>
        </w:tc>
      </w:tr>
      <w:tr>
        <w:trPr>
          <w:trHeight w:val="149"/>
        </w:trPr>
        <w:tc>
          <w:tcPr>
            <w:tcW w:w="5300" w:type="dxa"/>
            <w:vAlign w:val="bottom"/>
          </w:tcPr>
          <w:p>
            <w:pPr>
              <w:ind w:left="120"/>
              <w:spacing w:after="0"/>
              <w:rPr>
                <w:sz w:val="20"/>
                <w:szCs w:val="20"/>
                <w:color w:val="auto"/>
              </w:rPr>
            </w:pPr>
            <w:r>
              <w:rPr>
                <w:rFonts w:ascii="Arial" w:cs="Arial" w:eastAsia="Arial" w:hAnsi="Arial"/>
                <w:sz w:val="11"/>
                <w:szCs w:val="11"/>
                <w:color w:val="262626"/>
              </w:rPr>
              <w:t>Benefits</w:t>
            </w:r>
            <w:r>
              <w:rPr>
                <w:rFonts w:ascii="Arial" w:cs="Arial" w:eastAsia="Arial" w:hAnsi="Arial"/>
                <w:sz w:val="9"/>
                <w:szCs w:val="9"/>
                <w:color w:val="262626"/>
              </w:rPr>
              <w:t>(4)</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62626"/>
              </w:rPr>
              <w:t>—</w:t>
            </w:r>
          </w:p>
        </w:tc>
        <w:tc>
          <w:tcPr>
            <w:tcW w:w="860" w:type="dxa"/>
            <w:vAlign w:val="bottom"/>
          </w:tcPr>
          <w:p>
            <w:pPr>
              <w:ind w:left="800"/>
              <w:spacing w:after="0"/>
              <w:rPr>
                <w:sz w:val="20"/>
                <w:szCs w:val="20"/>
                <w:color w:val="auto"/>
              </w:rPr>
            </w:pPr>
            <w:r>
              <w:rPr>
                <w:rFonts w:ascii="Arial" w:cs="Arial" w:eastAsia="Arial" w:hAnsi="Arial"/>
                <w:sz w:val="10"/>
                <w:szCs w:val="10"/>
                <w:color w:val="262626"/>
                <w:w w:val="71"/>
              </w:rPr>
              <w:t>$</w:t>
            </w:r>
          </w:p>
        </w:tc>
        <w:tc>
          <w:tcPr>
            <w:tcW w:w="740" w:type="dxa"/>
            <w:vAlign w:val="bottom"/>
          </w:tcPr>
          <w:p>
            <w:pPr>
              <w:jc w:val="right"/>
              <w:ind w:right="129"/>
              <w:spacing w:after="0"/>
              <w:rPr>
                <w:sz w:val="20"/>
                <w:szCs w:val="20"/>
                <w:color w:val="auto"/>
              </w:rPr>
            </w:pPr>
            <w:r>
              <w:rPr>
                <w:rFonts w:ascii="Arial" w:cs="Arial" w:eastAsia="Arial" w:hAnsi="Arial"/>
                <w:sz w:val="11"/>
                <w:szCs w:val="11"/>
                <w:color w:val="262626"/>
              </w:rPr>
              <w:t>34,872</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780" w:type="dxa"/>
            <w:vAlign w:val="bottom"/>
          </w:tcPr>
          <w:p>
            <w:pPr>
              <w:jc w:val="right"/>
              <w:ind w:right="187"/>
              <w:spacing w:after="0"/>
              <w:rPr>
                <w:sz w:val="20"/>
                <w:szCs w:val="20"/>
                <w:color w:val="auto"/>
              </w:rPr>
            </w:pPr>
            <w:r>
              <w:rPr>
                <w:rFonts w:ascii="Arial" w:cs="Arial" w:eastAsia="Arial" w:hAnsi="Arial"/>
                <w:sz w:val="11"/>
                <w:szCs w:val="11"/>
                <w:color w:val="262626"/>
              </w:rPr>
              <w:t>34,872</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-767080</wp:posOffset>
            </wp:positionV>
            <wp:extent cx="825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53" w:lineRule="exact"/>
        <w:rPr>
          <w:sz w:val="20"/>
          <w:szCs w:val="20"/>
          <w:color w:val="auto"/>
        </w:rPr>
      </w:pPr>
    </w:p>
    <w:p>
      <w:pPr>
        <w:ind w:left="780" w:right="420" w:firstLine="1"/>
        <w:spacing w:after="0" w:line="230" w:lineRule="auto"/>
        <w:tabs>
          <w:tab w:leader="none" w:pos="915" w:val="left"/>
        </w:tabs>
        <w:numPr>
          <w:ilvl w:val="0"/>
          <w:numId w:val="74"/>
        </w:numPr>
        <w:rPr>
          <w:rFonts w:ascii="Arial" w:cs="Arial" w:eastAsia="Arial" w:hAnsi="Arial"/>
          <w:sz w:val="9"/>
          <w:szCs w:val="9"/>
          <w:color w:val="262626"/>
        </w:rPr>
      </w:pPr>
      <w:r>
        <w:rPr>
          <w:rFonts w:ascii="Arial" w:cs="Arial" w:eastAsia="Arial" w:hAnsi="Arial"/>
          <w:sz w:val="11"/>
          <w:szCs w:val="11"/>
          <w:color w:val="262626"/>
        </w:rPr>
        <w:t>As of December 31, 2018, vested stock options of 30,000 were available for exercise. Using the closing price on December 31, 2018, the value of such vested shares would have been $1,553,700. Upon death or complete disability, unvested stock options of 30,000 would vest in full immediately. Using the closing price on December 31, 2018, the value of such stock options upon exercise would have been $1,533,700.</w:t>
      </w:r>
    </w:p>
    <w:p>
      <w:pPr>
        <w:spacing w:after="0" w:line="33" w:lineRule="exact"/>
        <w:rPr>
          <w:rFonts w:ascii="Arial" w:cs="Arial" w:eastAsia="Arial" w:hAnsi="Arial"/>
          <w:sz w:val="9"/>
          <w:szCs w:val="9"/>
          <w:color w:val="262626"/>
        </w:rPr>
      </w:pPr>
    </w:p>
    <w:p>
      <w:pPr>
        <w:ind w:left="780" w:right="260" w:firstLine="1"/>
        <w:spacing w:after="0" w:line="232" w:lineRule="auto"/>
        <w:tabs>
          <w:tab w:leader="none" w:pos="915" w:val="left"/>
        </w:tabs>
        <w:numPr>
          <w:ilvl w:val="0"/>
          <w:numId w:val="74"/>
        </w:numPr>
        <w:rPr>
          <w:rFonts w:ascii="Arial" w:cs="Arial" w:eastAsia="Arial" w:hAnsi="Arial"/>
          <w:sz w:val="9"/>
          <w:szCs w:val="9"/>
          <w:color w:val="262626"/>
        </w:rPr>
      </w:pPr>
      <w:r>
        <w:rPr>
          <w:rFonts w:ascii="Arial" w:cs="Arial" w:eastAsia="Arial" w:hAnsi="Arial"/>
          <w:sz w:val="11"/>
          <w:szCs w:val="11"/>
          <w:color w:val="262626"/>
        </w:rPr>
        <w:t>Upon death, complete disability or change in control, 250,000 shares of restricted stock would vest in full immediately. Using the closing price on December 31, 2018, the value of such 250,000 shares would have been $24,727,500, plus accrued dividends of $962,500.</w:t>
      </w:r>
    </w:p>
    <w:p>
      <w:pPr>
        <w:spacing w:after="0" w:line="33" w:lineRule="exact"/>
        <w:rPr>
          <w:rFonts w:ascii="Arial" w:cs="Arial" w:eastAsia="Arial" w:hAnsi="Arial"/>
          <w:sz w:val="9"/>
          <w:szCs w:val="9"/>
          <w:color w:val="262626"/>
        </w:rPr>
      </w:pPr>
    </w:p>
    <w:p>
      <w:pPr>
        <w:ind w:left="780" w:right="460" w:firstLine="1"/>
        <w:spacing w:after="0" w:line="232" w:lineRule="auto"/>
        <w:tabs>
          <w:tab w:leader="none" w:pos="915" w:val="left"/>
        </w:tabs>
        <w:numPr>
          <w:ilvl w:val="0"/>
          <w:numId w:val="74"/>
        </w:numPr>
        <w:rPr>
          <w:rFonts w:ascii="Arial" w:cs="Arial" w:eastAsia="Arial" w:hAnsi="Arial"/>
          <w:sz w:val="9"/>
          <w:szCs w:val="9"/>
          <w:color w:val="262626"/>
        </w:rPr>
      </w:pPr>
      <w:r>
        <w:rPr>
          <w:rFonts w:ascii="Arial" w:cs="Arial" w:eastAsia="Arial" w:hAnsi="Arial"/>
          <w:sz w:val="11"/>
          <w:szCs w:val="11"/>
          <w:color w:val="262626"/>
        </w:rPr>
        <w:t>Upon termination without cause or upon the Company’s material breach, 85,467 shares of restricted stock would vest on a prorated basis based on the number of months since the grant date. Using the closing price on December 31, 2018, the value of such 85,467 shares would have been $8,453,540, plus accrued dividends of $349,446.</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4"/>
        </w:numPr>
        <w:rPr>
          <w:rFonts w:ascii="Arial" w:cs="Arial" w:eastAsia="Arial" w:hAnsi="Arial"/>
          <w:sz w:val="9"/>
          <w:szCs w:val="9"/>
          <w:color w:val="262626"/>
        </w:rPr>
      </w:pPr>
      <w:r>
        <w:rPr>
          <w:rFonts w:ascii="Arial" w:cs="Arial" w:eastAsia="Arial" w:hAnsi="Arial"/>
          <w:sz w:val="11"/>
          <w:szCs w:val="11"/>
          <w:color w:val="262626"/>
        </w:rPr>
        <w:t>Continued health benefits for remainder of the term or until covered by another plan.</w:t>
      </w:r>
    </w:p>
    <w:p>
      <w:pPr>
        <w:spacing w:after="0" w:line="293"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95885</wp:posOffset>
            </wp:positionV>
            <wp:extent cx="62566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63"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5140" w:type="dxa"/>
            <w:vAlign w:val="bottom"/>
            <w:shd w:val="clear" w:color="auto" w:fill="A39B8C"/>
          </w:tcPr>
          <w:p>
            <w:pPr>
              <w:spacing w:after="0"/>
              <w:rPr>
                <w:sz w:val="9"/>
                <w:szCs w:val="9"/>
                <w:color w:val="auto"/>
              </w:rPr>
            </w:pPr>
          </w:p>
        </w:tc>
        <w:tc>
          <w:tcPr>
            <w:tcW w:w="1120" w:type="dxa"/>
            <w:vAlign w:val="bottom"/>
            <w:shd w:val="clear" w:color="auto" w:fill="A39B8C"/>
          </w:tcPr>
          <w:p>
            <w:pPr>
              <w:spacing w:after="0"/>
              <w:rPr>
                <w:sz w:val="9"/>
                <w:szCs w:val="9"/>
                <w:color w:val="auto"/>
              </w:rPr>
            </w:pPr>
          </w:p>
        </w:tc>
        <w:tc>
          <w:tcPr>
            <w:tcW w:w="500" w:type="dxa"/>
            <w:vAlign w:val="bottom"/>
            <w:shd w:val="clear" w:color="auto" w:fill="A39B8C"/>
          </w:tcPr>
          <w:p>
            <w:pPr>
              <w:spacing w:after="0"/>
              <w:rPr>
                <w:sz w:val="9"/>
                <w:szCs w:val="9"/>
                <w:color w:val="auto"/>
              </w:rPr>
            </w:pPr>
          </w:p>
        </w:tc>
        <w:tc>
          <w:tcPr>
            <w:tcW w:w="1680" w:type="dxa"/>
            <w:vAlign w:val="bottom"/>
            <w:gridSpan w:val="2"/>
            <w:shd w:val="clear" w:color="auto" w:fill="A39B8C"/>
          </w:tcPr>
          <w:p>
            <w:pPr>
              <w:ind w:left="860"/>
              <w:spacing w:after="0"/>
              <w:rPr>
                <w:sz w:val="20"/>
                <w:szCs w:val="20"/>
                <w:color w:val="auto"/>
              </w:rPr>
            </w:pPr>
            <w:r>
              <w:rPr>
                <w:rFonts w:ascii="Arial" w:cs="Arial" w:eastAsia="Arial" w:hAnsi="Arial"/>
                <w:sz w:val="9"/>
                <w:szCs w:val="9"/>
                <w:b w:val="1"/>
                <w:bCs w:val="1"/>
                <w:color w:val="FFFFFF"/>
              </w:rPr>
              <w:t>TERMINATION</w:t>
            </w:r>
          </w:p>
        </w:tc>
        <w:tc>
          <w:tcPr>
            <w:tcW w:w="1420" w:type="dxa"/>
            <w:vAlign w:val="bottom"/>
            <w:gridSpan w:val="2"/>
            <w:shd w:val="clear" w:color="auto" w:fill="A39B8C"/>
          </w:tcPr>
          <w:p>
            <w:pPr>
              <w:jc w:val="right"/>
              <w:ind w:right="147"/>
              <w:spacing w:after="0"/>
              <w:rPr>
                <w:sz w:val="20"/>
                <w:szCs w:val="20"/>
                <w:color w:val="auto"/>
              </w:rPr>
            </w:pPr>
            <w:r>
              <w:rPr>
                <w:rFonts w:ascii="Arial" w:cs="Arial" w:eastAsia="Arial" w:hAnsi="Arial"/>
                <w:sz w:val="9"/>
                <w:szCs w:val="9"/>
                <w:b w:val="1"/>
                <w:bCs w:val="1"/>
                <w:color w:val="FFFFFF"/>
              </w:rPr>
              <w:t>TERMINATION BY</w:t>
            </w:r>
          </w:p>
        </w:tc>
        <w:tc>
          <w:tcPr>
            <w:tcW w:w="20" w:type="dxa"/>
            <w:vAlign w:val="bottom"/>
            <w:shd w:val="clear" w:color="auto" w:fill="A39B8C"/>
          </w:tcPr>
          <w:p>
            <w:pPr>
              <w:spacing w:after="0"/>
              <w:rPr>
                <w:sz w:val="9"/>
                <w:szCs w:val="9"/>
                <w:color w:val="auto"/>
              </w:rPr>
            </w:pPr>
          </w:p>
        </w:tc>
      </w:tr>
      <w:tr>
        <w:trPr>
          <w:trHeight w:val="93"/>
        </w:trPr>
        <w:tc>
          <w:tcPr>
            <w:tcW w:w="5140" w:type="dxa"/>
            <w:vAlign w:val="bottom"/>
            <w:shd w:val="clear" w:color="auto" w:fill="A39B8C"/>
          </w:tcPr>
          <w:p>
            <w:pPr>
              <w:spacing w:after="0"/>
              <w:rPr>
                <w:sz w:val="8"/>
                <w:szCs w:val="8"/>
                <w:color w:val="auto"/>
              </w:rPr>
            </w:pPr>
          </w:p>
        </w:tc>
        <w:tc>
          <w:tcPr>
            <w:tcW w:w="1620" w:type="dxa"/>
            <w:vAlign w:val="bottom"/>
            <w:gridSpan w:val="2"/>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TERMINATION UPON</w:t>
            </w:r>
          </w:p>
        </w:tc>
        <w:tc>
          <w:tcPr>
            <w:tcW w:w="1680" w:type="dxa"/>
            <w:vAlign w:val="bottom"/>
            <w:gridSpan w:val="2"/>
            <w:shd w:val="clear" w:color="auto" w:fill="A39B8C"/>
          </w:tcPr>
          <w:p>
            <w:pPr>
              <w:jc w:val="right"/>
              <w:ind w:right="169"/>
              <w:spacing w:after="0" w:line="93" w:lineRule="exact"/>
              <w:rPr>
                <w:sz w:val="20"/>
                <w:szCs w:val="20"/>
                <w:color w:val="auto"/>
              </w:rPr>
            </w:pPr>
            <w:r>
              <w:rPr>
                <w:rFonts w:ascii="Arial" w:cs="Arial" w:eastAsia="Arial" w:hAnsi="Arial"/>
                <w:sz w:val="9"/>
                <w:szCs w:val="9"/>
                <w:b w:val="1"/>
                <w:bCs w:val="1"/>
                <w:color w:val="FFFFFF"/>
              </w:rPr>
              <w:t>WITHOUT CAUSE OR</w:t>
            </w:r>
          </w:p>
        </w:tc>
        <w:tc>
          <w:tcPr>
            <w:tcW w:w="1420" w:type="dxa"/>
            <w:vAlign w:val="bottom"/>
            <w:gridSpan w:val="2"/>
            <w:shd w:val="clear" w:color="auto" w:fill="A39B8C"/>
          </w:tcPr>
          <w:p>
            <w:pPr>
              <w:jc w:val="right"/>
              <w:ind w:right="147"/>
              <w:spacing w:after="0" w:line="93" w:lineRule="exact"/>
              <w:rPr>
                <w:sz w:val="20"/>
                <w:szCs w:val="20"/>
                <w:color w:val="auto"/>
              </w:rPr>
            </w:pPr>
            <w:r>
              <w:rPr>
                <w:rFonts w:ascii="Arial" w:cs="Arial" w:eastAsia="Arial" w:hAnsi="Arial"/>
                <w:sz w:val="9"/>
                <w:szCs w:val="9"/>
                <w:b w:val="1"/>
                <w:bCs w:val="1"/>
                <w:color w:val="FFFFFF"/>
              </w:rPr>
              <w:t>EMPLOYEE FOR GOOD</w:t>
            </w:r>
          </w:p>
        </w:tc>
        <w:tc>
          <w:tcPr>
            <w:tcW w:w="20" w:type="dxa"/>
            <w:vAlign w:val="bottom"/>
            <w:shd w:val="clear" w:color="auto" w:fill="A39B8C"/>
          </w:tcPr>
          <w:p>
            <w:pPr>
              <w:spacing w:after="0"/>
              <w:rPr>
                <w:sz w:val="8"/>
                <w:szCs w:val="8"/>
                <w:color w:val="auto"/>
              </w:rPr>
            </w:pPr>
          </w:p>
        </w:tc>
      </w:tr>
      <w:tr>
        <w:trPr>
          <w:trHeight w:val="93"/>
        </w:trPr>
        <w:tc>
          <w:tcPr>
            <w:tcW w:w="5140" w:type="dxa"/>
            <w:vAlign w:val="bottom"/>
            <w:shd w:val="clear" w:color="auto" w:fill="A39B8C"/>
          </w:tcPr>
          <w:p>
            <w:pPr>
              <w:spacing w:after="0"/>
              <w:rPr>
                <w:sz w:val="8"/>
                <w:szCs w:val="8"/>
                <w:color w:val="auto"/>
              </w:rPr>
            </w:pPr>
          </w:p>
        </w:tc>
        <w:tc>
          <w:tcPr>
            <w:tcW w:w="1620" w:type="dxa"/>
            <w:vAlign w:val="bottom"/>
            <w:gridSpan w:val="2"/>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DEATH OR COMPLETE</w:t>
            </w:r>
          </w:p>
        </w:tc>
        <w:tc>
          <w:tcPr>
            <w:tcW w:w="1680" w:type="dxa"/>
            <w:vAlign w:val="bottom"/>
            <w:gridSpan w:val="2"/>
            <w:shd w:val="clear" w:color="auto" w:fill="A39B8C"/>
          </w:tcPr>
          <w:p>
            <w:pPr>
              <w:jc w:val="right"/>
              <w:ind w:right="169"/>
              <w:spacing w:after="0" w:line="93" w:lineRule="exact"/>
              <w:rPr>
                <w:sz w:val="20"/>
                <w:szCs w:val="20"/>
                <w:color w:val="auto"/>
              </w:rPr>
            </w:pPr>
            <w:r>
              <w:rPr>
                <w:rFonts w:ascii="Arial" w:cs="Arial" w:eastAsia="Arial" w:hAnsi="Arial"/>
                <w:sz w:val="9"/>
                <w:szCs w:val="9"/>
                <w:b w:val="1"/>
                <w:bCs w:val="1"/>
                <w:color w:val="FFFFFF"/>
              </w:rPr>
              <w:t>UPON MATERIAL</w:t>
            </w:r>
          </w:p>
        </w:tc>
        <w:tc>
          <w:tcPr>
            <w:tcW w:w="1420" w:type="dxa"/>
            <w:vAlign w:val="bottom"/>
            <w:gridSpan w:val="2"/>
            <w:shd w:val="clear" w:color="auto" w:fill="A39B8C"/>
          </w:tcPr>
          <w:p>
            <w:pPr>
              <w:jc w:val="right"/>
              <w:ind w:right="147"/>
              <w:spacing w:after="0" w:line="93" w:lineRule="exact"/>
              <w:rPr>
                <w:sz w:val="20"/>
                <w:szCs w:val="20"/>
                <w:color w:val="auto"/>
              </w:rPr>
            </w:pPr>
            <w:r>
              <w:rPr>
                <w:rFonts w:ascii="Arial" w:cs="Arial" w:eastAsia="Arial" w:hAnsi="Arial"/>
                <w:sz w:val="9"/>
                <w:szCs w:val="9"/>
                <w:b w:val="1"/>
                <w:bCs w:val="1"/>
                <w:color w:val="FFFFFF"/>
              </w:rPr>
              <w:t>REASON AFTER</w:t>
            </w:r>
          </w:p>
        </w:tc>
        <w:tc>
          <w:tcPr>
            <w:tcW w:w="20" w:type="dxa"/>
            <w:vAlign w:val="bottom"/>
            <w:shd w:val="clear" w:color="auto" w:fill="A39B8C"/>
          </w:tcPr>
          <w:p>
            <w:pPr>
              <w:spacing w:after="0"/>
              <w:rPr>
                <w:sz w:val="8"/>
                <w:szCs w:val="8"/>
                <w:color w:val="auto"/>
              </w:rPr>
            </w:pPr>
          </w:p>
        </w:tc>
      </w:tr>
      <w:tr>
        <w:trPr>
          <w:trHeight w:val="149"/>
        </w:trPr>
        <w:tc>
          <w:tcPr>
            <w:tcW w:w="5140" w:type="dxa"/>
            <w:vAlign w:val="bottom"/>
            <w:tcBorders>
              <w:bottom w:val="single" w:sz="8" w:color="A39B8C"/>
            </w:tcBorders>
            <w:shd w:val="clear" w:color="auto" w:fill="A39B8C"/>
          </w:tcPr>
          <w:p>
            <w:pPr>
              <w:spacing w:after="0"/>
              <w:rPr>
                <w:sz w:val="12"/>
                <w:szCs w:val="12"/>
                <w:color w:val="auto"/>
              </w:rPr>
            </w:pPr>
          </w:p>
        </w:tc>
        <w:tc>
          <w:tcPr>
            <w:tcW w:w="1620" w:type="dxa"/>
            <w:vAlign w:val="bottom"/>
            <w:tcBorders>
              <w:bottom w:val="single" w:sz="8" w:color="A39B8C"/>
            </w:tcBorders>
            <w:gridSpan w:val="2"/>
            <w:shd w:val="clear" w:color="auto" w:fill="A39B8C"/>
          </w:tcPr>
          <w:p>
            <w:pPr>
              <w:jc w:val="right"/>
              <w:spacing w:after="0"/>
              <w:rPr>
                <w:sz w:val="20"/>
                <w:szCs w:val="20"/>
                <w:color w:val="auto"/>
              </w:rPr>
            </w:pPr>
            <w:r>
              <w:rPr>
                <w:rFonts w:ascii="Arial" w:cs="Arial" w:eastAsia="Arial" w:hAnsi="Arial"/>
                <w:sz w:val="9"/>
                <w:szCs w:val="9"/>
                <w:b w:val="1"/>
                <w:bCs w:val="1"/>
                <w:color w:val="FFFFFF"/>
              </w:rPr>
              <w:t>DISABILITY</w:t>
            </w:r>
          </w:p>
        </w:tc>
        <w:tc>
          <w:tcPr>
            <w:tcW w:w="940" w:type="dxa"/>
            <w:vAlign w:val="bottom"/>
            <w:tcBorders>
              <w:bottom w:val="single" w:sz="8" w:color="A39B8C"/>
            </w:tcBorders>
            <w:shd w:val="clear" w:color="auto" w:fill="A39B8C"/>
          </w:tcPr>
          <w:p>
            <w:pPr>
              <w:spacing w:after="0"/>
              <w:rPr>
                <w:sz w:val="12"/>
                <w:szCs w:val="12"/>
                <w:color w:val="auto"/>
              </w:rPr>
            </w:pPr>
          </w:p>
        </w:tc>
        <w:tc>
          <w:tcPr>
            <w:tcW w:w="740" w:type="dxa"/>
            <w:vAlign w:val="bottom"/>
            <w:tcBorders>
              <w:bottom w:val="single" w:sz="8" w:color="A39B8C"/>
            </w:tcBorders>
            <w:shd w:val="clear" w:color="auto" w:fill="A39B8C"/>
          </w:tcPr>
          <w:p>
            <w:pPr>
              <w:jc w:val="right"/>
              <w:ind w:right="169"/>
              <w:spacing w:after="0"/>
              <w:rPr>
                <w:sz w:val="20"/>
                <w:szCs w:val="20"/>
                <w:color w:val="auto"/>
              </w:rPr>
            </w:pPr>
            <w:r>
              <w:rPr>
                <w:rFonts w:ascii="Arial" w:cs="Arial" w:eastAsia="Arial" w:hAnsi="Arial"/>
                <w:sz w:val="9"/>
                <w:szCs w:val="9"/>
                <w:b w:val="1"/>
                <w:bCs w:val="1"/>
                <w:color w:val="FFFFFF"/>
              </w:rPr>
              <w:t>BREACH</w:t>
            </w:r>
          </w:p>
        </w:tc>
        <w:tc>
          <w:tcPr>
            <w:tcW w:w="1420" w:type="dxa"/>
            <w:vAlign w:val="bottom"/>
            <w:tcBorders>
              <w:bottom w:val="single" w:sz="8" w:color="A39B8C"/>
            </w:tcBorders>
            <w:gridSpan w:val="2"/>
            <w:shd w:val="clear" w:color="auto" w:fill="A39B8C"/>
          </w:tcPr>
          <w:p>
            <w:pPr>
              <w:jc w:val="right"/>
              <w:ind w:right="147"/>
              <w:spacing w:after="0"/>
              <w:rPr>
                <w:sz w:val="20"/>
                <w:szCs w:val="20"/>
                <w:color w:val="auto"/>
              </w:rPr>
            </w:pPr>
            <w:r>
              <w:rPr>
                <w:rFonts w:ascii="Arial" w:cs="Arial" w:eastAsia="Arial" w:hAnsi="Arial"/>
                <w:sz w:val="9"/>
                <w:szCs w:val="9"/>
                <w:b w:val="1"/>
                <w:bCs w:val="1"/>
                <w:color w:val="FFFFFF"/>
              </w:rPr>
              <w:t>CHANGE IN CONTROL</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3"/>
        </w:trPr>
        <w:tc>
          <w:tcPr>
            <w:tcW w:w="5140" w:type="dxa"/>
            <w:vAlign w:val="bottom"/>
          </w:tcPr>
          <w:p>
            <w:pPr>
              <w:ind w:left="120"/>
              <w:spacing w:after="0"/>
              <w:rPr>
                <w:sz w:val="20"/>
                <w:szCs w:val="20"/>
                <w:color w:val="auto"/>
              </w:rPr>
            </w:pPr>
            <w:r>
              <w:rPr>
                <w:rFonts w:ascii="Arial" w:cs="Arial" w:eastAsia="Arial" w:hAnsi="Arial"/>
                <w:sz w:val="11"/>
                <w:szCs w:val="11"/>
                <w:color w:val="262626"/>
              </w:rPr>
              <w:t>Base Salary</w:t>
            </w:r>
          </w:p>
        </w:tc>
        <w:tc>
          <w:tcPr>
            <w:tcW w:w="1620" w:type="dxa"/>
            <w:vAlign w:val="bottom"/>
            <w:gridSpan w:val="2"/>
          </w:tcPr>
          <w:p>
            <w:pPr>
              <w:jc w:val="right"/>
              <w:spacing w:after="0"/>
              <w:rPr>
                <w:sz w:val="20"/>
                <w:szCs w:val="20"/>
                <w:color w:val="auto"/>
              </w:rPr>
            </w:pPr>
            <w:r>
              <w:rPr>
                <w:rFonts w:ascii="Arial" w:cs="Arial" w:eastAsia="Arial" w:hAnsi="Arial"/>
                <w:sz w:val="11"/>
                <w:szCs w:val="11"/>
                <w:color w:val="262626"/>
              </w:rPr>
              <w:t>Amounts earned and</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5140" w:type="dxa"/>
            <w:vAlign w:val="bottom"/>
          </w:tcPr>
          <w:p>
            <w:pPr>
              <w:spacing w:after="0"/>
              <w:rPr>
                <w:sz w:val="10"/>
                <w:szCs w:val="10"/>
                <w:color w:val="auto"/>
              </w:rPr>
            </w:pPr>
          </w:p>
        </w:tc>
        <w:tc>
          <w:tcPr>
            <w:tcW w:w="1620" w:type="dxa"/>
            <w:vAlign w:val="bottom"/>
            <w:gridSpan w:val="2"/>
          </w:tcPr>
          <w:p>
            <w:pPr>
              <w:jc w:val="right"/>
              <w:spacing w:after="0" w:line="120" w:lineRule="exact"/>
              <w:rPr>
                <w:sz w:val="20"/>
                <w:szCs w:val="20"/>
                <w:color w:val="auto"/>
              </w:rPr>
            </w:pPr>
            <w:r>
              <w:rPr>
                <w:rFonts w:ascii="Arial" w:cs="Arial" w:eastAsia="Arial" w:hAnsi="Arial"/>
                <w:sz w:val="11"/>
                <w:szCs w:val="11"/>
                <w:color w:val="262626"/>
              </w:rPr>
              <w:t>unpaid through the</w:t>
            </w: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5140" w:type="dxa"/>
            <w:vAlign w:val="bottom"/>
          </w:tcPr>
          <w:p>
            <w:pPr>
              <w:spacing w:after="0"/>
              <w:rPr>
                <w:sz w:val="10"/>
                <w:szCs w:val="10"/>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262626"/>
              </w:rPr>
              <w:t>date of termination</w:t>
            </w:r>
          </w:p>
        </w:tc>
        <w:tc>
          <w:tcPr>
            <w:tcW w:w="940" w:type="dxa"/>
            <w:vAlign w:val="bottom"/>
          </w:tcPr>
          <w:p>
            <w:pPr>
              <w:ind w:left="840"/>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169"/>
              <w:spacing w:after="0"/>
              <w:rPr>
                <w:sz w:val="20"/>
                <w:szCs w:val="20"/>
                <w:color w:val="auto"/>
              </w:rPr>
            </w:pPr>
            <w:r>
              <w:rPr>
                <w:rFonts w:ascii="Arial" w:cs="Arial" w:eastAsia="Arial" w:hAnsi="Arial"/>
                <w:sz w:val="11"/>
                <w:szCs w:val="11"/>
                <w:color w:val="262626"/>
              </w:rPr>
              <w:t>1,895,833</w:t>
            </w:r>
          </w:p>
        </w:tc>
        <w:tc>
          <w:tcPr>
            <w:tcW w:w="70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67"/>
              <w:spacing w:after="0"/>
              <w:rPr>
                <w:sz w:val="20"/>
                <w:szCs w:val="20"/>
                <w:color w:val="auto"/>
              </w:rPr>
            </w:pPr>
            <w:r>
              <w:rPr>
                <w:rFonts w:ascii="Arial" w:cs="Arial" w:eastAsia="Arial" w:hAnsi="Arial"/>
                <w:sz w:val="11"/>
                <w:szCs w:val="11"/>
                <w:color w:val="262626"/>
                <w:w w:val="97"/>
              </w:rPr>
              <w:t>1,895,833</w:t>
            </w:r>
          </w:p>
        </w:tc>
        <w:tc>
          <w:tcPr>
            <w:tcW w:w="20" w:type="dxa"/>
            <w:vAlign w:val="bottom"/>
          </w:tcPr>
          <w:p>
            <w:pPr>
              <w:spacing w:after="0"/>
              <w:rPr>
                <w:sz w:val="10"/>
                <w:szCs w:val="10"/>
                <w:color w:val="auto"/>
              </w:rPr>
            </w:pPr>
          </w:p>
        </w:tc>
      </w:tr>
      <w:tr>
        <w:trPr>
          <w:trHeight w:val="49"/>
        </w:trPr>
        <w:tc>
          <w:tcPr>
            <w:tcW w:w="5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14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Bonus</w:t>
            </w:r>
          </w:p>
        </w:tc>
        <w:tc>
          <w:tcPr>
            <w:tcW w:w="1120" w:type="dxa"/>
            <w:vAlign w:val="bottom"/>
            <w:tcBorders>
              <w:bottom w:val="single" w:sz="8" w:color="ECEBE8"/>
            </w:tcBorders>
            <w:shd w:val="clear" w:color="auto" w:fill="ECEBE8"/>
          </w:tcPr>
          <w:p>
            <w:pPr>
              <w:spacing w:after="0"/>
              <w:rPr>
                <w:sz w:val="15"/>
                <w:szCs w:val="15"/>
                <w:color w:val="auto"/>
              </w:rPr>
            </w:pP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940" w:type="dxa"/>
            <w:vAlign w:val="bottom"/>
            <w:tcBorders>
              <w:bottom w:val="single" w:sz="8" w:color="ECEBE8"/>
            </w:tcBorders>
            <w:shd w:val="clear" w:color="auto" w:fill="ECEBE8"/>
          </w:tcPr>
          <w:p>
            <w:pPr>
              <w:ind w:left="840"/>
              <w:spacing w:after="0"/>
              <w:rPr>
                <w:sz w:val="20"/>
                <w:szCs w:val="20"/>
                <w:color w:val="auto"/>
              </w:rPr>
            </w:pPr>
            <w:r>
              <w:rPr>
                <w:rFonts w:ascii="Arial" w:cs="Arial" w:eastAsia="Arial" w:hAnsi="Arial"/>
                <w:sz w:val="11"/>
                <w:szCs w:val="11"/>
                <w:color w:val="262626"/>
              </w:rPr>
              <w:t>$</w:t>
            </w:r>
          </w:p>
        </w:tc>
        <w:tc>
          <w:tcPr>
            <w:tcW w:w="740" w:type="dxa"/>
            <w:vAlign w:val="bottom"/>
            <w:tcBorders>
              <w:bottom w:val="single" w:sz="8" w:color="ECEBE8"/>
            </w:tcBorders>
            <w:shd w:val="clear" w:color="auto" w:fill="ECEBE8"/>
          </w:tcPr>
          <w:p>
            <w:pPr>
              <w:jc w:val="right"/>
              <w:ind w:right="169"/>
              <w:spacing w:after="0"/>
              <w:rPr>
                <w:sz w:val="20"/>
                <w:szCs w:val="20"/>
                <w:color w:val="auto"/>
              </w:rPr>
            </w:pPr>
            <w:r>
              <w:rPr>
                <w:rFonts w:ascii="Arial" w:cs="Arial" w:eastAsia="Arial" w:hAnsi="Arial"/>
                <w:sz w:val="11"/>
                <w:szCs w:val="11"/>
                <w:color w:val="262626"/>
              </w:rPr>
              <w:t>3,791,667</w:t>
            </w:r>
          </w:p>
        </w:tc>
        <w:tc>
          <w:tcPr>
            <w:tcW w:w="7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720" w:type="dxa"/>
            <w:vAlign w:val="bottom"/>
            <w:tcBorders>
              <w:bottom w:val="single" w:sz="8" w:color="ECEBE8"/>
            </w:tcBorders>
            <w:shd w:val="clear" w:color="auto" w:fill="ECEBE8"/>
          </w:tcPr>
          <w:p>
            <w:pPr>
              <w:jc w:val="right"/>
              <w:ind w:right="167"/>
              <w:spacing w:after="0"/>
              <w:rPr>
                <w:sz w:val="20"/>
                <w:szCs w:val="20"/>
                <w:color w:val="auto"/>
              </w:rPr>
            </w:pPr>
            <w:r>
              <w:rPr>
                <w:rFonts w:ascii="Arial" w:cs="Arial" w:eastAsia="Arial" w:hAnsi="Arial"/>
                <w:sz w:val="11"/>
                <w:szCs w:val="11"/>
                <w:color w:val="262626"/>
                <w:w w:val="97"/>
              </w:rPr>
              <w:t>3,791,667</w:t>
            </w:r>
          </w:p>
        </w:tc>
        <w:tc>
          <w:tcPr>
            <w:tcW w:w="20" w:type="dxa"/>
            <w:vAlign w:val="bottom"/>
          </w:tcPr>
          <w:p>
            <w:pPr>
              <w:spacing w:after="0"/>
              <w:rPr>
                <w:sz w:val="15"/>
                <w:szCs w:val="15"/>
                <w:color w:val="auto"/>
              </w:rPr>
            </w:pPr>
          </w:p>
        </w:tc>
      </w:tr>
      <w:tr>
        <w:trPr>
          <w:trHeight w:val="149"/>
        </w:trPr>
        <w:tc>
          <w:tcPr>
            <w:tcW w:w="5140" w:type="dxa"/>
            <w:vAlign w:val="bottom"/>
          </w:tcPr>
          <w:p>
            <w:pPr>
              <w:ind w:left="120"/>
              <w:spacing w:after="0"/>
              <w:rPr>
                <w:sz w:val="20"/>
                <w:szCs w:val="20"/>
                <w:color w:val="auto"/>
              </w:rPr>
            </w:pPr>
            <w:r>
              <w:rPr>
                <w:rFonts w:ascii="Arial" w:cs="Arial" w:eastAsia="Arial" w:hAnsi="Arial"/>
                <w:sz w:val="11"/>
                <w:szCs w:val="11"/>
                <w:color w:val="262626"/>
              </w:rPr>
              <w:t>Stock Options/Restricted Stock</w:t>
            </w:r>
            <w:r>
              <w:rPr>
                <w:rFonts w:ascii="Arial" w:cs="Arial" w:eastAsia="Arial" w:hAnsi="Arial"/>
                <w:sz w:val="9"/>
                <w:szCs w:val="9"/>
                <w:color w:val="262626"/>
              </w:rPr>
              <w:t>(1)(2)</w:t>
            </w:r>
          </w:p>
        </w:tc>
        <w:tc>
          <w:tcPr>
            <w:tcW w:w="1120" w:type="dxa"/>
            <w:vAlign w:val="bottom"/>
          </w:tcPr>
          <w:p>
            <w:pPr>
              <w:jc w:val="right"/>
              <w:spacing w:after="0"/>
              <w:rPr>
                <w:sz w:val="20"/>
                <w:szCs w:val="20"/>
                <w:color w:val="auto"/>
              </w:rPr>
            </w:pPr>
            <w:r>
              <w:rPr>
                <w:rFonts w:ascii="Arial" w:cs="Arial" w:eastAsia="Arial" w:hAnsi="Arial"/>
                <w:sz w:val="11"/>
                <w:szCs w:val="11"/>
                <w:color w:val="262626"/>
              </w:rPr>
              <w:t>$</w:t>
            </w:r>
          </w:p>
        </w:tc>
        <w:tc>
          <w:tcPr>
            <w:tcW w:w="500" w:type="dxa"/>
            <w:vAlign w:val="bottom"/>
          </w:tcPr>
          <w:p>
            <w:pPr>
              <w:jc w:val="right"/>
              <w:spacing w:after="0"/>
              <w:rPr>
                <w:sz w:val="20"/>
                <w:szCs w:val="20"/>
                <w:color w:val="auto"/>
              </w:rPr>
            </w:pPr>
            <w:r>
              <w:rPr>
                <w:rFonts w:ascii="Arial" w:cs="Arial" w:eastAsia="Arial" w:hAnsi="Arial"/>
                <w:sz w:val="11"/>
                <w:szCs w:val="11"/>
                <w:color w:val="262626"/>
                <w:w w:val="89"/>
              </w:rPr>
              <w:t>5,004,840</w:t>
            </w:r>
          </w:p>
        </w:tc>
        <w:tc>
          <w:tcPr>
            <w:tcW w:w="940" w:type="dxa"/>
            <w:vAlign w:val="bottom"/>
          </w:tcPr>
          <w:p>
            <w:pPr>
              <w:ind w:left="840"/>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169"/>
              <w:spacing w:after="0"/>
              <w:rPr>
                <w:sz w:val="20"/>
                <w:szCs w:val="20"/>
                <w:color w:val="auto"/>
              </w:rPr>
            </w:pPr>
            <w:r>
              <w:rPr>
                <w:rFonts w:ascii="Arial" w:cs="Arial" w:eastAsia="Arial" w:hAnsi="Arial"/>
                <w:sz w:val="11"/>
                <w:szCs w:val="11"/>
                <w:color w:val="262626"/>
              </w:rPr>
              <w:t>1,256,636</w:t>
            </w:r>
          </w:p>
        </w:tc>
        <w:tc>
          <w:tcPr>
            <w:tcW w:w="70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67"/>
              <w:spacing w:after="0"/>
              <w:rPr>
                <w:sz w:val="20"/>
                <w:szCs w:val="20"/>
                <w:color w:val="auto"/>
              </w:rPr>
            </w:pPr>
            <w:r>
              <w:rPr>
                <w:rFonts w:ascii="Arial" w:cs="Arial" w:eastAsia="Arial" w:hAnsi="Arial"/>
                <w:sz w:val="11"/>
                <w:szCs w:val="11"/>
                <w:color w:val="262626"/>
                <w:w w:val="97"/>
              </w:rPr>
              <w:t>5,004,840</w:t>
            </w:r>
          </w:p>
        </w:tc>
        <w:tc>
          <w:tcPr>
            <w:tcW w:w="20" w:type="dxa"/>
            <w:vAlign w:val="bottom"/>
          </w:tcPr>
          <w:p>
            <w:pPr>
              <w:spacing w:after="0"/>
              <w:rPr>
                <w:sz w:val="12"/>
                <w:szCs w:val="12"/>
                <w:color w:val="auto"/>
              </w:rPr>
            </w:pPr>
          </w:p>
        </w:tc>
      </w:tr>
      <w:tr>
        <w:trPr>
          <w:trHeight w:val="49"/>
        </w:trPr>
        <w:tc>
          <w:tcPr>
            <w:tcW w:w="5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514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Company Paid Life Insurance</w:t>
            </w:r>
          </w:p>
        </w:tc>
        <w:tc>
          <w:tcPr>
            <w:tcW w:w="11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5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875,000</w:t>
            </w:r>
          </w:p>
        </w:tc>
        <w:tc>
          <w:tcPr>
            <w:tcW w:w="940" w:type="dxa"/>
            <w:vAlign w:val="bottom"/>
            <w:tcBorders>
              <w:bottom w:val="single" w:sz="8" w:color="ECEBE8"/>
            </w:tcBorders>
            <w:shd w:val="clear" w:color="auto" w:fill="ECEBE8"/>
          </w:tcPr>
          <w:p>
            <w:pPr>
              <w:spacing w:after="0"/>
              <w:rPr>
                <w:sz w:val="15"/>
                <w:szCs w:val="15"/>
                <w:color w:val="auto"/>
              </w:rPr>
            </w:pPr>
          </w:p>
        </w:tc>
        <w:tc>
          <w:tcPr>
            <w:tcW w:w="740" w:type="dxa"/>
            <w:vAlign w:val="bottom"/>
            <w:tcBorders>
              <w:bottom w:val="single" w:sz="8" w:color="ECEBE8"/>
            </w:tcBorders>
            <w:shd w:val="clear" w:color="auto" w:fill="ECEBE8"/>
          </w:tcPr>
          <w:p>
            <w:pPr>
              <w:jc w:val="right"/>
              <w:ind w:right="169"/>
              <w:spacing w:after="0"/>
              <w:rPr>
                <w:sz w:val="20"/>
                <w:szCs w:val="20"/>
                <w:color w:val="auto"/>
              </w:rPr>
            </w:pPr>
            <w:r>
              <w:rPr>
                <w:rFonts w:ascii="Arial" w:cs="Arial" w:eastAsia="Arial" w:hAnsi="Arial"/>
                <w:sz w:val="11"/>
                <w:szCs w:val="11"/>
                <w:color w:val="262626"/>
              </w:rPr>
              <w:t>—</w:t>
            </w:r>
          </w:p>
        </w:tc>
        <w:tc>
          <w:tcPr>
            <w:tcW w:w="700" w:type="dxa"/>
            <w:vAlign w:val="bottom"/>
            <w:tcBorders>
              <w:bottom w:val="single" w:sz="8" w:color="ECEBE8"/>
            </w:tcBorders>
            <w:shd w:val="clear" w:color="auto" w:fill="ECEBE8"/>
          </w:tcPr>
          <w:p>
            <w:pPr>
              <w:spacing w:after="0"/>
              <w:rPr>
                <w:sz w:val="15"/>
                <w:szCs w:val="15"/>
                <w:color w:val="auto"/>
              </w:rPr>
            </w:pPr>
          </w:p>
        </w:tc>
        <w:tc>
          <w:tcPr>
            <w:tcW w:w="720" w:type="dxa"/>
            <w:vAlign w:val="bottom"/>
            <w:tcBorders>
              <w:bottom w:val="single" w:sz="8" w:color="ECEBE8"/>
            </w:tcBorders>
            <w:shd w:val="clear" w:color="auto" w:fill="ECEBE8"/>
          </w:tcPr>
          <w:p>
            <w:pPr>
              <w:jc w:val="right"/>
              <w:ind w:right="167"/>
              <w:spacing w:after="0"/>
              <w:rPr>
                <w:sz w:val="20"/>
                <w:szCs w:val="20"/>
                <w:color w:val="auto"/>
              </w:rPr>
            </w:pPr>
            <w:r>
              <w:rPr>
                <w:rFonts w:ascii="Arial" w:cs="Arial" w:eastAsia="Arial" w:hAnsi="Arial"/>
                <w:sz w:val="11"/>
                <w:szCs w:val="11"/>
                <w:color w:val="262626"/>
              </w:rPr>
              <w:t>—</w:t>
            </w:r>
          </w:p>
        </w:tc>
        <w:tc>
          <w:tcPr>
            <w:tcW w:w="20" w:type="dxa"/>
            <w:vAlign w:val="bottom"/>
          </w:tcPr>
          <w:p>
            <w:pPr>
              <w:spacing w:after="0"/>
              <w:rPr>
                <w:sz w:val="15"/>
                <w:szCs w:val="15"/>
                <w:color w:val="auto"/>
              </w:rPr>
            </w:pPr>
          </w:p>
        </w:tc>
      </w:tr>
      <w:tr>
        <w:trPr>
          <w:trHeight w:val="149"/>
        </w:trPr>
        <w:tc>
          <w:tcPr>
            <w:tcW w:w="5140" w:type="dxa"/>
            <w:vAlign w:val="bottom"/>
          </w:tcPr>
          <w:p>
            <w:pPr>
              <w:ind w:left="120"/>
              <w:spacing w:after="0"/>
              <w:rPr>
                <w:sz w:val="20"/>
                <w:szCs w:val="20"/>
                <w:color w:val="auto"/>
              </w:rPr>
            </w:pPr>
            <w:r>
              <w:rPr>
                <w:rFonts w:ascii="Arial" w:cs="Arial" w:eastAsia="Arial" w:hAnsi="Arial"/>
                <w:sz w:val="11"/>
                <w:szCs w:val="11"/>
                <w:color w:val="262626"/>
              </w:rPr>
              <w:t>Benefits</w:t>
            </w:r>
            <w:r>
              <w:rPr>
                <w:rFonts w:ascii="Arial" w:cs="Arial" w:eastAsia="Arial" w:hAnsi="Arial"/>
                <w:sz w:val="9"/>
                <w:szCs w:val="9"/>
                <w:color w:val="262626"/>
              </w:rPr>
              <w:t>(3)</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262626"/>
              </w:rPr>
              <w:t>—</w:t>
            </w:r>
          </w:p>
        </w:tc>
        <w:tc>
          <w:tcPr>
            <w:tcW w:w="940" w:type="dxa"/>
            <w:vAlign w:val="bottom"/>
          </w:tcPr>
          <w:p>
            <w:pPr>
              <w:ind w:left="840"/>
              <w:spacing w:after="0"/>
              <w:rPr>
                <w:sz w:val="20"/>
                <w:szCs w:val="20"/>
                <w:color w:val="auto"/>
              </w:rPr>
            </w:pPr>
            <w:r>
              <w:rPr>
                <w:rFonts w:ascii="Arial" w:cs="Arial" w:eastAsia="Arial" w:hAnsi="Arial"/>
                <w:sz w:val="11"/>
                <w:szCs w:val="11"/>
                <w:color w:val="262626"/>
              </w:rPr>
              <w:t>$</w:t>
            </w:r>
          </w:p>
        </w:tc>
        <w:tc>
          <w:tcPr>
            <w:tcW w:w="740" w:type="dxa"/>
            <w:vAlign w:val="bottom"/>
          </w:tcPr>
          <w:p>
            <w:pPr>
              <w:jc w:val="right"/>
              <w:ind w:right="169"/>
              <w:spacing w:after="0"/>
              <w:rPr>
                <w:sz w:val="20"/>
                <w:szCs w:val="20"/>
                <w:color w:val="auto"/>
              </w:rPr>
            </w:pPr>
            <w:r>
              <w:rPr>
                <w:rFonts w:ascii="Arial" w:cs="Arial" w:eastAsia="Arial" w:hAnsi="Arial"/>
                <w:sz w:val="11"/>
                <w:szCs w:val="11"/>
                <w:color w:val="262626"/>
              </w:rPr>
              <w:t>34,872</w:t>
            </w:r>
          </w:p>
        </w:tc>
        <w:tc>
          <w:tcPr>
            <w:tcW w:w="700" w:type="dxa"/>
            <w:vAlign w:val="bottom"/>
          </w:tcPr>
          <w:p>
            <w:pPr>
              <w:jc w:val="right"/>
              <w:spacing w:after="0"/>
              <w:rPr>
                <w:sz w:val="20"/>
                <w:szCs w:val="20"/>
                <w:color w:val="auto"/>
              </w:rPr>
            </w:pPr>
            <w:r>
              <w:rPr>
                <w:rFonts w:ascii="Arial" w:cs="Arial" w:eastAsia="Arial" w:hAnsi="Arial"/>
                <w:sz w:val="11"/>
                <w:szCs w:val="11"/>
                <w:color w:val="262626"/>
              </w:rPr>
              <w:t>$</w:t>
            </w:r>
          </w:p>
        </w:tc>
        <w:tc>
          <w:tcPr>
            <w:tcW w:w="720" w:type="dxa"/>
            <w:vAlign w:val="bottom"/>
          </w:tcPr>
          <w:p>
            <w:pPr>
              <w:jc w:val="right"/>
              <w:ind w:right="167"/>
              <w:spacing w:after="0"/>
              <w:rPr>
                <w:sz w:val="20"/>
                <w:szCs w:val="20"/>
                <w:color w:val="auto"/>
              </w:rPr>
            </w:pPr>
            <w:r>
              <w:rPr>
                <w:rFonts w:ascii="Arial" w:cs="Arial" w:eastAsia="Arial" w:hAnsi="Arial"/>
                <w:sz w:val="11"/>
                <w:szCs w:val="11"/>
                <w:color w:val="262626"/>
              </w:rPr>
              <w:t>34,872</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-767080</wp:posOffset>
            </wp:positionV>
            <wp:extent cx="825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66" w:lineRule="exact"/>
        <w:rPr>
          <w:sz w:val="20"/>
          <w:szCs w:val="20"/>
          <w:color w:val="auto"/>
        </w:rPr>
      </w:pPr>
    </w:p>
    <w:p>
      <w:pPr>
        <w:ind w:left="780" w:right="360" w:firstLine="1"/>
        <w:spacing w:after="0" w:line="232" w:lineRule="auto"/>
        <w:tabs>
          <w:tab w:leader="none" w:pos="915" w:val="left"/>
        </w:tabs>
        <w:numPr>
          <w:ilvl w:val="0"/>
          <w:numId w:val="75"/>
        </w:numPr>
        <w:rPr>
          <w:rFonts w:ascii="Arial" w:cs="Arial" w:eastAsia="Arial" w:hAnsi="Arial"/>
          <w:sz w:val="9"/>
          <w:szCs w:val="9"/>
          <w:color w:val="262626"/>
        </w:rPr>
      </w:pPr>
      <w:r>
        <w:rPr>
          <w:rFonts w:ascii="Arial" w:cs="Arial" w:eastAsia="Arial" w:hAnsi="Arial"/>
          <w:sz w:val="11"/>
          <w:szCs w:val="11"/>
          <w:color w:val="262626"/>
        </w:rPr>
        <w:t>Upon death, complete disability or change in control, 49,000 shares of restricted stock would vest in full immediately. Using the closing price on December 31, 2018, the value of such 49,000 shares would have been $4,846,590, plus accrued dividends of $158,250.</w:t>
      </w:r>
    </w:p>
    <w:p>
      <w:pPr>
        <w:spacing w:after="0" w:line="33" w:lineRule="exact"/>
        <w:rPr>
          <w:rFonts w:ascii="Arial" w:cs="Arial" w:eastAsia="Arial" w:hAnsi="Arial"/>
          <w:sz w:val="9"/>
          <w:szCs w:val="9"/>
          <w:color w:val="262626"/>
        </w:rPr>
      </w:pPr>
    </w:p>
    <w:p>
      <w:pPr>
        <w:ind w:left="780" w:right="460" w:firstLine="1"/>
        <w:spacing w:after="0" w:line="232" w:lineRule="auto"/>
        <w:tabs>
          <w:tab w:leader="none" w:pos="915" w:val="left"/>
        </w:tabs>
        <w:numPr>
          <w:ilvl w:val="0"/>
          <w:numId w:val="75"/>
        </w:numPr>
        <w:rPr>
          <w:rFonts w:ascii="Arial" w:cs="Arial" w:eastAsia="Arial" w:hAnsi="Arial"/>
          <w:sz w:val="9"/>
          <w:szCs w:val="9"/>
          <w:color w:val="262626"/>
        </w:rPr>
      </w:pPr>
      <w:r>
        <w:rPr>
          <w:rFonts w:ascii="Arial" w:cs="Arial" w:eastAsia="Arial" w:hAnsi="Arial"/>
          <w:sz w:val="11"/>
          <w:szCs w:val="11"/>
          <w:color w:val="262626"/>
        </w:rPr>
        <w:t>Upon termination without cause or upon the Company’s material breach, 12,248 shares of restricted stock would vest on a prorated basis based on the number of months since the grant date. Using the closing price on December 31, 2018, the value of such 12,248 shares would have been $1,211,450, plus accrued dividends of $45,159.</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5"/>
        </w:numPr>
        <w:rPr>
          <w:rFonts w:ascii="Arial" w:cs="Arial" w:eastAsia="Arial" w:hAnsi="Arial"/>
          <w:sz w:val="9"/>
          <w:szCs w:val="9"/>
          <w:color w:val="262626"/>
        </w:rPr>
      </w:pPr>
      <w:r>
        <w:rPr>
          <w:rFonts w:ascii="Arial" w:cs="Arial" w:eastAsia="Arial" w:hAnsi="Arial"/>
          <w:sz w:val="11"/>
          <w:szCs w:val="11"/>
          <w:color w:val="262626"/>
        </w:rPr>
        <w:t>Continued health benefits for remainder of the term or until covered by another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43</w:t>
      </w:r>
    </w:p>
    <w:p>
      <w:pPr>
        <w:sectPr>
          <w:pgSz w:w="11900" w:h="16838" w:orient="portrait"/>
          <w:cols w:equalWidth="0" w:num="1">
            <w:col w:w="10800"/>
          </w:cols>
          <w:pgMar w:left="240" w:top="453" w:right="8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Executive compensation tables</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21"/>
          <w:szCs w:val="21"/>
          <w:color w:val="050505"/>
        </w:rPr>
        <w:t>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86995</wp:posOffset>
            </wp:positionV>
            <wp:extent cx="62566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263"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4900" w:type="dxa"/>
            <w:vAlign w:val="bottom"/>
            <w:shd w:val="clear" w:color="auto" w:fill="A39B8C"/>
          </w:tcPr>
          <w:p>
            <w:pPr>
              <w:spacing w:after="0"/>
              <w:rPr>
                <w:sz w:val="9"/>
                <w:szCs w:val="9"/>
                <w:color w:val="auto"/>
              </w:rPr>
            </w:pPr>
          </w:p>
        </w:tc>
        <w:tc>
          <w:tcPr>
            <w:tcW w:w="1460" w:type="dxa"/>
            <w:vAlign w:val="bottom"/>
            <w:shd w:val="clear" w:color="auto" w:fill="A39B8C"/>
          </w:tcPr>
          <w:p>
            <w:pPr>
              <w:spacing w:after="0"/>
              <w:rPr>
                <w:sz w:val="9"/>
                <w:szCs w:val="9"/>
                <w:color w:val="auto"/>
              </w:rPr>
            </w:pPr>
          </w:p>
        </w:tc>
        <w:tc>
          <w:tcPr>
            <w:tcW w:w="1840" w:type="dxa"/>
            <w:vAlign w:val="bottom"/>
            <w:gridSpan w:val="2"/>
            <w:shd w:val="clear" w:color="auto" w:fill="A39B8C"/>
          </w:tcPr>
          <w:p>
            <w:pPr>
              <w:jc w:val="right"/>
              <w:ind w:right="509"/>
              <w:spacing w:after="0"/>
              <w:rPr>
                <w:sz w:val="20"/>
                <w:szCs w:val="20"/>
                <w:color w:val="auto"/>
              </w:rPr>
            </w:pPr>
            <w:r>
              <w:rPr>
                <w:rFonts w:ascii="Arial" w:cs="Arial" w:eastAsia="Arial" w:hAnsi="Arial"/>
                <w:sz w:val="9"/>
                <w:szCs w:val="9"/>
                <w:b w:val="1"/>
                <w:bCs w:val="1"/>
                <w:color w:val="FFFFFF"/>
              </w:rPr>
              <w:t>TERMINATION</w:t>
            </w:r>
          </w:p>
        </w:tc>
        <w:tc>
          <w:tcPr>
            <w:tcW w:w="620" w:type="dxa"/>
            <w:vAlign w:val="bottom"/>
            <w:shd w:val="clear" w:color="auto" w:fill="A39B8C"/>
          </w:tcPr>
          <w:p>
            <w:pPr>
              <w:spacing w:after="0"/>
              <w:rPr>
                <w:sz w:val="9"/>
                <w:szCs w:val="9"/>
                <w:color w:val="auto"/>
              </w:rPr>
            </w:pPr>
          </w:p>
        </w:tc>
        <w:tc>
          <w:tcPr>
            <w:tcW w:w="1040" w:type="dxa"/>
            <w:vAlign w:val="bottom"/>
            <w:shd w:val="clear" w:color="auto" w:fill="A39B8C"/>
          </w:tcPr>
          <w:p>
            <w:pPr>
              <w:jc w:val="right"/>
              <w:spacing w:after="0"/>
              <w:rPr>
                <w:sz w:val="20"/>
                <w:szCs w:val="20"/>
                <w:color w:val="auto"/>
              </w:rPr>
            </w:pPr>
            <w:r>
              <w:rPr>
                <w:rFonts w:ascii="Arial" w:cs="Arial" w:eastAsia="Arial" w:hAnsi="Arial"/>
                <w:sz w:val="9"/>
                <w:szCs w:val="9"/>
                <w:b w:val="1"/>
                <w:bCs w:val="1"/>
                <w:color w:val="FFFFFF"/>
              </w:rPr>
              <w:t>TERMINATION BY</w:t>
            </w:r>
          </w:p>
        </w:tc>
        <w:tc>
          <w:tcPr>
            <w:tcW w:w="20" w:type="dxa"/>
            <w:vAlign w:val="bottom"/>
            <w:shd w:val="clear" w:color="auto" w:fill="A39B8C"/>
          </w:tcPr>
          <w:p>
            <w:pPr>
              <w:spacing w:after="0"/>
              <w:rPr>
                <w:sz w:val="9"/>
                <w:szCs w:val="9"/>
                <w:color w:val="auto"/>
              </w:rPr>
            </w:pPr>
          </w:p>
        </w:tc>
      </w:tr>
      <w:tr>
        <w:trPr>
          <w:trHeight w:val="93"/>
        </w:trPr>
        <w:tc>
          <w:tcPr>
            <w:tcW w:w="4900" w:type="dxa"/>
            <w:vAlign w:val="bottom"/>
            <w:shd w:val="clear" w:color="auto" w:fill="A39B8C"/>
          </w:tcPr>
          <w:p>
            <w:pPr>
              <w:spacing w:after="0"/>
              <w:rPr>
                <w:sz w:val="8"/>
                <w:szCs w:val="8"/>
                <w:color w:val="auto"/>
              </w:rPr>
            </w:pPr>
          </w:p>
        </w:tc>
        <w:tc>
          <w:tcPr>
            <w:tcW w:w="146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TERMINATION UPON</w:t>
            </w:r>
          </w:p>
        </w:tc>
        <w:tc>
          <w:tcPr>
            <w:tcW w:w="1840" w:type="dxa"/>
            <w:vAlign w:val="bottom"/>
            <w:gridSpan w:val="2"/>
            <w:shd w:val="clear" w:color="auto" w:fill="A39B8C"/>
          </w:tcPr>
          <w:p>
            <w:pPr>
              <w:jc w:val="right"/>
              <w:ind w:right="509"/>
              <w:spacing w:after="0" w:line="93" w:lineRule="exact"/>
              <w:rPr>
                <w:sz w:val="20"/>
                <w:szCs w:val="20"/>
                <w:color w:val="auto"/>
              </w:rPr>
            </w:pPr>
            <w:r>
              <w:rPr>
                <w:rFonts w:ascii="Arial" w:cs="Arial" w:eastAsia="Arial" w:hAnsi="Arial"/>
                <w:sz w:val="9"/>
                <w:szCs w:val="9"/>
                <w:b w:val="1"/>
                <w:bCs w:val="1"/>
                <w:color w:val="FFFFFF"/>
              </w:rPr>
              <w:t>WITHOUT CAUSE OR</w:t>
            </w:r>
          </w:p>
        </w:tc>
        <w:tc>
          <w:tcPr>
            <w:tcW w:w="620" w:type="dxa"/>
            <w:vAlign w:val="bottom"/>
            <w:shd w:val="clear" w:color="auto" w:fill="A39B8C"/>
          </w:tcPr>
          <w:p>
            <w:pPr>
              <w:spacing w:after="0"/>
              <w:rPr>
                <w:sz w:val="8"/>
                <w:szCs w:val="8"/>
                <w:color w:val="auto"/>
              </w:rPr>
            </w:pPr>
          </w:p>
        </w:tc>
        <w:tc>
          <w:tcPr>
            <w:tcW w:w="10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w w:val="96"/>
              </w:rPr>
              <w:t>EMPLOYEE FOR GOOD</w:t>
            </w:r>
          </w:p>
        </w:tc>
        <w:tc>
          <w:tcPr>
            <w:tcW w:w="20" w:type="dxa"/>
            <w:vAlign w:val="bottom"/>
            <w:shd w:val="clear" w:color="auto" w:fill="A39B8C"/>
          </w:tcPr>
          <w:p>
            <w:pPr>
              <w:spacing w:after="0"/>
              <w:rPr>
                <w:sz w:val="8"/>
                <w:szCs w:val="8"/>
                <w:color w:val="auto"/>
              </w:rPr>
            </w:pPr>
          </w:p>
        </w:tc>
      </w:tr>
      <w:tr>
        <w:trPr>
          <w:trHeight w:val="93"/>
        </w:trPr>
        <w:tc>
          <w:tcPr>
            <w:tcW w:w="4900" w:type="dxa"/>
            <w:vAlign w:val="bottom"/>
            <w:shd w:val="clear" w:color="auto" w:fill="A39B8C"/>
          </w:tcPr>
          <w:p>
            <w:pPr>
              <w:spacing w:after="0"/>
              <w:rPr>
                <w:sz w:val="8"/>
                <w:szCs w:val="8"/>
                <w:color w:val="auto"/>
              </w:rPr>
            </w:pPr>
          </w:p>
        </w:tc>
        <w:tc>
          <w:tcPr>
            <w:tcW w:w="146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DEATH OR COMPLETE</w:t>
            </w:r>
          </w:p>
        </w:tc>
        <w:tc>
          <w:tcPr>
            <w:tcW w:w="1840" w:type="dxa"/>
            <w:vAlign w:val="bottom"/>
            <w:gridSpan w:val="2"/>
            <w:shd w:val="clear" w:color="auto" w:fill="A39B8C"/>
          </w:tcPr>
          <w:p>
            <w:pPr>
              <w:jc w:val="right"/>
              <w:ind w:right="509"/>
              <w:spacing w:after="0" w:line="93" w:lineRule="exact"/>
              <w:rPr>
                <w:sz w:val="20"/>
                <w:szCs w:val="20"/>
                <w:color w:val="auto"/>
              </w:rPr>
            </w:pPr>
            <w:r>
              <w:rPr>
                <w:rFonts w:ascii="Arial" w:cs="Arial" w:eastAsia="Arial" w:hAnsi="Arial"/>
                <w:sz w:val="9"/>
                <w:szCs w:val="9"/>
                <w:b w:val="1"/>
                <w:bCs w:val="1"/>
                <w:color w:val="FFFFFF"/>
              </w:rPr>
              <w:t>UPON MATERIAL</w:t>
            </w:r>
          </w:p>
        </w:tc>
        <w:tc>
          <w:tcPr>
            <w:tcW w:w="620" w:type="dxa"/>
            <w:vAlign w:val="bottom"/>
            <w:shd w:val="clear" w:color="auto" w:fill="A39B8C"/>
          </w:tcPr>
          <w:p>
            <w:pPr>
              <w:spacing w:after="0"/>
              <w:rPr>
                <w:sz w:val="8"/>
                <w:szCs w:val="8"/>
                <w:color w:val="auto"/>
              </w:rPr>
            </w:pPr>
          </w:p>
        </w:tc>
        <w:tc>
          <w:tcPr>
            <w:tcW w:w="1040" w:type="dxa"/>
            <w:vAlign w:val="bottom"/>
            <w:shd w:val="clear" w:color="auto" w:fill="A39B8C"/>
          </w:tcPr>
          <w:p>
            <w:pPr>
              <w:jc w:val="right"/>
              <w:spacing w:after="0" w:line="93" w:lineRule="exact"/>
              <w:rPr>
                <w:sz w:val="20"/>
                <w:szCs w:val="20"/>
                <w:color w:val="auto"/>
              </w:rPr>
            </w:pPr>
            <w:r>
              <w:rPr>
                <w:rFonts w:ascii="Arial" w:cs="Arial" w:eastAsia="Arial" w:hAnsi="Arial"/>
                <w:sz w:val="9"/>
                <w:szCs w:val="9"/>
                <w:b w:val="1"/>
                <w:bCs w:val="1"/>
                <w:color w:val="FFFFFF"/>
              </w:rPr>
              <w:t>REASON AFTER</w:t>
            </w:r>
          </w:p>
        </w:tc>
        <w:tc>
          <w:tcPr>
            <w:tcW w:w="20" w:type="dxa"/>
            <w:vAlign w:val="bottom"/>
            <w:shd w:val="clear" w:color="auto" w:fill="A39B8C"/>
          </w:tcPr>
          <w:p>
            <w:pPr>
              <w:spacing w:after="0"/>
              <w:rPr>
                <w:sz w:val="8"/>
                <w:szCs w:val="8"/>
                <w:color w:val="auto"/>
              </w:rPr>
            </w:pPr>
          </w:p>
        </w:tc>
      </w:tr>
      <w:tr>
        <w:trPr>
          <w:trHeight w:val="149"/>
        </w:trPr>
        <w:tc>
          <w:tcPr>
            <w:tcW w:w="4900" w:type="dxa"/>
            <w:vAlign w:val="bottom"/>
            <w:tcBorders>
              <w:bottom w:val="single" w:sz="8" w:color="A39B8C"/>
            </w:tcBorders>
            <w:shd w:val="clear" w:color="auto" w:fill="A39B8C"/>
          </w:tcPr>
          <w:p>
            <w:pPr>
              <w:spacing w:after="0"/>
              <w:rPr>
                <w:sz w:val="12"/>
                <w:szCs w:val="12"/>
                <w:color w:val="auto"/>
              </w:rPr>
            </w:pPr>
          </w:p>
        </w:tc>
        <w:tc>
          <w:tcPr>
            <w:tcW w:w="146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DISABILITY</w:t>
            </w:r>
          </w:p>
        </w:tc>
        <w:tc>
          <w:tcPr>
            <w:tcW w:w="800" w:type="dxa"/>
            <w:vAlign w:val="bottom"/>
            <w:tcBorders>
              <w:bottom w:val="single" w:sz="8" w:color="A39B8C"/>
            </w:tcBorders>
            <w:shd w:val="clear" w:color="auto" w:fill="A39B8C"/>
          </w:tcPr>
          <w:p>
            <w:pPr>
              <w:spacing w:after="0"/>
              <w:rPr>
                <w:sz w:val="12"/>
                <w:szCs w:val="12"/>
                <w:color w:val="auto"/>
              </w:rPr>
            </w:pPr>
          </w:p>
        </w:tc>
        <w:tc>
          <w:tcPr>
            <w:tcW w:w="1040" w:type="dxa"/>
            <w:vAlign w:val="bottom"/>
            <w:tcBorders>
              <w:bottom w:val="single" w:sz="8" w:color="A39B8C"/>
            </w:tcBorders>
            <w:shd w:val="clear" w:color="auto" w:fill="A39B8C"/>
          </w:tcPr>
          <w:p>
            <w:pPr>
              <w:jc w:val="right"/>
              <w:ind w:right="509"/>
              <w:spacing w:after="0"/>
              <w:rPr>
                <w:sz w:val="20"/>
                <w:szCs w:val="20"/>
                <w:color w:val="auto"/>
              </w:rPr>
            </w:pPr>
            <w:r>
              <w:rPr>
                <w:rFonts w:ascii="Arial" w:cs="Arial" w:eastAsia="Arial" w:hAnsi="Arial"/>
                <w:sz w:val="9"/>
                <w:szCs w:val="9"/>
                <w:b w:val="1"/>
                <w:bCs w:val="1"/>
                <w:color w:val="FFFFFF"/>
              </w:rPr>
              <w:t>BREACH</w:t>
            </w:r>
          </w:p>
        </w:tc>
        <w:tc>
          <w:tcPr>
            <w:tcW w:w="620" w:type="dxa"/>
            <w:vAlign w:val="bottom"/>
            <w:tcBorders>
              <w:bottom w:val="single" w:sz="8" w:color="A39B8C"/>
            </w:tcBorders>
            <w:shd w:val="clear" w:color="auto" w:fill="A39B8C"/>
          </w:tcPr>
          <w:p>
            <w:pPr>
              <w:spacing w:after="0"/>
              <w:rPr>
                <w:sz w:val="12"/>
                <w:szCs w:val="12"/>
                <w:color w:val="auto"/>
              </w:rPr>
            </w:pPr>
          </w:p>
        </w:tc>
        <w:tc>
          <w:tcPr>
            <w:tcW w:w="104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CHANGE IN CONTROL</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1"/>
                <w:szCs w:val="11"/>
                <w:color w:val="262626"/>
              </w:rPr>
              <w:t>Base Salary</w:t>
            </w:r>
          </w:p>
        </w:tc>
        <w:tc>
          <w:tcPr>
            <w:tcW w:w="1460" w:type="dxa"/>
            <w:vAlign w:val="bottom"/>
          </w:tcPr>
          <w:p>
            <w:pPr>
              <w:jc w:val="right"/>
              <w:spacing w:after="0"/>
              <w:rPr>
                <w:sz w:val="20"/>
                <w:szCs w:val="20"/>
                <w:color w:val="auto"/>
              </w:rPr>
            </w:pPr>
            <w:r>
              <w:rPr>
                <w:rFonts w:ascii="Arial" w:cs="Arial" w:eastAsia="Arial" w:hAnsi="Arial"/>
                <w:sz w:val="11"/>
                <w:szCs w:val="11"/>
                <w:color w:val="262626"/>
              </w:rPr>
              <w:t>Amounts earned and</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4900" w:type="dxa"/>
            <w:vAlign w:val="bottom"/>
          </w:tcPr>
          <w:p>
            <w:pPr>
              <w:spacing w:after="0"/>
              <w:rPr>
                <w:sz w:val="10"/>
                <w:szCs w:val="10"/>
                <w:color w:val="auto"/>
              </w:rPr>
            </w:pPr>
          </w:p>
        </w:tc>
        <w:tc>
          <w:tcPr>
            <w:tcW w:w="1460" w:type="dxa"/>
            <w:vAlign w:val="bottom"/>
          </w:tcPr>
          <w:p>
            <w:pPr>
              <w:jc w:val="right"/>
              <w:spacing w:after="0" w:line="120" w:lineRule="exact"/>
              <w:rPr>
                <w:sz w:val="20"/>
                <w:szCs w:val="20"/>
                <w:color w:val="auto"/>
              </w:rPr>
            </w:pPr>
            <w:r>
              <w:rPr>
                <w:rFonts w:ascii="Arial" w:cs="Arial" w:eastAsia="Arial" w:hAnsi="Arial"/>
                <w:sz w:val="11"/>
                <w:szCs w:val="11"/>
                <w:color w:val="262626"/>
              </w:rPr>
              <w:t>unpaid through the</w:t>
            </w: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4900" w:type="dxa"/>
            <w:vAlign w:val="bottom"/>
          </w:tcPr>
          <w:p>
            <w:pPr>
              <w:spacing w:after="0"/>
              <w:rPr>
                <w:sz w:val="10"/>
                <w:szCs w:val="10"/>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262626"/>
              </w:rPr>
              <w:t>date of termination</w:t>
            </w:r>
          </w:p>
        </w:tc>
        <w:tc>
          <w:tcPr>
            <w:tcW w:w="80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509"/>
              <w:spacing w:after="0"/>
              <w:rPr>
                <w:sz w:val="20"/>
                <w:szCs w:val="20"/>
                <w:color w:val="auto"/>
              </w:rPr>
            </w:pPr>
            <w:r>
              <w:rPr>
                <w:rFonts w:ascii="Arial" w:cs="Arial" w:eastAsia="Arial" w:hAnsi="Arial"/>
                <w:sz w:val="11"/>
                <w:szCs w:val="11"/>
                <w:color w:val="262626"/>
                <w:w w:val="93"/>
              </w:rPr>
              <w:t>2,125,000</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491"/>
              <w:spacing w:after="0"/>
              <w:rPr>
                <w:sz w:val="20"/>
                <w:szCs w:val="20"/>
                <w:color w:val="auto"/>
              </w:rPr>
            </w:pPr>
            <w:r>
              <w:rPr>
                <w:rFonts w:ascii="Arial" w:cs="Arial" w:eastAsia="Arial" w:hAnsi="Arial"/>
                <w:sz w:val="11"/>
                <w:szCs w:val="11"/>
                <w:color w:val="262626"/>
                <w:w w:val="97"/>
              </w:rPr>
              <w:t>2,125,000</w:t>
            </w:r>
          </w:p>
        </w:tc>
        <w:tc>
          <w:tcPr>
            <w:tcW w:w="20" w:type="dxa"/>
            <w:vAlign w:val="bottom"/>
          </w:tcPr>
          <w:p>
            <w:pPr>
              <w:spacing w:after="0"/>
              <w:rPr>
                <w:sz w:val="10"/>
                <w:szCs w:val="10"/>
                <w:color w:val="auto"/>
              </w:rPr>
            </w:pPr>
          </w:p>
        </w:tc>
      </w:tr>
      <w:tr>
        <w:trPr>
          <w:trHeight w:val="49"/>
        </w:trPr>
        <w:tc>
          <w:tcPr>
            <w:tcW w:w="4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490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Bonus</w:t>
            </w:r>
          </w:p>
        </w:tc>
        <w:tc>
          <w:tcPr>
            <w:tcW w:w="1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Borders>
              <w:bottom w:val="single" w:sz="8" w:color="ECEBE8"/>
            </w:tcBorders>
            <w:shd w:val="clear" w:color="auto" w:fill="ECEBE8"/>
          </w:tcPr>
          <w:p>
            <w:pPr>
              <w:jc w:val="right"/>
              <w:ind w:right="509"/>
              <w:spacing w:after="0"/>
              <w:rPr>
                <w:sz w:val="20"/>
                <w:szCs w:val="20"/>
                <w:color w:val="auto"/>
              </w:rPr>
            </w:pPr>
            <w:r>
              <w:rPr>
                <w:rFonts w:ascii="Arial" w:cs="Arial" w:eastAsia="Arial" w:hAnsi="Arial"/>
                <w:sz w:val="11"/>
                <w:szCs w:val="11"/>
                <w:color w:val="262626"/>
                <w:w w:val="93"/>
              </w:rPr>
              <w:t>2,125,000</w:t>
            </w:r>
          </w:p>
        </w:tc>
        <w:tc>
          <w:tcPr>
            <w:tcW w:w="62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Borders>
              <w:bottom w:val="single" w:sz="8" w:color="ECEBE8"/>
            </w:tcBorders>
            <w:shd w:val="clear" w:color="auto" w:fill="ECEBE8"/>
          </w:tcPr>
          <w:p>
            <w:pPr>
              <w:jc w:val="right"/>
              <w:ind w:right="491"/>
              <w:spacing w:after="0"/>
              <w:rPr>
                <w:sz w:val="20"/>
                <w:szCs w:val="20"/>
                <w:color w:val="auto"/>
              </w:rPr>
            </w:pPr>
            <w:r>
              <w:rPr>
                <w:rFonts w:ascii="Arial" w:cs="Arial" w:eastAsia="Arial" w:hAnsi="Arial"/>
                <w:sz w:val="11"/>
                <w:szCs w:val="11"/>
                <w:color w:val="262626"/>
                <w:w w:val="97"/>
              </w:rPr>
              <w:t>2,125,000</w:t>
            </w:r>
          </w:p>
        </w:tc>
        <w:tc>
          <w:tcPr>
            <w:tcW w:w="20" w:type="dxa"/>
            <w:vAlign w:val="bottom"/>
          </w:tcPr>
          <w:p>
            <w:pPr>
              <w:spacing w:after="0"/>
              <w:rPr>
                <w:sz w:val="15"/>
                <w:szCs w:val="15"/>
                <w:color w:val="auto"/>
              </w:rPr>
            </w:pPr>
          </w:p>
        </w:tc>
      </w:tr>
      <w:tr>
        <w:trPr>
          <w:trHeight w:val="149"/>
        </w:trPr>
        <w:tc>
          <w:tcPr>
            <w:tcW w:w="4900" w:type="dxa"/>
            <w:vAlign w:val="bottom"/>
          </w:tcPr>
          <w:p>
            <w:pPr>
              <w:ind w:left="120"/>
              <w:spacing w:after="0"/>
              <w:rPr>
                <w:sz w:val="20"/>
                <w:szCs w:val="20"/>
                <w:color w:val="auto"/>
              </w:rPr>
            </w:pPr>
            <w:r>
              <w:rPr>
                <w:rFonts w:ascii="Arial" w:cs="Arial" w:eastAsia="Arial" w:hAnsi="Arial"/>
                <w:sz w:val="11"/>
                <w:szCs w:val="11"/>
                <w:color w:val="262626"/>
              </w:rPr>
              <w:t>Stock Options/Restricted Stock</w:t>
            </w:r>
            <w:r>
              <w:rPr>
                <w:rFonts w:ascii="Arial" w:cs="Arial" w:eastAsia="Arial" w:hAnsi="Arial"/>
                <w:sz w:val="9"/>
                <w:szCs w:val="9"/>
                <w:color w:val="262626"/>
              </w:rPr>
              <w:t>(1)(2)</w:t>
            </w:r>
          </w:p>
        </w:tc>
        <w:tc>
          <w:tcPr>
            <w:tcW w:w="1460" w:type="dxa"/>
            <w:vAlign w:val="bottom"/>
          </w:tcPr>
          <w:p>
            <w:pPr>
              <w:jc w:val="right"/>
              <w:spacing w:after="0"/>
              <w:rPr>
                <w:sz w:val="20"/>
                <w:szCs w:val="20"/>
                <w:color w:val="auto"/>
              </w:rPr>
            </w:pPr>
            <w:r>
              <w:rPr>
                <w:rFonts w:ascii="Arial" w:cs="Arial" w:eastAsia="Arial" w:hAnsi="Arial"/>
                <w:sz w:val="11"/>
                <w:szCs w:val="11"/>
                <w:color w:val="262626"/>
              </w:rPr>
              <w:t>$753,075</w:t>
            </w:r>
          </w:p>
        </w:tc>
        <w:tc>
          <w:tcPr>
            <w:tcW w:w="80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509"/>
              <w:spacing w:after="0"/>
              <w:rPr>
                <w:sz w:val="20"/>
                <w:szCs w:val="20"/>
                <w:color w:val="auto"/>
              </w:rPr>
            </w:pPr>
            <w:r>
              <w:rPr>
                <w:rFonts w:ascii="Arial" w:cs="Arial" w:eastAsia="Arial" w:hAnsi="Arial"/>
                <w:sz w:val="11"/>
                <w:szCs w:val="11"/>
                <w:color w:val="262626"/>
              </w:rPr>
              <w:t>65,485</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491"/>
              <w:spacing w:after="0"/>
              <w:rPr>
                <w:sz w:val="20"/>
                <w:szCs w:val="20"/>
                <w:color w:val="auto"/>
              </w:rPr>
            </w:pPr>
            <w:r>
              <w:rPr>
                <w:rFonts w:ascii="Arial" w:cs="Arial" w:eastAsia="Arial" w:hAnsi="Arial"/>
                <w:sz w:val="11"/>
                <w:szCs w:val="11"/>
                <w:color w:val="262626"/>
              </w:rPr>
              <w:t>753,075</w:t>
            </w:r>
          </w:p>
        </w:tc>
        <w:tc>
          <w:tcPr>
            <w:tcW w:w="20" w:type="dxa"/>
            <w:vAlign w:val="bottom"/>
          </w:tcPr>
          <w:p>
            <w:pPr>
              <w:spacing w:after="0"/>
              <w:rPr>
                <w:sz w:val="12"/>
                <w:szCs w:val="12"/>
                <w:color w:val="auto"/>
              </w:rPr>
            </w:pPr>
          </w:p>
        </w:tc>
      </w:tr>
      <w:tr>
        <w:trPr>
          <w:trHeight w:val="49"/>
        </w:trPr>
        <w:tc>
          <w:tcPr>
            <w:tcW w:w="4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4900" w:type="dxa"/>
            <w:vAlign w:val="bottom"/>
            <w:tcBorders>
              <w:bottom w:val="single" w:sz="8" w:color="ECEBE8"/>
            </w:tcBorders>
            <w:shd w:val="clear" w:color="auto" w:fill="ECEBE8"/>
          </w:tcPr>
          <w:p>
            <w:pPr>
              <w:ind w:left="120"/>
              <w:spacing w:after="0"/>
              <w:rPr>
                <w:sz w:val="20"/>
                <w:szCs w:val="20"/>
                <w:color w:val="auto"/>
              </w:rPr>
            </w:pPr>
            <w:r>
              <w:rPr>
                <w:rFonts w:ascii="Arial" w:cs="Arial" w:eastAsia="Arial" w:hAnsi="Arial"/>
                <w:sz w:val="11"/>
                <w:szCs w:val="11"/>
                <w:color w:val="262626"/>
              </w:rPr>
              <w:t>Company Paid Life Insurance</w:t>
            </w:r>
          </w:p>
        </w:tc>
        <w:tc>
          <w:tcPr>
            <w:tcW w:w="146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$600,000</w:t>
            </w:r>
          </w:p>
        </w:tc>
        <w:tc>
          <w:tcPr>
            <w:tcW w:w="800" w:type="dxa"/>
            <w:vAlign w:val="bottom"/>
            <w:tcBorders>
              <w:bottom w:val="single" w:sz="8" w:color="ECEBE8"/>
            </w:tcBorders>
            <w:shd w:val="clear" w:color="auto" w:fill="ECEBE8"/>
          </w:tcPr>
          <w:p>
            <w:pPr>
              <w:spacing w:after="0"/>
              <w:rPr>
                <w:sz w:val="15"/>
                <w:szCs w:val="15"/>
                <w:color w:val="auto"/>
              </w:rPr>
            </w:pPr>
          </w:p>
        </w:tc>
        <w:tc>
          <w:tcPr>
            <w:tcW w:w="1040" w:type="dxa"/>
            <w:vAlign w:val="bottom"/>
            <w:tcBorders>
              <w:bottom w:val="single" w:sz="8" w:color="ECEBE8"/>
            </w:tcBorders>
            <w:shd w:val="clear" w:color="auto" w:fill="ECEBE8"/>
          </w:tcPr>
          <w:p>
            <w:pPr>
              <w:jc w:val="right"/>
              <w:ind w:right="509"/>
              <w:spacing w:after="0"/>
              <w:rPr>
                <w:sz w:val="20"/>
                <w:szCs w:val="20"/>
                <w:color w:val="auto"/>
              </w:rPr>
            </w:pPr>
            <w:r>
              <w:rPr>
                <w:rFonts w:ascii="Arial" w:cs="Arial" w:eastAsia="Arial" w:hAnsi="Arial"/>
                <w:sz w:val="11"/>
                <w:szCs w:val="11"/>
                <w:color w:val="262626"/>
              </w:rPr>
              <w:t>—</w:t>
            </w:r>
          </w:p>
        </w:tc>
        <w:tc>
          <w:tcPr>
            <w:tcW w:w="620" w:type="dxa"/>
            <w:vAlign w:val="bottom"/>
            <w:tcBorders>
              <w:bottom w:val="single" w:sz="8" w:color="ECEBE8"/>
            </w:tcBorders>
            <w:shd w:val="clear" w:color="auto" w:fill="ECEBE8"/>
          </w:tcPr>
          <w:p>
            <w:pPr>
              <w:spacing w:after="0"/>
              <w:rPr>
                <w:sz w:val="15"/>
                <w:szCs w:val="15"/>
                <w:color w:val="auto"/>
              </w:rPr>
            </w:pPr>
          </w:p>
        </w:tc>
        <w:tc>
          <w:tcPr>
            <w:tcW w:w="1040" w:type="dxa"/>
            <w:vAlign w:val="bottom"/>
            <w:tcBorders>
              <w:bottom w:val="single" w:sz="8" w:color="ECEBE8"/>
            </w:tcBorders>
            <w:shd w:val="clear" w:color="auto" w:fill="ECEBE8"/>
          </w:tcPr>
          <w:p>
            <w:pPr>
              <w:jc w:val="right"/>
              <w:ind w:right="491"/>
              <w:spacing w:after="0"/>
              <w:rPr>
                <w:sz w:val="20"/>
                <w:szCs w:val="20"/>
                <w:color w:val="auto"/>
              </w:rPr>
            </w:pPr>
            <w:r>
              <w:rPr>
                <w:rFonts w:ascii="Arial" w:cs="Arial" w:eastAsia="Arial" w:hAnsi="Arial"/>
                <w:sz w:val="11"/>
                <w:szCs w:val="11"/>
                <w:color w:val="262626"/>
              </w:rPr>
              <w:t>—</w:t>
            </w:r>
          </w:p>
        </w:tc>
        <w:tc>
          <w:tcPr>
            <w:tcW w:w="20" w:type="dxa"/>
            <w:vAlign w:val="bottom"/>
          </w:tcPr>
          <w:p>
            <w:pPr>
              <w:spacing w:after="0"/>
              <w:rPr>
                <w:sz w:val="15"/>
                <w:szCs w:val="15"/>
                <w:color w:val="auto"/>
              </w:rPr>
            </w:pPr>
          </w:p>
        </w:tc>
      </w:tr>
      <w:tr>
        <w:trPr>
          <w:trHeight w:val="149"/>
        </w:trPr>
        <w:tc>
          <w:tcPr>
            <w:tcW w:w="4900" w:type="dxa"/>
            <w:vAlign w:val="bottom"/>
          </w:tcPr>
          <w:p>
            <w:pPr>
              <w:ind w:left="120"/>
              <w:spacing w:after="0"/>
              <w:rPr>
                <w:sz w:val="20"/>
                <w:szCs w:val="20"/>
                <w:color w:val="auto"/>
              </w:rPr>
            </w:pPr>
            <w:r>
              <w:rPr>
                <w:rFonts w:ascii="Arial" w:cs="Arial" w:eastAsia="Arial" w:hAnsi="Arial"/>
                <w:sz w:val="11"/>
                <w:szCs w:val="11"/>
                <w:color w:val="262626"/>
              </w:rPr>
              <w:t>Benefits</w:t>
            </w:r>
            <w:r>
              <w:rPr>
                <w:rFonts w:ascii="Arial" w:cs="Arial" w:eastAsia="Arial" w:hAnsi="Arial"/>
                <w:sz w:val="9"/>
                <w:szCs w:val="9"/>
                <w:color w:val="262626"/>
              </w:rPr>
              <w:t>(3)</w:t>
            </w:r>
          </w:p>
        </w:tc>
        <w:tc>
          <w:tcPr>
            <w:tcW w:w="1460" w:type="dxa"/>
            <w:vAlign w:val="bottom"/>
          </w:tcPr>
          <w:p>
            <w:pPr>
              <w:jc w:val="right"/>
              <w:spacing w:after="0"/>
              <w:rPr>
                <w:sz w:val="20"/>
                <w:szCs w:val="20"/>
                <w:color w:val="auto"/>
              </w:rPr>
            </w:pPr>
            <w:r>
              <w:rPr>
                <w:rFonts w:ascii="Arial" w:cs="Arial" w:eastAsia="Arial" w:hAnsi="Arial"/>
                <w:sz w:val="11"/>
                <w:szCs w:val="11"/>
                <w:color w:val="262626"/>
              </w:rPr>
              <w:t>—</w:t>
            </w:r>
          </w:p>
        </w:tc>
        <w:tc>
          <w:tcPr>
            <w:tcW w:w="80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509"/>
              <w:spacing w:after="0"/>
              <w:rPr>
                <w:sz w:val="20"/>
                <w:szCs w:val="20"/>
                <w:color w:val="auto"/>
              </w:rPr>
            </w:pPr>
            <w:r>
              <w:rPr>
                <w:rFonts w:ascii="Arial" w:cs="Arial" w:eastAsia="Arial" w:hAnsi="Arial"/>
                <w:sz w:val="11"/>
                <w:szCs w:val="11"/>
                <w:color w:val="262626"/>
              </w:rPr>
              <w:t>58,205</w:t>
            </w:r>
          </w:p>
        </w:tc>
        <w:tc>
          <w:tcPr>
            <w:tcW w:w="620" w:type="dxa"/>
            <w:vAlign w:val="bottom"/>
          </w:tcPr>
          <w:p>
            <w:pPr>
              <w:jc w:val="right"/>
              <w:spacing w:after="0"/>
              <w:rPr>
                <w:sz w:val="20"/>
                <w:szCs w:val="20"/>
                <w:color w:val="auto"/>
              </w:rPr>
            </w:pPr>
            <w:r>
              <w:rPr>
                <w:rFonts w:ascii="Arial" w:cs="Arial" w:eastAsia="Arial" w:hAnsi="Arial"/>
                <w:sz w:val="11"/>
                <w:szCs w:val="11"/>
                <w:color w:val="262626"/>
              </w:rPr>
              <w:t>$</w:t>
            </w:r>
          </w:p>
        </w:tc>
        <w:tc>
          <w:tcPr>
            <w:tcW w:w="1040" w:type="dxa"/>
            <w:vAlign w:val="bottom"/>
          </w:tcPr>
          <w:p>
            <w:pPr>
              <w:jc w:val="right"/>
              <w:ind w:right="491"/>
              <w:spacing w:after="0"/>
              <w:rPr>
                <w:sz w:val="20"/>
                <w:szCs w:val="20"/>
                <w:color w:val="auto"/>
              </w:rPr>
            </w:pPr>
            <w:r>
              <w:rPr>
                <w:rFonts w:ascii="Arial" w:cs="Arial" w:eastAsia="Arial" w:hAnsi="Arial"/>
                <w:sz w:val="11"/>
                <w:szCs w:val="11"/>
                <w:color w:val="262626"/>
              </w:rPr>
              <w:t>58,205</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-767080</wp:posOffset>
            </wp:positionV>
            <wp:extent cx="825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66" w:lineRule="exact"/>
        <w:rPr>
          <w:sz w:val="20"/>
          <w:szCs w:val="20"/>
          <w:color w:val="auto"/>
        </w:rPr>
      </w:pPr>
    </w:p>
    <w:p>
      <w:pPr>
        <w:ind w:left="780" w:right="80" w:firstLine="1"/>
        <w:spacing w:after="0" w:line="232" w:lineRule="auto"/>
        <w:tabs>
          <w:tab w:leader="none" w:pos="915" w:val="left"/>
        </w:tabs>
        <w:numPr>
          <w:ilvl w:val="0"/>
          <w:numId w:val="76"/>
        </w:numPr>
        <w:rPr>
          <w:rFonts w:ascii="Arial" w:cs="Arial" w:eastAsia="Arial" w:hAnsi="Arial"/>
          <w:sz w:val="9"/>
          <w:szCs w:val="9"/>
          <w:color w:val="262626"/>
        </w:rPr>
      </w:pPr>
      <w:r>
        <w:rPr>
          <w:rFonts w:ascii="Arial" w:cs="Arial" w:eastAsia="Arial" w:hAnsi="Arial"/>
          <w:sz w:val="11"/>
          <w:szCs w:val="11"/>
          <w:color w:val="262626"/>
        </w:rPr>
        <w:t>Upon death, complete disability or change in control, 7,500 shares of restricted stock would vest in full immediately. Using the closing price on December 31, 2018, the value of such 7,500 shares would have been $741,825, plus accrued dividends of $11,250.</w:t>
      </w:r>
    </w:p>
    <w:p>
      <w:pPr>
        <w:spacing w:after="0" w:line="20" w:lineRule="exact"/>
        <w:rPr>
          <w:rFonts w:ascii="Arial" w:cs="Arial" w:eastAsia="Arial" w:hAnsi="Arial"/>
          <w:sz w:val="9"/>
          <w:szCs w:val="9"/>
          <w:color w:val="262626"/>
        </w:rPr>
      </w:pPr>
    </w:p>
    <w:p>
      <w:pPr>
        <w:ind w:left="780" w:right="120" w:firstLine="1"/>
        <w:spacing w:after="0" w:line="232" w:lineRule="auto"/>
        <w:tabs>
          <w:tab w:leader="none" w:pos="915" w:val="left"/>
        </w:tabs>
        <w:numPr>
          <w:ilvl w:val="0"/>
          <w:numId w:val="76"/>
        </w:numPr>
        <w:rPr>
          <w:rFonts w:ascii="Arial" w:cs="Arial" w:eastAsia="Arial" w:hAnsi="Arial"/>
          <w:sz w:val="9"/>
          <w:szCs w:val="9"/>
          <w:color w:val="262626"/>
        </w:rPr>
      </w:pPr>
      <w:r>
        <w:rPr>
          <w:rFonts w:ascii="Arial" w:cs="Arial" w:eastAsia="Arial" w:hAnsi="Arial"/>
          <w:sz w:val="11"/>
          <w:szCs w:val="11"/>
          <w:color w:val="262626"/>
        </w:rPr>
        <w:t>Upon termination without cause or upon the Company’s material breach, 652 shares of restricted stock would vest on a prorated basis based on the number of months since the grant date. Using the closing price on December 31, 2018, the value of such 652 shares would have been $64,489, plus accrued dividends of $978.</w:t>
      </w:r>
    </w:p>
    <w:p>
      <w:pPr>
        <w:spacing w:after="0" w:line="32" w:lineRule="exact"/>
        <w:rPr>
          <w:rFonts w:ascii="Arial" w:cs="Arial" w:eastAsia="Arial" w:hAnsi="Arial"/>
          <w:sz w:val="9"/>
          <w:szCs w:val="9"/>
          <w:color w:val="262626"/>
        </w:rPr>
      </w:pPr>
    </w:p>
    <w:p>
      <w:pPr>
        <w:ind w:left="920" w:hanging="139"/>
        <w:spacing w:after="0"/>
        <w:tabs>
          <w:tab w:leader="none" w:pos="920" w:val="left"/>
        </w:tabs>
        <w:numPr>
          <w:ilvl w:val="0"/>
          <w:numId w:val="76"/>
        </w:numPr>
        <w:rPr>
          <w:rFonts w:ascii="Arial" w:cs="Arial" w:eastAsia="Arial" w:hAnsi="Arial"/>
          <w:sz w:val="9"/>
          <w:szCs w:val="9"/>
          <w:color w:val="262626"/>
        </w:rPr>
      </w:pPr>
      <w:r>
        <w:rPr>
          <w:rFonts w:ascii="Arial" w:cs="Arial" w:eastAsia="Arial" w:hAnsi="Arial"/>
          <w:sz w:val="11"/>
          <w:szCs w:val="11"/>
          <w:color w:val="262626"/>
        </w:rPr>
        <w:t>Continued health benefits for remainder of the term or until covered by another plan.</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Stephen A. Wynn</w:t>
      </w:r>
    </w:p>
    <w:p>
      <w:pPr>
        <w:spacing w:after="0" w:line="188" w:lineRule="exact"/>
        <w:rPr>
          <w:sz w:val="20"/>
          <w:szCs w:val="20"/>
          <w:color w:val="auto"/>
        </w:rPr>
      </w:pPr>
    </w:p>
    <w:p>
      <w:pPr>
        <w:ind w:left="780" w:right="40"/>
        <w:spacing w:after="0" w:line="236" w:lineRule="auto"/>
        <w:rPr>
          <w:sz w:val="20"/>
          <w:szCs w:val="20"/>
          <w:color w:val="auto"/>
        </w:rPr>
      </w:pPr>
      <w:r>
        <w:rPr>
          <w:rFonts w:ascii="Arial" w:cs="Arial" w:eastAsia="Arial" w:hAnsi="Arial"/>
          <w:sz w:val="14"/>
          <w:szCs w:val="14"/>
          <w:color w:val="262626"/>
        </w:rPr>
        <w:t>On February 6, 2018, Mr. Wynn resigned from his position as the Company’s Chairman and Chief Executive Officer, effective immediately. Mr. Wynn did not receive any severance payment or other compensation in connection with his resignation. On February 15, 2018, the Company entered into a separation agreement among the Company, Mr. Wynn, and Wynn Resorts Holdings, LLC (the “Separation Agreement”) specifying the terms of Mr. Wynn’s termination of service with the Company and confirmed that Mr. Wynn was not entitled to any severance payment or other compensation from the Company. Under the Separation Agreement, Mr. Wynn agreed not to compete against the Company for a period of two years and to provide reasonable cooperation and assistance to the Company in connection with any private litigation or arbitration and to the Board of Directors of the Company or any committee of the Board in connection with any investigation by the Company related to his service with the Company. The Separation Agreement provided that (i) Mr. Wynn’s lease of his personal residence at Wynn Las Vegas would terminate not later than June 1, 2018 and until such date Mr. Wynn would continue to pay rent at the fair market value (Please refer to “Certain Relationships and Related Transactions”), unless Mr. Wynn elected to terminate the lease before such date,</w:t>
      </w:r>
    </w:p>
    <w:p>
      <w:pPr>
        <w:spacing w:after="0" w:line="6" w:lineRule="exact"/>
        <w:rPr>
          <w:sz w:val="20"/>
          <w:szCs w:val="20"/>
          <w:color w:val="auto"/>
        </w:rPr>
      </w:pPr>
    </w:p>
    <w:p>
      <w:pPr>
        <w:ind w:left="780" w:right="120" w:firstLine="1"/>
        <w:spacing w:after="0" w:line="241" w:lineRule="auto"/>
        <w:tabs>
          <w:tab w:leader="none" w:pos="976" w:val="left"/>
        </w:tabs>
        <w:numPr>
          <w:ilvl w:val="0"/>
          <w:numId w:val="77"/>
        </w:numPr>
        <w:rPr>
          <w:rFonts w:ascii="Arial" w:cs="Arial" w:eastAsia="Arial" w:hAnsi="Arial"/>
          <w:sz w:val="14"/>
          <w:szCs w:val="14"/>
          <w:color w:val="262626"/>
        </w:rPr>
      </w:pPr>
      <w:r>
        <w:rPr>
          <w:rFonts w:ascii="Arial" w:cs="Arial" w:eastAsia="Arial" w:hAnsi="Arial"/>
          <w:sz w:val="14"/>
          <w:szCs w:val="14"/>
          <w:color w:val="262626"/>
        </w:rPr>
        <w:t>Mr. Wynn’s healthcare coverage would terminate on December 31, 2018 (for the related amount, please refer to “All Other Compensation” in the “Summary Compensation Table”), and (iii) administrative support for Mr. Wynn will terminate on May 31, 2018. Additionally, in order to conduct any sales of Company shares in an orderly fashion, with Mr. Wynn to reimburse the Company for its reasonable expenses, the Company entered into a registration rights agreement with Mr. Wynn. For related amounts, please refer to the section titled ‘Summary Compensation Table.</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Kimmarie Sinatra</w:t>
      </w:r>
    </w:p>
    <w:p>
      <w:pPr>
        <w:spacing w:after="0" w:line="188" w:lineRule="exact"/>
        <w:rPr>
          <w:sz w:val="20"/>
          <w:szCs w:val="20"/>
          <w:color w:val="auto"/>
        </w:rPr>
      </w:pPr>
    </w:p>
    <w:p>
      <w:pPr>
        <w:ind w:left="780" w:right="60"/>
        <w:spacing w:after="0" w:line="238" w:lineRule="auto"/>
        <w:rPr>
          <w:sz w:val="20"/>
          <w:szCs w:val="20"/>
          <w:color w:val="auto"/>
        </w:rPr>
      </w:pPr>
      <w:r>
        <w:rPr>
          <w:rFonts w:ascii="Arial" w:cs="Arial" w:eastAsia="Arial" w:hAnsi="Arial"/>
          <w:sz w:val="14"/>
          <w:szCs w:val="14"/>
          <w:color w:val="262626"/>
        </w:rPr>
        <w:t>Kimmarie Sinatra ceased to serve as the Company’s Executive Vice President, General Counsel and Secretary, effective July 15, 2018. On August 3, 2018, the Company entered into an agreement with Ms. Sinatra (the “Agreement”) to finalize the terms of her transition and departure. The Agreement provided to Ms. Sinatra: (1) a cash payment of $1,814,000; (2) continued participation in the Company’s senior executive health program through December 31, 2018 (for the related amount, please refer to “All Other Compensation” in the “Summary Compensation Table”); and (3) health care benefits coverage for Ms. Sinatra and her dependents which shall be paid for by the Company until the expiration of Ms. Sinatra’s continuation coverage under the Consolidated Omnibus Budget Reconciliation Act of 1985, which is estimated to be $43,243. In addition, 39,286 unvested shares granted to Ms. Sinatra under a Restricted Stock Agreement with a total fair value of $5,861,078 and 25,000 unvested stock options granted to Ms. Sinatra under a Stock Option Agreement with a total intrinsic value of $2,551,750, respectively, vested on August 3, 2018; and the transfer restriction with respect to the vested shares granted to Ms. Sinatra in January 2016 was removed as of August 3, 2018. Pursuant to the Agreement, Ms. Sinatra granted a waiver and release of claims to the Company and agreed to certain non-competition and confidentiality provisions. For related amounts, please refer to the section titled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328930</wp:posOffset>
            </wp:positionV>
            <wp:extent cx="521335" cy="2355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44</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Certain relationships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ind w:left="9400"/>
        <w:spacing w:after="0"/>
        <w:rPr>
          <w:sz w:val="20"/>
          <w:szCs w:val="20"/>
          <w:color w:val="auto"/>
        </w:rPr>
      </w:pPr>
      <w:r>
        <w:rPr>
          <w:rFonts w:ascii="Arial" w:cs="Arial" w:eastAsia="Arial" w:hAnsi="Arial"/>
          <w:sz w:val="7"/>
          <w:szCs w:val="7"/>
          <w:b w:val="1"/>
          <w:bCs w:val="1"/>
          <w:color w:val="262626"/>
        </w:rPr>
        <w:t>B U I L D I N G T H E N E W W Y N N</w:t>
      </w:r>
    </w:p>
    <w:p>
      <w:pPr>
        <w:spacing w:after="0" w:line="115" w:lineRule="exact"/>
        <w:rPr>
          <w:sz w:val="20"/>
          <w:szCs w:val="20"/>
          <w:color w:val="auto"/>
        </w:rPr>
      </w:pPr>
    </w:p>
    <w:p>
      <w:pPr>
        <w:ind w:left="780" w:right="160"/>
        <w:spacing w:after="0" w:line="238" w:lineRule="auto"/>
        <w:rPr>
          <w:sz w:val="20"/>
          <w:szCs w:val="20"/>
          <w:color w:val="auto"/>
        </w:rPr>
      </w:pPr>
      <w:r>
        <w:rPr>
          <w:rFonts w:ascii="Arial" w:cs="Arial" w:eastAsia="Arial" w:hAnsi="Arial"/>
          <w:sz w:val="14"/>
          <w:szCs w:val="14"/>
          <w:color w:val="262626"/>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76" w:lineRule="exact"/>
        <w:rPr>
          <w:sz w:val="20"/>
          <w:szCs w:val="20"/>
          <w:color w:val="auto"/>
        </w:rPr>
      </w:pPr>
    </w:p>
    <w:p>
      <w:pPr>
        <w:ind w:left="780" w:right="180"/>
        <w:spacing w:after="0" w:line="249" w:lineRule="auto"/>
        <w:rPr>
          <w:sz w:val="20"/>
          <w:szCs w:val="20"/>
          <w:color w:val="auto"/>
        </w:rPr>
      </w:pPr>
      <w:r>
        <w:rPr>
          <w:rFonts w:ascii="Arial" w:cs="Arial" w:eastAsia="Arial" w:hAnsi="Arial"/>
          <w:sz w:val="14"/>
          <w:szCs w:val="14"/>
          <w:color w:val="262626"/>
        </w:rPr>
        <w:t>The following are the material transactions or agreements that occurred or were in effect at any time after January 1, 2018, between the Company and related persons. The Audit Committee has approved or ratified all of these transactions that occurred after the date of the adoption of the policy.</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CURRENT</w:t>
      </w:r>
    </w:p>
    <w:p>
      <w:pPr>
        <w:spacing w:after="0" w:line="74" w:lineRule="exact"/>
        <w:rPr>
          <w:sz w:val="20"/>
          <w:szCs w:val="20"/>
          <w:color w:val="auto"/>
        </w:rPr>
      </w:pPr>
    </w:p>
    <w:p>
      <w:pPr>
        <w:ind w:left="780" w:right="200"/>
        <w:spacing w:after="0" w:line="246" w:lineRule="auto"/>
        <w:rPr>
          <w:sz w:val="20"/>
          <w:szCs w:val="20"/>
          <w:color w:val="auto"/>
        </w:rPr>
      </w:pPr>
      <w:r>
        <w:rPr>
          <w:rFonts w:ascii="Arial" w:cs="Arial" w:eastAsia="Arial" w:hAnsi="Arial"/>
          <w:sz w:val="14"/>
          <w:szCs w:val="14"/>
          <w:b w:val="1"/>
          <w:bCs w:val="1"/>
          <w:color w:val="262626"/>
        </w:rPr>
        <w:t xml:space="preserve">Cooperation Agreement. </w:t>
      </w:r>
      <w:r>
        <w:rPr>
          <w:rFonts w:ascii="Arial" w:cs="Arial" w:eastAsia="Arial" w:hAnsi="Arial"/>
          <w:sz w:val="14"/>
          <w:szCs w:val="14"/>
          <w:color w:val="262626"/>
        </w:rPr>
        <w:t>On August 3, 2018, the Company entered into a Cooperation Agreement (the “Cooperation Agreement”) with Elaine P. Wynn</w:t>
      </w:r>
      <w:r>
        <w:rPr>
          <w:rFonts w:ascii="Arial" w:cs="Arial" w:eastAsia="Arial" w:hAnsi="Arial"/>
          <w:sz w:val="14"/>
          <w:szCs w:val="14"/>
          <w:b w:val="1"/>
          <w:bCs w:val="1"/>
          <w:color w:val="262626"/>
        </w:rPr>
        <w:t xml:space="preserve"> </w:t>
      </w:r>
      <w:r>
        <w:rPr>
          <w:rFonts w:ascii="Arial" w:cs="Arial" w:eastAsia="Arial" w:hAnsi="Arial"/>
          <w:sz w:val="14"/>
          <w:szCs w:val="14"/>
          <w:color w:val="262626"/>
        </w:rPr>
        <w:t>(“Ms. Wynn”) regarding the composition of the Company’s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day after the conclusion of the 2020 annual meeting of the Company’s shareholders, unless earlier terminated pursuant to the circumstances described in the Cooperation Agreement.</w:t>
      </w:r>
    </w:p>
    <w:p>
      <w:pPr>
        <w:spacing w:after="0" w:line="142" w:lineRule="exact"/>
        <w:rPr>
          <w:sz w:val="20"/>
          <w:szCs w:val="20"/>
          <w:color w:val="auto"/>
        </w:rPr>
      </w:pPr>
    </w:p>
    <w:p>
      <w:pPr>
        <w:jc w:val="both"/>
        <w:ind w:left="780" w:right="300"/>
        <w:spacing w:after="0" w:line="250" w:lineRule="auto"/>
        <w:rPr>
          <w:sz w:val="20"/>
          <w:szCs w:val="20"/>
          <w:color w:val="auto"/>
        </w:rPr>
      </w:pPr>
      <w:r>
        <w:rPr>
          <w:rFonts w:ascii="Arial" w:cs="Arial" w:eastAsia="Arial" w:hAnsi="Arial"/>
          <w:sz w:val="14"/>
          <w:szCs w:val="14"/>
          <w:b w:val="1"/>
          <w:bCs w:val="1"/>
          <w:color w:val="262626"/>
        </w:rPr>
        <w:t xml:space="preserve">Reimbursable Costs. </w:t>
      </w:r>
      <w:r>
        <w:rPr>
          <w:rFonts w:ascii="Arial" w:cs="Arial" w:eastAsia="Arial" w:hAnsi="Arial"/>
          <w:sz w:val="14"/>
          <w:szCs w:val="14"/>
          <w:color w:val="262626"/>
        </w:rPr>
        <w:t>The Company periodically provides services to certain executive officers, directors, or former directors of the Company, including the</w:t>
      </w:r>
      <w:r>
        <w:rPr>
          <w:rFonts w:ascii="Arial" w:cs="Arial" w:eastAsia="Arial" w:hAnsi="Arial"/>
          <w:sz w:val="14"/>
          <w:szCs w:val="14"/>
          <w:b w:val="1"/>
          <w:bCs w:val="1"/>
          <w:color w:val="262626"/>
        </w:rPr>
        <w:t xml:space="preserve"> </w:t>
      </w:r>
      <w:r>
        <w:rPr>
          <w:rFonts w:ascii="Arial" w:cs="Arial" w:eastAsia="Arial" w:hAnsi="Arial"/>
          <w:sz w:val="14"/>
          <w:szCs w:val="14"/>
          <w:color w:val="262626"/>
        </w:rPr>
        <w:t>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2018, these net deposit balances with the Company were immaterial, as were the services provided.</w:t>
      </w:r>
    </w:p>
    <w:p>
      <w:pPr>
        <w:spacing w:after="0" w:line="137" w:lineRule="exact"/>
        <w:rPr>
          <w:sz w:val="20"/>
          <w:szCs w:val="20"/>
          <w:color w:val="auto"/>
        </w:rPr>
      </w:pPr>
    </w:p>
    <w:p>
      <w:pPr>
        <w:ind w:left="780" w:right="180"/>
        <w:spacing w:after="0" w:line="244" w:lineRule="auto"/>
        <w:rPr>
          <w:sz w:val="20"/>
          <w:szCs w:val="20"/>
          <w:color w:val="auto"/>
        </w:rPr>
      </w:pPr>
      <w:r>
        <w:rPr>
          <w:rFonts w:ascii="Arial" w:cs="Arial" w:eastAsia="Arial" w:hAnsi="Arial"/>
          <w:sz w:val="14"/>
          <w:szCs w:val="14"/>
          <w:b w:val="1"/>
          <w:bCs w:val="1"/>
          <w:color w:val="262626"/>
        </w:rPr>
        <w:t>Other</w:t>
      </w:r>
      <w:r>
        <w:rPr>
          <w:rFonts w:ascii="Arial" w:cs="Arial" w:eastAsia="Arial" w:hAnsi="Arial"/>
          <w:sz w:val="14"/>
          <w:szCs w:val="14"/>
          <w:color w:val="262626"/>
        </w:rPr>
        <w:t>. In addition to the above, the Company (or its subsidiaries) employs Mary Ann Pascal, the sister-in-law of Ms. Wynn (who is a beneficial owner of in</w:t>
      </w:r>
      <w:r>
        <w:rPr>
          <w:rFonts w:ascii="Arial" w:cs="Arial" w:eastAsia="Arial" w:hAnsi="Arial"/>
          <w:sz w:val="14"/>
          <w:szCs w:val="14"/>
          <w:b w:val="1"/>
          <w:bCs w:val="1"/>
          <w:color w:val="262626"/>
        </w:rPr>
        <w:t xml:space="preserve"> </w:t>
      </w:r>
      <w:r>
        <w:rPr>
          <w:rFonts w:ascii="Arial" w:cs="Arial" w:eastAsia="Arial" w:hAnsi="Arial"/>
          <w:sz w:val="14"/>
          <w:szCs w:val="14"/>
          <w:color w:val="262626"/>
        </w:rPr>
        <w:t>excess of 5% of the outstanding shares of the Company’s Common Stock), as Vice President—Player Development at Wynn Las Vegas. The Audit Committee of the Company approved the employment arrangement in advance and determined that compensation was at (or below) levels paid to non-family members. Total compensation paid to Ms. Pascal for 2018 included the following amounts calculated in the same manner as the Summary Compensation Table values presented for NEOs: salary (includes retroactive pay related to her salary increase from $200,000 to $250,000 in May 2017 which was not paid until 2018) of $281,731, bonus of $100,575, and other compensation of $7,609. Ms. Pascal’s annual base salary for 2019 is $250,000.</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TERMINATED IN 2018</w:t>
      </w:r>
    </w:p>
    <w:p>
      <w:pPr>
        <w:spacing w:after="0" w:line="61" w:lineRule="exact"/>
        <w:rPr>
          <w:sz w:val="20"/>
          <w:szCs w:val="20"/>
          <w:color w:val="auto"/>
        </w:rPr>
      </w:pPr>
    </w:p>
    <w:p>
      <w:pPr>
        <w:ind w:left="780" w:right="180"/>
        <w:spacing w:after="0" w:line="250" w:lineRule="auto"/>
        <w:rPr>
          <w:sz w:val="20"/>
          <w:szCs w:val="20"/>
          <w:color w:val="auto"/>
        </w:rPr>
      </w:pPr>
      <w:r>
        <w:rPr>
          <w:rFonts w:ascii="Arial" w:cs="Arial" w:eastAsia="Arial" w:hAnsi="Arial"/>
          <w:sz w:val="14"/>
          <w:szCs w:val="14"/>
          <w:b w:val="1"/>
          <w:bCs w:val="1"/>
          <w:color w:val="262626"/>
        </w:rPr>
        <w:t xml:space="preserve">Shareholders Agreement. </w:t>
      </w:r>
      <w:r>
        <w:rPr>
          <w:rFonts w:ascii="Arial" w:cs="Arial" w:eastAsia="Arial" w:hAnsi="Arial"/>
          <w:sz w:val="14"/>
          <w:szCs w:val="14"/>
          <w:color w:val="262626"/>
        </w:rPr>
        <w:t>On January 6, 2010, Mr. Wynn, Ms. Wynn, and Aruze USA, Inc. (“Aruze”), each of whom were then greater than 5% shareholders</w:t>
      </w:r>
      <w:r>
        <w:rPr>
          <w:rFonts w:ascii="Arial" w:cs="Arial" w:eastAsia="Arial" w:hAnsi="Arial"/>
          <w:sz w:val="14"/>
          <w:szCs w:val="14"/>
          <w:b w:val="1"/>
          <w:bCs w:val="1"/>
          <w:color w:val="262626"/>
        </w:rPr>
        <w:t xml:space="preserve"> </w:t>
      </w:r>
      <w:r>
        <w:rPr>
          <w:rFonts w:ascii="Arial" w:cs="Arial" w:eastAsia="Arial" w:hAnsi="Arial"/>
          <w:sz w:val="14"/>
          <w:szCs w:val="14"/>
          <w:color w:val="262626"/>
        </w:rPr>
        <w:t>of the Company, entered into an amended and restated shareholders agreement (the “Shareholders Agreement”), pursuant to which each of Mr. Wynn,</w:t>
      </w:r>
    </w:p>
    <w:p>
      <w:pPr>
        <w:ind w:left="780" w:right="200"/>
        <w:spacing w:after="0" w:line="243" w:lineRule="auto"/>
        <w:rPr>
          <w:sz w:val="20"/>
          <w:szCs w:val="20"/>
          <w:color w:val="auto"/>
        </w:rPr>
      </w:pPr>
      <w:r>
        <w:rPr>
          <w:rFonts w:ascii="Arial" w:cs="Arial" w:eastAsia="Arial" w:hAnsi="Arial"/>
          <w:sz w:val="14"/>
          <w:szCs w:val="14"/>
          <w:color w:val="262626"/>
        </w:rPr>
        <w:t>Ms. Wynn and Aruze agreed to vote all shares of the Company held by them and subject to the terms of the Amended and Restated Stockholders Agreement in a manner so as to elect to the Company’s Board of Directors each of the nominees contained on each and every slate of directors endorsed by Mr. Wynn, to include, subject to certain conditions, Ms. Wynn and, so long as such</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45</w:t>
      </w:r>
    </w:p>
    <w:p>
      <w:pPr>
        <w:sectPr>
          <w:pgSz w:w="11900" w:h="16838" w:orient="portrait"/>
          <w:cols w:equalWidth="0" w:num="1">
            <w:col w:w="10800"/>
          </w:cols>
          <w:pgMar w:left="240" w:top="453" w:right="8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Certain relationships and transactions</w:t>
      </w:r>
    </w:p>
    <w:p>
      <w:pPr>
        <w:spacing w:after="0" w:line="318" w:lineRule="exact"/>
        <w:rPr>
          <w:sz w:val="20"/>
          <w:szCs w:val="20"/>
          <w:color w:val="auto"/>
        </w:rPr>
      </w:pPr>
    </w:p>
    <w:p>
      <w:pPr>
        <w:ind w:left="780" w:right="80"/>
        <w:spacing w:after="0" w:line="239" w:lineRule="auto"/>
        <w:rPr>
          <w:sz w:val="20"/>
          <w:szCs w:val="20"/>
          <w:color w:val="auto"/>
        </w:rPr>
      </w:pPr>
      <w:r>
        <w:rPr>
          <w:rFonts w:ascii="Arial" w:cs="Arial" w:eastAsia="Arial" w:hAnsi="Arial"/>
          <w:sz w:val="14"/>
          <w:szCs w:val="14"/>
          <w:color w:val="262626"/>
        </w:rPr>
        <w:t>slate results in a majority of directors at all times being candidates endorsed by Mr. Wynn, nominees approved by Aruze. Pursuant to an agreement, dated March 8, 2018, settling certain litigation between the Company and Aruze, Aruze agreed not to claim that Aruze remains a party to the Shareholders Agreement. On March 14, 2018, Mr. Wynn and Ms. Wynn entered into a stipulation declaring the Shareholders Agreement invalid and unenforceable, and on April 16, 2018, the Company entered into a Settlement Agreement and Mutual Release by and between the Company, Mr. Wynn, Ms. Wynn and Ms. Sinatra, which, among other things, resolved and unconditionally released the parties from all claims and cross claims asserted among the parties in a legal proceeding involving the Shareholders Agreement.</w:t>
      </w:r>
    </w:p>
    <w:p>
      <w:pPr>
        <w:spacing w:after="0" w:line="164" w:lineRule="exact"/>
        <w:rPr>
          <w:sz w:val="20"/>
          <w:szCs w:val="20"/>
          <w:color w:val="auto"/>
        </w:rPr>
      </w:pPr>
    </w:p>
    <w:p>
      <w:pPr>
        <w:ind w:left="780"/>
        <w:spacing w:after="0" w:line="239" w:lineRule="auto"/>
        <w:rPr>
          <w:sz w:val="20"/>
          <w:szCs w:val="20"/>
          <w:color w:val="auto"/>
        </w:rPr>
      </w:pPr>
      <w:r>
        <w:rPr>
          <w:rFonts w:ascii="Arial" w:cs="Arial" w:eastAsia="Arial" w:hAnsi="Arial"/>
          <w:sz w:val="14"/>
          <w:szCs w:val="14"/>
          <w:color w:val="262626"/>
        </w:rPr>
        <w:t>As a result of Mr. Wynn’s resignation and the Separation Agreement described under Potential Payments Upon Termination or Change of Control, above, an aircraft purchase option that gave Mr. Wynn the right to purchase any or all of the aircraft owned by the Company or its direct wholly owned subsidiaries terminated on February 6, 2018. Further,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Pursuant to the Separation Agreement, if the Company ceases to use the “Wynn” surname and trademark, the Company will assign all of its right, title, and interest in the “Wynn” trademark to Mr. Wynn and terminate the Surname Rights Agreement. The lease of Mr. Wynn’s residence was terminated by agreement of the parties on April 10, 2018.</w:t>
      </w:r>
    </w:p>
    <w:p>
      <w:pPr>
        <w:spacing w:after="0" w:line="176" w:lineRule="exact"/>
        <w:rPr>
          <w:sz w:val="20"/>
          <w:szCs w:val="20"/>
          <w:color w:val="auto"/>
        </w:rPr>
      </w:pPr>
    </w:p>
    <w:p>
      <w:pPr>
        <w:ind w:left="780"/>
        <w:spacing w:after="0" w:line="239" w:lineRule="auto"/>
        <w:rPr>
          <w:sz w:val="20"/>
          <w:szCs w:val="20"/>
          <w:color w:val="auto"/>
        </w:rPr>
      </w:pPr>
      <w:r>
        <w:rPr>
          <w:rFonts w:ascii="Arial" w:cs="Arial" w:eastAsia="Arial" w:hAnsi="Arial"/>
          <w:sz w:val="14"/>
          <w:szCs w:val="14"/>
          <w:color w:val="262626"/>
        </w:rPr>
        <w:t>On March 20, 2018, the Company entered into a registration rights agreement with Mr. Wynn, the Wynn Family Limited Partnership, a Delaware limited partnership (together with Mr. Wynn, the “Selling Stockholder”) and each holder from time to time a party thereto (the “Registration Rights Agreement”), pursuant to the Separation Agreement. The Selling Stockholder subsequently sold all of its holdings of the Company’s common stock through open market transactions pursuant to Rule 144 under the Securities Act of 1933, as amended, and certain privately negotiated transactions. Pursuant to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 registered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328295</wp:posOffset>
            </wp:positionV>
            <wp:extent cx="521335" cy="2355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46</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ind w:left="9400"/>
        <w:spacing w:after="0"/>
        <w:rPr>
          <w:sz w:val="20"/>
          <w:szCs w:val="20"/>
          <w:color w:val="auto"/>
        </w:rPr>
      </w:pPr>
      <w:r>
        <w:rPr>
          <w:rFonts w:ascii="Arial" w:cs="Arial" w:eastAsia="Arial" w:hAnsi="Arial"/>
          <w:sz w:val="7"/>
          <w:szCs w:val="7"/>
          <w:b w:val="1"/>
          <w:bCs w:val="1"/>
          <w:color w:val="262626"/>
        </w:rPr>
        <w:t>B U I L D I N G T H E N E W W Y N N</w:t>
      </w:r>
    </w:p>
    <w:p>
      <w:pPr>
        <w:spacing w:after="0" w:line="115" w:lineRule="exact"/>
        <w:rPr>
          <w:sz w:val="20"/>
          <w:szCs w:val="20"/>
          <w:color w:val="auto"/>
        </w:rPr>
      </w:pPr>
    </w:p>
    <w:p>
      <w:pPr>
        <w:jc w:val="both"/>
        <w:ind w:left="780" w:right="360"/>
        <w:spacing w:after="0"/>
        <w:rPr>
          <w:sz w:val="20"/>
          <w:szCs w:val="20"/>
          <w:color w:val="auto"/>
        </w:rPr>
      </w:pPr>
      <w:r>
        <w:rPr>
          <w:rFonts w:ascii="Arial" w:cs="Arial" w:eastAsia="Arial" w:hAnsi="Arial"/>
          <w:sz w:val="14"/>
          <w:szCs w:val="14"/>
          <w:color w:val="262626"/>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75" w:lineRule="exact"/>
        <w:rPr>
          <w:sz w:val="20"/>
          <w:szCs w:val="20"/>
          <w:color w:val="auto"/>
        </w:rPr>
      </w:pPr>
    </w:p>
    <w:p>
      <w:pPr>
        <w:ind w:left="780" w:right="180"/>
        <w:spacing w:after="0" w:line="238" w:lineRule="auto"/>
        <w:rPr>
          <w:sz w:val="20"/>
          <w:szCs w:val="20"/>
          <w:color w:val="auto"/>
        </w:rPr>
      </w:pPr>
      <w:r>
        <w:rPr>
          <w:rFonts w:ascii="Arial" w:cs="Arial" w:eastAsia="Arial" w:hAnsi="Arial"/>
          <w:sz w:val="14"/>
          <w:szCs w:val="14"/>
          <w:color w:val="262626"/>
        </w:rPr>
        <w:t>The pay ratio reported below is a reasonable estimate calculated in a manner consistent with SEC rules based on our payroll records and the methodology described below. For these purposes, in 2017, we determined the median compensated employee using taxable income for 2017, which we annualized for any employee who did not work for the entire year unless designated as a temporary employee. We determined that, as of December 31, 2017, our employee population consisted of approximately 25,200 employees, with approximately 52% working in Macau as an employee of Wynn Macau, Limited or one of its subsidiaries. In identifying the median employee, we made a cost-of-living adjustment using the International Monetary Fund’s implied purchasing power conversion rate of 5.49 with respect to employees located in Macau. Using this methodology, we determined that the median employee in 2017 was a full-time, salaried employee located in Las Vegas. As permitted by the SEC rules, we are using the same median employee for our 2018 ratio because we did not believe that this employee’s compensation had changed significantly or that our employee population had changed significantly in 2018.</w:t>
      </w:r>
    </w:p>
    <w:p>
      <w:pPr>
        <w:spacing w:after="0" w:line="166" w:lineRule="exact"/>
        <w:rPr>
          <w:sz w:val="20"/>
          <w:szCs w:val="20"/>
          <w:color w:val="auto"/>
        </w:rPr>
      </w:pPr>
    </w:p>
    <w:p>
      <w:pPr>
        <w:ind w:left="780" w:right="300"/>
        <w:spacing w:after="0" w:line="249" w:lineRule="auto"/>
        <w:rPr>
          <w:sz w:val="20"/>
          <w:szCs w:val="20"/>
          <w:color w:val="auto"/>
        </w:rPr>
      </w:pPr>
      <w:r>
        <w:rPr>
          <w:rFonts w:ascii="Arial" w:cs="Arial" w:eastAsia="Arial" w:hAnsi="Arial"/>
          <w:sz w:val="14"/>
          <w:szCs w:val="14"/>
          <w:color w:val="262626"/>
        </w:rPr>
        <w:t>The 2018 annual total compensation of our median compensated employee, other than our 2018 CEO, was $44,492; the 2018 annual total compensation of our CEO serving as of December 31, 2018, Mr. Maddox, was $17,227,260; and the ratio of these amounts was 1-to-387.</w:t>
      </w:r>
    </w:p>
    <w:p>
      <w:pPr>
        <w:spacing w:after="0" w:line="156" w:lineRule="exact"/>
        <w:rPr>
          <w:sz w:val="20"/>
          <w:szCs w:val="20"/>
          <w:color w:val="auto"/>
        </w:rPr>
      </w:pPr>
    </w:p>
    <w:p>
      <w:pPr>
        <w:ind w:left="780" w:right="180"/>
        <w:spacing w:after="0" w:line="239" w:lineRule="auto"/>
        <w:rPr>
          <w:sz w:val="20"/>
          <w:szCs w:val="20"/>
          <w:color w:val="auto"/>
        </w:rPr>
      </w:pPr>
      <w:r>
        <w:rPr>
          <w:rFonts w:ascii="Arial" w:cs="Arial" w:eastAsia="Arial" w:hAnsi="Arial"/>
          <w:sz w:val="14"/>
          <w:szCs w:val="14"/>
          <w:color w:val="262626"/>
        </w:rPr>
        <w:t>Because we had two non-concurrent CEOs serving during our fiscal year 2018, to calculate the annual total compensation of the CEO for the purposes of this disclosure, we looked to the CEO serving in that position as of December 31, 2018, Mr. Maddox, and annualized his compensation. To identify the median employee without a cost-of-living adjustment, we converted the compensation paid in Macau currency to U.S. dollars by applying a Macau patacas to U.S. dollars exchange rate using the noon buying rate of exchange of Macau patacas to U.S. dollars of 8.0664 on December 31, 2018. For 2018, we did not identify a new median employee for the reasons described above. The 2018 annual total compensation of our median compensated employee, other than our CEO serving as of December 31, 2018, without the cost-of-living adjustment was $40,503; and the ratio of this amount to Mr. Maddox’s 2018 annual total compensation was 1-to-425.</w:t>
      </w:r>
    </w:p>
    <w:p>
      <w:pPr>
        <w:spacing w:after="0" w:line="176" w:lineRule="exact"/>
        <w:rPr>
          <w:sz w:val="20"/>
          <w:szCs w:val="20"/>
          <w:color w:val="auto"/>
        </w:rPr>
      </w:pPr>
    </w:p>
    <w:p>
      <w:pPr>
        <w:ind w:left="780" w:right="260"/>
        <w:spacing w:after="0" w:line="239" w:lineRule="auto"/>
        <w:rPr>
          <w:sz w:val="20"/>
          <w:szCs w:val="20"/>
          <w:color w:val="auto"/>
        </w:rPr>
      </w:pPr>
      <w:r>
        <w:rPr>
          <w:rFonts w:ascii="Arial" w:cs="Arial" w:eastAsia="Arial" w:hAnsi="Arial"/>
          <w:sz w:val="14"/>
          <w:szCs w:val="14"/>
          <w:color w:val="262626"/>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2018, approximately 13% of our employee population of approximately 26,000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64" w:lineRule="exact"/>
        <w:rPr>
          <w:sz w:val="20"/>
          <w:szCs w:val="20"/>
          <w:color w:val="auto"/>
        </w:rPr>
      </w:pPr>
    </w:p>
    <w:p>
      <w:pPr>
        <w:ind w:left="780" w:right="540"/>
        <w:spacing w:after="0" w:line="243" w:lineRule="auto"/>
        <w:rPr>
          <w:sz w:val="20"/>
          <w:szCs w:val="20"/>
          <w:color w:val="auto"/>
        </w:rPr>
      </w:pPr>
      <w:r>
        <w:rPr>
          <w:rFonts w:ascii="Arial" w:cs="Arial" w:eastAsia="Arial" w:hAnsi="Arial"/>
          <w:sz w:val="14"/>
          <w:szCs w:val="14"/>
          <w:color w:val="262626"/>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47</w:t>
      </w:r>
    </w:p>
    <w:p>
      <w:pPr>
        <w:sectPr>
          <w:pgSz w:w="11900" w:h="16838" w:orient="portrait"/>
          <w:cols w:equalWidth="0" w:num="1">
            <w:col w:w="10800"/>
          </w:cols>
          <w:pgMar w:left="240" w:top="453" w:right="8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ind w:left="9400"/>
        <w:spacing w:after="0"/>
        <w:rPr>
          <w:sz w:val="20"/>
          <w:szCs w:val="20"/>
          <w:color w:val="auto"/>
        </w:rPr>
      </w:pPr>
      <w:r>
        <w:rPr>
          <w:rFonts w:ascii="Arial" w:cs="Arial" w:eastAsia="Arial" w:hAnsi="Arial"/>
          <w:sz w:val="7"/>
          <w:szCs w:val="7"/>
          <w:b w:val="1"/>
          <w:bCs w:val="1"/>
          <w:color w:val="262626"/>
        </w:rPr>
        <w:t>B U I L D I N G T H E N E W W Y N N</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CERTAIN BENEFICIAL OWNERSHIP AND MANAGEMENT</w:t>
      </w:r>
    </w:p>
    <w:p>
      <w:pPr>
        <w:spacing w:after="0" w:line="79" w:lineRule="exact"/>
        <w:rPr>
          <w:sz w:val="20"/>
          <w:szCs w:val="20"/>
          <w:color w:val="auto"/>
        </w:rPr>
      </w:pPr>
    </w:p>
    <w:p>
      <w:pPr>
        <w:ind w:left="780" w:right="140"/>
        <w:spacing w:after="0"/>
        <w:rPr>
          <w:sz w:val="20"/>
          <w:szCs w:val="20"/>
          <w:color w:val="auto"/>
        </w:rPr>
      </w:pPr>
      <w:r>
        <w:rPr>
          <w:rFonts w:ascii="Arial" w:cs="Arial" w:eastAsia="Arial" w:hAnsi="Arial"/>
          <w:sz w:val="14"/>
          <w:szCs w:val="14"/>
          <w:color w:val="262626"/>
        </w:rPr>
        <w:t>The following table sets forth, as of March 11, 2019, (unless otherwise indicated), certain information regarding the shares of the Company’s Common Stock beneficially owned by: (i) each director; (ii) each shareholder who is known by the Company to beneficially own in excess of 5% of the outstanding shares of the Company’s Common Stock; (iii) each of the Company’s named executive officers; and (iv) all executive officers and directors as a group. Each shareholder’s percentage is based on 107,639,329 shares of Common Stock outstanding as of March 11, 2019, and treating as outstanding all options held by that shareholder and exercisable within 60 days of March 11, 2019.</w:t>
      </w:r>
    </w:p>
    <w:p>
      <w:pPr>
        <w:spacing w:after="0" w:line="197" w:lineRule="exact"/>
        <w:rPr>
          <w:sz w:val="20"/>
          <w:szCs w:val="20"/>
          <w:color w:val="auto"/>
        </w:rPr>
      </w:pPr>
    </w:p>
    <w:tbl>
      <w:tblPr>
        <w:tblLayout w:type="fixed"/>
        <w:tblInd w:w="780" w:type="dxa"/>
        <w:tblCellMar>
          <w:top w:w="0" w:type="dxa"/>
          <w:left w:w="0" w:type="dxa"/>
          <w:bottom w:w="0" w:type="dxa"/>
          <w:right w:w="0" w:type="dxa"/>
        </w:tblCellMar>
      </w:tblPr>
      <w:tr>
        <w:trPr>
          <w:trHeight w:val="132"/>
        </w:trPr>
        <w:tc>
          <w:tcPr>
            <w:tcW w:w="7900" w:type="dxa"/>
            <w:vAlign w:val="bottom"/>
            <w:shd w:val="clear" w:color="auto" w:fill="A39B8C"/>
          </w:tcPr>
          <w:p>
            <w:pPr>
              <w:spacing w:after="0"/>
              <w:rPr>
                <w:sz w:val="11"/>
                <w:szCs w:val="11"/>
                <w:color w:val="auto"/>
              </w:rPr>
            </w:pPr>
          </w:p>
        </w:tc>
        <w:tc>
          <w:tcPr>
            <w:tcW w:w="1960" w:type="dxa"/>
            <w:vAlign w:val="bottom"/>
            <w:gridSpan w:val="2"/>
            <w:shd w:val="clear" w:color="auto" w:fill="A39B8C"/>
          </w:tcPr>
          <w:p>
            <w:pPr>
              <w:jc w:val="right"/>
              <w:ind w:right="87"/>
              <w:spacing w:after="0"/>
              <w:rPr>
                <w:sz w:val="20"/>
                <w:szCs w:val="20"/>
                <w:color w:val="auto"/>
              </w:rPr>
            </w:pPr>
            <w:r>
              <w:rPr>
                <w:rFonts w:ascii="Arial" w:cs="Arial" w:eastAsia="Arial" w:hAnsi="Arial"/>
                <w:sz w:val="9"/>
                <w:szCs w:val="9"/>
                <w:b w:val="1"/>
                <w:bCs w:val="1"/>
                <w:color w:val="FFFFFF"/>
              </w:rPr>
              <w:t>BENEFICIAL OWNERSHIP OF SHARES</w:t>
            </w:r>
            <w:r>
              <w:rPr>
                <w:rFonts w:ascii="Arial" w:cs="Arial" w:eastAsia="Arial" w:hAnsi="Arial"/>
                <w:sz w:val="7"/>
                <w:szCs w:val="7"/>
                <w:b w:val="1"/>
                <w:bCs w:val="1"/>
                <w:color w:val="FFFFFF"/>
              </w:rPr>
              <w:t>(1)</w:t>
            </w:r>
          </w:p>
        </w:tc>
        <w:tc>
          <w:tcPr>
            <w:tcW w:w="20" w:type="dxa"/>
            <w:vAlign w:val="bottom"/>
            <w:shd w:val="clear" w:color="auto" w:fill="A39B8C"/>
          </w:tcPr>
          <w:p>
            <w:pPr>
              <w:spacing w:after="0"/>
              <w:rPr>
                <w:sz w:val="11"/>
                <w:szCs w:val="11"/>
                <w:color w:val="auto"/>
              </w:rPr>
            </w:pPr>
          </w:p>
        </w:tc>
      </w:tr>
      <w:tr>
        <w:trPr>
          <w:trHeight w:val="139"/>
        </w:trPr>
        <w:tc>
          <w:tcPr>
            <w:tcW w:w="790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NAME AND ADDRESS OF BENEFICIAL OWNER</w:t>
            </w:r>
            <w:r>
              <w:rPr>
                <w:rFonts w:ascii="Arial" w:cs="Arial" w:eastAsia="Arial" w:hAnsi="Arial"/>
                <w:sz w:val="7"/>
                <w:szCs w:val="7"/>
                <w:b w:val="1"/>
                <w:bCs w:val="1"/>
                <w:color w:val="FFFFFF"/>
              </w:rPr>
              <w:t>(2)</w:t>
            </w:r>
          </w:p>
        </w:tc>
        <w:tc>
          <w:tcPr>
            <w:tcW w:w="80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NUMBER</w:t>
            </w:r>
          </w:p>
        </w:tc>
        <w:tc>
          <w:tcPr>
            <w:tcW w:w="1160" w:type="dxa"/>
            <w:vAlign w:val="bottom"/>
            <w:tcBorders>
              <w:bottom w:val="single" w:sz="8" w:color="A39B8C"/>
            </w:tcBorders>
            <w:shd w:val="clear" w:color="auto" w:fill="A39B8C"/>
          </w:tcPr>
          <w:p>
            <w:pPr>
              <w:jc w:val="right"/>
              <w:ind w:right="147"/>
              <w:spacing w:after="0"/>
              <w:rPr>
                <w:sz w:val="20"/>
                <w:szCs w:val="20"/>
                <w:color w:val="auto"/>
              </w:rPr>
            </w:pPr>
            <w:r>
              <w:rPr>
                <w:rFonts w:ascii="Arial" w:cs="Arial" w:eastAsia="Arial" w:hAnsi="Arial"/>
                <w:sz w:val="9"/>
                <w:szCs w:val="9"/>
                <w:b w:val="1"/>
                <w:bCs w:val="1"/>
                <w:color w:val="FFFFFF"/>
              </w:rPr>
              <w:t>PERCENTAGE</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auto"/>
              </w:rPr>
              <w:t>5% Shareholders:</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3"/>
        </w:trPr>
        <w:tc>
          <w:tcPr>
            <w:tcW w:w="7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3"/>
        </w:trPr>
        <w:tc>
          <w:tcPr>
            <w:tcW w:w="790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The Vanguard Group</w:t>
            </w:r>
            <w:r>
              <w:rPr>
                <w:rFonts w:ascii="Arial" w:cs="Arial" w:eastAsia="Arial" w:hAnsi="Arial"/>
                <w:sz w:val="9"/>
                <w:szCs w:val="9"/>
                <w:color w:val="262626"/>
              </w:rPr>
              <w:t>(3)</w:t>
            </w:r>
          </w:p>
        </w:tc>
        <w:tc>
          <w:tcPr>
            <w:tcW w:w="800" w:type="dxa"/>
            <w:vAlign w:val="bottom"/>
            <w:shd w:val="clear" w:color="auto" w:fill="ECEBE8"/>
          </w:tcPr>
          <w:p>
            <w:pPr>
              <w:spacing w:after="0"/>
              <w:rPr>
                <w:sz w:val="12"/>
                <w:szCs w:val="12"/>
                <w:color w:val="auto"/>
              </w:rPr>
            </w:pPr>
          </w:p>
        </w:tc>
        <w:tc>
          <w:tcPr>
            <w:tcW w:w="1160" w:type="dxa"/>
            <w:vAlign w:val="bottom"/>
            <w:shd w:val="clear" w:color="auto" w:fill="ECEBE8"/>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shd w:val="clear" w:color="auto" w:fill="ECEBE8"/>
          </w:tcPr>
          <w:p>
            <w:pPr>
              <w:ind w:left="180"/>
              <w:spacing w:after="0" w:line="120" w:lineRule="exact"/>
              <w:rPr>
                <w:sz w:val="20"/>
                <w:szCs w:val="20"/>
                <w:color w:val="auto"/>
              </w:rPr>
            </w:pPr>
            <w:r>
              <w:rPr>
                <w:rFonts w:ascii="Arial" w:cs="Arial" w:eastAsia="Arial" w:hAnsi="Arial"/>
                <w:sz w:val="11"/>
                <w:szCs w:val="11"/>
                <w:color w:val="262626"/>
              </w:rPr>
              <w:t>100 Vanguard Blvd.</w:t>
            </w:r>
          </w:p>
        </w:tc>
        <w:tc>
          <w:tcPr>
            <w:tcW w:w="800" w:type="dxa"/>
            <w:vAlign w:val="bottom"/>
            <w:shd w:val="clear" w:color="auto" w:fill="ECEBE8"/>
          </w:tcPr>
          <w:p>
            <w:pPr>
              <w:spacing w:after="0"/>
              <w:rPr>
                <w:sz w:val="10"/>
                <w:szCs w:val="10"/>
                <w:color w:val="auto"/>
              </w:rPr>
            </w:pPr>
          </w:p>
        </w:tc>
        <w:tc>
          <w:tcPr>
            <w:tcW w:w="116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7900" w:type="dxa"/>
            <w:vAlign w:val="bottom"/>
            <w:tcBorders>
              <w:bottom w:val="single" w:sz="8" w:color="ECEBE8"/>
            </w:tcBorders>
            <w:shd w:val="clear" w:color="auto" w:fill="ECEBE8"/>
          </w:tcPr>
          <w:p>
            <w:pPr>
              <w:ind w:left="180"/>
              <w:spacing w:after="0" w:line="123" w:lineRule="exact"/>
              <w:rPr>
                <w:sz w:val="20"/>
                <w:szCs w:val="20"/>
                <w:color w:val="auto"/>
              </w:rPr>
            </w:pPr>
            <w:r>
              <w:rPr>
                <w:rFonts w:ascii="Arial" w:cs="Arial" w:eastAsia="Arial" w:hAnsi="Arial"/>
                <w:sz w:val="11"/>
                <w:szCs w:val="11"/>
                <w:color w:val="262626"/>
              </w:rPr>
              <w:t>Malvern, PA 19355</w:t>
            </w:r>
          </w:p>
        </w:tc>
        <w:tc>
          <w:tcPr>
            <w:tcW w:w="800" w:type="dxa"/>
            <w:vAlign w:val="bottom"/>
            <w:tcBorders>
              <w:bottom w:val="single" w:sz="8" w:color="ECEBE8"/>
            </w:tcBorders>
            <w:shd w:val="clear" w:color="auto" w:fill="ECEBE8"/>
          </w:tcPr>
          <w:p>
            <w:pPr>
              <w:jc w:val="right"/>
              <w:spacing w:after="0" w:line="123" w:lineRule="exact"/>
              <w:rPr>
                <w:sz w:val="20"/>
                <w:szCs w:val="20"/>
                <w:color w:val="auto"/>
              </w:rPr>
            </w:pPr>
            <w:r>
              <w:rPr>
                <w:rFonts w:ascii="Arial" w:cs="Arial" w:eastAsia="Arial" w:hAnsi="Arial"/>
                <w:sz w:val="11"/>
                <w:szCs w:val="11"/>
                <w:color w:val="262626"/>
              </w:rPr>
              <w:t>9,684,316</w:t>
            </w:r>
          </w:p>
        </w:tc>
        <w:tc>
          <w:tcPr>
            <w:tcW w:w="1160" w:type="dxa"/>
            <w:vAlign w:val="bottom"/>
            <w:tcBorders>
              <w:bottom w:val="single" w:sz="8" w:color="ECEBE8"/>
            </w:tcBorders>
            <w:shd w:val="clear" w:color="auto" w:fill="ECEBE8"/>
          </w:tcPr>
          <w:p>
            <w:pPr>
              <w:jc w:val="center"/>
              <w:ind w:left="787"/>
              <w:spacing w:after="0" w:line="123" w:lineRule="exact"/>
              <w:rPr>
                <w:sz w:val="20"/>
                <w:szCs w:val="20"/>
                <w:color w:val="auto"/>
              </w:rPr>
            </w:pPr>
            <w:r>
              <w:rPr>
                <w:rFonts w:ascii="Arial" w:cs="Arial" w:eastAsia="Arial" w:hAnsi="Arial"/>
                <w:sz w:val="11"/>
                <w:szCs w:val="11"/>
                <w:color w:val="262626"/>
                <w:w w:val="95"/>
              </w:rPr>
              <w:t>9.0%</w:t>
            </w:r>
          </w:p>
        </w:tc>
        <w:tc>
          <w:tcPr>
            <w:tcW w:w="20" w:type="dxa"/>
            <w:vAlign w:val="bottom"/>
          </w:tcPr>
          <w:p>
            <w:pPr>
              <w:spacing w:after="0"/>
              <w:rPr>
                <w:sz w:val="13"/>
                <w:szCs w:val="13"/>
                <w:color w:val="auto"/>
              </w:rPr>
            </w:pPr>
          </w:p>
        </w:tc>
      </w:tr>
      <w:tr>
        <w:trPr>
          <w:trHeight w:val="143"/>
        </w:trPr>
        <w:tc>
          <w:tcPr>
            <w:tcW w:w="7900" w:type="dxa"/>
            <w:vAlign w:val="bottom"/>
          </w:tcPr>
          <w:p>
            <w:pPr>
              <w:ind w:left="80"/>
              <w:spacing w:after="0"/>
              <w:rPr>
                <w:sz w:val="20"/>
                <w:szCs w:val="20"/>
                <w:color w:val="auto"/>
              </w:rPr>
            </w:pPr>
            <w:r>
              <w:rPr>
                <w:rFonts w:ascii="Arial" w:cs="Arial" w:eastAsia="Arial" w:hAnsi="Arial"/>
                <w:sz w:val="11"/>
                <w:szCs w:val="11"/>
                <w:color w:val="262626"/>
              </w:rPr>
              <w:t>Elaine P. Wynn</w:t>
            </w:r>
            <w:r>
              <w:rPr>
                <w:rFonts w:ascii="Arial" w:cs="Arial" w:eastAsia="Arial" w:hAnsi="Arial"/>
                <w:sz w:val="9"/>
                <w:szCs w:val="9"/>
                <w:color w:val="262626"/>
              </w:rPr>
              <w:t>(4)</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tcPr>
          <w:p>
            <w:pPr>
              <w:ind w:left="180"/>
              <w:spacing w:after="0" w:line="120" w:lineRule="exact"/>
              <w:rPr>
                <w:sz w:val="20"/>
                <w:szCs w:val="20"/>
                <w:color w:val="auto"/>
              </w:rPr>
            </w:pPr>
            <w:r>
              <w:rPr>
                <w:rFonts w:ascii="Arial" w:cs="Arial" w:eastAsia="Arial" w:hAnsi="Arial"/>
                <w:sz w:val="11"/>
                <w:szCs w:val="11"/>
                <w:color w:val="262626"/>
              </w:rPr>
              <w:t>c/o Elaine P. Wynn and Family Foundation</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7900" w:type="dxa"/>
            <w:vAlign w:val="bottom"/>
          </w:tcPr>
          <w:p>
            <w:pPr>
              <w:ind w:left="180"/>
              <w:spacing w:after="0" w:line="120" w:lineRule="exact"/>
              <w:rPr>
                <w:sz w:val="20"/>
                <w:szCs w:val="20"/>
                <w:color w:val="auto"/>
              </w:rPr>
            </w:pPr>
            <w:r>
              <w:rPr>
                <w:rFonts w:ascii="Arial" w:cs="Arial" w:eastAsia="Arial" w:hAnsi="Arial"/>
                <w:sz w:val="11"/>
                <w:szCs w:val="11"/>
                <w:color w:val="262626"/>
              </w:rPr>
              <w:t>3800 Howard Hughes Parkway</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7900" w:type="dxa"/>
            <w:vAlign w:val="bottom"/>
          </w:tcPr>
          <w:p>
            <w:pPr>
              <w:ind w:left="180"/>
              <w:spacing w:after="0" w:line="120" w:lineRule="exact"/>
              <w:rPr>
                <w:sz w:val="20"/>
                <w:szCs w:val="20"/>
                <w:color w:val="auto"/>
              </w:rPr>
            </w:pPr>
            <w:r>
              <w:rPr>
                <w:rFonts w:ascii="Arial" w:cs="Arial" w:eastAsia="Arial" w:hAnsi="Arial"/>
                <w:sz w:val="11"/>
                <w:szCs w:val="11"/>
                <w:color w:val="262626"/>
              </w:rPr>
              <w:t>Suite 960</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7900" w:type="dxa"/>
            <w:vAlign w:val="bottom"/>
          </w:tcPr>
          <w:p>
            <w:pPr>
              <w:ind w:left="180"/>
              <w:spacing w:after="0"/>
              <w:rPr>
                <w:sz w:val="20"/>
                <w:szCs w:val="20"/>
                <w:color w:val="auto"/>
              </w:rPr>
            </w:pPr>
            <w:r>
              <w:rPr>
                <w:rFonts w:ascii="Arial" w:cs="Arial" w:eastAsia="Arial" w:hAnsi="Arial"/>
                <w:sz w:val="11"/>
                <w:szCs w:val="11"/>
                <w:color w:val="262626"/>
              </w:rPr>
              <w:t>Las Vegas, Nevada 89169</w:t>
            </w:r>
          </w:p>
        </w:tc>
        <w:tc>
          <w:tcPr>
            <w:tcW w:w="800" w:type="dxa"/>
            <w:vAlign w:val="bottom"/>
          </w:tcPr>
          <w:p>
            <w:pPr>
              <w:jc w:val="right"/>
              <w:spacing w:after="0"/>
              <w:rPr>
                <w:sz w:val="20"/>
                <w:szCs w:val="20"/>
                <w:color w:val="auto"/>
              </w:rPr>
            </w:pPr>
            <w:r>
              <w:rPr>
                <w:rFonts w:ascii="Arial" w:cs="Arial" w:eastAsia="Arial" w:hAnsi="Arial"/>
                <w:sz w:val="11"/>
                <w:szCs w:val="11"/>
                <w:color w:val="262626"/>
              </w:rPr>
              <w:t>9,539,077</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5"/>
              </w:rPr>
              <w:t>8.9%</w:t>
            </w:r>
          </w:p>
        </w:tc>
        <w:tc>
          <w:tcPr>
            <w:tcW w:w="20" w:type="dxa"/>
            <w:vAlign w:val="bottom"/>
          </w:tcPr>
          <w:p>
            <w:pPr>
              <w:spacing w:after="0"/>
              <w:rPr>
                <w:sz w:val="10"/>
                <w:szCs w:val="10"/>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3"/>
        </w:trPr>
        <w:tc>
          <w:tcPr>
            <w:tcW w:w="790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Capital Group Companies Inc</w:t>
            </w:r>
            <w:r>
              <w:rPr>
                <w:rFonts w:ascii="Arial" w:cs="Arial" w:eastAsia="Arial" w:hAnsi="Arial"/>
                <w:sz w:val="9"/>
                <w:szCs w:val="9"/>
                <w:color w:val="262626"/>
              </w:rPr>
              <w:t>(5)</w:t>
            </w:r>
          </w:p>
        </w:tc>
        <w:tc>
          <w:tcPr>
            <w:tcW w:w="800" w:type="dxa"/>
            <w:vAlign w:val="bottom"/>
            <w:shd w:val="clear" w:color="auto" w:fill="ECEBE8"/>
          </w:tcPr>
          <w:p>
            <w:pPr>
              <w:spacing w:after="0"/>
              <w:rPr>
                <w:sz w:val="12"/>
                <w:szCs w:val="12"/>
                <w:color w:val="auto"/>
              </w:rPr>
            </w:pPr>
          </w:p>
        </w:tc>
        <w:tc>
          <w:tcPr>
            <w:tcW w:w="1160" w:type="dxa"/>
            <w:vAlign w:val="bottom"/>
            <w:shd w:val="clear" w:color="auto" w:fill="ECEBE8"/>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shd w:val="clear" w:color="auto" w:fill="ECEBE8"/>
          </w:tcPr>
          <w:p>
            <w:pPr>
              <w:ind w:left="180"/>
              <w:spacing w:after="0" w:line="120" w:lineRule="exact"/>
              <w:rPr>
                <w:sz w:val="20"/>
                <w:szCs w:val="20"/>
                <w:color w:val="auto"/>
              </w:rPr>
            </w:pPr>
            <w:r>
              <w:rPr>
                <w:rFonts w:ascii="Arial" w:cs="Arial" w:eastAsia="Arial" w:hAnsi="Arial"/>
                <w:sz w:val="11"/>
                <w:szCs w:val="11"/>
                <w:color w:val="262626"/>
              </w:rPr>
              <w:t>333 SO Hope St 55TH FL</w:t>
            </w:r>
          </w:p>
        </w:tc>
        <w:tc>
          <w:tcPr>
            <w:tcW w:w="800" w:type="dxa"/>
            <w:vAlign w:val="bottom"/>
            <w:shd w:val="clear" w:color="auto" w:fill="ECEBE8"/>
          </w:tcPr>
          <w:p>
            <w:pPr>
              <w:spacing w:after="0"/>
              <w:rPr>
                <w:sz w:val="10"/>
                <w:szCs w:val="10"/>
                <w:color w:val="auto"/>
              </w:rPr>
            </w:pPr>
          </w:p>
        </w:tc>
        <w:tc>
          <w:tcPr>
            <w:tcW w:w="116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7900" w:type="dxa"/>
            <w:vAlign w:val="bottom"/>
            <w:tcBorders>
              <w:bottom w:val="single" w:sz="8" w:color="ECEBE8"/>
            </w:tcBorders>
            <w:shd w:val="clear" w:color="auto" w:fill="ECEBE8"/>
          </w:tcPr>
          <w:p>
            <w:pPr>
              <w:ind w:left="180"/>
              <w:spacing w:after="0" w:line="123" w:lineRule="exact"/>
              <w:rPr>
                <w:sz w:val="20"/>
                <w:szCs w:val="20"/>
                <w:color w:val="auto"/>
              </w:rPr>
            </w:pPr>
            <w:r>
              <w:rPr>
                <w:rFonts w:ascii="Arial" w:cs="Arial" w:eastAsia="Arial" w:hAnsi="Arial"/>
                <w:sz w:val="11"/>
                <w:szCs w:val="11"/>
                <w:color w:val="262626"/>
              </w:rPr>
              <w:t>Los Angeles, CA 90071</w:t>
            </w:r>
          </w:p>
        </w:tc>
        <w:tc>
          <w:tcPr>
            <w:tcW w:w="800" w:type="dxa"/>
            <w:vAlign w:val="bottom"/>
            <w:tcBorders>
              <w:bottom w:val="single" w:sz="8" w:color="ECEBE8"/>
            </w:tcBorders>
            <w:shd w:val="clear" w:color="auto" w:fill="ECEBE8"/>
          </w:tcPr>
          <w:p>
            <w:pPr>
              <w:jc w:val="right"/>
              <w:spacing w:after="0" w:line="123" w:lineRule="exact"/>
              <w:rPr>
                <w:sz w:val="20"/>
                <w:szCs w:val="20"/>
                <w:color w:val="auto"/>
              </w:rPr>
            </w:pPr>
            <w:r>
              <w:rPr>
                <w:rFonts w:ascii="Arial" w:cs="Arial" w:eastAsia="Arial" w:hAnsi="Arial"/>
                <w:sz w:val="11"/>
                <w:szCs w:val="11"/>
                <w:color w:val="262626"/>
              </w:rPr>
              <w:t>8,253,146</w:t>
            </w:r>
          </w:p>
        </w:tc>
        <w:tc>
          <w:tcPr>
            <w:tcW w:w="1160" w:type="dxa"/>
            <w:vAlign w:val="bottom"/>
            <w:tcBorders>
              <w:bottom w:val="single" w:sz="8" w:color="ECEBE8"/>
            </w:tcBorders>
            <w:shd w:val="clear" w:color="auto" w:fill="ECEBE8"/>
          </w:tcPr>
          <w:p>
            <w:pPr>
              <w:jc w:val="center"/>
              <w:ind w:left="787"/>
              <w:spacing w:after="0" w:line="123" w:lineRule="exact"/>
              <w:rPr>
                <w:sz w:val="20"/>
                <w:szCs w:val="20"/>
                <w:color w:val="auto"/>
              </w:rPr>
            </w:pPr>
            <w:r>
              <w:rPr>
                <w:rFonts w:ascii="Arial" w:cs="Arial" w:eastAsia="Arial" w:hAnsi="Arial"/>
                <w:sz w:val="11"/>
                <w:szCs w:val="11"/>
                <w:color w:val="262626"/>
                <w:w w:val="95"/>
              </w:rPr>
              <w:t>7.7%</w:t>
            </w:r>
          </w:p>
        </w:tc>
        <w:tc>
          <w:tcPr>
            <w:tcW w:w="20" w:type="dxa"/>
            <w:vAlign w:val="bottom"/>
          </w:tcPr>
          <w:p>
            <w:pPr>
              <w:spacing w:after="0"/>
              <w:rPr>
                <w:sz w:val="13"/>
                <w:szCs w:val="13"/>
                <w:color w:val="auto"/>
              </w:rPr>
            </w:pPr>
          </w:p>
        </w:tc>
      </w:tr>
      <w:tr>
        <w:trPr>
          <w:trHeight w:val="143"/>
        </w:trPr>
        <w:tc>
          <w:tcPr>
            <w:tcW w:w="7900" w:type="dxa"/>
            <w:vAlign w:val="bottom"/>
          </w:tcPr>
          <w:p>
            <w:pPr>
              <w:ind w:left="80"/>
              <w:spacing w:after="0"/>
              <w:rPr>
                <w:sz w:val="20"/>
                <w:szCs w:val="20"/>
                <w:color w:val="auto"/>
              </w:rPr>
            </w:pPr>
            <w:r>
              <w:rPr>
                <w:rFonts w:ascii="Arial" w:cs="Arial" w:eastAsia="Arial" w:hAnsi="Arial"/>
                <w:sz w:val="11"/>
                <w:szCs w:val="11"/>
                <w:color w:val="262626"/>
              </w:rPr>
              <w:t>T-Rowe Price Associates Inc.</w:t>
            </w:r>
            <w:r>
              <w:rPr>
                <w:rFonts w:ascii="Arial" w:cs="Arial" w:eastAsia="Arial" w:hAnsi="Arial"/>
                <w:sz w:val="9"/>
                <w:szCs w:val="9"/>
                <w:color w:val="262626"/>
              </w:rPr>
              <w:t>(6)</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tcPr>
          <w:p>
            <w:pPr>
              <w:ind w:left="180"/>
              <w:spacing w:after="0" w:line="120" w:lineRule="exact"/>
              <w:rPr>
                <w:sz w:val="20"/>
                <w:szCs w:val="20"/>
                <w:color w:val="auto"/>
              </w:rPr>
            </w:pPr>
            <w:r>
              <w:rPr>
                <w:rFonts w:ascii="Arial" w:cs="Arial" w:eastAsia="Arial" w:hAnsi="Arial"/>
                <w:sz w:val="11"/>
                <w:szCs w:val="11"/>
                <w:color w:val="262626"/>
              </w:rPr>
              <w:t>100 East Pratt St.</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7900" w:type="dxa"/>
            <w:vAlign w:val="bottom"/>
          </w:tcPr>
          <w:p>
            <w:pPr>
              <w:ind w:left="180"/>
              <w:spacing w:after="0"/>
              <w:rPr>
                <w:sz w:val="20"/>
                <w:szCs w:val="20"/>
                <w:color w:val="auto"/>
              </w:rPr>
            </w:pPr>
            <w:r>
              <w:rPr>
                <w:rFonts w:ascii="Arial" w:cs="Arial" w:eastAsia="Arial" w:hAnsi="Arial"/>
                <w:sz w:val="11"/>
                <w:szCs w:val="11"/>
                <w:color w:val="262626"/>
              </w:rPr>
              <w:t>Baltimore, MD 21202</w:t>
            </w:r>
          </w:p>
        </w:tc>
        <w:tc>
          <w:tcPr>
            <w:tcW w:w="800" w:type="dxa"/>
            <w:vAlign w:val="bottom"/>
          </w:tcPr>
          <w:p>
            <w:pPr>
              <w:jc w:val="right"/>
              <w:spacing w:after="0"/>
              <w:rPr>
                <w:sz w:val="20"/>
                <w:szCs w:val="20"/>
                <w:color w:val="auto"/>
              </w:rPr>
            </w:pPr>
            <w:r>
              <w:rPr>
                <w:rFonts w:ascii="Arial" w:cs="Arial" w:eastAsia="Arial" w:hAnsi="Arial"/>
                <w:sz w:val="11"/>
                <w:szCs w:val="11"/>
                <w:color w:val="262626"/>
              </w:rPr>
              <w:t>7,154,817</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5"/>
              </w:rPr>
              <w:t>6.6%</w:t>
            </w:r>
          </w:p>
        </w:tc>
        <w:tc>
          <w:tcPr>
            <w:tcW w:w="20" w:type="dxa"/>
            <w:vAlign w:val="bottom"/>
          </w:tcPr>
          <w:p>
            <w:pPr>
              <w:spacing w:after="0"/>
              <w:rPr>
                <w:sz w:val="10"/>
                <w:szCs w:val="10"/>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3"/>
        </w:trPr>
        <w:tc>
          <w:tcPr>
            <w:tcW w:w="790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Blackrock Inc.</w:t>
            </w:r>
            <w:r>
              <w:rPr>
                <w:rFonts w:ascii="Arial" w:cs="Arial" w:eastAsia="Arial" w:hAnsi="Arial"/>
                <w:sz w:val="9"/>
                <w:szCs w:val="9"/>
                <w:color w:val="262626"/>
              </w:rPr>
              <w:t>(7)</w:t>
            </w:r>
          </w:p>
        </w:tc>
        <w:tc>
          <w:tcPr>
            <w:tcW w:w="800" w:type="dxa"/>
            <w:vAlign w:val="bottom"/>
            <w:shd w:val="clear" w:color="auto" w:fill="ECEBE8"/>
          </w:tcPr>
          <w:p>
            <w:pPr>
              <w:spacing w:after="0"/>
              <w:rPr>
                <w:sz w:val="12"/>
                <w:szCs w:val="12"/>
                <w:color w:val="auto"/>
              </w:rPr>
            </w:pPr>
          </w:p>
        </w:tc>
        <w:tc>
          <w:tcPr>
            <w:tcW w:w="1160" w:type="dxa"/>
            <w:vAlign w:val="bottom"/>
            <w:shd w:val="clear" w:color="auto" w:fill="ECEBE8"/>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shd w:val="clear" w:color="auto" w:fill="ECEBE8"/>
          </w:tcPr>
          <w:p>
            <w:pPr>
              <w:ind w:left="180"/>
              <w:spacing w:after="0" w:line="120" w:lineRule="exact"/>
              <w:rPr>
                <w:sz w:val="20"/>
                <w:szCs w:val="20"/>
                <w:color w:val="auto"/>
              </w:rPr>
            </w:pPr>
            <w:r>
              <w:rPr>
                <w:rFonts w:ascii="Arial" w:cs="Arial" w:eastAsia="Arial" w:hAnsi="Arial"/>
                <w:sz w:val="11"/>
                <w:szCs w:val="11"/>
                <w:color w:val="262626"/>
              </w:rPr>
              <w:t>55 East 52nd St.</w:t>
            </w:r>
          </w:p>
        </w:tc>
        <w:tc>
          <w:tcPr>
            <w:tcW w:w="800" w:type="dxa"/>
            <w:vAlign w:val="bottom"/>
            <w:shd w:val="clear" w:color="auto" w:fill="ECEBE8"/>
          </w:tcPr>
          <w:p>
            <w:pPr>
              <w:spacing w:after="0"/>
              <w:rPr>
                <w:sz w:val="10"/>
                <w:szCs w:val="10"/>
                <w:color w:val="auto"/>
              </w:rPr>
            </w:pPr>
          </w:p>
        </w:tc>
        <w:tc>
          <w:tcPr>
            <w:tcW w:w="1160" w:type="dxa"/>
            <w:vAlign w:val="bottom"/>
            <w:shd w:val="clear" w:color="auto" w:fill="ECEBE8"/>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7900" w:type="dxa"/>
            <w:vAlign w:val="bottom"/>
            <w:tcBorders>
              <w:bottom w:val="single" w:sz="8" w:color="ECEBE8"/>
            </w:tcBorders>
            <w:shd w:val="clear" w:color="auto" w:fill="ECEBE8"/>
          </w:tcPr>
          <w:p>
            <w:pPr>
              <w:ind w:left="180"/>
              <w:spacing w:after="0" w:line="123" w:lineRule="exact"/>
              <w:rPr>
                <w:sz w:val="20"/>
                <w:szCs w:val="20"/>
                <w:color w:val="auto"/>
              </w:rPr>
            </w:pPr>
            <w:r>
              <w:rPr>
                <w:rFonts w:ascii="Arial" w:cs="Arial" w:eastAsia="Arial" w:hAnsi="Arial"/>
                <w:sz w:val="11"/>
                <w:szCs w:val="11"/>
                <w:color w:val="262626"/>
              </w:rPr>
              <w:t>New York, NY 10055</w:t>
            </w:r>
          </w:p>
        </w:tc>
        <w:tc>
          <w:tcPr>
            <w:tcW w:w="800" w:type="dxa"/>
            <w:vAlign w:val="bottom"/>
            <w:tcBorders>
              <w:bottom w:val="single" w:sz="8" w:color="ECEBE8"/>
            </w:tcBorders>
            <w:shd w:val="clear" w:color="auto" w:fill="ECEBE8"/>
          </w:tcPr>
          <w:p>
            <w:pPr>
              <w:jc w:val="right"/>
              <w:spacing w:after="0" w:line="123" w:lineRule="exact"/>
              <w:rPr>
                <w:sz w:val="20"/>
                <w:szCs w:val="20"/>
                <w:color w:val="auto"/>
              </w:rPr>
            </w:pPr>
            <w:r>
              <w:rPr>
                <w:rFonts w:ascii="Arial" w:cs="Arial" w:eastAsia="Arial" w:hAnsi="Arial"/>
                <w:sz w:val="11"/>
                <w:szCs w:val="11"/>
                <w:color w:val="262626"/>
              </w:rPr>
              <w:t>6,187,633</w:t>
            </w:r>
          </w:p>
        </w:tc>
        <w:tc>
          <w:tcPr>
            <w:tcW w:w="1160" w:type="dxa"/>
            <w:vAlign w:val="bottom"/>
            <w:tcBorders>
              <w:bottom w:val="single" w:sz="8" w:color="ECEBE8"/>
            </w:tcBorders>
            <w:shd w:val="clear" w:color="auto" w:fill="ECEBE8"/>
          </w:tcPr>
          <w:p>
            <w:pPr>
              <w:jc w:val="center"/>
              <w:ind w:left="787"/>
              <w:spacing w:after="0" w:line="123" w:lineRule="exact"/>
              <w:rPr>
                <w:sz w:val="20"/>
                <w:szCs w:val="20"/>
                <w:color w:val="auto"/>
              </w:rPr>
            </w:pPr>
            <w:r>
              <w:rPr>
                <w:rFonts w:ascii="Arial" w:cs="Arial" w:eastAsia="Arial" w:hAnsi="Arial"/>
                <w:sz w:val="11"/>
                <w:szCs w:val="11"/>
                <w:color w:val="262626"/>
                <w:w w:val="95"/>
              </w:rPr>
              <w:t>5.7%</w:t>
            </w:r>
          </w:p>
        </w:tc>
        <w:tc>
          <w:tcPr>
            <w:tcW w:w="20" w:type="dxa"/>
            <w:vAlign w:val="bottom"/>
          </w:tcPr>
          <w:p>
            <w:pPr>
              <w:spacing w:after="0"/>
              <w:rPr>
                <w:sz w:val="13"/>
                <w:szCs w:val="13"/>
                <w:color w:val="auto"/>
              </w:rPr>
            </w:pPr>
          </w:p>
        </w:tc>
      </w:tr>
      <w:tr>
        <w:trPr>
          <w:trHeight w:val="143"/>
        </w:trPr>
        <w:tc>
          <w:tcPr>
            <w:tcW w:w="7900" w:type="dxa"/>
            <w:vAlign w:val="bottom"/>
          </w:tcPr>
          <w:p>
            <w:pPr>
              <w:ind w:left="80"/>
              <w:spacing w:after="0"/>
              <w:rPr>
                <w:sz w:val="20"/>
                <w:szCs w:val="20"/>
                <w:color w:val="auto"/>
              </w:rPr>
            </w:pPr>
            <w:r>
              <w:rPr>
                <w:rFonts w:ascii="Arial" w:cs="Arial" w:eastAsia="Arial" w:hAnsi="Arial"/>
                <w:sz w:val="11"/>
                <w:szCs w:val="11"/>
                <w:color w:val="262626"/>
              </w:rPr>
              <w:t>Lone Pine Capital LLC</w:t>
            </w:r>
            <w:r>
              <w:rPr>
                <w:rFonts w:ascii="Arial" w:cs="Arial" w:eastAsia="Arial" w:hAnsi="Arial"/>
                <w:sz w:val="9"/>
                <w:szCs w:val="9"/>
                <w:color w:val="262626"/>
              </w:rPr>
              <w:t>(8)</w:t>
            </w: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7900" w:type="dxa"/>
            <w:vAlign w:val="bottom"/>
          </w:tcPr>
          <w:p>
            <w:pPr>
              <w:ind w:left="180"/>
              <w:spacing w:after="0" w:line="120" w:lineRule="exact"/>
              <w:rPr>
                <w:sz w:val="20"/>
                <w:szCs w:val="20"/>
                <w:color w:val="auto"/>
              </w:rPr>
            </w:pPr>
            <w:r>
              <w:rPr>
                <w:rFonts w:ascii="Arial" w:cs="Arial" w:eastAsia="Arial" w:hAnsi="Arial"/>
                <w:sz w:val="11"/>
                <w:szCs w:val="11"/>
                <w:color w:val="262626"/>
              </w:rPr>
              <w:t>Two Greenwich Plaza</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7900" w:type="dxa"/>
            <w:vAlign w:val="bottom"/>
          </w:tcPr>
          <w:p>
            <w:pPr>
              <w:ind w:left="180"/>
              <w:spacing w:after="0"/>
              <w:rPr>
                <w:sz w:val="20"/>
                <w:szCs w:val="20"/>
                <w:color w:val="auto"/>
              </w:rPr>
            </w:pPr>
            <w:r>
              <w:rPr>
                <w:rFonts w:ascii="Arial" w:cs="Arial" w:eastAsia="Arial" w:hAnsi="Arial"/>
                <w:sz w:val="11"/>
                <w:szCs w:val="11"/>
                <w:color w:val="262626"/>
              </w:rPr>
              <w:t>Greenwich, CT 06830</w:t>
            </w:r>
          </w:p>
        </w:tc>
        <w:tc>
          <w:tcPr>
            <w:tcW w:w="800" w:type="dxa"/>
            <w:vAlign w:val="bottom"/>
          </w:tcPr>
          <w:p>
            <w:pPr>
              <w:jc w:val="right"/>
              <w:spacing w:after="0"/>
              <w:rPr>
                <w:sz w:val="20"/>
                <w:szCs w:val="20"/>
                <w:color w:val="auto"/>
              </w:rPr>
            </w:pPr>
            <w:r>
              <w:rPr>
                <w:rFonts w:ascii="Arial" w:cs="Arial" w:eastAsia="Arial" w:hAnsi="Arial"/>
                <w:sz w:val="11"/>
                <w:szCs w:val="11"/>
                <w:color w:val="262626"/>
              </w:rPr>
              <w:t>5,955,497</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5"/>
              </w:rPr>
              <w:t>5.5%</w:t>
            </w:r>
          </w:p>
        </w:tc>
        <w:tc>
          <w:tcPr>
            <w:tcW w:w="20" w:type="dxa"/>
            <w:vAlign w:val="bottom"/>
          </w:tcPr>
          <w:p>
            <w:pPr>
              <w:spacing w:after="0"/>
              <w:rPr>
                <w:sz w:val="10"/>
                <w:szCs w:val="10"/>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auto"/>
              </w:rPr>
              <w:t>Named Executive Officers and Directors:</w:t>
            </w:r>
          </w:p>
        </w:tc>
        <w:tc>
          <w:tcPr>
            <w:tcW w:w="800" w:type="dxa"/>
            <w:vAlign w:val="bottom"/>
            <w:tcBorders>
              <w:bottom w:val="single" w:sz="8" w:color="ECEBE8"/>
            </w:tcBorders>
            <w:shd w:val="clear" w:color="auto" w:fill="ECEBE8"/>
          </w:tcPr>
          <w:p>
            <w:pPr>
              <w:spacing w:after="0"/>
              <w:rPr>
                <w:sz w:val="15"/>
                <w:szCs w:val="15"/>
                <w:color w:val="auto"/>
              </w:rPr>
            </w:pPr>
          </w:p>
        </w:tc>
        <w:tc>
          <w:tcPr>
            <w:tcW w:w="1160" w:type="dxa"/>
            <w:vAlign w:val="bottom"/>
            <w:tcBorders>
              <w:bottom w:val="single" w:sz="8" w:color="ECEBE8"/>
            </w:tcBorders>
            <w:shd w:val="clear" w:color="auto" w:fill="ECEBE8"/>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Philip G. Satre</w:t>
            </w:r>
          </w:p>
        </w:tc>
        <w:tc>
          <w:tcPr>
            <w:tcW w:w="800" w:type="dxa"/>
            <w:vAlign w:val="bottom"/>
          </w:tcPr>
          <w:p>
            <w:pPr>
              <w:jc w:val="right"/>
              <w:spacing w:after="0"/>
              <w:rPr>
                <w:sz w:val="20"/>
                <w:szCs w:val="20"/>
                <w:color w:val="auto"/>
              </w:rPr>
            </w:pPr>
            <w:r>
              <w:rPr>
                <w:rFonts w:ascii="Arial" w:cs="Arial" w:eastAsia="Arial" w:hAnsi="Arial"/>
                <w:sz w:val="11"/>
                <w:szCs w:val="11"/>
                <w:color w:val="262626"/>
              </w:rPr>
              <w:t>11,995</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Betsy S. Atkins</w:t>
            </w:r>
            <w:r>
              <w:rPr>
                <w:rFonts w:ascii="Arial" w:cs="Arial" w:eastAsia="Arial" w:hAnsi="Arial"/>
                <w:sz w:val="9"/>
                <w:szCs w:val="9"/>
                <w:color w:val="262626"/>
              </w:rPr>
              <w:t>(9)</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3,309</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6"/>
        </w:trPr>
        <w:tc>
          <w:tcPr>
            <w:tcW w:w="7900" w:type="dxa"/>
            <w:vAlign w:val="bottom"/>
          </w:tcPr>
          <w:p>
            <w:pPr>
              <w:ind w:left="80"/>
              <w:spacing w:after="0"/>
              <w:rPr>
                <w:sz w:val="20"/>
                <w:szCs w:val="20"/>
                <w:color w:val="auto"/>
              </w:rPr>
            </w:pPr>
            <w:r>
              <w:rPr>
                <w:rFonts w:ascii="Arial" w:cs="Arial" w:eastAsia="Arial" w:hAnsi="Arial"/>
                <w:sz w:val="11"/>
                <w:szCs w:val="11"/>
                <w:color w:val="262626"/>
              </w:rPr>
              <w:t>Richard J. Byrne</w:t>
            </w:r>
          </w:p>
        </w:tc>
        <w:tc>
          <w:tcPr>
            <w:tcW w:w="800" w:type="dxa"/>
            <w:vAlign w:val="bottom"/>
          </w:tcPr>
          <w:p>
            <w:pPr>
              <w:jc w:val="right"/>
              <w:spacing w:after="0"/>
              <w:rPr>
                <w:sz w:val="20"/>
                <w:szCs w:val="20"/>
                <w:color w:val="auto"/>
              </w:rPr>
            </w:pPr>
            <w:r>
              <w:rPr>
                <w:rFonts w:ascii="Arial" w:cs="Arial" w:eastAsia="Arial" w:hAnsi="Arial"/>
                <w:sz w:val="11"/>
                <w:szCs w:val="11"/>
                <w:color w:val="262626"/>
              </w:rPr>
              <w:t>2,000</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Margaret J. Myers</w:t>
            </w:r>
            <w:r>
              <w:rPr>
                <w:rFonts w:ascii="Arial" w:cs="Arial" w:eastAsia="Arial" w:hAnsi="Arial"/>
                <w:sz w:val="9"/>
                <w:szCs w:val="9"/>
                <w:color w:val="262626"/>
              </w:rPr>
              <w:t>(10)</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3,309</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Winifred M. Webb</w:t>
            </w:r>
            <w:r>
              <w:rPr>
                <w:rFonts w:ascii="Arial" w:cs="Arial" w:eastAsia="Arial" w:hAnsi="Arial"/>
                <w:sz w:val="9"/>
                <w:szCs w:val="9"/>
                <w:color w:val="262626"/>
              </w:rPr>
              <w:t>(11)</w:t>
            </w:r>
          </w:p>
        </w:tc>
        <w:tc>
          <w:tcPr>
            <w:tcW w:w="800" w:type="dxa"/>
            <w:vAlign w:val="bottom"/>
          </w:tcPr>
          <w:p>
            <w:pPr>
              <w:jc w:val="right"/>
              <w:spacing w:after="0"/>
              <w:rPr>
                <w:sz w:val="20"/>
                <w:szCs w:val="20"/>
                <w:color w:val="auto"/>
              </w:rPr>
            </w:pPr>
            <w:r>
              <w:rPr>
                <w:rFonts w:ascii="Arial" w:cs="Arial" w:eastAsia="Arial" w:hAnsi="Arial"/>
                <w:sz w:val="11"/>
                <w:szCs w:val="11"/>
                <w:color w:val="262626"/>
              </w:rPr>
              <w:t>3,309</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Jay L. Johnson</w:t>
            </w:r>
            <w:r>
              <w:rPr>
                <w:rFonts w:ascii="Arial" w:cs="Arial" w:eastAsia="Arial" w:hAnsi="Arial"/>
                <w:sz w:val="9"/>
                <w:szCs w:val="9"/>
                <w:color w:val="262626"/>
              </w:rPr>
              <w:t>(12)</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13,461</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Patricia Mulroy</w:t>
            </w:r>
            <w:r>
              <w:rPr>
                <w:rFonts w:ascii="Arial" w:cs="Arial" w:eastAsia="Arial" w:hAnsi="Arial"/>
                <w:sz w:val="9"/>
                <w:szCs w:val="9"/>
                <w:color w:val="262626"/>
              </w:rPr>
              <w:t>(13)</w:t>
            </w:r>
          </w:p>
        </w:tc>
        <w:tc>
          <w:tcPr>
            <w:tcW w:w="800" w:type="dxa"/>
            <w:vAlign w:val="bottom"/>
          </w:tcPr>
          <w:p>
            <w:pPr>
              <w:jc w:val="right"/>
              <w:spacing w:after="0"/>
              <w:rPr>
                <w:sz w:val="20"/>
                <w:szCs w:val="20"/>
                <w:color w:val="auto"/>
              </w:rPr>
            </w:pPr>
            <w:r>
              <w:rPr>
                <w:rFonts w:ascii="Arial" w:cs="Arial" w:eastAsia="Arial" w:hAnsi="Arial"/>
                <w:sz w:val="11"/>
                <w:szCs w:val="11"/>
                <w:color w:val="262626"/>
              </w:rPr>
              <w:t>13,794</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Clark T. Randt, Jr.</w:t>
            </w:r>
            <w:r>
              <w:rPr>
                <w:rFonts w:ascii="Arial" w:cs="Arial" w:eastAsia="Arial" w:hAnsi="Arial"/>
                <w:sz w:val="9"/>
                <w:szCs w:val="9"/>
                <w:color w:val="262626"/>
              </w:rPr>
              <w:t>(14)</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13,020</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Matt Maddox</w:t>
            </w:r>
            <w:r>
              <w:rPr>
                <w:rFonts w:ascii="Arial" w:cs="Arial" w:eastAsia="Arial" w:hAnsi="Arial"/>
                <w:sz w:val="9"/>
                <w:szCs w:val="9"/>
                <w:color w:val="262626"/>
              </w:rPr>
              <w:t>(15)</w:t>
            </w:r>
          </w:p>
        </w:tc>
        <w:tc>
          <w:tcPr>
            <w:tcW w:w="800" w:type="dxa"/>
            <w:vAlign w:val="bottom"/>
          </w:tcPr>
          <w:p>
            <w:pPr>
              <w:jc w:val="right"/>
              <w:spacing w:after="0"/>
              <w:rPr>
                <w:sz w:val="20"/>
                <w:szCs w:val="20"/>
                <w:color w:val="auto"/>
              </w:rPr>
            </w:pPr>
            <w:r>
              <w:rPr>
                <w:rFonts w:ascii="Arial" w:cs="Arial" w:eastAsia="Arial" w:hAnsi="Arial"/>
                <w:sz w:val="11"/>
                <w:szCs w:val="11"/>
                <w:color w:val="262626"/>
              </w:rPr>
              <w:t>478,824</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Craig Billings</w:t>
            </w:r>
            <w:r>
              <w:rPr>
                <w:rFonts w:ascii="Arial" w:cs="Arial" w:eastAsia="Arial" w:hAnsi="Arial"/>
                <w:sz w:val="9"/>
                <w:szCs w:val="9"/>
                <w:color w:val="262626"/>
              </w:rPr>
              <w:t>(16)</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70,201</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Ellen Whittemore</w:t>
            </w:r>
            <w:r>
              <w:rPr>
                <w:rFonts w:ascii="Arial" w:cs="Arial" w:eastAsia="Arial" w:hAnsi="Arial"/>
                <w:sz w:val="9"/>
                <w:szCs w:val="9"/>
                <w:color w:val="262626"/>
              </w:rPr>
              <w:t>(17)</w:t>
            </w:r>
          </w:p>
        </w:tc>
        <w:tc>
          <w:tcPr>
            <w:tcW w:w="800" w:type="dxa"/>
            <w:vAlign w:val="bottom"/>
          </w:tcPr>
          <w:p>
            <w:pPr>
              <w:jc w:val="right"/>
              <w:spacing w:after="0"/>
              <w:rPr>
                <w:sz w:val="20"/>
                <w:szCs w:val="20"/>
                <w:color w:val="auto"/>
              </w:rPr>
            </w:pPr>
            <w:r>
              <w:rPr>
                <w:rFonts w:ascii="Arial" w:cs="Arial" w:eastAsia="Arial" w:hAnsi="Arial"/>
                <w:sz w:val="11"/>
                <w:szCs w:val="11"/>
                <w:color w:val="262626"/>
              </w:rPr>
              <w:t>15,434</w:t>
            </w:r>
          </w:p>
        </w:tc>
        <w:tc>
          <w:tcPr>
            <w:tcW w:w="1160" w:type="dxa"/>
            <w:vAlign w:val="bottom"/>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9"/>
        </w:trPr>
        <w:tc>
          <w:tcPr>
            <w:tcW w:w="790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Kimmarie Sinatra</w:t>
            </w:r>
            <w:r>
              <w:rPr>
                <w:rFonts w:ascii="Arial" w:cs="Arial" w:eastAsia="Arial" w:hAnsi="Arial"/>
                <w:sz w:val="9"/>
                <w:szCs w:val="9"/>
                <w:color w:val="262626"/>
              </w:rPr>
              <w:t>(18)</w:t>
            </w:r>
          </w:p>
        </w:tc>
        <w:tc>
          <w:tcPr>
            <w:tcW w:w="8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rPr>
              <w:t>149,620</w:t>
            </w:r>
          </w:p>
        </w:tc>
        <w:tc>
          <w:tcPr>
            <w:tcW w:w="1160" w:type="dxa"/>
            <w:vAlign w:val="bottom"/>
            <w:tcBorders>
              <w:bottom w:val="single" w:sz="8" w:color="ECEBE8"/>
            </w:tcBorders>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5"/>
                <w:szCs w:val="15"/>
                <w:color w:val="auto"/>
              </w:rPr>
            </w:pPr>
          </w:p>
        </w:tc>
      </w:tr>
      <w:tr>
        <w:trPr>
          <w:trHeight w:val="149"/>
        </w:trPr>
        <w:tc>
          <w:tcPr>
            <w:tcW w:w="7900" w:type="dxa"/>
            <w:vAlign w:val="bottom"/>
          </w:tcPr>
          <w:p>
            <w:pPr>
              <w:ind w:left="80"/>
              <w:spacing w:after="0"/>
              <w:rPr>
                <w:sz w:val="20"/>
                <w:szCs w:val="20"/>
                <w:color w:val="auto"/>
              </w:rPr>
            </w:pPr>
            <w:r>
              <w:rPr>
                <w:rFonts w:ascii="Arial" w:cs="Arial" w:eastAsia="Arial" w:hAnsi="Arial"/>
                <w:sz w:val="11"/>
                <w:szCs w:val="11"/>
                <w:color w:val="262626"/>
              </w:rPr>
              <w:t>Stephen A. Wynn</w:t>
            </w:r>
            <w:r>
              <w:rPr>
                <w:rFonts w:ascii="Arial" w:cs="Arial" w:eastAsia="Arial" w:hAnsi="Arial"/>
                <w:sz w:val="9"/>
                <w:szCs w:val="9"/>
                <w:color w:val="262626"/>
              </w:rPr>
              <w:t>(19)</w:t>
            </w:r>
          </w:p>
        </w:tc>
        <w:tc>
          <w:tcPr>
            <w:tcW w:w="800" w:type="dxa"/>
            <w:vAlign w:val="bottom"/>
          </w:tcPr>
          <w:p>
            <w:pPr>
              <w:jc w:val="right"/>
              <w:spacing w:after="0"/>
              <w:rPr>
                <w:sz w:val="20"/>
                <w:szCs w:val="20"/>
                <w:color w:val="auto"/>
              </w:rPr>
            </w:pPr>
            <w:r>
              <w:rPr>
                <w:rFonts w:ascii="Arial" w:cs="Arial" w:eastAsia="Arial" w:hAnsi="Arial"/>
                <w:sz w:val="11"/>
                <w:szCs w:val="11"/>
                <w:color w:val="262626"/>
              </w:rPr>
              <w:t>—</w:t>
            </w:r>
          </w:p>
        </w:tc>
        <w:tc>
          <w:tcPr>
            <w:tcW w:w="1160" w:type="dxa"/>
            <w:vAlign w:val="bottom"/>
          </w:tcPr>
          <w:p>
            <w:pPr>
              <w:jc w:val="right"/>
              <w:ind w:right="87"/>
              <w:spacing w:after="0"/>
              <w:rPr>
                <w:sz w:val="20"/>
                <w:szCs w:val="20"/>
                <w:color w:val="auto"/>
              </w:rPr>
            </w:pPr>
            <w:r>
              <w:rPr>
                <w:rFonts w:ascii="Arial" w:cs="Arial" w:eastAsia="Arial" w:hAnsi="Arial"/>
                <w:sz w:val="11"/>
                <w:szCs w:val="11"/>
                <w:color w:val="262626"/>
              </w:rPr>
              <w:t>—</w:t>
            </w:r>
          </w:p>
        </w:tc>
        <w:tc>
          <w:tcPr>
            <w:tcW w:w="20" w:type="dxa"/>
            <w:vAlign w:val="bottom"/>
          </w:tcPr>
          <w:p>
            <w:pPr>
              <w:spacing w:after="0"/>
              <w:rPr>
                <w:sz w:val="12"/>
                <w:szCs w:val="12"/>
                <w:color w:val="auto"/>
              </w:rPr>
            </w:pPr>
          </w:p>
        </w:tc>
      </w:tr>
      <w:tr>
        <w:trPr>
          <w:trHeight w:val="49"/>
        </w:trPr>
        <w:tc>
          <w:tcPr>
            <w:tcW w:w="7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6"/>
        </w:trPr>
        <w:tc>
          <w:tcPr>
            <w:tcW w:w="790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All current directors and executive officers as a group (11 persons)</w:t>
            </w:r>
            <w:r>
              <w:rPr>
                <w:rFonts w:ascii="Arial" w:cs="Arial" w:eastAsia="Arial" w:hAnsi="Arial"/>
                <w:sz w:val="9"/>
                <w:szCs w:val="9"/>
                <w:color w:val="262626"/>
              </w:rPr>
              <w:t>(20)</w:t>
            </w:r>
          </w:p>
        </w:tc>
        <w:tc>
          <w:tcPr>
            <w:tcW w:w="80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628,656</w:t>
            </w:r>
          </w:p>
        </w:tc>
        <w:tc>
          <w:tcPr>
            <w:tcW w:w="1160" w:type="dxa"/>
            <w:vAlign w:val="bottom"/>
            <w:shd w:val="clear" w:color="auto" w:fill="ECEBE8"/>
          </w:tcPr>
          <w:p>
            <w:pPr>
              <w:jc w:val="center"/>
              <w:ind w:left="787"/>
              <w:spacing w:after="0"/>
              <w:rPr>
                <w:sz w:val="20"/>
                <w:szCs w:val="20"/>
                <w:color w:val="auto"/>
              </w:rPr>
            </w:pPr>
            <w:r>
              <w:rPr>
                <w:rFonts w:ascii="Arial" w:cs="Arial" w:eastAsia="Arial" w:hAnsi="Arial"/>
                <w:sz w:val="11"/>
                <w:szCs w:val="11"/>
                <w:color w:val="262626"/>
                <w:w w:val="92"/>
              </w:rPr>
              <w:t>*</w:t>
            </w:r>
          </w:p>
        </w:tc>
        <w:tc>
          <w:tcPr>
            <w:tcW w:w="20" w:type="dxa"/>
            <w:vAlign w:val="bottom"/>
          </w:tcPr>
          <w:p>
            <w:pPr>
              <w:spacing w:after="0"/>
              <w:rPr>
                <w:sz w:val="12"/>
                <w:szCs w:val="12"/>
                <w:color w:val="auto"/>
              </w:rPr>
            </w:pPr>
          </w:p>
        </w:tc>
      </w:tr>
      <w:tr>
        <w:trPr>
          <w:trHeight w:val="53"/>
        </w:trPr>
        <w:tc>
          <w:tcPr>
            <w:tcW w:w="7900" w:type="dxa"/>
            <w:vAlign w:val="bottom"/>
            <w:shd w:val="clear" w:color="auto" w:fill="ECEBE8"/>
          </w:tcPr>
          <w:p>
            <w:pPr>
              <w:spacing w:after="0"/>
              <w:rPr>
                <w:sz w:val="4"/>
                <w:szCs w:val="4"/>
                <w:color w:val="auto"/>
              </w:rPr>
            </w:pPr>
          </w:p>
        </w:tc>
        <w:tc>
          <w:tcPr>
            <w:tcW w:w="800" w:type="dxa"/>
            <w:vAlign w:val="bottom"/>
            <w:shd w:val="clear" w:color="auto" w:fill="ECEBE8"/>
          </w:tcPr>
          <w:p>
            <w:pPr>
              <w:spacing w:after="0"/>
              <w:rPr>
                <w:sz w:val="4"/>
                <w:szCs w:val="4"/>
                <w:color w:val="auto"/>
              </w:rPr>
            </w:pPr>
          </w:p>
        </w:tc>
        <w:tc>
          <w:tcPr>
            <w:tcW w:w="1160" w:type="dxa"/>
            <w:vAlign w:val="bottom"/>
            <w:shd w:val="clear" w:color="auto" w:fill="ECEBE8"/>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-3825875</wp:posOffset>
            </wp:positionV>
            <wp:extent cx="825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-3909695</wp:posOffset>
            </wp:positionV>
            <wp:extent cx="1101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1"/>
          <w:szCs w:val="11"/>
          <w:color w:val="262626"/>
        </w:rPr>
        <w:t>* Less than one percent</w:t>
      </w:r>
    </w:p>
    <w:p>
      <w:pPr>
        <w:spacing w:after="0" w:line="33" w:lineRule="exact"/>
        <w:rPr>
          <w:sz w:val="20"/>
          <w:szCs w:val="20"/>
          <w:color w:val="auto"/>
        </w:rPr>
      </w:pPr>
    </w:p>
    <w:p>
      <w:pPr>
        <w:ind w:left="780" w:right="60" w:firstLine="1"/>
        <w:spacing w:after="0" w:line="230" w:lineRule="auto"/>
        <w:tabs>
          <w:tab w:leader="none" w:pos="919" w:val="left"/>
        </w:tabs>
        <w:numPr>
          <w:ilvl w:val="0"/>
          <w:numId w:val="78"/>
        </w:numPr>
        <w:rPr>
          <w:rFonts w:ascii="Arial" w:cs="Arial" w:eastAsia="Arial" w:hAnsi="Arial"/>
          <w:sz w:val="9"/>
          <w:szCs w:val="9"/>
          <w:color w:val="262626"/>
        </w:rPr>
      </w:pPr>
      <w:r>
        <w:rPr>
          <w:rFonts w:ascii="Arial" w:cs="Arial" w:eastAsia="Arial" w:hAnsi="Arial"/>
          <w:sz w:val="11"/>
          <w:szCs w:val="11"/>
          <w:color w:val="262626"/>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8"/>
        </w:numPr>
        <w:rPr>
          <w:rFonts w:ascii="Arial" w:cs="Arial" w:eastAsia="Arial" w:hAnsi="Arial"/>
          <w:sz w:val="9"/>
          <w:szCs w:val="9"/>
          <w:color w:val="262626"/>
        </w:rPr>
      </w:pPr>
      <w:r>
        <w:rPr>
          <w:rFonts w:ascii="Arial" w:cs="Arial" w:eastAsia="Arial" w:hAnsi="Arial"/>
          <w:sz w:val="11"/>
          <w:szCs w:val="11"/>
          <w:color w:val="262626"/>
        </w:rPr>
        <w:t>Unless otherwise indicated, the address of each of the named parties in this table is: c/o Wynn Resorts, Limited, 3131 Las Vegas Boulevard South, 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334010</wp:posOffset>
            </wp:positionV>
            <wp:extent cx="521335" cy="2355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48</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80" w:right="240" w:firstLine="1"/>
        <w:spacing w:after="0" w:line="230" w:lineRule="auto"/>
        <w:tabs>
          <w:tab w:leader="none" w:pos="91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The Vanguard Group (“Vanguard”) has beneficial ownership of these shares as of December 31, 2018. Vanguard has sole dispositive power as to 9,541,856 shares, sole voting power as to 120,648 shares, shared voting power as to 23,987 shares and shared dispositive power as to 142,460 shares. The information provided is based upon a Schedule 13G/A filed on February 11, 2019 by Vanguard. The number of common shares beneficially owned by the Vanguard Group may have changed since the filing of the Schedule 13G/A.</w:t>
      </w:r>
    </w:p>
    <w:p>
      <w:pPr>
        <w:spacing w:after="0" w:line="33" w:lineRule="exact"/>
        <w:rPr>
          <w:rFonts w:ascii="Arial" w:cs="Arial" w:eastAsia="Arial" w:hAnsi="Arial"/>
          <w:sz w:val="9"/>
          <w:szCs w:val="9"/>
          <w:color w:val="262626"/>
        </w:rPr>
      </w:pPr>
    </w:p>
    <w:p>
      <w:pPr>
        <w:ind w:left="920" w:hanging="139"/>
        <w:spacing w:after="0"/>
        <w:tabs>
          <w:tab w:leader="none" w:pos="92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The information provided is based upon a Schedule 13D/A, dated August 6, 2018, filed by Elaine P. Wynn.</w:t>
      </w:r>
    </w:p>
    <w:p>
      <w:pPr>
        <w:spacing w:after="0" w:line="33" w:lineRule="exact"/>
        <w:rPr>
          <w:rFonts w:ascii="Arial" w:cs="Arial" w:eastAsia="Arial" w:hAnsi="Arial"/>
          <w:sz w:val="9"/>
          <w:szCs w:val="9"/>
          <w:color w:val="262626"/>
        </w:rPr>
      </w:pPr>
    </w:p>
    <w:p>
      <w:pPr>
        <w:ind w:left="780" w:right="280" w:firstLine="1"/>
        <w:spacing w:after="0" w:line="260" w:lineRule="auto"/>
        <w:tabs>
          <w:tab w:leader="none" w:pos="919" w:val="left"/>
        </w:tabs>
        <w:numPr>
          <w:ilvl w:val="0"/>
          <w:numId w:val="79"/>
        </w:numPr>
        <w:rPr>
          <w:rFonts w:ascii="Arial" w:cs="Arial" w:eastAsia="Arial" w:hAnsi="Arial"/>
          <w:sz w:val="8"/>
          <w:szCs w:val="8"/>
          <w:color w:val="262626"/>
        </w:rPr>
      </w:pPr>
      <w:r>
        <w:rPr>
          <w:rFonts w:ascii="Arial" w:cs="Arial" w:eastAsia="Arial" w:hAnsi="Arial"/>
          <w:sz w:val="10"/>
          <w:szCs w:val="10"/>
          <w:color w:val="262626"/>
        </w:rPr>
        <w:t>Based on Schedules 13F filed on February 14, 2019 by Capital Research Global Investors, Capital World Investors, Capital International Inc, Capital Guardian Trust Co, Capital Bank &amp; Trust Co, Capital International Investors, Capital International SARL, and Capital International Ltd. None of these related funds reported in any filed Schedule 13F beneficial ownership as aggregated with all other related funds, and may disclaim beneficial ownership of the shares held by some or all related funds. None of these related funds individually held in excess of 5% of the outstanding shares of the Company’s common stock.</w:t>
      </w:r>
    </w:p>
    <w:p>
      <w:pPr>
        <w:spacing w:after="0" w:line="10" w:lineRule="exact"/>
        <w:rPr>
          <w:rFonts w:ascii="Arial" w:cs="Arial" w:eastAsia="Arial" w:hAnsi="Arial"/>
          <w:sz w:val="8"/>
          <w:szCs w:val="8"/>
          <w:color w:val="262626"/>
        </w:rPr>
      </w:pPr>
    </w:p>
    <w:p>
      <w:pPr>
        <w:jc w:val="both"/>
        <w:ind w:left="780" w:right="320" w:firstLine="1"/>
        <w:spacing w:after="0" w:line="230" w:lineRule="auto"/>
        <w:tabs>
          <w:tab w:leader="none" w:pos="91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T. Rowe Price Associates, Inc. (“Price Associates”) has beneficial ownership of these shares as of December 31, 2018. Price Associates has sole dispositive power as to 7,154,817 shares, and sole voting power as to 2,679,781 shares. The information provided is based upon a Schedule 13G filed on February 14, 2019 by Price Associates. The number of common shares beneficially owned by Price Associates may have changed since the filing of the Schedule 13G.</w:t>
      </w:r>
    </w:p>
    <w:p>
      <w:pPr>
        <w:spacing w:after="0" w:line="33" w:lineRule="exact"/>
        <w:rPr>
          <w:rFonts w:ascii="Arial" w:cs="Arial" w:eastAsia="Arial" w:hAnsi="Arial"/>
          <w:sz w:val="9"/>
          <w:szCs w:val="9"/>
          <w:color w:val="262626"/>
        </w:rPr>
      </w:pPr>
    </w:p>
    <w:p>
      <w:pPr>
        <w:ind w:left="780" w:right="280" w:firstLine="1"/>
        <w:spacing w:after="0" w:line="230" w:lineRule="auto"/>
        <w:tabs>
          <w:tab w:leader="none" w:pos="91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Blackrock, Inc. (“Blackrock”) has beneficial ownership of these shares as of December 31, 2018. Blackrock has sole dispositive power as to 6,187,633 shares, and sole voting power as to 5,495,530 shares. The information provided is based upon a Schedule 13G filed on February 8, 2019 by Blackrock. The number of common shares beneficially owned by Blackrock may have changed since the filing of the Schedule 13G.</w:t>
      </w:r>
    </w:p>
    <w:p>
      <w:pPr>
        <w:spacing w:after="0" w:line="33" w:lineRule="exact"/>
        <w:rPr>
          <w:rFonts w:ascii="Arial" w:cs="Arial" w:eastAsia="Arial" w:hAnsi="Arial"/>
          <w:sz w:val="9"/>
          <w:szCs w:val="9"/>
          <w:color w:val="262626"/>
        </w:rPr>
      </w:pPr>
    </w:p>
    <w:p>
      <w:pPr>
        <w:ind w:left="780" w:right="180" w:firstLine="1"/>
        <w:spacing w:after="0" w:line="230" w:lineRule="auto"/>
        <w:tabs>
          <w:tab w:leader="none" w:pos="91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Lone Pine Capital LLC (“Lone Pine”) has beneficial ownership of these shares as of December 31, 2018. Lone Pine has sole dispositive power and sole voting power as to 5,955,497 shares. The information provided is based upon a Schedule 13G filed on September 10, 2018 by Lone Pine and a schedule 13F which indicated no changes as of December 31, 2018. The number of common shares beneficially owned by Lone Pine may have changed since the filing of the Schedule 13G.</w:t>
      </w:r>
    </w:p>
    <w:p>
      <w:pPr>
        <w:spacing w:after="0" w:line="19" w:lineRule="exact"/>
        <w:rPr>
          <w:rFonts w:ascii="Arial" w:cs="Arial" w:eastAsia="Arial" w:hAnsi="Arial"/>
          <w:sz w:val="9"/>
          <w:szCs w:val="9"/>
          <w:color w:val="262626"/>
        </w:rPr>
      </w:pPr>
    </w:p>
    <w:p>
      <w:pPr>
        <w:ind w:left="920" w:hanging="139"/>
        <w:spacing w:after="0"/>
        <w:tabs>
          <w:tab w:leader="none" w:pos="92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1,309 shares of unvested restricted stock subject to vesting in accordance with a Restricted Stock Agreement.</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1,309 shares of unvested restricted stock subject to vesting in accordance with a Restricted Stock Agreement.</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1,309 shares of unvested restricted stock subject to vesting in accordance with a Restricted Stock Agreement.</w:t>
      </w:r>
    </w:p>
    <w:p>
      <w:pPr>
        <w:spacing w:after="0" w:line="19" w:lineRule="exact"/>
        <w:rPr>
          <w:rFonts w:ascii="Arial" w:cs="Arial" w:eastAsia="Arial" w:hAnsi="Arial"/>
          <w:sz w:val="9"/>
          <w:szCs w:val="9"/>
          <w:color w:val="262626"/>
        </w:rPr>
      </w:pPr>
    </w:p>
    <w:p>
      <w:pPr>
        <w:ind w:left="780" w:right="200" w:firstLine="1"/>
        <w:spacing w:after="0" w:line="232"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(i) 2,923 shares of unvested restricted stock subject to vesting in accordance with a Restricted Stock Agreement and (ii) 10,000 shares subject to immediately exercisable options to purchase Wynn Resorts’ Common Stock.</w:t>
      </w:r>
    </w:p>
    <w:p>
      <w:pPr>
        <w:spacing w:after="0" w:line="33" w:lineRule="exact"/>
        <w:rPr>
          <w:rFonts w:ascii="Arial" w:cs="Arial" w:eastAsia="Arial" w:hAnsi="Arial"/>
          <w:sz w:val="9"/>
          <w:szCs w:val="9"/>
          <w:color w:val="262626"/>
        </w:rPr>
      </w:pPr>
    </w:p>
    <w:p>
      <w:pPr>
        <w:ind w:left="780" w:right="440" w:firstLine="1"/>
        <w:spacing w:after="0" w:line="232"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(i) 4,203 shares of unvested restricted stock subject to vesting in accordance with a Restricted Stock Agreement, (ii) 6,700 shares subject to immediately exercisable options to purchase Wynn Resorts’ Common Stock and (iii) 2,891 shares held indirectly through a family trust.</w:t>
      </w:r>
    </w:p>
    <w:p>
      <w:pPr>
        <w:spacing w:after="0" w:line="33" w:lineRule="exact"/>
        <w:rPr>
          <w:rFonts w:ascii="Arial" w:cs="Arial" w:eastAsia="Arial" w:hAnsi="Arial"/>
          <w:sz w:val="9"/>
          <w:szCs w:val="9"/>
          <w:color w:val="262626"/>
        </w:rPr>
      </w:pPr>
    </w:p>
    <w:p>
      <w:pPr>
        <w:ind w:left="780" w:right="260" w:firstLine="1"/>
        <w:spacing w:after="0" w:line="232"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(i) 4,203 shares of unvested restricted stock subject to vesting in accordance with a Restricted Stock Agreement and (ii) 7,000 shares subject to immediately exercisable options to purchase Wynn Resorts’ Common Stock.</w:t>
      </w:r>
    </w:p>
    <w:p>
      <w:pPr>
        <w:spacing w:after="0" w:line="20" w:lineRule="exact"/>
        <w:rPr>
          <w:rFonts w:ascii="Arial" w:cs="Arial" w:eastAsia="Arial" w:hAnsi="Arial"/>
          <w:sz w:val="9"/>
          <w:szCs w:val="9"/>
          <w:color w:val="262626"/>
        </w:rPr>
      </w:pPr>
    </w:p>
    <w:p>
      <w:pPr>
        <w:ind w:left="780" w:right="400" w:firstLine="1"/>
        <w:spacing w:after="0" w:line="232"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(i) 252,842 shares of unvested restricted stock subject to vesting in accordance with Restricted Stock Agreements and (ii) 30,000 shares subject to options to purchase Wynn Resorts’ Common Stock that become exercisable on May 6, 2019.</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52,092 shares of unvested restricted stock subject to vesting in accordance with a Restricted Stock Agreement.</w:t>
      </w:r>
    </w:p>
    <w:p>
      <w:pPr>
        <w:spacing w:after="0" w:line="32" w:lineRule="exact"/>
        <w:rPr>
          <w:rFonts w:ascii="Arial" w:cs="Arial" w:eastAsia="Arial" w:hAnsi="Arial"/>
          <w:sz w:val="9"/>
          <w:szCs w:val="9"/>
          <w:color w:val="262626"/>
        </w:rPr>
      </w:pPr>
    </w:p>
    <w:p>
      <w:pPr>
        <w:ind w:left="980" w:hanging="199"/>
        <w:spacing w:after="0"/>
        <w:tabs>
          <w:tab w:leader="none" w:pos="98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12,981 shares of unvested restricted stock subject to vesting in accordance with a Restricted Stock Agreement.</w:t>
      </w:r>
    </w:p>
    <w:p>
      <w:pPr>
        <w:spacing w:after="0" w:line="19" w:lineRule="exact"/>
        <w:rPr>
          <w:rFonts w:ascii="Arial" w:cs="Arial" w:eastAsia="Arial" w:hAnsi="Arial"/>
          <w:sz w:val="9"/>
          <w:szCs w:val="9"/>
          <w:color w:val="262626"/>
        </w:rPr>
      </w:pPr>
    </w:p>
    <w:p>
      <w:pPr>
        <w:ind w:left="980" w:hanging="199"/>
        <w:spacing w:after="0"/>
        <w:tabs>
          <w:tab w:leader="none" w:pos="980"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Ms. Sinatra left the Company effective July 15, 2018. The information provided is based on the Company’s records as of July 15, 2018.</w:t>
      </w:r>
    </w:p>
    <w:p>
      <w:pPr>
        <w:spacing w:after="0" w:line="33" w:lineRule="exact"/>
        <w:rPr>
          <w:rFonts w:ascii="Arial" w:cs="Arial" w:eastAsia="Arial" w:hAnsi="Arial"/>
          <w:sz w:val="9"/>
          <w:szCs w:val="9"/>
          <w:color w:val="262626"/>
        </w:rPr>
      </w:pPr>
    </w:p>
    <w:p>
      <w:pPr>
        <w:ind w:left="780" w:right="240" w:firstLine="1"/>
        <w:spacing w:after="0" w:line="228"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The information provided is based upon a Schedule 13D/A, dated March 22, 2018, filed by Mr. Wynn and Wynn Family Limited Partnership (collectively, the “Selling Shareholder”). The Selling Shareholder reported that on March 21, 2018, it sold an aggregate of 4,104,999 shares of Common Stock at a price of $180.00 per share in open market transactions pursuant to Rule 144 under the Security Act of 1933, as amended. On or around March 28, 2018, the Selling Shareholder completed its sales of 3,026,708 shares of Common Stock at a price of $175.00 per share to T. Rowe Price Associates, Inc. and 5,000,000 shares of Common Stock at a price of $175.00 per share to certain funds managed or advised by Capital Research and Management Company. Upon completion of these sales, the Selling Shareholder had no remaining holdings of Common Stock.</w:t>
      </w:r>
    </w:p>
    <w:p>
      <w:pPr>
        <w:spacing w:after="0" w:line="34" w:lineRule="exact"/>
        <w:rPr>
          <w:rFonts w:ascii="Arial" w:cs="Arial" w:eastAsia="Arial" w:hAnsi="Arial"/>
          <w:sz w:val="9"/>
          <w:szCs w:val="9"/>
          <w:color w:val="262626"/>
        </w:rPr>
      </w:pPr>
    </w:p>
    <w:p>
      <w:pPr>
        <w:ind w:left="780" w:right="300" w:firstLine="1"/>
        <w:spacing w:after="0" w:line="232" w:lineRule="auto"/>
        <w:tabs>
          <w:tab w:leader="none" w:pos="969" w:val="left"/>
        </w:tabs>
        <w:numPr>
          <w:ilvl w:val="0"/>
          <w:numId w:val="79"/>
        </w:numPr>
        <w:rPr>
          <w:rFonts w:ascii="Arial" w:cs="Arial" w:eastAsia="Arial" w:hAnsi="Arial"/>
          <w:sz w:val="9"/>
          <w:szCs w:val="9"/>
          <w:color w:val="262626"/>
        </w:rPr>
      </w:pPr>
      <w:r>
        <w:rPr>
          <w:rFonts w:ascii="Arial" w:cs="Arial" w:eastAsia="Arial" w:hAnsi="Arial"/>
          <w:sz w:val="11"/>
          <w:szCs w:val="11"/>
          <w:color w:val="262626"/>
        </w:rPr>
        <w:t>Includes (i) 23,700 shares subject to immediately exercisable stock options to purchase Wynn Resorts’ Common Stock and (ii) 30,000 shares subject to options to purchase Wynn Resorts’ Common Stock that become exercisable on May 6, 2019.</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SECTION 16(A) BENEFICIAL OWNERSHIP REPORTING COMPLIANCE</w:t>
      </w:r>
    </w:p>
    <w:p>
      <w:pPr>
        <w:spacing w:after="0" w:line="79" w:lineRule="exact"/>
        <w:rPr>
          <w:sz w:val="20"/>
          <w:szCs w:val="20"/>
          <w:color w:val="auto"/>
        </w:rPr>
      </w:pPr>
    </w:p>
    <w:p>
      <w:pPr>
        <w:ind w:left="780" w:right="220"/>
        <w:spacing w:after="0"/>
        <w:rPr>
          <w:sz w:val="20"/>
          <w:szCs w:val="20"/>
          <w:color w:val="auto"/>
        </w:rPr>
      </w:pPr>
      <w:r>
        <w:rPr>
          <w:rFonts w:ascii="Arial" w:cs="Arial" w:eastAsia="Arial" w:hAnsi="Arial"/>
          <w:sz w:val="14"/>
          <w:szCs w:val="14"/>
          <w:color w:val="262626"/>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2018.</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49</w:t>
      </w:r>
    </w:p>
    <w:p>
      <w:pPr>
        <w:sectPr>
          <w:pgSz w:w="11900" w:h="16838" w:orient="portrait"/>
          <w:cols w:equalWidth="0" w:num="1">
            <w:col w:w="10800"/>
          </w:cols>
          <w:pgMar w:left="240" w:top="453" w:right="8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262626"/>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50</w:t>
      </w:r>
      <w:r>
        <w:rPr>
          <w:sz w:val="20"/>
          <w:szCs w:val="20"/>
          <w:color w:val="auto"/>
        </w:rPr>
        <w:tab/>
      </w:r>
      <w:r>
        <w:rPr>
          <w:rFonts w:ascii="Arial" w:cs="Arial" w:eastAsia="Arial" w:hAnsi="Arial"/>
          <w:sz w:val="7"/>
          <w:szCs w:val="7"/>
          <w:b w:val="1"/>
          <w:bCs w:val="1"/>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-58420</wp:posOffset>
            </wp:positionV>
            <wp:extent cx="521335" cy="2355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PROPOSAL 1: ELECTION OF DIRECTORS</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At the recommendation of the Company’s Nominating and Corporate Governance Committee, the Board is nominating the following individuals for election as</w:t>
      </w:r>
    </w:p>
    <w:p>
      <w:pPr>
        <w:ind w:left="780"/>
        <w:spacing w:after="0"/>
        <w:rPr>
          <w:sz w:val="20"/>
          <w:szCs w:val="20"/>
          <w:color w:val="auto"/>
        </w:rPr>
      </w:pPr>
      <w:r>
        <w:rPr>
          <w:rFonts w:ascii="Arial" w:cs="Arial" w:eastAsia="Arial" w:hAnsi="Arial"/>
          <w:sz w:val="14"/>
          <w:szCs w:val="14"/>
          <w:color w:val="262626"/>
        </w:rPr>
        <w:t>Class II directors:</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Jay L. Johnson</w:t>
      </w:r>
    </w:p>
    <w:p>
      <w:pPr>
        <w:ind w:left="780"/>
        <w:spacing w:after="0" w:line="236" w:lineRule="auto"/>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Margaret J. Myers</w:t>
      </w:r>
    </w:p>
    <w:p>
      <w:pPr>
        <w:ind w:left="780"/>
        <w:spacing w:after="0"/>
        <w:rPr>
          <w:sz w:val="20"/>
          <w:szCs w:val="20"/>
          <w:color w:val="auto"/>
        </w:rPr>
      </w:pPr>
      <w:r>
        <w:rPr>
          <w:rFonts w:ascii="Arial" w:cs="Arial" w:eastAsia="Arial" w:hAnsi="Arial"/>
          <w:sz w:val="14"/>
          <w:szCs w:val="14"/>
          <w:color w:val="CC870F"/>
        </w:rPr>
        <w:t xml:space="preserve">–  </w:t>
      </w:r>
      <w:r>
        <w:rPr>
          <w:rFonts w:ascii="Arial" w:cs="Arial" w:eastAsia="Arial" w:hAnsi="Arial"/>
          <w:sz w:val="14"/>
          <w:szCs w:val="14"/>
          <w:color w:val="262626"/>
        </w:rPr>
        <w:t>Winifred M. Webb</w:t>
      </w:r>
    </w:p>
    <w:p>
      <w:pPr>
        <w:spacing w:after="0" w:line="183" w:lineRule="exact"/>
        <w:rPr>
          <w:sz w:val="20"/>
          <w:szCs w:val="20"/>
          <w:color w:val="auto"/>
        </w:rPr>
      </w:pPr>
    </w:p>
    <w:p>
      <w:pPr>
        <w:ind w:left="780" w:right="180"/>
        <w:spacing w:after="0" w:line="239" w:lineRule="auto"/>
        <w:rPr>
          <w:sz w:val="20"/>
          <w:szCs w:val="20"/>
          <w:color w:val="auto"/>
        </w:rPr>
      </w:pPr>
      <w:r>
        <w:rPr>
          <w:rFonts w:ascii="Arial" w:cs="Arial" w:eastAsia="Arial" w:hAnsi="Arial"/>
          <w:sz w:val="14"/>
          <w:szCs w:val="14"/>
          <w:color w:val="262626"/>
        </w:rPr>
        <w:t>The Board has nominated the three individuals listed above to serve as Class II directors for terms that commence upon election at the 2019 Annual Meeting. If elected at the 2019 Annual Meeting, each nominee would serve until the 2022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Biographical and other information for our nominees and our current directors is provided in the “Director Biographies” section.</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OUR BOARD OF DIRECTORS RECOMMENDS THAT YOU VOTE FOR THE ELECTION OF THE NOMINEES LISTED ABOVE.</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PROPOSAL 2: RATIFICATION OF APPOINTMENT OF INDEPENDENT AUDITORS</w:t>
      </w:r>
    </w:p>
    <w:p>
      <w:pPr>
        <w:spacing w:after="0" w:line="79" w:lineRule="exact"/>
        <w:rPr>
          <w:sz w:val="20"/>
          <w:szCs w:val="20"/>
          <w:color w:val="auto"/>
        </w:rPr>
      </w:pPr>
    </w:p>
    <w:p>
      <w:pPr>
        <w:ind w:left="780" w:right="180"/>
        <w:spacing w:after="0" w:line="241" w:lineRule="auto"/>
        <w:rPr>
          <w:sz w:val="20"/>
          <w:szCs w:val="20"/>
          <w:color w:val="auto"/>
        </w:rPr>
      </w:pPr>
      <w:r>
        <w:rPr>
          <w:rFonts w:ascii="Arial" w:cs="Arial" w:eastAsia="Arial" w:hAnsi="Arial"/>
          <w:sz w:val="14"/>
          <w:szCs w:val="14"/>
          <w:color w:val="262626"/>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2019. Representatives of Ernst &amp; Young LLP will be present at the Annual Meeting and will be given an opportunity to make a statement. They also will be available to respond to appropriate questions.</w:t>
      </w:r>
    </w:p>
    <w:p>
      <w:pPr>
        <w:spacing w:after="0" w:line="174" w:lineRule="exact"/>
        <w:rPr>
          <w:sz w:val="20"/>
          <w:szCs w:val="20"/>
          <w:color w:val="auto"/>
        </w:rPr>
      </w:pPr>
    </w:p>
    <w:p>
      <w:pPr>
        <w:ind w:left="780" w:right="180"/>
        <w:spacing w:after="0" w:line="239" w:lineRule="auto"/>
        <w:rPr>
          <w:sz w:val="20"/>
          <w:szCs w:val="20"/>
          <w:color w:val="auto"/>
        </w:rPr>
      </w:pPr>
      <w:r>
        <w:rPr>
          <w:rFonts w:ascii="Arial" w:cs="Arial" w:eastAsia="Arial" w:hAnsi="Arial"/>
          <w:sz w:val="14"/>
          <w:szCs w:val="14"/>
          <w:color w:val="262626"/>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2019,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AUDIT AND OTHER FEES</w:t>
      </w:r>
    </w:p>
    <w:p>
      <w:pPr>
        <w:spacing w:after="0" w:line="98" w:lineRule="exact"/>
        <w:rPr>
          <w:sz w:val="20"/>
          <w:szCs w:val="20"/>
          <w:color w:val="auto"/>
        </w:rPr>
      </w:pPr>
    </w:p>
    <w:p>
      <w:pPr>
        <w:ind w:left="780" w:right="300"/>
        <w:spacing w:after="0" w:line="249" w:lineRule="auto"/>
        <w:rPr>
          <w:sz w:val="20"/>
          <w:szCs w:val="20"/>
          <w:color w:val="auto"/>
        </w:rPr>
      </w:pPr>
      <w:r>
        <w:rPr>
          <w:rFonts w:ascii="Arial" w:cs="Arial" w:eastAsia="Arial" w:hAnsi="Arial"/>
          <w:sz w:val="14"/>
          <w:szCs w:val="14"/>
          <w:color w:val="262626"/>
        </w:rPr>
        <w:t>The following table presents the aggregate fees billed (or expected to be billed) to the Company for audit and other services provided by Ernst &amp; Young LLP, the Company’s independent auditor for each of the fiscal years ended December 31, 2018, and December 31, 2017:</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132"/>
        </w:trPr>
        <w:tc>
          <w:tcPr>
            <w:tcW w:w="8440" w:type="dxa"/>
            <w:vAlign w:val="bottom"/>
            <w:shd w:val="clear" w:color="auto" w:fill="A39B8C"/>
          </w:tcPr>
          <w:p>
            <w:pPr>
              <w:spacing w:after="0"/>
              <w:rPr>
                <w:sz w:val="11"/>
                <w:szCs w:val="11"/>
                <w:color w:val="auto"/>
              </w:rPr>
            </w:pPr>
          </w:p>
        </w:tc>
        <w:tc>
          <w:tcPr>
            <w:tcW w:w="200" w:type="dxa"/>
            <w:vAlign w:val="bottom"/>
            <w:shd w:val="clear" w:color="auto" w:fill="A39B8C"/>
          </w:tcPr>
          <w:p>
            <w:pPr>
              <w:spacing w:after="0"/>
              <w:rPr>
                <w:sz w:val="11"/>
                <w:szCs w:val="11"/>
                <w:color w:val="auto"/>
              </w:rPr>
            </w:pPr>
          </w:p>
        </w:tc>
        <w:tc>
          <w:tcPr>
            <w:tcW w:w="1220" w:type="dxa"/>
            <w:vAlign w:val="bottom"/>
            <w:gridSpan w:val="3"/>
            <w:shd w:val="clear" w:color="auto" w:fill="A39B8C"/>
          </w:tcPr>
          <w:p>
            <w:pPr>
              <w:jc w:val="right"/>
              <w:ind w:right="209"/>
              <w:spacing w:after="0"/>
              <w:rPr>
                <w:sz w:val="20"/>
                <w:szCs w:val="20"/>
                <w:color w:val="auto"/>
              </w:rPr>
            </w:pPr>
            <w:r>
              <w:rPr>
                <w:rFonts w:ascii="Arial" w:cs="Arial" w:eastAsia="Arial" w:hAnsi="Arial"/>
                <w:sz w:val="9"/>
                <w:szCs w:val="9"/>
                <w:b w:val="1"/>
                <w:bCs w:val="1"/>
                <w:color w:val="FFFFFF"/>
              </w:rPr>
              <w:t>AGGREGATE FEES</w:t>
            </w:r>
          </w:p>
        </w:tc>
        <w:tc>
          <w:tcPr>
            <w:tcW w:w="20" w:type="dxa"/>
            <w:vAlign w:val="bottom"/>
            <w:shd w:val="clear" w:color="auto" w:fill="A39B8C"/>
          </w:tcPr>
          <w:p>
            <w:pPr>
              <w:spacing w:after="0"/>
              <w:rPr>
                <w:sz w:val="11"/>
                <w:szCs w:val="11"/>
                <w:color w:val="auto"/>
              </w:rPr>
            </w:pPr>
          </w:p>
        </w:tc>
      </w:tr>
      <w:tr>
        <w:trPr>
          <w:trHeight w:val="139"/>
        </w:trPr>
        <w:tc>
          <w:tcPr>
            <w:tcW w:w="844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CATEGORY</w:t>
            </w:r>
          </w:p>
        </w:tc>
        <w:tc>
          <w:tcPr>
            <w:tcW w:w="200" w:type="dxa"/>
            <w:vAlign w:val="bottom"/>
            <w:tcBorders>
              <w:bottom w:val="single" w:sz="8" w:color="A39B8C"/>
            </w:tcBorders>
            <w:shd w:val="clear" w:color="auto" w:fill="A39B8C"/>
          </w:tcPr>
          <w:p>
            <w:pPr>
              <w:spacing w:after="0"/>
              <w:rPr>
                <w:sz w:val="12"/>
                <w:szCs w:val="12"/>
                <w:color w:val="auto"/>
              </w:rPr>
            </w:pPr>
          </w:p>
        </w:tc>
        <w:tc>
          <w:tcPr>
            <w:tcW w:w="48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2018</w:t>
            </w:r>
          </w:p>
        </w:tc>
        <w:tc>
          <w:tcPr>
            <w:tcW w:w="200" w:type="dxa"/>
            <w:vAlign w:val="bottom"/>
            <w:tcBorders>
              <w:bottom w:val="single" w:sz="8" w:color="A39B8C"/>
            </w:tcBorders>
            <w:shd w:val="clear" w:color="auto" w:fill="A39B8C"/>
          </w:tcPr>
          <w:p>
            <w:pPr>
              <w:spacing w:after="0"/>
              <w:rPr>
                <w:sz w:val="12"/>
                <w:szCs w:val="12"/>
                <w:color w:val="auto"/>
              </w:rPr>
            </w:pPr>
          </w:p>
        </w:tc>
        <w:tc>
          <w:tcPr>
            <w:tcW w:w="540" w:type="dxa"/>
            <w:vAlign w:val="bottom"/>
            <w:tcBorders>
              <w:bottom w:val="single" w:sz="8" w:color="A39B8C"/>
            </w:tcBorders>
            <w:shd w:val="clear" w:color="auto" w:fill="A39B8C"/>
          </w:tcPr>
          <w:p>
            <w:pPr>
              <w:jc w:val="right"/>
              <w:spacing w:after="0"/>
              <w:rPr>
                <w:sz w:val="20"/>
                <w:szCs w:val="20"/>
                <w:color w:val="auto"/>
              </w:rPr>
            </w:pPr>
            <w:r>
              <w:rPr>
                <w:rFonts w:ascii="Arial" w:cs="Arial" w:eastAsia="Arial" w:hAnsi="Arial"/>
                <w:sz w:val="9"/>
                <w:szCs w:val="9"/>
                <w:b w:val="1"/>
                <w:bCs w:val="1"/>
                <w:color w:val="FFFFFF"/>
              </w:rPr>
              <w:t>2017</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89"/>
        </w:trPr>
        <w:tc>
          <w:tcPr>
            <w:tcW w:w="8440" w:type="dxa"/>
            <w:vAlign w:val="bottom"/>
          </w:tcPr>
          <w:p>
            <w:pPr>
              <w:ind w:left="80"/>
              <w:spacing w:after="0"/>
              <w:rPr>
                <w:sz w:val="20"/>
                <w:szCs w:val="20"/>
                <w:color w:val="auto"/>
              </w:rPr>
            </w:pPr>
            <w:r>
              <w:rPr>
                <w:rFonts w:ascii="Arial" w:cs="Arial" w:eastAsia="Arial" w:hAnsi="Arial"/>
                <w:sz w:val="11"/>
                <w:szCs w:val="11"/>
                <w:color w:val="262626"/>
              </w:rPr>
              <w:t>Audit fees</w:t>
            </w:r>
          </w:p>
        </w:tc>
        <w:tc>
          <w:tcPr>
            <w:tcW w:w="200" w:type="dxa"/>
            <w:vAlign w:val="bottom"/>
          </w:tcPr>
          <w:p>
            <w:pPr>
              <w:jc w:val="right"/>
              <w:spacing w:after="0"/>
              <w:rPr>
                <w:sz w:val="20"/>
                <w:szCs w:val="20"/>
                <w:color w:val="auto"/>
              </w:rPr>
            </w:pPr>
            <w:r>
              <w:rPr>
                <w:rFonts w:ascii="Arial" w:cs="Arial" w:eastAsia="Arial" w:hAnsi="Arial"/>
                <w:sz w:val="11"/>
                <w:szCs w:val="11"/>
                <w:color w:val="262626"/>
              </w:rPr>
              <w:t>$</w:t>
            </w:r>
          </w:p>
        </w:tc>
        <w:tc>
          <w:tcPr>
            <w:tcW w:w="480" w:type="dxa"/>
            <w:vAlign w:val="bottom"/>
          </w:tcPr>
          <w:p>
            <w:pPr>
              <w:jc w:val="right"/>
              <w:spacing w:after="0"/>
              <w:rPr>
                <w:sz w:val="20"/>
                <w:szCs w:val="20"/>
                <w:color w:val="auto"/>
              </w:rPr>
            </w:pPr>
            <w:r>
              <w:rPr>
                <w:rFonts w:ascii="Arial" w:cs="Arial" w:eastAsia="Arial" w:hAnsi="Arial"/>
                <w:sz w:val="11"/>
                <w:szCs w:val="11"/>
                <w:color w:val="262626"/>
                <w:w w:val="93"/>
              </w:rPr>
              <w:t>3,006,975</w:t>
            </w:r>
          </w:p>
        </w:tc>
        <w:tc>
          <w:tcPr>
            <w:tcW w:w="2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9"/>
              <w:spacing w:after="0"/>
              <w:rPr>
                <w:sz w:val="20"/>
                <w:szCs w:val="20"/>
                <w:color w:val="auto"/>
              </w:rPr>
            </w:pPr>
            <w:r>
              <w:rPr>
                <w:rFonts w:ascii="Arial" w:cs="Arial" w:eastAsia="Arial" w:hAnsi="Arial"/>
                <w:sz w:val="11"/>
                <w:szCs w:val="11"/>
                <w:color w:val="262626"/>
                <w:w w:val="93"/>
              </w:rPr>
              <w:t>2,912,000</w:t>
            </w:r>
          </w:p>
        </w:tc>
        <w:tc>
          <w:tcPr>
            <w:tcW w:w="20" w:type="dxa"/>
            <w:vAlign w:val="bottom"/>
          </w:tcPr>
          <w:p>
            <w:pPr>
              <w:spacing w:after="0"/>
              <w:rPr>
                <w:sz w:val="16"/>
                <w:szCs w:val="16"/>
                <w:color w:val="auto"/>
              </w:rPr>
            </w:pPr>
          </w:p>
        </w:tc>
      </w:tr>
      <w:tr>
        <w:trPr>
          <w:trHeight w:val="49"/>
        </w:trPr>
        <w:tc>
          <w:tcPr>
            <w:tcW w:w="8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8"/>
        </w:trPr>
        <w:tc>
          <w:tcPr>
            <w:tcW w:w="8440" w:type="dxa"/>
            <w:vAlign w:val="bottom"/>
            <w:tcBorders>
              <w:bottom w:val="single" w:sz="8" w:color="ECEBE8"/>
            </w:tcBorders>
            <w:shd w:val="clear" w:color="auto" w:fill="ECEBE8"/>
          </w:tcPr>
          <w:p>
            <w:pPr>
              <w:ind w:left="80"/>
              <w:spacing w:after="0"/>
              <w:rPr>
                <w:sz w:val="20"/>
                <w:szCs w:val="20"/>
                <w:color w:val="auto"/>
              </w:rPr>
            </w:pPr>
            <w:r>
              <w:rPr>
                <w:rFonts w:ascii="Arial" w:cs="Arial" w:eastAsia="Arial" w:hAnsi="Arial"/>
                <w:sz w:val="11"/>
                <w:szCs w:val="11"/>
                <w:color w:val="262626"/>
              </w:rPr>
              <w:t>Audit-related fees</w:t>
            </w:r>
          </w:p>
        </w:tc>
        <w:tc>
          <w:tcPr>
            <w:tcW w:w="2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shd w:val="clear" w:color="auto" w:fill="ECEBE8"/>
              </w:rPr>
              <w:t>$</w:t>
            </w:r>
          </w:p>
        </w:tc>
        <w:tc>
          <w:tcPr>
            <w:tcW w:w="48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shd w:val="clear" w:color="auto" w:fill="ECEBE8"/>
              </w:rPr>
              <w:t>43,980</w:t>
            </w:r>
          </w:p>
        </w:tc>
        <w:tc>
          <w:tcPr>
            <w:tcW w:w="200" w:type="dxa"/>
            <w:vAlign w:val="bottom"/>
            <w:tcBorders>
              <w:bottom w:val="single" w:sz="8" w:color="ECEBE8"/>
            </w:tcBorders>
            <w:shd w:val="clear" w:color="auto" w:fill="ECEBE8"/>
          </w:tcPr>
          <w:p>
            <w:pPr>
              <w:jc w:val="right"/>
              <w:spacing w:after="0"/>
              <w:rPr>
                <w:sz w:val="20"/>
                <w:szCs w:val="20"/>
                <w:color w:val="auto"/>
              </w:rPr>
            </w:pPr>
            <w:r>
              <w:rPr>
                <w:rFonts w:ascii="Arial" w:cs="Arial" w:eastAsia="Arial" w:hAnsi="Arial"/>
                <w:sz w:val="11"/>
                <w:szCs w:val="11"/>
                <w:color w:val="262626"/>
                <w:shd w:val="clear" w:color="auto" w:fill="ECEBE8"/>
              </w:rPr>
              <w:t>$</w:t>
            </w:r>
          </w:p>
        </w:tc>
        <w:tc>
          <w:tcPr>
            <w:tcW w:w="540" w:type="dxa"/>
            <w:vAlign w:val="bottom"/>
            <w:tcBorders>
              <w:bottom w:val="single" w:sz="8" w:color="ECEBE8"/>
            </w:tcBorders>
            <w:shd w:val="clear" w:color="auto" w:fill="ECEBE8"/>
          </w:tcPr>
          <w:p>
            <w:pPr>
              <w:jc w:val="right"/>
              <w:ind w:right="9"/>
              <w:spacing w:after="0"/>
              <w:rPr>
                <w:sz w:val="20"/>
                <w:szCs w:val="20"/>
                <w:color w:val="auto"/>
              </w:rPr>
            </w:pPr>
            <w:r>
              <w:rPr>
                <w:rFonts w:ascii="Arial" w:cs="Arial" w:eastAsia="Arial" w:hAnsi="Arial"/>
                <w:sz w:val="11"/>
                <w:szCs w:val="11"/>
                <w:color w:val="262626"/>
                <w:shd w:val="clear" w:color="auto" w:fill="ECEBE8"/>
              </w:rPr>
              <w:t>42,000</w:t>
            </w:r>
          </w:p>
        </w:tc>
        <w:tc>
          <w:tcPr>
            <w:tcW w:w="20" w:type="dxa"/>
            <w:vAlign w:val="bottom"/>
          </w:tcPr>
          <w:p>
            <w:pPr>
              <w:spacing w:after="0"/>
              <w:rPr>
                <w:sz w:val="18"/>
                <w:szCs w:val="18"/>
                <w:color w:val="auto"/>
              </w:rPr>
            </w:pPr>
          </w:p>
        </w:tc>
      </w:tr>
      <w:tr>
        <w:trPr>
          <w:trHeight w:val="189"/>
        </w:trPr>
        <w:tc>
          <w:tcPr>
            <w:tcW w:w="8440" w:type="dxa"/>
            <w:vAlign w:val="bottom"/>
          </w:tcPr>
          <w:p>
            <w:pPr>
              <w:ind w:left="80"/>
              <w:spacing w:after="0"/>
              <w:rPr>
                <w:sz w:val="20"/>
                <w:szCs w:val="20"/>
                <w:color w:val="auto"/>
              </w:rPr>
            </w:pPr>
            <w:r>
              <w:rPr>
                <w:rFonts w:ascii="Arial" w:cs="Arial" w:eastAsia="Arial" w:hAnsi="Arial"/>
                <w:sz w:val="11"/>
                <w:szCs w:val="11"/>
                <w:color w:val="262626"/>
              </w:rPr>
              <w:t>Tax fees</w:t>
            </w:r>
          </w:p>
        </w:tc>
        <w:tc>
          <w:tcPr>
            <w:tcW w:w="200" w:type="dxa"/>
            <w:vAlign w:val="bottom"/>
          </w:tcPr>
          <w:p>
            <w:pPr>
              <w:jc w:val="right"/>
              <w:spacing w:after="0"/>
              <w:rPr>
                <w:sz w:val="20"/>
                <w:szCs w:val="20"/>
                <w:color w:val="auto"/>
              </w:rPr>
            </w:pPr>
            <w:r>
              <w:rPr>
                <w:rFonts w:ascii="Arial" w:cs="Arial" w:eastAsia="Arial" w:hAnsi="Arial"/>
                <w:sz w:val="11"/>
                <w:szCs w:val="11"/>
                <w:color w:val="262626"/>
              </w:rPr>
              <w:t>$</w:t>
            </w:r>
          </w:p>
        </w:tc>
        <w:tc>
          <w:tcPr>
            <w:tcW w:w="480" w:type="dxa"/>
            <w:vAlign w:val="bottom"/>
          </w:tcPr>
          <w:p>
            <w:pPr>
              <w:jc w:val="right"/>
              <w:spacing w:after="0"/>
              <w:rPr>
                <w:sz w:val="20"/>
                <w:szCs w:val="20"/>
                <w:color w:val="auto"/>
              </w:rPr>
            </w:pPr>
            <w:r>
              <w:rPr>
                <w:rFonts w:ascii="Arial" w:cs="Arial" w:eastAsia="Arial" w:hAnsi="Arial"/>
                <w:sz w:val="11"/>
                <w:szCs w:val="11"/>
                <w:color w:val="262626"/>
              </w:rPr>
              <w:t>502,650</w:t>
            </w:r>
          </w:p>
        </w:tc>
        <w:tc>
          <w:tcPr>
            <w:tcW w:w="200" w:type="dxa"/>
            <w:vAlign w:val="bottom"/>
          </w:tcPr>
          <w:p>
            <w:pPr>
              <w:jc w:val="right"/>
              <w:spacing w:after="0"/>
              <w:rPr>
                <w:sz w:val="20"/>
                <w:szCs w:val="20"/>
                <w:color w:val="auto"/>
              </w:rPr>
            </w:pPr>
            <w:r>
              <w:rPr>
                <w:rFonts w:ascii="Arial" w:cs="Arial" w:eastAsia="Arial" w:hAnsi="Arial"/>
                <w:sz w:val="11"/>
                <w:szCs w:val="11"/>
                <w:color w:val="262626"/>
              </w:rPr>
              <w:t>$</w:t>
            </w:r>
          </w:p>
        </w:tc>
        <w:tc>
          <w:tcPr>
            <w:tcW w:w="540" w:type="dxa"/>
            <w:vAlign w:val="bottom"/>
          </w:tcPr>
          <w:p>
            <w:pPr>
              <w:jc w:val="right"/>
              <w:ind w:right="9"/>
              <w:spacing w:after="0"/>
              <w:rPr>
                <w:sz w:val="20"/>
                <w:szCs w:val="20"/>
                <w:color w:val="auto"/>
              </w:rPr>
            </w:pPr>
            <w:r>
              <w:rPr>
                <w:rFonts w:ascii="Arial" w:cs="Arial" w:eastAsia="Arial" w:hAnsi="Arial"/>
                <w:sz w:val="11"/>
                <w:szCs w:val="11"/>
                <w:color w:val="262626"/>
              </w:rPr>
              <w:t>323,000</w:t>
            </w:r>
          </w:p>
        </w:tc>
        <w:tc>
          <w:tcPr>
            <w:tcW w:w="20" w:type="dxa"/>
            <w:vAlign w:val="bottom"/>
          </w:tcPr>
          <w:p>
            <w:pPr>
              <w:spacing w:after="0"/>
              <w:rPr>
                <w:sz w:val="16"/>
                <w:szCs w:val="16"/>
                <w:color w:val="auto"/>
              </w:rPr>
            </w:pPr>
          </w:p>
        </w:tc>
      </w:tr>
      <w:tr>
        <w:trPr>
          <w:trHeight w:val="49"/>
        </w:trPr>
        <w:tc>
          <w:tcPr>
            <w:tcW w:w="8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5"/>
        </w:trPr>
        <w:tc>
          <w:tcPr>
            <w:tcW w:w="8440" w:type="dxa"/>
            <w:vAlign w:val="bottom"/>
            <w:shd w:val="clear" w:color="auto" w:fill="ECEBE8"/>
          </w:tcPr>
          <w:p>
            <w:pPr>
              <w:ind w:left="80"/>
              <w:spacing w:after="0"/>
              <w:rPr>
                <w:sz w:val="20"/>
                <w:szCs w:val="20"/>
                <w:color w:val="auto"/>
              </w:rPr>
            </w:pPr>
            <w:r>
              <w:rPr>
                <w:rFonts w:ascii="Arial" w:cs="Arial" w:eastAsia="Arial" w:hAnsi="Arial"/>
                <w:sz w:val="11"/>
                <w:szCs w:val="11"/>
                <w:color w:val="262626"/>
              </w:rPr>
              <w:t>All other fees</w:t>
            </w:r>
          </w:p>
        </w:tc>
        <w:tc>
          <w:tcPr>
            <w:tcW w:w="200" w:type="dxa"/>
            <w:vAlign w:val="bottom"/>
            <w:shd w:val="clear" w:color="auto" w:fill="ECEBE8"/>
          </w:tcPr>
          <w:p>
            <w:pPr>
              <w:spacing w:after="0"/>
              <w:rPr>
                <w:sz w:val="16"/>
                <w:szCs w:val="16"/>
                <w:color w:val="auto"/>
              </w:rPr>
            </w:pPr>
          </w:p>
        </w:tc>
        <w:tc>
          <w:tcPr>
            <w:tcW w:w="480" w:type="dxa"/>
            <w:vAlign w:val="bottom"/>
            <w:shd w:val="clear" w:color="auto" w:fill="ECEBE8"/>
          </w:tcPr>
          <w:p>
            <w:pPr>
              <w:jc w:val="right"/>
              <w:spacing w:after="0"/>
              <w:rPr>
                <w:sz w:val="20"/>
                <w:szCs w:val="20"/>
                <w:color w:val="auto"/>
              </w:rPr>
            </w:pPr>
            <w:r>
              <w:rPr>
                <w:rFonts w:ascii="Arial" w:cs="Arial" w:eastAsia="Arial" w:hAnsi="Arial"/>
                <w:sz w:val="11"/>
                <w:szCs w:val="11"/>
                <w:color w:val="262626"/>
              </w:rPr>
              <w:t>—</w:t>
            </w:r>
          </w:p>
        </w:tc>
        <w:tc>
          <w:tcPr>
            <w:tcW w:w="200" w:type="dxa"/>
            <w:vAlign w:val="bottom"/>
            <w:shd w:val="clear" w:color="auto" w:fill="ECEBE8"/>
          </w:tcPr>
          <w:p>
            <w:pPr>
              <w:spacing w:after="0"/>
              <w:rPr>
                <w:sz w:val="16"/>
                <w:szCs w:val="16"/>
                <w:color w:val="auto"/>
              </w:rPr>
            </w:pPr>
          </w:p>
        </w:tc>
        <w:tc>
          <w:tcPr>
            <w:tcW w:w="540" w:type="dxa"/>
            <w:vAlign w:val="bottom"/>
            <w:shd w:val="clear" w:color="auto" w:fill="ECEBE8"/>
          </w:tcPr>
          <w:p>
            <w:pPr>
              <w:jc w:val="right"/>
              <w:ind w:right="9"/>
              <w:spacing w:after="0"/>
              <w:rPr>
                <w:sz w:val="20"/>
                <w:szCs w:val="20"/>
                <w:color w:val="auto"/>
              </w:rPr>
            </w:pPr>
            <w:r>
              <w:rPr>
                <w:rFonts w:ascii="Arial" w:cs="Arial" w:eastAsia="Arial" w:hAnsi="Arial"/>
                <w:sz w:val="11"/>
                <w:szCs w:val="11"/>
                <w:color w:val="050505"/>
              </w:rPr>
              <w:t>—</w:t>
            </w:r>
          </w:p>
        </w:tc>
        <w:tc>
          <w:tcPr>
            <w:tcW w:w="20" w:type="dxa"/>
            <w:vAlign w:val="bottom"/>
          </w:tcPr>
          <w:p>
            <w:pPr>
              <w:spacing w:after="0"/>
              <w:rPr>
                <w:sz w:val="16"/>
                <w:szCs w:val="16"/>
                <w:color w:val="auto"/>
              </w:rPr>
            </w:pPr>
          </w:p>
        </w:tc>
      </w:tr>
      <w:tr>
        <w:trPr>
          <w:trHeight w:val="53"/>
        </w:trPr>
        <w:tc>
          <w:tcPr>
            <w:tcW w:w="8440" w:type="dxa"/>
            <w:vAlign w:val="bottom"/>
            <w:shd w:val="clear" w:color="auto" w:fill="ECEBE8"/>
          </w:tcPr>
          <w:p>
            <w:pPr>
              <w:spacing w:after="0"/>
              <w:rPr>
                <w:sz w:val="4"/>
                <w:szCs w:val="4"/>
                <w:color w:val="auto"/>
              </w:rPr>
            </w:pPr>
          </w:p>
        </w:tc>
        <w:tc>
          <w:tcPr>
            <w:tcW w:w="200" w:type="dxa"/>
            <w:vAlign w:val="bottom"/>
            <w:shd w:val="clear" w:color="auto" w:fill="ECEBE8"/>
          </w:tcPr>
          <w:p>
            <w:pPr>
              <w:spacing w:after="0"/>
              <w:rPr>
                <w:sz w:val="4"/>
                <w:szCs w:val="4"/>
                <w:color w:val="auto"/>
              </w:rPr>
            </w:pPr>
          </w:p>
        </w:tc>
        <w:tc>
          <w:tcPr>
            <w:tcW w:w="480" w:type="dxa"/>
            <w:vAlign w:val="bottom"/>
            <w:shd w:val="clear" w:color="auto" w:fill="ECEBE8"/>
          </w:tcPr>
          <w:p>
            <w:pPr>
              <w:spacing w:after="0"/>
              <w:rPr>
                <w:sz w:val="4"/>
                <w:szCs w:val="4"/>
                <w:color w:val="auto"/>
              </w:rPr>
            </w:pPr>
          </w:p>
        </w:tc>
        <w:tc>
          <w:tcPr>
            <w:tcW w:w="200" w:type="dxa"/>
            <w:vAlign w:val="bottom"/>
            <w:shd w:val="clear" w:color="auto" w:fill="ECEBE8"/>
          </w:tcPr>
          <w:p>
            <w:pPr>
              <w:spacing w:after="0"/>
              <w:rPr>
                <w:sz w:val="4"/>
                <w:szCs w:val="4"/>
                <w:color w:val="auto"/>
              </w:rPr>
            </w:pPr>
          </w:p>
        </w:tc>
        <w:tc>
          <w:tcPr>
            <w:tcW w:w="540" w:type="dxa"/>
            <w:vAlign w:val="bottom"/>
            <w:shd w:val="clear" w:color="auto" w:fill="ECEBE8"/>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-621665</wp:posOffset>
            </wp:positionV>
            <wp:extent cx="825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-705485</wp:posOffset>
            </wp:positionV>
            <wp:extent cx="8496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57" w:lineRule="exact"/>
        <w:rPr>
          <w:sz w:val="20"/>
          <w:szCs w:val="20"/>
          <w:color w:val="auto"/>
        </w:rPr>
      </w:pPr>
    </w:p>
    <w:p>
      <w:pPr>
        <w:ind w:left="780" w:right="220"/>
        <w:spacing w:after="0" w:line="241" w:lineRule="auto"/>
        <w:rPr>
          <w:sz w:val="20"/>
          <w:szCs w:val="20"/>
          <w:color w:val="auto"/>
        </w:rPr>
      </w:pPr>
      <w:r>
        <w:rPr>
          <w:rFonts w:ascii="Arial" w:cs="Arial" w:eastAsia="Arial" w:hAnsi="Arial"/>
          <w:sz w:val="14"/>
          <w:szCs w:val="14"/>
          <w:color w:val="262626"/>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2018 and 2017, and for the audit of our internal controls over financial reporting as of December 31, 2018 and 2017. “Audit fees” also include fees for services provided in connection with securities</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51</w:t>
      </w:r>
    </w:p>
    <w:p>
      <w:pPr>
        <w:sectPr>
          <w:pgSz w:w="11900" w:h="16838" w:orient="portrait"/>
          <w:cols w:equalWidth="0" w:num="1">
            <w:col w:w="10800"/>
          </w:cols>
          <w:pgMar w:left="240" w:top="453" w:right="8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Items to be voted on</w:t>
      </w:r>
    </w:p>
    <w:p>
      <w:pPr>
        <w:spacing w:after="0" w:line="318" w:lineRule="exact"/>
        <w:rPr>
          <w:sz w:val="20"/>
          <w:szCs w:val="20"/>
          <w:color w:val="auto"/>
        </w:rPr>
      </w:pPr>
    </w:p>
    <w:p>
      <w:pPr>
        <w:ind w:left="780" w:right="200"/>
        <w:spacing w:after="0" w:line="249" w:lineRule="auto"/>
        <w:rPr>
          <w:sz w:val="20"/>
          <w:szCs w:val="20"/>
          <w:color w:val="auto"/>
        </w:rPr>
      </w:pPr>
      <w:r>
        <w:rPr>
          <w:rFonts w:ascii="Arial" w:cs="Arial" w:eastAsia="Arial" w:hAnsi="Arial"/>
          <w:sz w:val="14"/>
          <w:szCs w:val="14"/>
          <w:color w:val="262626"/>
        </w:rPr>
        <w:t>offerings,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PRE-APPROVAL POLICY</w:t>
      </w:r>
    </w:p>
    <w:p>
      <w:pPr>
        <w:spacing w:after="0" w:line="85" w:lineRule="exact"/>
        <w:rPr>
          <w:sz w:val="20"/>
          <w:szCs w:val="20"/>
          <w:color w:val="auto"/>
        </w:rPr>
      </w:pPr>
    </w:p>
    <w:p>
      <w:pPr>
        <w:ind w:left="780" w:right="140"/>
        <w:spacing w:after="0"/>
        <w:rPr>
          <w:sz w:val="20"/>
          <w:szCs w:val="20"/>
          <w:color w:val="auto"/>
        </w:rPr>
      </w:pPr>
      <w:r>
        <w:rPr>
          <w:rFonts w:ascii="Arial" w:cs="Arial" w:eastAsia="Arial" w:hAnsi="Arial"/>
          <w:sz w:val="14"/>
          <w:szCs w:val="14"/>
          <w:color w:val="262626"/>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62" w:lineRule="exact"/>
        <w:rPr>
          <w:sz w:val="20"/>
          <w:szCs w:val="20"/>
          <w:color w:val="auto"/>
        </w:rPr>
      </w:pPr>
    </w:p>
    <w:p>
      <w:pPr>
        <w:ind w:left="780" w:right="60"/>
        <w:spacing w:after="0" w:line="241" w:lineRule="auto"/>
        <w:rPr>
          <w:sz w:val="20"/>
          <w:szCs w:val="20"/>
          <w:color w:val="auto"/>
        </w:rPr>
      </w:pPr>
      <w:r>
        <w:rPr>
          <w:rFonts w:ascii="Arial" w:cs="Arial" w:eastAsia="Arial" w:hAnsi="Arial"/>
          <w:sz w:val="14"/>
          <w:szCs w:val="14"/>
          <w:color w:val="262626"/>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Audit Committee pre-approved all fees related to services provided by Ernst &amp; Young LLP in 2018.</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REPORT OF THE AUDIT COMMITTEE</w:t>
      </w:r>
    </w:p>
    <w:p>
      <w:pPr>
        <w:spacing w:after="0" w:line="85" w:lineRule="exact"/>
        <w:rPr>
          <w:sz w:val="20"/>
          <w:szCs w:val="20"/>
          <w:color w:val="auto"/>
        </w:rPr>
      </w:pPr>
    </w:p>
    <w:p>
      <w:pPr>
        <w:jc w:val="both"/>
        <w:ind w:left="780" w:right="20"/>
        <w:spacing w:after="0" w:line="243" w:lineRule="auto"/>
        <w:rPr>
          <w:sz w:val="20"/>
          <w:szCs w:val="20"/>
          <w:color w:val="auto"/>
        </w:rPr>
      </w:pPr>
      <w:r>
        <w:rPr>
          <w:rFonts w:ascii="Arial" w:cs="Arial" w:eastAsia="Arial" w:hAnsi="Arial"/>
          <w:sz w:val="14"/>
          <w:szCs w:val="14"/>
          <w:color w:val="262626"/>
        </w:rPr>
        <w:t>The Audit Committee is comprised of the three members named below. As required by our committee charter, each member of the Audit Committee has been determined to be an independent director, as defined under the NASDAQ listing rules and the rules of SEC. In addition, the Board has determined that two of the three committee members (Mr. Byrne and Ms. Webb) are Audit Committee financial experts, as defined by SEC rules.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During 2018, we held nine full committee meetings.</w:t>
      </w:r>
    </w:p>
    <w:p>
      <w:pPr>
        <w:spacing w:after="0" w:line="170" w:lineRule="exact"/>
        <w:rPr>
          <w:sz w:val="20"/>
          <w:szCs w:val="20"/>
          <w:color w:val="auto"/>
        </w:rPr>
      </w:pPr>
    </w:p>
    <w:p>
      <w:pPr>
        <w:jc w:val="both"/>
        <w:ind w:left="780" w:right="420"/>
        <w:spacing w:after="0" w:line="241" w:lineRule="auto"/>
        <w:rPr>
          <w:sz w:val="20"/>
          <w:szCs w:val="20"/>
          <w:color w:val="auto"/>
        </w:rPr>
      </w:pPr>
      <w:r>
        <w:rPr>
          <w:rFonts w:ascii="Arial" w:cs="Arial" w:eastAsia="Arial" w:hAnsi="Arial"/>
          <w:sz w:val="14"/>
          <w:szCs w:val="14"/>
          <w:color w:val="262626"/>
        </w:rPr>
        <w:t>Our purpose and responsibilities are set forth in our committee charter, which is approved and adopted by the Board and is available on the Company’s website at http://www.wynnresorts.com under the heading “Corporate Governance” on the Company Information page. The Audit Committee charter is reviewed and updated, as appropriate, to address changes in regulatory requirements, authoritative guidance, evolving oversight practices and investor feedback.</w:t>
      </w:r>
    </w:p>
    <w:p>
      <w:pPr>
        <w:spacing w:after="0" w:line="161" w:lineRule="exact"/>
        <w:rPr>
          <w:sz w:val="20"/>
          <w:szCs w:val="20"/>
          <w:color w:val="auto"/>
        </w:rPr>
      </w:pPr>
    </w:p>
    <w:p>
      <w:pPr>
        <w:ind w:left="780"/>
        <w:spacing w:after="0" w:line="238" w:lineRule="auto"/>
        <w:rPr>
          <w:sz w:val="20"/>
          <w:szCs w:val="20"/>
          <w:color w:val="auto"/>
        </w:rPr>
      </w:pPr>
      <w:r>
        <w:rPr>
          <w:rFonts w:ascii="Arial" w:cs="Arial" w:eastAsia="Arial" w:hAnsi="Arial"/>
          <w:sz w:val="14"/>
          <w:szCs w:val="14"/>
          <w:color w:val="262626"/>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80" w:lineRule="exact"/>
        <w:rPr>
          <w:sz w:val="20"/>
          <w:szCs w:val="20"/>
          <w:color w:val="auto"/>
        </w:rPr>
      </w:pPr>
    </w:p>
    <w:p>
      <w:pPr>
        <w:ind w:left="780"/>
        <w:spacing w:after="0" w:line="238" w:lineRule="auto"/>
        <w:rPr>
          <w:sz w:val="20"/>
          <w:szCs w:val="20"/>
          <w:color w:val="auto"/>
        </w:rPr>
      </w:pPr>
      <w:r>
        <w:rPr>
          <w:rFonts w:ascii="Arial" w:cs="Arial" w:eastAsia="Arial" w:hAnsi="Arial"/>
          <w:sz w:val="14"/>
          <w:szCs w:val="14"/>
          <w:color w:val="262626"/>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329565</wp:posOffset>
            </wp:positionV>
            <wp:extent cx="521335" cy="2355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52</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40"/>
          </w:cols>
          <w:pgMar w:left="240" w:top="453" w:right="10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300"/>
        <w:spacing w:after="0"/>
        <w:rPr>
          <w:sz w:val="20"/>
          <w:szCs w:val="20"/>
          <w:color w:val="auto"/>
        </w:rPr>
      </w:pPr>
      <w:r>
        <w:rPr>
          <w:rFonts w:ascii="Arial" w:cs="Arial" w:eastAsia="Arial" w:hAnsi="Arial"/>
          <w:sz w:val="14"/>
          <w:szCs w:val="14"/>
          <w:color w:val="262626"/>
        </w:rPr>
        <w:t>Ernst &amp; Young LLP has served as the Company’s independent registered public accountants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2019.</w:t>
      </w:r>
    </w:p>
    <w:p>
      <w:pPr>
        <w:spacing w:after="0" w:line="175" w:lineRule="exact"/>
        <w:rPr>
          <w:sz w:val="20"/>
          <w:szCs w:val="20"/>
          <w:color w:val="auto"/>
        </w:rPr>
      </w:pPr>
    </w:p>
    <w:p>
      <w:pPr>
        <w:jc w:val="both"/>
        <w:ind w:left="780" w:right="300"/>
        <w:spacing w:after="0" w:line="236" w:lineRule="auto"/>
        <w:rPr>
          <w:sz w:val="20"/>
          <w:szCs w:val="20"/>
          <w:color w:val="auto"/>
        </w:rPr>
      </w:pPr>
      <w:r>
        <w:rPr>
          <w:rFonts w:ascii="Arial" w:cs="Arial" w:eastAsia="Arial" w:hAnsi="Arial"/>
          <w:sz w:val="14"/>
          <w:szCs w:val="14"/>
          <w:color w:val="262626"/>
        </w:rPr>
        <w:t>In addition to the activities discussed above, prior to the Company’s filing of its Annual Report on Form 10-K for the year ended December 31, 2018 with the SEC, we reviewed and discussed with management the Company’s audited financial statements for the year ended December 31, 2018. We discussed with the independent registered public accounting firm the matters required to be discussed by the applicable standards of the PCAOB, including the quality, not just the acceptability, of the accounting principles, the reasonableness of significant judgments and the clarity of the disclosures in the financial statements.</w:t>
      </w:r>
    </w:p>
    <w:p>
      <w:pPr>
        <w:spacing w:after="0" w:line="2" w:lineRule="exact"/>
        <w:rPr>
          <w:sz w:val="20"/>
          <w:szCs w:val="20"/>
          <w:color w:val="auto"/>
        </w:rPr>
      </w:pPr>
    </w:p>
    <w:p>
      <w:pPr>
        <w:ind w:left="780" w:right="260"/>
        <w:spacing w:after="0" w:line="241" w:lineRule="auto"/>
        <w:rPr>
          <w:sz w:val="20"/>
          <w:szCs w:val="20"/>
          <w:color w:val="auto"/>
        </w:rPr>
      </w:pPr>
      <w:r>
        <w:rPr>
          <w:rFonts w:ascii="Arial" w:cs="Arial" w:eastAsia="Arial" w:hAnsi="Arial"/>
          <w:sz w:val="14"/>
          <w:szCs w:val="14"/>
          <w:color w:val="262626"/>
        </w:rPr>
        <w:t>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2018, filed with the SEC.</w:t>
      </w:r>
    </w:p>
    <w:p>
      <w:pPr>
        <w:spacing w:after="0" w:line="143"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262626"/>
        </w:rPr>
        <w:t>Audit Committee</w:t>
      </w:r>
    </w:p>
    <w:p>
      <w:pPr>
        <w:spacing w:after="0" w:line="186" w:lineRule="exact"/>
        <w:rPr>
          <w:sz w:val="20"/>
          <w:szCs w:val="20"/>
          <w:color w:val="auto"/>
        </w:rPr>
      </w:pPr>
    </w:p>
    <w:p>
      <w:pPr>
        <w:ind w:left="7120"/>
        <w:spacing w:after="0"/>
        <w:rPr>
          <w:sz w:val="20"/>
          <w:szCs w:val="20"/>
          <w:color w:val="auto"/>
        </w:rPr>
      </w:pPr>
      <w:r>
        <w:rPr>
          <w:rFonts w:ascii="Arial" w:cs="Arial" w:eastAsia="Arial" w:hAnsi="Arial"/>
          <w:sz w:val="14"/>
          <w:szCs w:val="14"/>
          <w:color w:val="262626"/>
        </w:rPr>
        <w:t>Winifred M. Webb, Chairperson</w:t>
      </w:r>
    </w:p>
    <w:p>
      <w:pPr>
        <w:ind w:left="7120"/>
        <w:spacing w:after="0" w:line="236" w:lineRule="auto"/>
        <w:rPr>
          <w:sz w:val="20"/>
          <w:szCs w:val="20"/>
          <w:color w:val="auto"/>
        </w:rPr>
      </w:pPr>
      <w:r>
        <w:rPr>
          <w:rFonts w:ascii="Arial" w:cs="Arial" w:eastAsia="Arial" w:hAnsi="Arial"/>
          <w:sz w:val="14"/>
          <w:szCs w:val="14"/>
          <w:color w:val="262626"/>
        </w:rPr>
        <w:t>Richard J. Byrne</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4"/>
          <w:szCs w:val="14"/>
          <w:color w:val="262626"/>
        </w:rPr>
        <w:t>Patricia Mulroy</w:t>
      </w:r>
    </w:p>
    <w:p>
      <w:pPr>
        <w:spacing w:after="0" w:line="159" w:lineRule="exact"/>
        <w:rPr>
          <w:sz w:val="20"/>
          <w:szCs w:val="20"/>
          <w:color w:val="auto"/>
        </w:rPr>
      </w:pPr>
    </w:p>
    <w:p>
      <w:pPr>
        <w:ind w:left="780" w:right="640"/>
        <w:spacing w:after="0" w:line="271" w:lineRule="auto"/>
        <w:rPr>
          <w:sz w:val="20"/>
          <w:szCs w:val="20"/>
          <w:color w:val="auto"/>
        </w:rPr>
      </w:pPr>
      <w:r>
        <w:rPr>
          <w:rFonts w:ascii="Arial" w:cs="Arial" w:eastAsia="Arial" w:hAnsi="Arial"/>
          <w:sz w:val="12"/>
          <w:szCs w:val="12"/>
          <w:b w:val="1"/>
          <w:bCs w:val="1"/>
          <w:color w:val="050505"/>
        </w:rPr>
        <w:t>OUR BOARD OF DIRECTORS RECOMMENDS THAT YOU VOTE FOR THE RATIFICATION OF THE APPOINTMENT OF ERNST &amp; YOUNG LLP AS THE COMPANY’S INDEPENDENT AUDITORS FOR THE YEAR 2019.</w:t>
      </w:r>
    </w:p>
    <w:p>
      <w:pPr>
        <w:spacing w:after="0" w:line="27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PROPOSAL 3: ADVISORY VOTE TO APPROVE THE COMPENSATION OF NAMED EXECUTIVE OFFICERS</w:t>
      </w:r>
    </w:p>
    <w:p>
      <w:pPr>
        <w:spacing w:after="0" w:line="118" w:lineRule="exact"/>
        <w:rPr>
          <w:sz w:val="20"/>
          <w:szCs w:val="20"/>
          <w:color w:val="auto"/>
        </w:rPr>
      </w:pPr>
    </w:p>
    <w:p>
      <w:pPr>
        <w:ind w:left="780" w:right="220"/>
        <w:spacing w:after="0" w:line="241" w:lineRule="auto"/>
        <w:rPr>
          <w:sz w:val="20"/>
          <w:szCs w:val="20"/>
          <w:color w:val="auto"/>
        </w:rPr>
      </w:pPr>
      <w:r>
        <w:rPr>
          <w:rFonts w:ascii="Arial" w:cs="Arial" w:eastAsia="Arial" w:hAnsi="Arial"/>
          <w:sz w:val="14"/>
          <w:szCs w:val="14"/>
          <w:color w:val="262626"/>
        </w:rPr>
        <w:t>In accordance with Section 14A of the Exchange Act (which was added by the Dodd-Frank Wall Street Reform and Consumer Protection Act (the “Dodd Frank Act”)) and the related rules of the SEC, the Company will present a resolution at the Annual Meeting to enable our shareholders to approve, on an advisory and non-binding basis, the compensation of our NEOs as disclosed in the Compensation Discussion and Analysis, the accompanying compensation tables and the related narrative disclosure in this Proxy Statement.</w:t>
      </w:r>
    </w:p>
    <w:p>
      <w:pPr>
        <w:spacing w:after="0" w:line="161" w:lineRule="exact"/>
        <w:rPr>
          <w:sz w:val="20"/>
          <w:szCs w:val="20"/>
          <w:color w:val="auto"/>
        </w:rPr>
      </w:pPr>
    </w:p>
    <w:p>
      <w:pPr>
        <w:jc w:val="both"/>
        <w:ind w:left="780" w:right="260"/>
        <w:spacing w:after="0" w:line="241" w:lineRule="auto"/>
        <w:rPr>
          <w:sz w:val="20"/>
          <w:szCs w:val="20"/>
          <w:color w:val="auto"/>
        </w:rPr>
      </w:pPr>
      <w:r>
        <w:rPr>
          <w:rFonts w:ascii="Arial" w:cs="Arial" w:eastAsia="Arial" w:hAnsi="Arial"/>
          <w:sz w:val="14"/>
          <w:szCs w:val="14"/>
          <w:color w:val="262626"/>
        </w:rPr>
        <w:t>This proposal, commonly known as a “Say-on-Pay” proposal, allows our shareholders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61" w:lineRule="exact"/>
        <w:rPr>
          <w:sz w:val="20"/>
          <w:szCs w:val="20"/>
          <w:color w:val="auto"/>
        </w:rPr>
      </w:pPr>
    </w:p>
    <w:p>
      <w:pPr>
        <w:ind w:left="780" w:right="200"/>
        <w:spacing w:after="0" w:line="239" w:lineRule="auto"/>
        <w:rPr>
          <w:sz w:val="20"/>
          <w:szCs w:val="20"/>
          <w:color w:val="auto"/>
        </w:rPr>
      </w:pPr>
      <w:r>
        <w:rPr>
          <w:rFonts w:ascii="Arial" w:cs="Arial" w:eastAsia="Arial" w:hAnsi="Arial"/>
          <w:sz w:val="14"/>
          <w:szCs w:val="14"/>
          <w:color w:val="262626"/>
        </w:rPr>
        <w:t>As the Company continues its transition from a compensation program oriented around a founder whose long-term focus was aligned with shareholders through his extensive stock ownership, to a more traditional compensation program, the Board determined to move from a triannual to an annual Say-on-Pay vote to provide for additional input from and further engagement with our shareholders. The Compensation Committee determined to right-size executive pay, to revamp our long-term incentive program to eliminate periodic grants and transition to annual grants, and to ensure that a majority of equity awards will be granted in performance-based stock to ensure a superior focus on operational excellence and better align executives’ interests with those of long-term shareholders.</w:t>
      </w:r>
    </w:p>
    <w:p>
      <w:pPr>
        <w:spacing w:after="0" w:line="177" w:lineRule="exact"/>
        <w:rPr>
          <w:sz w:val="20"/>
          <w:szCs w:val="20"/>
          <w:color w:val="auto"/>
        </w:rPr>
      </w:pPr>
    </w:p>
    <w:p>
      <w:pPr>
        <w:ind w:left="780" w:right="220"/>
        <w:spacing w:after="0" w:line="241" w:lineRule="auto"/>
        <w:rPr>
          <w:sz w:val="20"/>
          <w:szCs w:val="20"/>
          <w:color w:val="auto"/>
        </w:rPr>
      </w:pPr>
      <w:r>
        <w:rPr>
          <w:rFonts w:ascii="Arial" w:cs="Arial" w:eastAsia="Arial" w:hAnsi="Arial"/>
          <w:sz w:val="14"/>
          <w:szCs w:val="14"/>
          <w:color w:val="262626"/>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In 2018, the Compensation Committee committed to right-sizing executive compensation by benchmarking total compensation at the median of our peer group. Because product quality and service excellence are at the core of our</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53</w:t>
      </w:r>
    </w:p>
    <w:p>
      <w:pPr>
        <w:sectPr>
          <w:pgSz w:w="11900" w:h="16838" w:orient="portrait"/>
          <w:cols w:equalWidth="0" w:num="1">
            <w:col w:w="10800"/>
          </w:cols>
          <w:pgMar w:left="240" w:top="453" w:right="8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Items to be voted on</w:t>
      </w:r>
    </w:p>
    <w:p>
      <w:pPr>
        <w:spacing w:after="0" w:line="318" w:lineRule="exact"/>
        <w:rPr>
          <w:sz w:val="20"/>
          <w:szCs w:val="20"/>
          <w:color w:val="auto"/>
        </w:rPr>
      </w:pPr>
    </w:p>
    <w:p>
      <w:pPr>
        <w:ind w:left="780" w:right="80"/>
        <w:spacing w:after="0" w:line="249" w:lineRule="auto"/>
        <w:rPr>
          <w:sz w:val="20"/>
          <w:szCs w:val="20"/>
          <w:color w:val="auto"/>
        </w:rPr>
      </w:pPr>
      <w:r>
        <w:rPr>
          <w:rFonts w:ascii="Arial" w:cs="Arial" w:eastAsia="Arial" w:hAnsi="Arial"/>
          <w:sz w:val="14"/>
          <w:szCs w:val="14"/>
          <w:color w:val="262626"/>
        </w:rPr>
        <w:t>strategy, we use annually focused, operations-based pay to reflect the critical importance of performing well each year for each customer. The design of our long-term incentives coupled with robust stock ownership guidelines ensure that our executives’ interests are aligned with those of long-term shareholders.</w:t>
      </w:r>
    </w:p>
    <w:p>
      <w:pPr>
        <w:spacing w:after="0" w:line="156" w:lineRule="exact"/>
        <w:rPr>
          <w:sz w:val="20"/>
          <w:szCs w:val="20"/>
          <w:color w:val="auto"/>
        </w:rPr>
      </w:pPr>
    </w:p>
    <w:p>
      <w:pPr>
        <w:ind w:left="780" w:right="120"/>
        <w:spacing w:after="0" w:line="249" w:lineRule="auto"/>
        <w:rPr>
          <w:sz w:val="20"/>
          <w:szCs w:val="20"/>
          <w:color w:val="auto"/>
        </w:rPr>
      </w:pPr>
      <w:r>
        <w:rPr>
          <w:rFonts w:ascii="Arial" w:cs="Arial" w:eastAsia="Arial" w:hAnsi="Arial"/>
          <w:sz w:val="14"/>
          <w:szCs w:val="14"/>
          <w:color w:val="262626"/>
        </w:rPr>
        <w:t>Therefore, in accordance with Section 14A of the Exchange Act and as a matter of good corporate governance, we are asking shareholders to approve the following advisory resolution at the Annual Meeting:</w:t>
      </w:r>
    </w:p>
    <w:p>
      <w:pPr>
        <w:spacing w:after="0" w:line="169" w:lineRule="exact"/>
        <w:rPr>
          <w:sz w:val="20"/>
          <w:szCs w:val="20"/>
          <w:color w:val="auto"/>
        </w:rPr>
      </w:pPr>
    </w:p>
    <w:p>
      <w:pPr>
        <w:ind w:left="780" w:right="180"/>
        <w:spacing w:after="0" w:line="243" w:lineRule="auto"/>
        <w:rPr>
          <w:sz w:val="20"/>
          <w:szCs w:val="20"/>
          <w:color w:val="auto"/>
        </w:rPr>
      </w:pPr>
      <w:r>
        <w:rPr>
          <w:rFonts w:ascii="Arial" w:cs="Arial" w:eastAsia="Arial" w:hAnsi="Arial"/>
          <w:sz w:val="14"/>
          <w:szCs w:val="14"/>
          <w:color w:val="262626"/>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for the 2019 Annual Meeting of Shareholders.”</w:t>
      </w:r>
    </w:p>
    <w:p>
      <w:pPr>
        <w:spacing w:after="0" w:line="135" w:lineRule="exact"/>
        <w:rPr>
          <w:sz w:val="20"/>
          <w:szCs w:val="20"/>
          <w:color w:val="auto"/>
        </w:rPr>
      </w:pPr>
    </w:p>
    <w:p>
      <w:pPr>
        <w:ind w:left="780" w:right="560"/>
        <w:spacing w:after="0" w:line="271" w:lineRule="auto"/>
        <w:rPr>
          <w:sz w:val="20"/>
          <w:szCs w:val="20"/>
          <w:color w:val="auto"/>
        </w:rPr>
      </w:pPr>
      <w:r>
        <w:rPr>
          <w:rFonts w:ascii="Arial" w:cs="Arial" w:eastAsia="Arial" w:hAnsi="Arial"/>
          <w:sz w:val="12"/>
          <w:szCs w:val="12"/>
          <w:b w:val="1"/>
          <w:bCs w:val="1"/>
          <w:color w:val="050505"/>
        </w:rPr>
        <w:t>OUR BOARD OF DIRECTORS RECOMMENDS THAT YOU VOTE FOR THE APPROVAL OF THE ADVISORY RESOLUTION ON OUR NAMED EXECUTIVE OFFICE COMPENSATION.</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PROPOSAL 4: SHAREHOLDER PROPOSAL REQUESTING A POLITICAL CONTRIBUTIONS REPORT</w:t>
      </w:r>
    </w:p>
    <w:p>
      <w:pPr>
        <w:spacing w:after="0" w:line="79" w:lineRule="exact"/>
        <w:rPr>
          <w:sz w:val="20"/>
          <w:szCs w:val="20"/>
          <w:color w:val="auto"/>
        </w:rPr>
      </w:pPr>
    </w:p>
    <w:p>
      <w:pPr>
        <w:ind w:left="780" w:right="20"/>
        <w:spacing w:after="0" w:line="249" w:lineRule="auto"/>
        <w:rPr>
          <w:sz w:val="20"/>
          <w:szCs w:val="20"/>
          <w:color w:val="auto"/>
        </w:rPr>
      </w:pPr>
      <w:r>
        <w:rPr>
          <w:rFonts w:ascii="Arial" w:cs="Arial" w:eastAsia="Arial" w:hAnsi="Arial"/>
          <w:sz w:val="14"/>
          <w:szCs w:val="14"/>
          <w:color w:val="262626"/>
        </w:rPr>
        <w:t>The Company has been advised that the New York State Common Retirement Fund, 59 Maiden Lane, 30th Floor, New York, NY 10038, the beneficial owner of 210,500 shares as of October 30, 2018, intends to submit the following proposal for consideration at the Annual Meeting:</w:t>
      </w:r>
    </w:p>
    <w:p>
      <w:pPr>
        <w:spacing w:after="0" w:line="156" w:lineRule="exact"/>
        <w:rPr>
          <w:sz w:val="20"/>
          <w:szCs w:val="20"/>
          <w:color w:val="auto"/>
        </w:rPr>
      </w:pPr>
    </w:p>
    <w:p>
      <w:pPr>
        <w:ind w:left="780" w:right="40"/>
        <w:spacing w:after="0" w:line="249" w:lineRule="auto"/>
        <w:rPr>
          <w:sz w:val="20"/>
          <w:szCs w:val="20"/>
          <w:color w:val="auto"/>
        </w:rPr>
      </w:pPr>
      <w:r>
        <w:rPr>
          <w:rFonts w:ascii="Arial" w:cs="Arial" w:eastAsia="Arial" w:hAnsi="Arial"/>
          <w:sz w:val="14"/>
          <w:szCs w:val="14"/>
          <w:color w:val="262626"/>
        </w:rPr>
        <w:t>“Resolved, that the shareholders of Wynn Resorts, Limited (‘the Company’) hereby request that the Company provide a public report, updated semiannually, disclosing the Company’s:</w:t>
      </w:r>
    </w:p>
    <w:p>
      <w:pPr>
        <w:spacing w:after="0" w:line="196" w:lineRule="exact"/>
        <w:rPr>
          <w:sz w:val="20"/>
          <w:szCs w:val="20"/>
          <w:color w:val="auto"/>
        </w:rPr>
      </w:pPr>
    </w:p>
    <w:p>
      <w:pPr>
        <w:jc w:val="both"/>
        <w:ind w:left="960" w:hanging="179"/>
        <w:spacing w:after="0" w:line="243" w:lineRule="auto"/>
        <w:tabs>
          <w:tab w:leader="none" w:pos="960" w:val="left"/>
        </w:tabs>
        <w:numPr>
          <w:ilvl w:val="0"/>
          <w:numId w:val="81"/>
        </w:numPr>
        <w:rPr>
          <w:rFonts w:ascii="Arial" w:cs="Arial" w:eastAsia="Arial" w:hAnsi="Arial"/>
          <w:sz w:val="14"/>
          <w:szCs w:val="14"/>
          <w:color w:val="CC870F"/>
        </w:rPr>
      </w:pPr>
      <w:r>
        <w:rPr>
          <w:rFonts w:ascii="Arial" w:cs="Arial" w:eastAsia="Arial" w:hAnsi="Arial"/>
          <w:sz w:val="14"/>
          <w:szCs w:val="14"/>
          <w:color w:val="262626"/>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99" w:lineRule="exact"/>
        <w:rPr>
          <w:rFonts w:ascii="Arial" w:cs="Arial" w:eastAsia="Arial" w:hAnsi="Arial"/>
          <w:sz w:val="14"/>
          <w:szCs w:val="14"/>
          <w:color w:val="CC870F"/>
        </w:rPr>
      </w:pPr>
    </w:p>
    <w:p>
      <w:pPr>
        <w:ind w:left="960" w:hanging="179"/>
        <w:spacing w:after="0"/>
        <w:tabs>
          <w:tab w:leader="none" w:pos="960" w:val="left"/>
        </w:tabs>
        <w:numPr>
          <w:ilvl w:val="0"/>
          <w:numId w:val="81"/>
        </w:numPr>
        <w:rPr>
          <w:rFonts w:ascii="Arial" w:cs="Arial" w:eastAsia="Arial" w:hAnsi="Arial"/>
          <w:sz w:val="14"/>
          <w:szCs w:val="14"/>
          <w:color w:val="CC870F"/>
        </w:rPr>
      </w:pPr>
      <w:r>
        <w:rPr>
          <w:rFonts w:ascii="Arial" w:cs="Arial" w:eastAsia="Arial" w:hAnsi="Arial"/>
          <w:sz w:val="14"/>
          <w:szCs w:val="14"/>
          <w:color w:val="262626"/>
        </w:rPr>
        <w:t>Monetary and non-monetary contributions and expenditures (direct and indirect) used in the manner described in section 1 above, including:</w:t>
      </w:r>
    </w:p>
    <w:p>
      <w:pPr>
        <w:spacing w:after="0" w:line="210" w:lineRule="exact"/>
        <w:rPr>
          <w:sz w:val="20"/>
          <w:szCs w:val="20"/>
          <w:color w:val="auto"/>
        </w:rPr>
      </w:pPr>
    </w:p>
    <w:p>
      <w:pPr>
        <w:ind w:left="960" w:hanging="179"/>
        <w:spacing w:after="0"/>
        <w:tabs>
          <w:tab w:leader="none" w:pos="960" w:val="left"/>
        </w:tabs>
        <w:numPr>
          <w:ilvl w:val="0"/>
          <w:numId w:val="82"/>
        </w:numPr>
        <w:rPr>
          <w:rFonts w:ascii="Arial" w:cs="Arial" w:eastAsia="Arial" w:hAnsi="Arial"/>
          <w:sz w:val="14"/>
          <w:szCs w:val="14"/>
          <w:color w:val="CC870F"/>
        </w:rPr>
      </w:pPr>
      <w:r>
        <w:rPr>
          <w:rFonts w:ascii="Arial" w:cs="Arial" w:eastAsia="Arial" w:hAnsi="Arial"/>
          <w:sz w:val="14"/>
          <w:szCs w:val="14"/>
          <w:color w:val="262626"/>
        </w:rPr>
        <w:t>The identity of the recipient as well as the amount paid to each; and</w:t>
      </w:r>
    </w:p>
    <w:p>
      <w:pPr>
        <w:spacing w:after="0" w:line="209" w:lineRule="exact"/>
        <w:rPr>
          <w:rFonts w:ascii="Arial" w:cs="Arial" w:eastAsia="Arial" w:hAnsi="Arial"/>
          <w:sz w:val="14"/>
          <w:szCs w:val="14"/>
          <w:color w:val="CC870F"/>
        </w:rPr>
      </w:pPr>
    </w:p>
    <w:p>
      <w:pPr>
        <w:ind w:left="960" w:hanging="179"/>
        <w:spacing w:after="0"/>
        <w:tabs>
          <w:tab w:leader="none" w:pos="960" w:val="left"/>
        </w:tabs>
        <w:numPr>
          <w:ilvl w:val="0"/>
          <w:numId w:val="82"/>
        </w:numPr>
        <w:rPr>
          <w:rFonts w:ascii="Arial" w:cs="Arial" w:eastAsia="Arial" w:hAnsi="Arial"/>
          <w:sz w:val="14"/>
          <w:szCs w:val="14"/>
          <w:color w:val="CC870F"/>
        </w:rPr>
      </w:pPr>
      <w:r>
        <w:rPr>
          <w:rFonts w:ascii="Arial" w:cs="Arial" w:eastAsia="Arial" w:hAnsi="Arial"/>
          <w:sz w:val="14"/>
          <w:szCs w:val="14"/>
          <w:color w:val="262626"/>
        </w:rPr>
        <w:t>The title(s) of the person(s) in the Company responsible for decision-making.</w:t>
      </w:r>
    </w:p>
    <w:p>
      <w:pPr>
        <w:spacing w:after="0" w:line="170" w:lineRule="exact"/>
        <w:rPr>
          <w:sz w:val="20"/>
          <w:szCs w:val="20"/>
          <w:color w:val="auto"/>
        </w:rPr>
      </w:pPr>
    </w:p>
    <w:p>
      <w:pPr>
        <w:ind w:left="780" w:right="60"/>
        <w:spacing w:after="0" w:line="249" w:lineRule="auto"/>
        <w:rPr>
          <w:sz w:val="20"/>
          <w:szCs w:val="20"/>
          <w:color w:val="auto"/>
        </w:rPr>
      </w:pPr>
      <w:r>
        <w:rPr>
          <w:rFonts w:ascii="Arial" w:cs="Arial" w:eastAsia="Arial" w:hAnsi="Arial"/>
          <w:sz w:val="14"/>
          <w:szCs w:val="14"/>
          <w:color w:val="262626"/>
        </w:rPr>
        <w:t>The report shall be presented to the board of directors or relevant board committee and posted on the Company’s website within 12 months from the date of the annual meeting. This proposal does not encompass lobbying spending.”</w:t>
      </w:r>
    </w:p>
    <w:p>
      <w:pPr>
        <w:spacing w:after="0" w:line="277"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SUPPORTING STATEMENT OF THE NEW YORK STATE COMMON RETIREMENT FUND</w:t>
      </w:r>
    </w:p>
    <w:p>
      <w:pPr>
        <w:spacing w:after="0" w:line="125" w:lineRule="exact"/>
        <w:rPr>
          <w:sz w:val="20"/>
          <w:szCs w:val="20"/>
          <w:color w:val="auto"/>
        </w:rPr>
      </w:pPr>
    </w:p>
    <w:p>
      <w:pPr>
        <w:ind w:left="780" w:right="20"/>
        <w:spacing w:after="0" w:line="243" w:lineRule="auto"/>
        <w:rPr>
          <w:sz w:val="20"/>
          <w:szCs w:val="20"/>
          <w:color w:val="auto"/>
        </w:rPr>
      </w:pPr>
      <w:r>
        <w:rPr>
          <w:rFonts w:ascii="Arial" w:cs="Arial" w:eastAsia="Arial" w:hAnsi="Arial"/>
          <w:sz w:val="14"/>
          <w:szCs w:val="14"/>
          <w:color w:val="262626"/>
        </w:rPr>
        <w:t>“As long-term shareholders of Wynn Resorts, Limited,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73" w:lineRule="exact"/>
        <w:rPr>
          <w:sz w:val="20"/>
          <w:szCs w:val="20"/>
          <w:color w:val="auto"/>
        </w:rPr>
      </w:pPr>
    </w:p>
    <w:p>
      <w:pPr>
        <w:ind w:left="780" w:right="40"/>
        <w:spacing w:after="0" w:line="241" w:lineRule="auto"/>
        <w:rPr>
          <w:sz w:val="20"/>
          <w:szCs w:val="20"/>
          <w:color w:val="auto"/>
        </w:rPr>
      </w:pPr>
      <w:r>
        <w:rPr>
          <w:rFonts w:ascii="Arial" w:cs="Arial" w:eastAsia="Arial" w:hAnsi="Arial"/>
          <w:sz w:val="14"/>
          <w:szCs w:val="14"/>
          <w:color w:val="262626"/>
        </w:rPr>
        <w:t>Disclosure is in the best interest of the company and its shareholders. Moreover, the Supreme Court’s Citizens United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ricks that could threaten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326390</wp:posOffset>
            </wp:positionV>
            <wp:extent cx="521335" cy="2355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54</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560"/>
          </w:cols>
          <w:pgMar w:left="240" w:top="453" w:right="10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240"/>
        <w:spacing w:after="0"/>
        <w:rPr>
          <w:sz w:val="20"/>
          <w:szCs w:val="20"/>
          <w:color w:val="auto"/>
        </w:rPr>
      </w:pPr>
      <w:r>
        <w:rPr>
          <w:rFonts w:ascii="Arial" w:cs="Arial" w:eastAsia="Arial" w:hAnsi="Arial"/>
          <w:sz w:val="14"/>
          <w:szCs w:val="14"/>
          <w:color w:val="262626"/>
        </w:rPr>
        <w:t>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tax-exempt organizations used for political purposes. This would bring our Company in line with a growing number of leading companies that support political disclosure and accountability and present this information on their websites.</w:t>
      </w:r>
    </w:p>
    <w:p>
      <w:pPr>
        <w:spacing w:after="0" w:line="175" w:lineRule="exact"/>
        <w:rPr>
          <w:sz w:val="20"/>
          <w:szCs w:val="20"/>
          <w:color w:val="auto"/>
        </w:rPr>
      </w:pPr>
    </w:p>
    <w:p>
      <w:pPr>
        <w:ind w:left="780" w:right="420"/>
        <w:spacing w:after="0" w:line="249" w:lineRule="auto"/>
        <w:rPr>
          <w:sz w:val="20"/>
          <w:szCs w:val="20"/>
          <w:color w:val="auto"/>
        </w:rPr>
      </w:pPr>
      <w:r>
        <w:rPr>
          <w:rFonts w:ascii="Arial" w:cs="Arial" w:eastAsia="Arial" w:hAnsi="Arial"/>
          <w:sz w:val="14"/>
          <w:szCs w:val="14"/>
          <w:color w:val="262626"/>
        </w:rPr>
        <w:t>The Company’s Board and its shareholders need comprehensive disclosure to be able to fully evaluate the political use of corporate assets. We urge your support for this critical governance reform.”</w:t>
      </w:r>
    </w:p>
    <w:p>
      <w:pPr>
        <w:spacing w:after="0" w:line="277"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050505"/>
        </w:rPr>
        <w:t>THE BOARD OF DIRECTORS’ STATEMENT IN OPPOSITION</w:t>
      </w:r>
    </w:p>
    <w:p>
      <w:pPr>
        <w:spacing w:after="0" w:line="12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After careful consideration, the Board of Directors recommends that shareholders vote AGAINST this proposal for the following reasons:</w:t>
      </w:r>
    </w:p>
    <w:p>
      <w:pPr>
        <w:spacing w:after="0" w:line="170" w:lineRule="exact"/>
        <w:rPr>
          <w:sz w:val="20"/>
          <w:szCs w:val="20"/>
          <w:color w:val="auto"/>
        </w:rPr>
      </w:pPr>
    </w:p>
    <w:p>
      <w:pPr>
        <w:ind w:left="780" w:right="160"/>
        <w:spacing w:after="0" w:line="243" w:lineRule="auto"/>
        <w:rPr>
          <w:sz w:val="20"/>
          <w:szCs w:val="20"/>
          <w:color w:val="auto"/>
        </w:rPr>
      </w:pPr>
      <w:r>
        <w:rPr>
          <w:rFonts w:ascii="Arial" w:cs="Arial" w:eastAsia="Arial" w:hAnsi="Arial"/>
          <w:sz w:val="14"/>
          <w:szCs w:val="14"/>
          <w:color w:val="262626"/>
        </w:rPr>
        <w:t>The very same proposal from the same proponent was defeated by the Company’s shareholders at the 2014, 2015, 2016, 2017, and 2018 annual meetings of shareholders. Each time, the Company’s shareholders rejected this proposal with 73.9%, 80.0%, 85.4%, 70.3% and 63.3%, respectively, of votes cast voting against the proposal.</w:t>
      </w:r>
    </w:p>
    <w:p>
      <w:pPr>
        <w:spacing w:after="0" w:line="160" w:lineRule="exact"/>
        <w:rPr>
          <w:sz w:val="20"/>
          <w:szCs w:val="20"/>
          <w:color w:val="auto"/>
        </w:rPr>
      </w:pPr>
    </w:p>
    <w:p>
      <w:pPr>
        <w:ind w:left="780" w:right="280"/>
        <w:spacing w:after="0" w:line="239" w:lineRule="auto"/>
        <w:rPr>
          <w:sz w:val="20"/>
          <w:szCs w:val="20"/>
          <w:color w:val="auto"/>
        </w:rPr>
      </w:pPr>
      <w:r>
        <w:rPr>
          <w:rFonts w:ascii="Arial" w:cs="Arial" w:eastAsia="Arial" w:hAnsi="Arial"/>
          <w:sz w:val="14"/>
          <w:szCs w:val="14"/>
          <w:color w:val="262626"/>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shareholders’ interests. The Company is committed to participating in the political process as a good corporate citizen, in full compliance with applicable laws. Accordingly, the Company has adopted the Political Contributions Policy (the “Policy”), which is available on our investor relations website at https://wynnresortslimited.gcs-web.com/political-contributions-policy. In addition to the Company’s Code of Business Conduct and Ethics, the Policy governs the Company’s consideration of political activities, including the Company’s political contributions at the federal, state, and local levels, and the Company’s membership in trade associations.</w:t>
      </w:r>
    </w:p>
    <w:p>
      <w:pPr>
        <w:spacing w:after="0" w:line="176" w:lineRule="exact"/>
        <w:rPr>
          <w:sz w:val="20"/>
          <w:szCs w:val="20"/>
          <w:color w:val="auto"/>
        </w:rPr>
      </w:pPr>
    </w:p>
    <w:p>
      <w:pPr>
        <w:ind w:left="780" w:right="180"/>
        <w:spacing w:after="0"/>
        <w:rPr>
          <w:sz w:val="20"/>
          <w:szCs w:val="20"/>
          <w:color w:val="auto"/>
        </w:rPr>
      </w:pPr>
      <w:r>
        <w:rPr>
          <w:rFonts w:ascii="Arial" w:cs="Arial" w:eastAsia="Arial" w:hAnsi="Arial"/>
          <w:sz w:val="14"/>
          <w:szCs w:val="14"/>
          <w:color w:val="262626"/>
        </w:rPr>
        <w:t>Under the Policy, the Company’s political contributions at the federal, state, and local levels are subject to an extensive internal review process designed to confirm their compliance with applicable contribution limits and regulations, and that all political contributions are to promote the business interests of the Company.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shareholders. In addition, the Company reports to the Audit Committee on its political contributions on a periodic basis.</w:t>
      </w:r>
    </w:p>
    <w:p>
      <w:pPr>
        <w:spacing w:after="0" w:line="162" w:lineRule="exact"/>
        <w:rPr>
          <w:sz w:val="20"/>
          <w:szCs w:val="20"/>
          <w:color w:val="auto"/>
        </w:rPr>
      </w:pPr>
    </w:p>
    <w:p>
      <w:pPr>
        <w:jc w:val="both"/>
        <w:ind w:left="780" w:right="200"/>
        <w:spacing w:after="0"/>
        <w:rPr>
          <w:sz w:val="20"/>
          <w:szCs w:val="20"/>
          <w:color w:val="auto"/>
        </w:rPr>
      </w:pPr>
      <w:r>
        <w:rPr>
          <w:rFonts w:ascii="Arial" w:cs="Arial" w:eastAsia="Arial" w:hAnsi="Arial"/>
          <w:sz w:val="14"/>
          <w:szCs w:val="14"/>
          <w:color w:val="262626"/>
        </w:rPr>
        <w:t>The Company also believes that it provides sufficient transparency with respect to its political contributions. The Company’s participation in political activities includes contributions to federal elections through Wynn Resorts, Limited Initiative for Public Policy, a separate, segregated fund for the purposes of soliciting and accepting political contributions (“Wynn PAC”). In compliance with federal law, Wynn PAC files regular reports with the Federal Election Commission (the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62" w:lineRule="exact"/>
        <w:rPr>
          <w:sz w:val="20"/>
          <w:szCs w:val="20"/>
          <w:color w:val="auto"/>
        </w:rPr>
      </w:pPr>
    </w:p>
    <w:p>
      <w:pPr>
        <w:ind w:left="780" w:right="180"/>
        <w:spacing w:after="0"/>
        <w:rPr>
          <w:sz w:val="20"/>
          <w:szCs w:val="20"/>
          <w:color w:val="auto"/>
        </w:rPr>
      </w:pPr>
      <w:r>
        <w:rPr>
          <w:rFonts w:ascii="Arial" w:cs="Arial" w:eastAsia="Arial" w:hAnsi="Arial"/>
          <w:sz w:val="14"/>
          <w:szCs w:val="14"/>
          <w:color w:val="262626"/>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trade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shareholders.</w:t>
      </w:r>
    </w:p>
    <w:p>
      <w:pPr>
        <w:spacing w:after="0" w:line="175" w:lineRule="exact"/>
        <w:rPr>
          <w:sz w:val="20"/>
          <w:szCs w:val="20"/>
          <w:color w:val="auto"/>
        </w:rPr>
      </w:pPr>
    </w:p>
    <w:p>
      <w:pPr>
        <w:ind w:left="780" w:right="200"/>
        <w:spacing w:after="0"/>
        <w:rPr>
          <w:sz w:val="20"/>
          <w:szCs w:val="20"/>
          <w:color w:val="auto"/>
        </w:rPr>
      </w:pPr>
      <w:r>
        <w:rPr>
          <w:rFonts w:ascii="Arial" w:cs="Arial" w:eastAsia="Arial" w:hAnsi="Arial"/>
          <w:sz w:val="14"/>
          <w:szCs w:val="14"/>
          <w:color w:val="262626"/>
        </w:rPr>
        <w:t>Moreover, the Company believes that the adoption of this proposal could put our company at a disadvantage relative to our competitors, who are not only not required to disclose this information, but may also be able to discern the Company’s public policy and political strategies and implement strategies opposed to the Company’s public policy goals if we made the disclosures requested by the proposal. We believe that any additional political contribution reporting requirements that go beyond those required under existing law should be applicable to all participants engaged in the political process, rather than to us alone, as the proposal requests.</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55</w:t>
      </w:r>
    </w:p>
    <w:p>
      <w:pPr>
        <w:sectPr>
          <w:pgSz w:w="11900" w:h="16838" w:orient="portrait"/>
          <w:cols w:equalWidth="0" w:num="1">
            <w:col w:w="10800"/>
          </w:cols>
          <w:pgMar w:left="240" w:top="453" w:right="8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Items to be voted on</w:t>
      </w:r>
    </w:p>
    <w:p>
      <w:pPr>
        <w:spacing w:after="0" w:line="318" w:lineRule="exact"/>
        <w:rPr>
          <w:sz w:val="20"/>
          <w:szCs w:val="20"/>
          <w:color w:val="auto"/>
        </w:rPr>
      </w:pPr>
    </w:p>
    <w:p>
      <w:pPr>
        <w:ind w:left="780"/>
        <w:spacing w:after="0" w:line="241" w:lineRule="auto"/>
        <w:rPr>
          <w:sz w:val="20"/>
          <w:szCs w:val="20"/>
          <w:color w:val="auto"/>
        </w:rPr>
      </w:pPr>
      <w:r>
        <w:rPr>
          <w:rFonts w:ascii="Arial" w:cs="Arial" w:eastAsia="Arial" w:hAnsi="Arial"/>
          <w:sz w:val="14"/>
          <w:szCs w:val="14"/>
          <w:color w:val="262626"/>
        </w:rPr>
        <w:t>In sum, the Company already discloses sufficient information regarding its political contributions and already has an appropriate system of oversight in place, including the Policy, to confirm that the Company’s political contributions comply with applicable law and are in the best, long-term interests of the Company and its shareholders. Accordingly, the Board believes that preparing an additional report as requested by the proposal would be an unnecessary and imprudent use of the Company’s time and resources.</w:t>
      </w:r>
    </w:p>
    <w:p>
      <w:pPr>
        <w:spacing w:after="0" w:line="216" w:lineRule="exact"/>
        <w:rPr>
          <w:sz w:val="20"/>
          <w:szCs w:val="20"/>
          <w:color w:val="auto"/>
        </w:rPr>
      </w:pPr>
    </w:p>
    <w:p>
      <w:pPr>
        <w:ind w:left="780" w:right="900"/>
        <w:spacing w:after="0" w:line="271" w:lineRule="auto"/>
        <w:rPr>
          <w:sz w:val="20"/>
          <w:szCs w:val="20"/>
          <w:color w:val="auto"/>
        </w:rPr>
      </w:pPr>
      <w:r>
        <w:rPr>
          <w:rFonts w:ascii="Arial" w:cs="Arial" w:eastAsia="Arial" w:hAnsi="Arial"/>
          <w:sz w:val="12"/>
          <w:szCs w:val="12"/>
          <w:b w:val="1"/>
          <w:bCs w:val="1"/>
          <w:color w:val="050505"/>
        </w:rPr>
        <w:t>OUR BOARD OF DIRECTORS UNANIMOUSLY RECOMMENDS THAT YOU VOTE AGAINST THE SHAREHOLDER PROPOSAL REQUESTING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319405</wp:posOffset>
            </wp:positionV>
            <wp:extent cx="521335" cy="2355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56</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560"/>
          </w:cols>
          <w:pgMar w:left="240" w:top="453" w:right="10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780"/>
        <w:spacing w:after="0"/>
        <w:rPr>
          <w:sz w:val="20"/>
          <w:szCs w:val="20"/>
          <w:color w:val="auto"/>
        </w:rPr>
      </w:pPr>
      <w:r>
        <w:rPr>
          <w:rFonts w:ascii="Arial" w:cs="Arial" w:eastAsia="Arial" w:hAnsi="Arial"/>
          <w:sz w:val="39"/>
          <w:szCs w:val="39"/>
          <w:color w:val="CC870F"/>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107950</wp:posOffset>
            </wp:positionV>
            <wp:extent cx="62566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56655" cy="8255"/>
                    </a:xfrm>
                    <a:prstGeom prst="rect">
                      <a:avLst/>
                    </a:prstGeom>
                    <a:noFill/>
                  </pic:spPr>
                </pic:pic>
              </a:graphicData>
            </a:graphic>
          </wp:anchor>
        </w:drawing>
      </w:r>
    </w:p>
    <w:p>
      <w:pPr>
        <w:spacing w:after="0" w:line="184" w:lineRule="exact"/>
        <w:rPr>
          <w:sz w:val="20"/>
          <w:szCs w:val="20"/>
          <w:color w:val="auto"/>
        </w:rPr>
      </w:pPr>
    </w:p>
    <w:p>
      <w:pPr>
        <w:ind w:left="9400"/>
        <w:spacing w:after="0"/>
        <w:rPr>
          <w:sz w:val="20"/>
          <w:szCs w:val="20"/>
          <w:color w:val="auto"/>
        </w:rPr>
      </w:pPr>
      <w:r>
        <w:rPr>
          <w:rFonts w:ascii="Arial" w:cs="Arial" w:eastAsia="Arial" w:hAnsi="Arial"/>
          <w:sz w:val="7"/>
          <w:szCs w:val="7"/>
          <w:b w:val="1"/>
          <w:bCs w:val="1"/>
          <w:color w:val="262626"/>
        </w:rPr>
        <w:t>B U I L D I N G T H E N E W W Y N N</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OUR 2019 ANNUAL MEETING OF SHAREHOLDERS</w:t>
      </w:r>
    </w:p>
    <w:p>
      <w:pPr>
        <w:spacing w:after="0" w:line="118" w:lineRule="exact"/>
        <w:rPr>
          <w:sz w:val="20"/>
          <w:szCs w:val="20"/>
          <w:color w:val="auto"/>
        </w:rPr>
      </w:pPr>
    </w:p>
    <w:p>
      <w:pPr>
        <w:ind w:left="780" w:right="240"/>
        <w:spacing w:after="0"/>
        <w:rPr>
          <w:sz w:val="20"/>
          <w:szCs w:val="20"/>
          <w:color w:val="auto"/>
        </w:rPr>
      </w:pPr>
      <w:r>
        <w:rPr>
          <w:rFonts w:ascii="Arial" w:cs="Arial" w:eastAsia="Arial" w:hAnsi="Arial"/>
          <w:sz w:val="14"/>
          <w:szCs w:val="14"/>
          <w:color w:val="262626"/>
        </w:rPr>
        <w:t>This Proxy Statement is furnished to the shareholders of Wynn Resorts in connection with the solicitation by the Board of proxies for its 2019 Annual Meeting of Shareholders (the “Annual Meeting”) to be held on May 7, 2019, at the Encore Theater at Wynn Las Vegas, 3131 Las Vegas Boulevard South, Las Vegas, Nevada 89109, at 9:00 am (local time), and at any adjournments or postponements thereof. Our principal executive offices are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Board recommends a vote as follows:</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09"/>
        </w:trPr>
        <w:tc>
          <w:tcPr>
            <w:tcW w:w="560" w:type="dxa"/>
            <w:vAlign w:val="bottom"/>
            <w:shd w:val="clear" w:color="auto" w:fill="A39B8C"/>
          </w:tcPr>
          <w:p>
            <w:pPr>
              <w:ind w:left="40"/>
              <w:spacing w:after="0"/>
              <w:rPr>
                <w:sz w:val="20"/>
                <w:szCs w:val="20"/>
                <w:color w:val="auto"/>
              </w:rPr>
            </w:pPr>
            <w:r>
              <w:rPr>
                <w:rFonts w:ascii="Arial" w:cs="Arial" w:eastAsia="Arial" w:hAnsi="Arial"/>
                <w:sz w:val="9"/>
                <w:szCs w:val="9"/>
                <w:b w:val="1"/>
                <w:bCs w:val="1"/>
                <w:color w:val="FFFFFF"/>
                <w:w w:val="98"/>
              </w:rPr>
              <w:t>PROPOSAL</w:t>
            </w:r>
          </w:p>
        </w:tc>
        <w:tc>
          <w:tcPr>
            <w:tcW w:w="8040" w:type="dxa"/>
            <w:vAlign w:val="bottom"/>
            <w:shd w:val="clear" w:color="auto" w:fill="A39B8C"/>
          </w:tcPr>
          <w:p>
            <w:pPr>
              <w:spacing w:after="0"/>
              <w:rPr>
                <w:sz w:val="9"/>
                <w:szCs w:val="9"/>
                <w:color w:val="auto"/>
              </w:rPr>
            </w:pPr>
          </w:p>
        </w:tc>
        <w:tc>
          <w:tcPr>
            <w:tcW w:w="1260" w:type="dxa"/>
            <w:vAlign w:val="bottom"/>
            <w:shd w:val="clear" w:color="auto" w:fill="A39B8C"/>
          </w:tcPr>
          <w:p>
            <w:pPr>
              <w:ind w:left="180"/>
              <w:spacing w:after="0"/>
              <w:rPr>
                <w:sz w:val="20"/>
                <w:szCs w:val="20"/>
                <w:color w:val="auto"/>
              </w:rPr>
            </w:pPr>
            <w:r>
              <w:rPr>
                <w:rFonts w:ascii="Arial" w:cs="Arial" w:eastAsia="Arial" w:hAnsi="Arial"/>
                <w:sz w:val="9"/>
                <w:szCs w:val="9"/>
                <w:b w:val="1"/>
                <w:bCs w:val="1"/>
                <w:color w:val="FFFFFF"/>
              </w:rPr>
              <w:t>BOARD</w:t>
            </w:r>
          </w:p>
        </w:tc>
        <w:tc>
          <w:tcPr>
            <w:tcW w:w="20" w:type="dxa"/>
            <w:vAlign w:val="bottom"/>
            <w:shd w:val="clear" w:color="auto" w:fill="A39B8C"/>
          </w:tcPr>
          <w:p>
            <w:pPr>
              <w:spacing w:after="0"/>
              <w:rPr>
                <w:sz w:val="9"/>
                <w:szCs w:val="9"/>
                <w:color w:val="auto"/>
              </w:rPr>
            </w:pPr>
          </w:p>
        </w:tc>
      </w:tr>
      <w:tr>
        <w:trPr>
          <w:trHeight w:val="149"/>
        </w:trPr>
        <w:tc>
          <w:tcPr>
            <w:tcW w:w="560" w:type="dxa"/>
            <w:vAlign w:val="bottom"/>
            <w:tcBorders>
              <w:bottom w:val="single" w:sz="8" w:color="A39B8C"/>
            </w:tcBorders>
            <w:shd w:val="clear" w:color="auto" w:fill="A39B8C"/>
          </w:tcPr>
          <w:p>
            <w:pPr>
              <w:ind w:left="40"/>
              <w:spacing w:after="0"/>
              <w:rPr>
                <w:sz w:val="20"/>
                <w:szCs w:val="20"/>
                <w:color w:val="auto"/>
              </w:rPr>
            </w:pPr>
            <w:r>
              <w:rPr>
                <w:rFonts w:ascii="Arial" w:cs="Arial" w:eastAsia="Arial" w:hAnsi="Arial"/>
                <w:sz w:val="9"/>
                <w:szCs w:val="9"/>
                <w:b w:val="1"/>
                <w:bCs w:val="1"/>
                <w:color w:val="FFFFFF"/>
              </w:rPr>
              <w:t>NUMBER</w:t>
            </w:r>
          </w:p>
        </w:tc>
        <w:tc>
          <w:tcPr>
            <w:tcW w:w="8040" w:type="dxa"/>
            <w:vAlign w:val="bottom"/>
            <w:tcBorders>
              <w:bottom w:val="single" w:sz="8" w:color="A39B8C"/>
            </w:tcBorders>
            <w:shd w:val="clear" w:color="auto" w:fill="A39B8C"/>
          </w:tcPr>
          <w:p>
            <w:pPr>
              <w:ind w:left="340"/>
              <w:spacing w:after="0"/>
              <w:rPr>
                <w:sz w:val="20"/>
                <w:szCs w:val="20"/>
                <w:color w:val="auto"/>
              </w:rPr>
            </w:pPr>
            <w:r>
              <w:rPr>
                <w:rFonts w:ascii="Arial" w:cs="Arial" w:eastAsia="Arial" w:hAnsi="Arial"/>
                <w:sz w:val="9"/>
                <w:szCs w:val="9"/>
                <w:b w:val="1"/>
                <w:bCs w:val="1"/>
                <w:color w:val="FFFFFF"/>
              </w:rPr>
              <w:t>PROPOSAL</w:t>
            </w:r>
          </w:p>
        </w:tc>
        <w:tc>
          <w:tcPr>
            <w:tcW w:w="1260" w:type="dxa"/>
            <w:vAlign w:val="bottom"/>
            <w:tcBorders>
              <w:bottom w:val="single" w:sz="8" w:color="A39B8C"/>
            </w:tcBorders>
            <w:shd w:val="clear" w:color="auto" w:fill="A39B8C"/>
          </w:tcPr>
          <w:p>
            <w:pPr>
              <w:ind w:left="180"/>
              <w:spacing w:after="0"/>
              <w:rPr>
                <w:sz w:val="20"/>
                <w:szCs w:val="20"/>
                <w:color w:val="auto"/>
              </w:rPr>
            </w:pPr>
            <w:r>
              <w:rPr>
                <w:rFonts w:ascii="Arial" w:cs="Arial" w:eastAsia="Arial" w:hAnsi="Arial"/>
                <w:sz w:val="9"/>
                <w:szCs w:val="9"/>
                <w:b w:val="1"/>
                <w:bCs w:val="1"/>
                <w:color w:val="FFFFFF"/>
              </w:rPr>
              <w:t>RECOMMENDATION</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89"/>
        </w:trPr>
        <w:tc>
          <w:tcPr>
            <w:tcW w:w="560" w:type="dxa"/>
            <w:vAlign w:val="bottom"/>
          </w:tcPr>
          <w:p>
            <w:pPr>
              <w:jc w:val="right"/>
              <w:ind w:right="330"/>
              <w:spacing w:after="0"/>
              <w:rPr>
                <w:sz w:val="20"/>
                <w:szCs w:val="20"/>
                <w:color w:val="auto"/>
              </w:rPr>
            </w:pPr>
            <w:r>
              <w:rPr>
                <w:rFonts w:ascii="Arial" w:cs="Arial" w:eastAsia="Arial" w:hAnsi="Arial"/>
                <w:sz w:val="11"/>
                <w:szCs w:val="11"/>
                <w:color w:val="262626"/>
              </w:rPr>
              <w:t>1</w:t>
            </w:r>
          </w:p>
        </w:tc>
        <w:tc>
          <w:tcPr>
            <w:tcW w:w="8040" w:type="dxa"/>
            <w:vAlign w:val="bottom"/>
          </w:tcPr>
          <w:p>
            <w:pPr>
              <w:ind w:left="340"/>
              <w:spacing w:after="0"/>
              <w:rPr>
                <w:sz w:val="20"/>
                <w:szCs w:val="20"/>
                <w:color w:val="auto"/>
              </w:rPr>
            </w:pPr>
            <w:r>
              <w:rPr>
                <w:rFonts w:ascii="Arial" w:cs="Arial" w:eastAsia="Arial" w:hAnsi="Arial"/>
                <w:sz w:val="11"/>
                <w:szCs w:val="11"/>
                <w:color w:val="262626"/>
              </w:rPr>
              <w:t>Election of the three Class II director nominees named in this Proxy Statement to serve until the 2022 Annual Meeting of Shareholders</w:t>
            </w:r>
          </w:p>
        </w:tc>
        <w:tc>
          <w:tcPr>
            <w:tcW w:w="1260" w:type="dxa"/>
            <w:vAlign w:val="bottom"/>
          </w:tcPr>
          <w:p>
            <w:pPr>
              <w:ind w:left="180"/>
              <w:spacing w:after="0"/>
              <w:rPr>
                <w:sz w:val="20"/>
                <w:szCs w:val="20"/>
                <w:color w:val="auto"/>
              </w:rPr>
            </w:pPr>
            <w:r>
              <w:rPr>
                <w:rFonts w:ascii="Arial" w:cs="Arial" w:eastAsia="Arial" w:hAnsi="Arial"/>
                <w:sz w:val="11"/>
                <w:szCs w:val="11"/>
                <w:color w:val="262626"/>
              </w:rPr>
              <w:t>“FOR” each nominee</w:t>
            </w:r>
          </w:p>
        </w:tc>
        <w:tc>
          <w:tcPr>
            <w:tcW w:w="20" w:type="dxa"/>
            <w:vAlign w:val="bottom"/>
          </w:tcPr>
          <w:p>
            <w:pPr>
              <w:spacing w:after="0"/>
              <w:rPr>
                <w:sz w:val="16"/>
                <w:szCs w:val="16"/>
                <w:color w:val="auto"/>
              </w:rPr>
            </w:pPr>
          </w:p>
        </w:tc>
      </w:tr>
      <w:tr>
        <w:trPr>
          <w:trHeight w:val="49"/>
        </w:trPr>
        <w:tc>
          <w:tcPr>
            <w:tcW w:w="5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8"/>
        </w:trPr>
        <w:tc>
          <w:tcPr>
            <w:tcW w:w="560" w:type="dxa"/>
            <w:vAlign w:val="bottom"/>
            <w:tcBorders>
              <w:bottom w:val="single" w:sz="8" w:color="ECEBE8"/>
            </w:tcBorders>
            <w:shd w:val="clear" w:color="auto" w:fill="ECEBE8"/>
          </w:tcPr>
          <w:p>
            <w:pPr>
              <w:jc w:val="right"/>
              <w:ind w:right="330"/>
              <w:spacing w:after="0"/>
              <w:rPr>
                <w:sz w:val="20"/>
                <w:szCs w:val="20"/>
                <w:color w:val="auto"/>
              </w:rPr>
            </w:pPr>
            <w:r>
              <w:rPr>
                <w:rFonts w:ascii="Arial" w:cs="Arial" w:eastAsia="Arial" w:hAnsi="Arial"/>
                <w:sz w:val="11"/>
                <w:szCs w:val="11"/>
                <w:color w:val="262626"/>
              </w:rPr>
              <w:t>2</w:t>
            </w:r>
          </w:p>
        </w:tc>
        <w:tc>
          <w:tcPr>
            <w:tcW w:w="8040" w:type="dxa"/>
            <w:vAlign w:val="bottom"/>
            <w:tcBorders>
              <w:bottom w:val="single" w:sz="8" w:color="ECEBE8"/>
            </w:tcBorders>
            <w:shd w:val="clear" w:color="auto" w:fill="ECEBE8"/>
          </w:tcPr>
          <w:p>
            <w:pPr>
              <w:ind w:left="340"/>
              <w:spacing w:after="0"/>
              <w:rPr>
                <w:sz w:val="20"/>
                <w:szCs w:val="20"/>
                <w:color w:val="auto"/>
              </w:rPr>
            </w:pPr>
            <w:r>
              <w:rPr>
                <w:rFonts w:ascii="Arial" w:cs="Arial" w:eastAsia="Arial" w:hAnsi="Arial"/>
                <w:sz w:val="11"/>
                <w:szCs w:val="11"/>
                <w:color w:val="262626"/>
              </w:rPr>
              <w:t>Ratification of the appointment of Ernst &amp; Young LLP as our independent registered public accounting firm for the fiscal year ending December 31, 2019</w:t>
            </w:r>
          </w:p>
        </w:tc>
        <w:tc>
          <w:tcPr>
            <w:tcW w:w="1260" w:type="dxa"/>
            <w:vAlign w:val="bottom"/>
            <w:tcBorders>
              <w:bottom w:val="single" w:sz="8" w:color="ECEBE8"/>
            </w:tcBorders>
            <w:shd w:val="clear" w:color="auto" w:fill="ECEBE8"/>
          </w:tcPr>
          <w:p>
            <w:pPr>
              <w:ind w:left="180"/>
              <w:spacing w:after="0"/>
              <w:rPr>
                <w:sz w:val="20"/>
                <w:szCs w:val="20"/>
                <w:color w:val="auto"/>
              </w:rPr>
            </w:pPr>
            <w:r>
              <w:rPr>
                <w:rFonts w:ascii="Arial" w:cs="Arial" w:eastAsia="Arial" w:hAnsi="Arial"/>
                <w:sz w:val="11"/>
                <w:szCs w:val="11"/>
                <w:color w:val="262626"/>
              </w:rPr>
              <w:t>“FOR”</w:t>
            </w:r>
          </w:p>
        </w:tc>
        <w:tc>
          <w:tcPr>
            <w:tcW w:w="20" w:type="dxa"/>
            <w:vAlign w:val="bottom"/>
          </w:tcPr>
          <w:p>
            <w:pPr>
              <w:spacing w:after="0"/>
              <w:rPr>
                <w:sz w:val="18"/>
                <w:szCs w:val="18"/>
                <w:color w:val="auto"/>
              </w:rPr>
            </w:pPr>
          </w:p>
        </w:tc>
      </w:tr>
      <w:tr>
        <w:trPr>
          <w:trHeight w:val="189"/>
        </w:trPr>
        <w:tc>
          <w:tcPr>
            <w:tcW w:w="560" w:type="dxa"/>
            <w:vAlign w:val="bottom"/>
          </w:tcPr>
          <w:p>
            <w:pPr>
              <w:jc w:val="right"/>
              <w:ind w:right="330"/>
              <w:spacing w:after="0"/>
              <w:rPr>
                <w:sz w:val="20"/>
                <w:szCs w:val="20"/>
                <w:color w:val="auto"/>
              </w:rPr>
            </w:pPr>
            <w:r>
              <w:rPr>
                <w:rFonts w:ascii="Arial" w:cs="Arial" w:eastAsia="Arial" w:hAnsi="Arial"/>
                <w:sz w:val="11"/>
                <w:szCs w:val="11"/>
                <w:color w:val="262626"/>
              </w:rPr>
              <w:t>3</w:t>
            </w:r>
          </w:p>
        </w:tc>
        <w:tc>
          <w:tcPr>
            <w:tcW w:w="8040" w:type="dxa"/>
            <w:vAlign w:val="bottom"/>
          </w:tcPr>
          <w:p>
            <w:pPr>
              <w:ind w:left="340"/>
              <w:spacing w:after="0"/>
              <w:rPr>
                <w:sz w:val="20"/>
                <w:szCs w:val="20"/>
                <w:color w:val="auto"/>
              </w:rPr>
            </w:pPr>
            <w:r>
              <w:rPr>
                <w:rFonts w:ascii="Arial" w:cs="Arial" w:eastAsia="Arial" w:hAnsi="Arial"/>
                <w:sz w:val="11"/>
                <w:szCs w:val="11"/>
                <w:color w:val="262626"/>
              </w:rPr>
              <w:t>Approval, on a non-binding advisory basis, of the compensation of our named executive officers as described in this Proxy Statement</w:t>
            </w:r>
          </w:p>
        </w:tc>
        <w:tc>
          <w:tcPr>
            <w:tcW w:w="1260" w:type="dxa"/>
            <w:vAlign w:val="bottom"/>
          </w:tcPr>
          <w:p>
            <w:pPr>
              <w:ind w:left="180"/>
              <w:spacing w:after="0"/>
              <w:rPr>
                <w:sz w:val="20"/>
                <w:szCs w:val="20"/>
                <w:color w:val="auto"/>
              </w:rPr>
            </w:pPr>
            <w:r>
              <w:rPr>
                <w:rFonts w:ascii="Arial" w:cs="Arial" w:eastAsia="Arial" w:hAnsi="Arial"/>
                <w:sz w:val="11"/>
                <w:szCs w:val="11"/>
                <w:color w:val="262626"/>
              </w:rPr>
              <w:t>“FOR”</w:t>
            </w:r>
          </w:p>
        </w:tc>
        <w:tc>
          <w:tcPr>
            <w:tcW w:w="20" w:type="dxa"/>
            <w:vAlign w:val="bottom"/>
          </w:tcPr>
          <w:p>
            <w:pPr>
              <w:spacing w:after="0"/>
              <w:rPr>
                <w:sz w:val="16"/>
                <w:szCs w:val="16"/>
                <w:color w:val="auto"/>
              </w:rPr>
            </w:pPr>
          </w:p>
        </w:tc>
      </w:tr>
      <w:tr>
        <w:trPr>
          <w:trHeight w:val="49"/>
        </w:trPr>
        <w:tc>
          <w:tcPr>
            <w:tcW w:w="5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5"/>
        </w:trPr>
        <w:tc>
          <w:tcPr>
            <w:tcW w:w="560" w:type="dxa"/>
            <w:vAlign w:val="bottom"/>
            <w:shd w:val="clear" w:color="auto" w:fill="ECEBE8"/>
          </w:tcPr>
          <w:p>
            <w:pPr>
              <w:jc w:val="right"/>
              <w:ind w:right="330"/>
              <w:spacing w:after="0"/>
              <w:rPr>
                <w:sz w:val="20"/>
                <w:szCs w:val="20"/>
                <w:color w:val="auto"/>
              </w:rPr>
            </w:pPr>
            <w:r>
              <w:rPr>
                <w:rFonts w:ascii="Arial" w:cs="Arial" w:eastAsia="Arial" w:hAnsi="Arial"/>
                <w:sz w:val="11"/>
                <w:szCs w:val="11"/>
                <w:color w:val="262626"/>
              </w:rPr>
              <w:t>4</w:t>
            </w:r>
          </w:p>
        </w:tc>
        <w:tc>
          <w:tcPr>
            <w:tcW w:w="8040" w:type="dxa"/>
            <w:vAlign w:val="bottom"/>
            <w:shd w:val="clear" w:color="auto" w:fill="ECEBE8"/>
          </w:tcPr>
          <w:p>
            <w:pPr>
              <w:ind w:left="340"/>
              <w:spacing w:after="0"/>
              <w:rPr>
                <w:sz w:val="20"/>
                <w:szCs w:val="20"/>
                <w:color w:val="auto"/>
              </w:rPr>
            </w:pPr>
            <w:r>
              <w:rPr>
                <w:rFonts w:ascii="Arial" w:cs="Arial" w:eastAsia="Arial" w:hAnsi="Arial"/>
                <w:sz w:val="11"/>
                <w:szCs w:val="11"/>
                <w:color w:val="262626"/>
              </w:rPr>
              <w:t>Vote on a shareholder proposal requesting a political contributions report, if properly presented</w:t>
            </w:r>
          </w:p>
        </w:tc>
        <w:tc>
          <w:tcPr>
            <w:tcW w:w="1260" w:type="dxa"/>
            <w:vAlign w:val="bottom"/>
            <w:shd w:val="clear" w:color="auto" w:fill="ECEBE8"/>
          </w:tcPr>
          <w:p>
            <w:pPr>
              <w:ind w:left="180"/>
              <w:spacing w:after="0"/>
              <w:rPr>
                <w:sz w:val="20"/>
                <w:szCs w:val="20"/>
                <w:color w:val="auto"/>
              </w:rPr>
            </w:pPr>
            <w:r>
              <w:rPr>
                <w:rFonts w:ascii="Arial" w:cs="Arial" w:eastAsia="Arial" w:hAnsi="Arial"/>
                <w:sz w:val="11"/>
                <w:szCs w:val="11"/>
                <w:color w:val="262626"/>
              </w:rPr>
              <w:t>“AGAINST”</w:t>
            </w:r>
          </w:p>
        </w:tc>
        <w:tc>
          <w:tcPr>
            <w:tcW w:w="20" w:type="dxa"/>
            <w:vAlign w:val="bottom"/>
          </w:tcPr>
          <w:p>
            <w:pPr>
              <w:spacing w:after="0"/>
              <w:rPr>
                <w:sz w:val="16"/>
                <w:szCs w:val="16"/>
                <w:color w:val="auto"/>
              </w:rPr>
            </w:pPr>
          </w:p>
        </w:tc>
      </w:tr>
      <w:tr>
        <w:trPr>
          <w:trHeight w:val="53"/>
        </w:trPr>
        <w:tc>
          <w:tcPr>
            <w:tcW w:w="560" w:type="dxa"/>
            <w:vAlign w:val="bottom"/>
            <w:shd w:val="clear" w:color="auto" w:fill="ECEBE8"/>
          </w:tcPr>
          <w:p>
            <w:pPr>
              <w:spacing w:after="0"/>
              <w:rPr>
                <w:sz w:val="4"/>
                <w:szCs w:val="4"/>
                <w:color w:val="auto"/>
              </w:rPr>
            </w:pPr>
          </w:p>
        </w:tc>
        <w:tc>
          <w:tcPr>
            <w:tcW w:w="8040" w:type="dxa"/>
            <w:vAlign w:val="bottom"/>
            <w:shd w:val="clear" w:color="auto" w:fill="ECEBE8"/>
          </w:tcPr>
          <w:p>
            <w:pPr>
              <w:spacing w:after="0"/>
              <w:rPr>
                <w:sz w:val="4"/>
                <w:szCs w:val="4"/>
                <w:color w:val="auto"/>
              </w:rPr>
            </w:pPr>
          </w:p>
        </w:tc>
        <w:tc>
          <w:tcPr>
            <w:tcW w:w="1260" w:type="dxa"/>
            <w:vAlign w:val="bottom"/>
            <w:shd w:val="clear" w:color="auto" w:fill="ECEBE8"/>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-621665</wp:posOffset>
            </wp:positionV>
            <wp:extent cx="825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27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VOTING AND SOLICITATION</w:t>
      </w:r>
    </w:p>
    <w:p>
      <w:pPr>
        <w:spacing w:after="0" w:line="118" w:lineRule="exact"/>
        <w:rPr>
          <w:sz w:val="20"/>
          <w:szCs w:val="20"/>
          <w:color w:val="auto"/>
        </w:rPr>
      </w:pPr>
    </w:p>
    <w:p>
      <w:pPr>
        <w:ind w:left="780" w:right="380"/>
        <w:spacing w:after="0" w:line="241" w:lineRule="auto"/>
        <w:rPr>
          <w:sz w:val="20"/>
          <w:szCs w:val="20"/>
          <w:color w:val="auto"/>
        </w:rPr>
      </w:pPr>
      <w:r>
        <w:rPr>
          <w:rFonts w:ascii="Arial" w:cs="Arial" w:eastAsia="Arial" w:hAnsi="Arial"/>
          <w:sz w:val="14"/>
          <w:szCs w:val="14"/>
          <w:color w:val="262626"/>
        </w:rPr>
        <w:t>Only holders of record of shares of the Company’s common stock, par value $0.01 (“Common Stock”), as of the close of business on March 11, 2019, the record date fixed by the Board (the “Record Date”), are entitled to notice of, and to vote at, the Annual Meeting and at any adjournments or postponements thereof. As of the Record Date, there were 107,639,329 shares of Common Stock outstanding. Each shareholder is entitled to one vote for each share of Common Stock held as of the Record Date on all matters presented at the Annual Meeting.</w:t>
      </w:r>
    </w:p>
    <w:p>
      <w:pPr>
        <w:spacing w:after="0" w:line="161" w:lineRule="exact"/>
        <w:rPr>
          <w:sz w:val="20"/>
          <w:szCs w:val="20"/>
          <w:color w:val="auto"/>
        </w:rPr>
      </w:pPr>
    </w:p>
    <w:p>
      <w:pPr>
        <w:ind w:left="780" w:right="240"/>
        <w:spacing w:after="0" w:line="243" w:lineRule="auto"/>
        <w:rPr>
          <w:sz w:val="20"/>
          <w:szCs w:val="20"/>
          <w:color w:val="auto"/>
        </w:rPr>
      </w:pPr>
      <w:r>
        <w:rPr>
          <w:rFonts w:ascii="Arial" w:cs="Arial" w:eastAsia="Arial" w:hAnsi="Arial"/>
          <w:sz w:val="14"/>
          <w:szCs w:val="14"/>
          <w:color w:val="262626"/>
        </w:rPr>
        <w:t>At least a majority of the outstanding shares of Common Stock must be represented at the Annual Meeting, in person or by proxy, to constitute a quorum and to transact business at the Annual Meeting. Abstentions, broker non-votes and “withhold” votes are counted for purposes determining whether there is a quorum.</w:t>
      </w:r>
    </w:p>
    <w:p>
      <w:pPr>
        <w:spacing w:after="0" w:line="160" w:lineRule="exact"/>
        <w:rPr>
          <w:sz w:val="20"/>
          <w:szCs w:val="20"/>
          <w:color w:val="auto"/>
        </w:rPr>
      </w:pPr>
    </w:p>
    <w:p>
      <w:pPr>
        <w:ind w:left="780" w:right="180"/>
        <w:spacing w:after="0" w:line="249" w:lineRule="auto"/>
        <w:rPr>
          <w:sz w:val="20"/>
          <w:szCs w:val="20"/>
          <w:color w:val="auto"/>
        </w:rPr>
      </w:pPr>
      <w:r>
        <w:rPr>
          <w:rFonts w:ascii="Arial" w:cs="Arial" w:eastAsia="Arial" w:hAnsi="Arial"/>
          <w:sz w:val="14"/>
          <w:szCs w:val="14"/>
          <w:color w:val="262626"/>
        </w:rPr>
        <w:t>A plurality of the votes cast in person or by proxy at the Annual Meeting is required for the election of the director nominees. Shares as to which a shareholder withholds voting authority and broker non-votes, which are described below, will not affect the outcome of the election.</w:t>
      </w:r>
    </w:p>
    <w:p>
      <w:pPr>
        <w:spacing w:after="0" w:line="169" w:lineRule="exact"/>
        <w:rPr>
          <w:sz w:val="20"/>
          <w:szCs w:val="20"/>
          <w:color w:val="auto"/>
        </w:rPr>
      </w:pPr>
    </w:p>
    <w:p>
      <w:pPr>
        <w:ind w:left="780" w:right="180"/>
        <w:spacing w:after="0" w:line="239" w:lineRule="auto"/>
        <w:rPr>
          <w:sz w:val="20"/>
          <w:szCs w:val="20"/>
          <w:color w:val="auto"/>
        </w:rPr>
      </w:pPr>
      <w:r>
        <w:rPr>
          <w:rFonts w:ascii="Arial" w:cs="Arial" w:eastAsia="Arial" w:hAnsi="Arial"/>
          <w:sz w:val="14"/>
          <w:szCs w:val="14"/>
          <w:color w:val="262626"/>
        </w:rPr>
        <w:t>For each other item to be acted upon at the Annual Meeting (Proposals 2, 3 and 4), the item will be approved if the number of votes cast in favor of the item by the shareholders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64" w:lineRule="exact"/>
        <w:rPr>
          <w:sz w:val="20"/>
          <w:szCs w:val="20"/>
          <w:color w:val="auto"/>
        </w:rPr>
      </w:pPr>
    </w:p>
    <w:p>
      <w:pPr>
        <w:ind w:left="780" w:right="280"/>
        <w:spacing w:after="0" w:line="239" w:lineRule="auto"/>
        <w:rPr>
          <w:sz w:val="20"/>
          <w:szCs w:val="20"/>
          <w:color w:val="auto"/>
        </w:rPr>
      </w:pPr>
      <w:r>
        <w:rPr>
          <w:rFonts w:ascii="Arial" w:cs="Arial" w:eastAsia="Arial" w:hAnsi="Arial"/>
          <w:sz w:val="14"/>
          <w:szCs w:val="14"/>
          <w:color w:val="262626"/>
        </w:rPr>
        <w:t xml:space="preserve">For a shareholder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or Proposal 4 (the shareholder proposal) if the shareholder does not provide the intermediary with applicable voting instructions (this situation is called a “broker non-vote”). </w:t>
      </w:r>
      <w:r>
        <w:rPr>
          <w:rFonts w:ascii="Arial" w:cs="Arial" w:eastAsia="Arial" w:hAnsi="Arial"/>
          <w:sz w:val="14"/>
          <w:szCs w:val="14"/>
          <w:b w:val="1"/>
          <w:bCs w:val="1"/>
          <w:color w:val="262626"/>
        </w:rPr>
        <w:t>Accordingly, we encourage you to vote your shares on all matters being considered at the</w:t>
      </w:r>
      <w:r>
        <w:rPr>
          <w:rFonts w:ascii="Arial" w:cs="Arial" w:eastAsia="Arial" w:hAnsi="Arial"/>
          <w:sz w:val="14"/>
          <w:szCs w:val="14"/>
          <w:color w:val="262626"/>
        </w:rPr>
        <w:t xml:space="preserve"> </w:t>
      </w:r>
      <w:r>
        <w:rPr>
          <w:rFonts w:ascii="Arial" w:cs="Arial" w:eastAsia="Arial" w:hAnsi="Arial"/>
          <w:sz w:val="14"/>
          <w:szCs w:val="14"/>
          <w:b w:val="1"/>
          <w:bCs w:val="1"/>
          <w:color w:val="262626"/>
        </w:rPr>
        <w:t xml:space="preserve">Annual Meeting. </w:t>
      </w:r>
      <w:r>
        <w:rPr>
          <w:rFonts w:ascii="Arial" w:cs="Arial" w:eastAsia="Arial" w:hAnsi="Arial"/>
          <w:sz w:val="14"/>
          <w:szCs w:val="14"/>
          <w:color w:val="262626"/>
        </w:rPr>
        <w:t>Notwithstanding the occurrence of a broker non-vote, the intermediary may still vote the shareholder’s shares on Proposal 2 (ratification of</w:t>
      </w:r>
      <w:r>
        <w:rPr>
          <w:rFonts w:ascii="Arial" w:cs="Arial" w:eastAsia="Arial" w:hAnsi="Arial"/>
          <w:sz w:val="14"/>
          <w:szCs w:val="14"/>
          <w:b w:val="1"/>
          <w:bCs w:val="1"/>
          <w:color w:val="262626"/>
        </w:rPr>
        <w:t xml:space="preserve"> </w:t>
      </w:r>
      <w:r>
        <w:rPr>
          <w:rFonts w:ascii="Arial" w:cs="Arial" w:eastAsia="Arial" w:hAnsi="Arial"/>
          <w:sz w:val="14"/>
          <w:szCs w:val="14"/>
          <w:color w:val="262626"/>
        </w:rPr>
        <w:t>Ernst &amp; Young LLP as our independent auditor).</w:t>
      </w: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57</w:t>
      </w:r>
    </w:p>
    <w:p>
      <w:pPr>
        <w:sectPr>
          <w:pgSz w:w="11900" w:h="16838" w:orient="portrait"/>
          <w:cols w:equalWidth="0" w:num="1">
            <w:col w:w="10800"/>
          </w:cols>
          <w:pgMar w:left="240" w:top="453" w:right="8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General information</w:t>
      </w:r>
    </w:p>
    <w:p>
      <w:pPr>
        <w:spacing w:after="0" w:line="318" w:lineRule="exact"/>
        <w:rPr>
          <w:sz w:val="20"/>
          <w:szCs w:val="20"/>
          <w:color w:val="auto"/>
        </w:rPr>
      </w:pPr>
    </w:p>
    <w:p>
      <w:pPr>
        <w:ind w:left="780"/>
        <w:spacing w:after="0"/>
        <w:rPr>
          <w:sz w:val="20"/>
          <w:szCs w:val="20"/>
          <w:color w:val="auto"/>
        </w:rPr>
      </w:pPr>
      <w:r>
        <w:rPr>
          <w:rFonts w:ascii="Arial" w:cs="Arial" w:eastAsia="Arial" w:hAnsi="Arial"/>
          <w:sz w:val="14"/>
          <w:szCs w:val="14"/>
          <w:color w:val="262626"/>
        </w:rPr>
        <w:t>The following table summarizes the voting requirements to elect directors and to approve each of the proposals in this Proxy Statement:</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119"/>
        </w:trPr>
        <w:tc>
          <w:tcPr>
            <w:tcW w:w="580" w:type="dxa"/>
            <w:vAlign w:val="bottom"/>
            <w:shd w:val="clear" w:color="auto" w:fill="A39B8C"/>
          </w:tcPr>
          <w:p>
            <w:pPr>
              <w:ind w:left="80"/>
              <w:spacing w:after="0"/>
              <w:rPr>
                <w:sz w:val="20"/>
                <w:szCs w:val="20"/>
                <w:color w:val="auto"/>
              </w:rPr>
            </w:pPr>
            <w:r>
              <w:rPr>
                <w:rFonts w:ascii="Arial" w:cs="Arial" w:eastAsia="Arial" w:hAnsi="Arial"/>
                <w:sz w:val="9"/>
                <w:szCs w:val="9"/>
                <w:b w:val="1"/>
                <w:bCs w:val="1"/>
                <w:color w:val="FFFFFF"/>
                <w:w w:val="94"/>
              </w:rPr>
              <w:t>PROPOSAL</w:t>
            </w:r>
          </w:p>
        </w:tc>
        <w:tc>
          <w:tcPr>
            <w:tcW w:w="4040" w:type="dxa"/>
            <w:vAlign w:val="bottom"/>
            <w:shd w:val="clear" w:color="auto" w:fill="A39B8C"/>
          </w:tcPr>
          <w:p>
            <w:pPr>
              <w:spacing w:after="0"/>
              <w:rPr>
                <w:sz w:val="10"/>
                <w:szCs w:val="10"/>
                <w:color w:val="auto"/>
              </w:rPr>
            </w:pPr>
          </w:p>
        </w:tc>
        <w:tc>
          <w:tcPr>
            <w:tcW w:w="4000" w:type="dxa"/>
            <w:vAlign w:val="bottom"/>
            <w:shd w:val="clear" w:color="auto" w:fill="A39B8C"/>
          </w:tcPr>
          <w:p>
            <w:pPr>
              <w:spacing w:after="0"/>
              <w:rPr>
                <w:sz w:val="10"/>
                <w:szCs w:val="10"/>
                <w:color w:val="auto"/>
              </w:rPr>
            </w:pPr>
          </w:p>
        </w:tc>
        <w:tc>
          <w:tcPr>
            <w:tcW w:w="1240" w:type="dxa"/>
            <w:vAlign w:val="bottom"/>
            <w:shd w:val="clear" w:color="auto" w:fill="A39B8C"/>
          </w:tcPr>
          <w:p>
            <w:pPr>
              <w:ind w:left="60"/>
              <w:spacing w:after="0"/>
              <w:rPr>
                <w:sz w:val="20"/>
                <w:szCs w:val="20"/>
                <w:color w:val="auto"/>
              </w:rPr>
            </w:pPr>
            <w:r>
              <w:rPr>
                <w:rFonts w:ascii="Arial" w:cs="Arial" w:eastAsia="Arial" w:hAnsi="Arial"/>
                <w:sz w:val="9"/>
                <w:szCs w:val="9"/>
                <w:b w:val="1"/>
                <w:bCs w:val="1"/>
                <w:color w:val="FFFFFF"/>
                <w:w w:val="99"/>
              </w:rPr>
              <w:t>BROKER DISCRETIONARY</w:t>
            </w:r>
          </w:p>
        </w:tc>
        <w:tc>
          <w:tcPr>
            <w:tcW w:w="20" w:type="dxa"/>
            <w:vAlign w:val="bottom"/>
            <w:shd w:val="clear" w:color="auto" w:fill="A39B8C"/>
          </w:tcPr>
          <w:p>
            <w:pPr>
              <w:spacing w:after="0"/>
              <w:rPr>
                <w:sz w:val="10"/>
                <w:szCs w:val="10"/>
                <w:color w:val="auto"/>
              </w:rPr>
            </w:pPr>
          </w:p>
        </w:tc>
      </w:tr>
      <w:tr>
        <w:trPr>
          <w:trHeight w:val="139"/>
        </w:trPr>
        <w:tc>
          <w:tcPr>
            <w:tcW w:w="580" w:type="dxa"/>
            <w:vAlign w:val="bottom"/>
            <w:tcBorders>
              <w:bottom w:val="single" w:sz="8" w:color="A39B8C"/>
            </w:tcBorders>
            <w:shd w:val="clear" w:color="auto" w:fill="A39B8C"/>
          </w:tcPr>
          <w:p>
            <w:pPr>
              <w:ind w:left="80"/>
              <w:spacing w:after="0"/>
              <w:rPr>
                <w:sz w:val="20"/>
                <w:szCs w:val="20"/>
                <w:color w:val="auto"/>
              </w:rPr>
            </w:pPr>
            <w:r>
              <w:rPr>
                <w:rFonts w:ascii="Arial" w:cs="Arial" w:eastAsia="Arial" w:hAnsi="Arial"/>
                <w:sz w:val="9"/>
                <w:szCs w:val="9"/>
                <w:b w:val="1"/>
                <w:bCs w:val="1"/>
                <w:color w:val="FFFFFF"/>
              </w:rPr>
              <w:t>NUMBER</w:t>
            </w:r>
          </w:p>
        </w:tc>
        <w:tc>
          <w:tcPr>
            <w:tcW w:w="4040" w:type="dxa"/>
            <w:vAlign w:val="bottom"/>
            <w:tcBorders>
              <w:bottom w:val="single" w:sz="8" w:color="A39B8C"/>
            </w:tcBorders>
            <w:shd w:val="clear" w:color="auto" w:fill="A39B8C"/>
          </w:tcPr>
          <w:p>
            <w:pPr>
              <w:ind w:left="280"/>
              <w:spacing w:after="0"/>
              <w:rPr>
                <w:sz w:val="20"/>
                <w:szCs w:val="20"/>
                <w:color w:val="auto"/>
              </w:rPr>
            </w:pPr>
            <w:r>
              <w:rPr>
                <w:rFonts w:ascii="Arial" w:cs="Arial" w:eastAsia="Arial" w:hAnsi="Arial"/>
                <w:sz w:val="9"/>
                <w:szCs w:val="9"/>
                <w:b w:val="1"/>
                <w:bCs w:val="1"/>
                <w:color w:val="FFFFFF"/>
              </w:rPr>
              <w:t>PROPOSAL</w:t>
            </w:r>
          </w:p>
        </w:tc>
        <w:tc>
          <w:tcPr>
            <w:tcW w:w="4000" w:type="dxa"/>
            <w:vAlign w:val="bottom"/>
            <w:tcBorders>
              <w:bottom w:val="single" w:sz="8" w:color="A39B8C"/>
            </w:tcBorders>
            <w:shd w:val="clear" w:color="auto" w:fill="A39B8C"/>
          </w:tcPr>
          <w:p>
            <w:pPr>
              <w:ind w:left="280"/>
              <w:spacing w:after="0"/>
              <w:rPr>
                <w:sz w:val="20"/>
                <w:szCs w:val="20"/>
                <w:color w:val="auto"/>
              </w:rPr>
            </w:pPr>
            <w:r>
              <w:rPr>
                <w:rFonts w:ascii="Arial" w:cs="Arial" w:eastAsia="Arial" w:hAnsi="Arial"/>
                <w:sz w:val="9"/>
                <w:szCs w:val="9"/>
                <w:b w:val="1"/>
                <w:bCs w:val="1"/>
                <w:color w:val="FFFFFF"/>
              </w:rPr>
              <w:t>VOTE REQUIRED</w:t>
            </w:r>
          </w:p>
        </w:tc>
        <w:tc>
          <w:tcPr>
            <w:tcW w:w="1240" w:type="dxa"/>
            <w:vAlign w:val="bottom"/>
            <w:tcBorders>
              <w:bottom w:val="single" w:sz="8" w:color="A39B8C"/>
            </w:tcBorders>
            <w:shd w:val="clear" w:color="auto" w:fill="A39B8C"/>
          </w:tcPr>
          <w:p>
            <w:pPr>
              <w:ind w:left="60"/>
              <w:spacing w:after="0"/>
              <w:rPr>
                <w:sz w:val="20"/>
                <w:szCs w:val="20"/>
                <w:color w:val="auto"/>
              </w:rPr>
            </w:pPr>
            <w:r>
              <w:rPr>
                <w:rFonts w:ascii="Arial" w:cs="Arial" w:eastAsia="Arial" w:hAnsi="Arial"/>
                <w:sz w:val="9"/>
                <w:szCs w:val="9"/>
                <w:b w:val="1"/>
                <w:bCs w:val="1"/>
                <w:color w:val="FFFFFF"/>
              </w:rPr>
              <w:t>VOTING ALLOWED</w:t>
            </w:r>
          </w:p>
        </w:tc>
        <w:tc>
          <w:tcPr>
            <w:tcW w:w="20" w:type="dxa"/>
            <w:vAlign w:val="bottom"/>
            <w:tcBorders>
              <w:bottom w:val="single" w:sz="8" w:color="A39B8C"/>
            </w:tcBorders>
            <w:shd w:val="clear" w:color="auto" w:fill="A39B8C"/>
          </w:tcPr>
          <w:p>
            <w:pPr>
              <w:spacing w:after="0"/>
              <w:rPr>
                <w:sz w:val="12"/>
                <w:szCs w:val="12"/>
                <w:color w:val="auto"/>
              </w:rPr>
            </w:pPr>
          </w:p>
        </w:tc>
      </w:tr>
      <w:tr>
        <w:trPr>
          <w:trHeight w:val="189"/>
        </w:trPr>
        <w:tc>
          <w:tcPr>
            <w:tcW w:w="580" w:type="dxa"/>
            <w:vAlign w:val="bottom"/>
          </w:tcPr>
          <w:p>
            <w:pPr>
              <w:jc w:val="right"/>
              <w:ind w:right="350"/>
              <w:spacing w:after="0"/>
              <w:rPr>
                <w:sz w:val="20"/>
                <w:szCs w:val="20"/>
                <w:color w:val="auto"/>
              </w:rPr>
            </w:pPr>
            <w:r>
              <w:rPr>
                <w:rFonts w:ascii="Arial" w:cs="Arial" w:eastAsia="Arial" w:hAnsi="Arial"/>
                <w:sz w:val="11"/>
                <w:szCs w:val="11"/>
                <w:color w:val="262626"/>
              </w:rPr>
              <w:t>1</w:t>
            </w:r>
          </w:p>
        </w:tc>
        <w:tc>
          <w:tcPr>
            <w:tcW w:w="4040" w:type="dxa"/>
            <w:vAlign w:val="bottom"/>
          </w:tcPr>
          <w:p>
            <w:pPr>
              <w:ind w:left="280"/>
              <w:spacing w:after="0"/>
              <w:rPr>
                <w:sz w:val="20"/>
                <w:szCs w:val="20"/>
                <w:color w:val="auto"/>
              </w:rPr>
            </w:pPr>
            <w:r>
              <w:rPr>
                <w:rFonts w:ascii="Arial" w:cs="Arial" w:eastAsia="Arial" w:hAnsi="Arial"/>
                <w:sz w:val="11"/>
                <w:szCs w:val="11"/>
                <w:color w:val="262626"/>
              </w:rPr>
              <w:t>Election of the three Class II directors</w:t>
            </w:r>
          </w:p>
        </w:tc>
        <w:tc>
          <w:tcPr>
            <w:tcW w:w="4000" w:type="dxa"/>
            <w:vAlign w:val="bottom"/>
          </w:tcPr>
          <w:p>
            <w:pPr>
              <w:ind w:left="280"/>
              <w:spacing w:after="0"/>
              <w:rPr>
                <w:sz w:val="20"/>
                <w:szCs w:val="20"/>
                <w:color w:val="auto"/>
              </w:rPr>
            </w:pPr>
            <w:r>
              <w:rPr>
                <w:rFonts w:ascii="Arial" w:cs="Arial" w:eastAsia="Arial" w:hAnsi="Arial"/>
                <w:sz w:val="11"/>
                <w:szCs w:val="11"/>
                <w:color w:val="262626"/>
              </w:rPr>
              <w:t>Plurality of votes cast</w:t>
            </w:r>
          </w:p>
        </w:tc>
        <w:tc>
          <w:tcPr>
            <w:tcW w:w="1240" w:type="dxa"/>
            <w:vAlign w:val="bottom"/>
          </w:tcPr>
          <w:p>
            <w:pPr>
              <w:ind w:left="60"/>
              <w:spacing w:after="0"/>
              <w:rPr>
                <w:sz w:val="20"/>
                <w:szCs w:val="20"/>
                <w:color w:val="auto"/>
              </w:rPr>
            </w:pPr>
            <w:r>
              <w:rPr>
                <w:rFonts w:ascii="Arial" w:cs="Arial" w:eastAsia="Arial" w:hAnsi="Arial"/>
                <w:sz w:val="11"/>
                <w:szCs w:val="11"/>
                <w:color w:val="262626"/>
              </w:rPr>
              <w:t>No</w:t>
            </w:r>
          </w:p>
        </w:tc>
        <w:tc>
          <w:tcPr>
            <w:tcW w:w="20" w:type="dxa"/>
            <w:vAlign w:val="bottom"/>
          </w:tcPr>
          <w:p>
            <w:pPr>
              <w:spacing w:after="0"/>
              <w:rPr>
                <w:sz w:val="16"/>
                <w:szCs w:val="16"/>
                <w:color w:val="auto"/>
              </w:rPr>
            </w:pPr>
          </w:p>
        </w:tc>
      </w:tr>
      <w:tr>
        <w:trPr>
          <w:trHeight w:val="49"/>
        </w:trPr>
        <w:tc>
          <w:tcPr>
            <w:tcW w:w="5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580" w:type="dxa"/>
            <w:vAlign w:val="bottom"/>
            <w:shd w:val="clear" w:color="auto" w:fill="ECEBE8"/>
          </w:tcPr>
          <w:p>
            <w:pPr>
              <w:jc w:val="right"/>
              <w:ind w:right="350"/>
              <w:spacing w:after="0"/>
              <w:rPr>
                <w:sz w:val="20"/>
                <w:szCs w:val="20"/>
                <w:color w:val="auto"/>
              </w:rPr>
            </w:pPr>
            <w:r>
              <w:rPr>
                <w:rFonts w:ascii="Arial" w:cs="Arial" w:eastAsia="Arial" w:hAnsi="Arial"/>
                <w:sz w:val="11"/>
                <w:szCs w:val="11"/>
                <w:color w:val="262626"/>
              </w:rPr>
              <w:t>2</w:t>
            </w:r>
          </w:p>
        </w:tc>
        <w:tc>
          <w:tcPr>
            <w:tcW w:w="4040" w:type="dxa"/>
            <w:vAlign w:val="bottom"/>
            <w:shd w:val="clear" w:color="auto" w:fill="ECEBE8"/>
          </w:tcPr>
          <w:p>
            <w:pPr>
              <w:ind w:left="280"/>
              <w:spacing w:after="0"/>
              <w:rPr>
                <w:sz w:val="20"/>
                <w:szCs w:val="20"/>
                <w:color w:val="auto"/>
              </w:rPr>
            </w:pPr>
            <w:r>
              <w:rPr>
                <w:rFonts w:ascii="Arial" w:cs="Arial" w:eastAsia="Arial" w:hAnsi="Arial"/>
                <w:sz w:val="11"/>
                <w:szCs w:val="11"/>
                <w:color w:val="262626"/>
              </w:rPr>
              <w:t>Ratification of Ernst &amp; Young LLP</w:t>
            </w:r>
          </w:p>
        </w:tc>
        <w:tc>
          <w:tcPr>
            <w:tcW w:w="4000" w:type="dxa"/>
            <w:vAlign w:val="bottom"/>
            <w:shd w:val="clear" w:color="auto" w:fill="ECEBE8"/>
          </w:tcPr>
          <w:p>
            <w:pPr>
              <w:ind w:left="280"/>
              <w:spacing w:after="0"/>
              <w:rPr>
                <w:sz w:val="20"/>
                <w:szCs w:val="20"/>
                <w:color w:val="auto"/>
              </w:rPr>
            </w:pPr>
            <w:r>
              <w:rPr>
                <w:rFonts w:ascii="Arial" w:cs="Arial" w:eastAsia="Arial" w:hAnsi="Arial"/>
                <w:sz w:val="11"/>
                <w:szCs w:val="11"/>
                <w:color w:val="262626"/>
                <w:w w:val="97"/>
              </w:rPr>
              <w:t>Majority of shares represented at meeting in person or by proxy and entitled to</w:t>
            </w:r>
          </w:p>
        </w:tc>
        <w:tc>
          <w:tcPr>
            <w:tcW w:w="1240" w:type="dxa"/>
            <w:vAlign w:val="bottom"/>
            <w:shd w:val="clear" w:color="auto" w:fill="ECEBE8"/>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580" w:type="dxa"/>
            <w:vAlign w:val="bottom"/>
            <w:tcBorders>
              <w:bottom w:val="single" w:sz="8" w:color="ECEBE8"/>
            </w:tcBorders>
            <w:shd w:val="clear" w:color="auto" w:fill="ECEBE8"/>
          </w:tcPr>
          <w:p>
            <w:pPr>
              <w:spacing w:after="0"/>
              <w:rPr>
                <w:sz w:val="13"/>
                <w:szCs w:val="13"/>
                <w:color w:val="auto"/>
              </w:rPr>
            </w:pPr>
          </w:p>
        </w:tc>
        <w:tc>
          <w:tcPr>
            <w:tcW w:w="4040" w:type="dxa"/>
            <w:vAlign w:val="bottom"/>
            <w:tcBorders>
              <w:bottom w:val="single" w:sz="8" w:color="ECEBE8"/>
            </w:tcBorders>
            <w:shd w:val="clear" w:color="auto" w:fill="ECEBE8"/>
          </w:tcPr>
          <w:p>
            <w:pPr>
              <w:spacing w:after="0"/>
              <w:rPr>
                <w:sz w:val="13"/>
                <w:szCs w:val="13"/>
                <w:color w:val="auto"/>
              </w:rPr>
            </w:pPr>
          </w:p>
        </w:tc>
        <w:tc>
          <w:tcPr>
            <w:tcW w:w="4000" w:type="dxa"/>
            <w:vAlign w:val="bottom"/>
            <w:tcBorders>
              <w:bottom w:val="single" w:sz="8" w:color="ECEBE8"/>
            </w:tcBorders>
            <w:shd w:val="clear" w:color="auto" w:fill="ECEBE8"/>
          </w:tcPr>
          <w:p>
            <w:pPr>
              <w:ind w:left="280"/>
              <w:spacing w:after="0" w:line="123" w:lineRule="exact"/>
              <w:rPr>
                <w:sz w:val="20"/>
                <w:szCs w:val="20"/>
                <w:color w:val="auto"/>
              </w:rPr>
            </w:pPr>
            <w:r>
              <w:rPr>
                <w:rFonts w:ascii="Arial" w:cs="Arial" w:eastAsia="Arial" w:hAnsi="Arial"/>
                <w:sz w:val="11"/>
                <w:szCs w:val="11"/>
                <w:color w:val="262626"/>
              </w:rPr>
              <w:t>vote</w:t>
            </w:r>
          </w:p>
        </w:tc>
        <w:tc>
          <w:tcPr>
            <w:tcW w:w="1240" w:type="dxa"/>
            <w:vAlign w:val="bottom"/>
            <w:tcBorders>
              <w:bottom w:val="single" w:sz="8" w:color="ECEBE8"/>
            </w:tcBorders>
            <w:shd w:val="clear" w:color="auto" w:fill="ECEBE8"/>
          </w:tcPr>
          <w:p>
            <w:pPr>
              <w:ind w:left="60"/>
              <w:spacing w:after="0" w:line="123" w:lineRule="exact"/>
              <w:rPr>
                <w:sz w:val="20"/>
                <w:szCs w:val="20"/>
                <w:color w:val="auto"/>
              </w:rPr>
            </w:pPr>
            <w:r>
              <w:rPr>
                <w:rFonts w:ascii="Arial" w:cs="Arial" w:eastAsia="Arial" w:hAnsi="Arial"/>
                <w:sz w:val="11"/>
                <w:szCs w:val="11"/>
                <w:color w:val="262626"/>
              </w:rPr>
              <w:t>Yes</w:t>
            </w:r>
          </w:p>
        </w:tc>
        <w:tc>
          <w:tcPr>
            <w:tcW w:w="20" w:type="dxa"/>
            <w:vAlign w:val="bottom"/>
          </w:tcPr>
          <w:p>
            <w:pPr>
              <w:spacing w:after="0"/>
              <w:rPr>
                <w:sz w:val="13"/>
                <w:szCs w:val="13"/>
                <w:color w:val="auto"/>
              </w:rPr>
            </w:pPr>
          </w:p>
        </w:tc>
      </w:tr>
      <w:tr>
        <w:trPr>
          <w:trHeight w:val="182"/>
        </w:trPr>
        <w:tc>
          <w:tcPr>
            <w:tcW w:w="580" w:type="dxa"/>
            <w:vAlign w:val="bottom"/>
          </w:tcPr>
          <w:p>
            <w:pPr>
              <w:jc w:val="right"/>
              <w:ind w:right="350"/>
              <w:spacing w:after="0"/>
              <w:rPr>
                <w:sz w:val="20"/>
                <w:szCs w:val="20"/>
                <w:color w:val="auto"/>
              </w:rPr>
            </w:pPr>
            <w:r>
              <w:rPr>
                <w:rFonts w:ascii="Arial" w:cs="Arial" w:eastAsia="Arial" w:hAnsi="Arial"/>
                <w:sz w:val="11"/>
                <w:szCs w:val="11"/>
                <w:color w:val="262626"/>
              </w:rPr>
              <w:t>3</w:t>
            </w:r>
          </w:p>
        </w:tc>
        <w:tc>
          <w:tcPr>
            <w:tcW w:w="4040" w:type="dxa"/>
            <w:vAlign w:val="bottom"/>
          </w:tcPr>
          <w:p>
            <w:pPr>
              <w:spacing w:after="0"/>
              <w:rPr>
                <w:sz w:val="15"/>
                <w:szCs w:val="15"/>
                <w:color w:val="auto"/>
              </w:rPr>
            </w:pPr>
          </w:p>
        </w:tc>
        <w:tc>
          <w:tcPr>
            <w:tcW w:w="4000" w:type="dxa"/>
            <w:vAlign w:val="bottom"/>
          </w:tcPr>
          <w:p>
            <w:pPr>
              <w:ind w:left="280"/>
              <w:spacing w:after="0"/>
              <w:rPr>
                <w:sz w:val="20"/>
                <w:szCs w:val="20"/>
                <w:color w:val="auto"/>
              </w:rPr>
            </w:pPr>
            <w:r>
              <w:rPr>
                <w:rFonts w:ascii="Arial" w:cs="Arial" w:eastAsia="Arial" w:hAnsi="Arial"/>
                <w:sz w:val="11"/>
                <w:szCs w:val="11"/>
                <w:color w:val="262626"/>
                <w:w w:val="97"/>
              </w:rPr>
              <w:t>Majority of shares represented at meeting in person or by proxy and entitled to</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6"/>
        </w:trPr>
        <w:tc>
          <w:tcPr>
            <w:tcW w:w="580" w:type="dxa"/>
            <w:vAlign w:val="bottom"/>
          </w:tcPr>
          <w:p>
            <w:pPr>
              <w:spacing w:after="0"/>
              <w:rPr>
                <w:sz w:val="10"/>
                <w:szCs w:val="10"/>
                <w:color w:val="auto"/>
              </w:rPr>
            </w:pPr>
          </w:p>
        </w:tc>
        <w:tc>
          <w:tcPr>
            <w:tcW w:w="4040" w:type="dxa"/>
            <w:vAlign w:val="bottom"/>
          </w:tcPr>
          <w:p>
            <w:pPr>
              <w:ind w:left="280"/>
              <w:spacing w:after="0"/>
              <w:rPr>
                <w:sz w:val="20"/>
                <w:szCs w:val="20"/>
                <w:color w:val="auto"/>
              </w:rPr>
            </w:pPr>
            <w:r>
              <w:rPr>
                <w:rFonts w:ascii="Arial" w:cs="Arial" w:eastAsia="Arial" w:hAnsi="Arial"/>
                <w:sz w:val="11"/>
                <w:szCs w:val="11"/>
                <w:color w:val="262626"/>
              </w:rPr>
              <w:t>Advisory Vote to Approve the Compensation of Named Executive Officers</w:t>
            </w:r>
          </w:p>
        </w:tc>
        <w:tc>
          <w:tcPr>
            <w:tcW w:w="4000" w:type="dxa"/>
            <w:vAlign w:val="bottom"/>
          </w:tcPr>
          <w:p>
            <w:pPr>
              <w:ind w:left="280"/>
              <w:spacing w:after="0"/>
              <w:rPr>
                <w:sz w:val="20"/>
                <w:szCs w:val="20"/>
                <w:color w:val="auto"/>
              </w:rPr>
            </w:pPr>
            <w:r>
              <w:rPr>
                <w:rFonts w:ascii="Arial" w:cs="Arial" w:eastAsia="Arial" w:hAnsi="Arial"/>
                <w:sz w:val="11"/>
                <w:szCs w:val="11"/>
                <w:color w:val="262626"/>
              </w:rPr>
              <w:t>vote</w:t>
            </w:r>
          </w:p>
        </w:tc>
        <w:tc>
          <w:tcPr>
            <w:tcW w:w="1240" w:type="dxa"/>
            <w:vAlign w:val="bottom"/>
          </w:tcPr>
          <w:p>
            <w:pPr>
              <w:ind w:left="60"/>
              <w:spacing w:after="0"/>
              <w:rPr>
                <w:sz w:val="20"/>
                <w:szCs w:val="20"/>
                <w:color w:val="auto"/>
              </w:rPr>
            </w:pPr>
            <w:r>
              <w:rPr>
                <w:rFonts w:ascii="Arial" w:cs="Arial" w:eastAsia="Arial" w:hAnsi="Arial"/>
                <w:sz w:val="11"/>
                <w:szCs w:val="11"/>
                <w:color w:val="262626"/>
              </w:rPr>
              <w:t>No</w:t>
            </w:r>
          </w:p>
        </w:tc>
        <w:tc>
          <w:tcPr>
            <w:tcW w:w="20" w:type="dxa"/>
            <w:vAlign w:val="bottom"/>
          </w:tcPr>
          <w:p>
            <w:pPr>
              <w:spacing w:after="0"/>
              <w:rPr>
                <w:sz w:val="10"/>
                <w:szCs w:val="10"/>
                <w:color w:val="auto"/>
              </w:rPr>
            </w:pPr>
          </w:p>
        </w:tc>
      </w:tr>
      <w:tr>
        <w:trPr>
          <w:trHeight w:val="49"/>
        </w:trPr>
        <w:tc>
          <w:tcPr>
            <w:tcW w:w="5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580" w:type="dxa"/>
            <w:vAlign w:val="bottom"/>
            <w:shd w:val="clear" w:color="auto" w:fill="ECEBE8"/>
          </w:tcPr>
          <w:p>
            <w:pPr>
              <w:jc w:val="right"/>
              <w:ind w:right="350"/>
              <w:spacing w:after="0"/>
              <w:rPr>
                <w:sz w:val="20"/>
                <w:szCs w:val="20"/>
                <w:color w:val="auto"/>
              </w:rPr>
            </w:pPr>
            <w:r>
              <w:rPr>
                <w:rFonts w:ascii="Arial" w:cs="Arial" w:eastAsia="Arial" w:hAnsi="Arial"/>
                <w:sz w:val="11"/>
                <w:szCs w:val="11"/>
                <w:color w:val="262626"/>
              </w:rPr>
              <w:t>4</w:t>
            </w:r>
          </w:p>
        </w:tc>
        <w:tc>
          <w:tcPr>
            <w:tcW w:w="4040" w:type="dxa"/>
            <w:vAlign w:val="bottom"/>
            <w:shd w:val="clear" w:color="auto" w:fill="ECEBE8"/>
          </w:tcPr>
          <w:p>
            <w:pPr>
              <w:ind w:left="280"/>
              <w:spacing w:after="0"/>
              <w:rPr>
                <w:sz w:val="20"/>
                <w:szCs w:val="20"/>
                <w:color w:val="auto"/>
              </w:rPr>
            </w:pPr>
            <w:r>
              <w:rPr>
                <w:rFonts w:ascii="Arial" w:cs="Arial" w:eastAsia="Arial" w:hAnsi="Arial"/>
                <w:sz w:val="11"/>
                <w:szCs w:val="11"/>
                <w:color w:val="262626"/>
              </w:rPr>
              <w:t>Vote on a shareholder proposal requesting a political contributions report, if</w:t>
            </w:r>
          </w:p>
        </w:tc>
        <w:tc>
          <w:tcPr>
            <w:tcW w:w="4000" w:type="dxa"/>
            <w:vAlign w:val="bottom"/>
            <w:shd w:val="clear" w:color="auto" w:fill="ECEBE8"/>
          </w:tcPr>
          <w:p>
            <w:pPr>
              <w:ind w:left="280"/>
              <w:spacing w:after="0"/>
              <w:rPr>
                <w:sz w:val="20"/>
                <w:szCs w:val="20"/>
                <w:color w:val="auto"/>
              </w:rPr>
            </w:pPr>
            <w:r>
              <w:rPr>
                <w:rFonts w:ascii="Arial" w:cs="Arial" w:eastAsia="Arial" w:hAnsi="Arial"/>
                <w:sz w:val="11"/>
                <w:szCs w:val="11"/>
                <w:color w:val="262626"/>
                <w:w w:val="97"/>
              </w:rPr>
              <w:t>Majority of shares represented at meeting in person or by proxy and entitled to</w:t>
            </w:r>
          </w:p>
        </w:tc>
        <w:tc>
          <w:tcPr>
            <w:tcW w:w="1240" w:type="dxa"/>
            <w:vAlign w:val="bottom"/>
            <w:shd w:val="clear" w:color="auto" w:fill="ECEBE8"/>
          </w:tcPr>
          <w:p>
            <w:pPr>
              <w:spacing w:after="0"/>
              <w:rPr>
                <w:sz w:val="15"/>
                <w:szCs w:val="15"/>
                <w:color w:val="auto"/>
              </w:rPr>
            </w:pPr>
          </w:p>
        </w:tc>
        <w:tc>
          <w:tcPr>
            <w:tcW w:w="20" w:type="dxa"/>
            <w:vAlign w:val="bottom"/>
          </w:tcPr>
          <w:p>
            <w:pPr>
              <w:spacing w:after="0"/>
              <w:rPr>
                <w:sz w:val="15"/>
                <w:szCs w:val="15"/>
                <w:color w:val="auto"/>
              </w:rPr>
            </w:pPr>
          </w:p>
        </w:tc>
      </w:tr>
      <w:tr>
        <w:trPr>
          <w:trHeight w:val="122"/>
        </w:trPr>
        <w:tc>
          <w:tcPr>
            <w:tcW w:w="580" w:type="dxa"/>
            <w:vAlign w:val="bottom"/>
            <w:shd w:val="clear" w:color="auto" w:fill="ECEBE8"/>
          </w:tcPr>
          <w:p>
            <w:pPr>
              <w:spacing w:after="0"/>
              <w:rPr>
                <w:sz w:val="10"/>
                <w:szCs w:val="10"/>
                <w:color w:val="auto"/>
              </w:rPr>
            </w:pPr>
          </w:p>
        </w:tc>
        <w:tc>
          <w:tcPr>
            <w:tcW w:w="4040" w:type="dxa"/>
            <w:vAlign w:val="bottom"/>
            <w:shd w:val="clear" w:color="auto" w:fill="ECEBE8"/>
          </w:tcPr>
          <w:p>
            <w:pPr>
              <w:ind w:left="280"/>
              <w:spacing w:after="0" w:line="123" w:lineRule="exact"/>
              <w:rPr>
                <w:sz w:val="20"/>
                <w:szCs w:val="20"/>
                <w:color w:val="auto"/>
              </w:rPr>
            </w:pPr>
            <w:r>
              <w:rPr>
                <w:rFonts w:ascii="Arial" w:cs="Arial" w:eastAsia="Arial" w:hAnsi="Arial"/>
                <w:sz w:val="11"/>
                <w:szCs w:val="11"/>
                <w:color w:val="262626"/>
              </w:rPr>
              <w:t>properly presented</w:t>
            </w:r>
          </w:p>
        </w:tc>
        <w:tc>
          <w:tcPr>
            <w:tcW w:w="4000" w:type="dxa"/>
            <w:vAlign w:val="bottom"/>
            <w:shd w:val="clear" w:color="auto" w:fill="ECEBE8"/>
          </w:tcPr>
          <w:p>
            <w:pPr>
              <w:ind w:left="280"/>
              <w:spacing w:after="0" w:line="123" w:lineRule="exact"/>
              <w:rPr>
                <w:sz w:val="20"/>
                <w:szCs w:val="20"/>
                <w:color w:val="auto"/>
              </w:rPr>
            </w:pPr>
            <w:r>
              <w:rPr>
                <w:rFonts w:ascii="Arial" w:cs="Arial" w:eastAsia="Arial" w:hAnsi="Arial"/>
                <w:sz w:val="11"/>
                <w:szCs w:val="11"/>
                <w:color w:val="262626"/>
              </w:rPr>
              <w:t>vote</w:t>
            </w:r>
          </w:p>
        </w:tc>
        <w:tc>
          <w:tcPr>
            <w:tcW w:w="1240" w:type="dxa"/>
            <w:vAlign w:val="bottom"/>
            <w:shd w:val="clear" w:color="auto" w:fill="ECEBE8"/>
          </w:tcPr>
          <w:p>
            <w:pPr>
              <w:ind w:left="60"/>
              <w:spacing w:after="0" w:line="123" w:lineRule="exact"/>
              <w:rPr>
                <w:sz w:val="20"/>
                <w:szCs w:val="20"/>
                <w:color w:val="auto"/>
              </w:rPr>
            </w:pPr>
            <w:r>
              <w:rPr>
                <w:rFonts w:ascii="Arial" w:cs="Arial" w:eastAsia="Arial" w:hAnsi="Arial"/>
                <w:sz w:val="11"/>
                <w:szCs w:val="11"/>
                <w:color w:val="262626"/>
              </w:rPr>
              <w:t>No</w:t>
            </w:r>
          </w:p>
        </w:tc>
        <w:tc>
          <w:tcPr>
            <w:tcW w:w="20" w:type="dxa"/>
            <w:vAlign w:val="bottom"/>
          </w:tcPr>
          <w:p>
            <w:pPr>
              <w:spacing w:after="0"/>
              <w:rPr>
                <w:sz w:val="10"/>
                <w:szCs w:val="10"/>
                <w:color w:val="auto"/>
              </w:rPr>
            </w:pPr>
          </w:p>
        </w:tc>
      </w:tr>
      <w:tr>
        <w:trPr>
          <w:trHeight w:val="53"/>
        </w:trPr>
        <w:tc>
          <w:tcPr>
            <w:tcW w:w="580" w:type="dxa"/>
            <w:vAlign w:val="bottom"/>
            <w:shd w:val="clear" w:color="auto" w:fill="ECEBE8"/>
          </w:tcPr>
          <w:p>
            <w:pPr>
              <w:spacing w:after="0"/>
              <w:rPr>
                <w:sz w:val="4"/>
                <w:szCs w:val="4"/>
                <w:color w:val="auto"/>
              </w:rPr>
            </w:pPr>
          </w:p>
        </w:tc>
        <w:tc>
          <w:tcPr>
            <w:tcW w:w="4040" w:type="dxa"/>
            <w:vAlign w:val="bottom"/>
            <w:shd w:val="clear" w:color="auto" w:fill="ECEBE8"/>
          </w:tcPr>
          <w:p>
            <w:pPr>
              <w:spacing w:after="0"/>
              <w:rPr>
                <w:sz w:val="4"/>
                <w:szCs w:val="4"/>
                <w:color w:val="auto"/>
              </w:rPr>
            </w:pPr>
          </w:p>
        </w:tc>
        <w:tc>
          <w:tcPr>
            <w:tcW w:w="4000" w:type="dxa"/>
            <w:vAlign w:val="bottom"/>
            <w:shd w:val="clear" w:color="auto" w:fill="ECEBE8"/>
          </w:tcPr>
          <w:p>
            <w:pPr>
              <w:spacing w:after="0"/>
              <w:rPr>
                <w:sz w:val="4"/>
                <w:szCs w:val="4"/>
                <w:color w:val="auto"/>
              </w:rPr>
            </w:pPr>
          </w:p>
        </w:tc>
        <w:tc>
          <w:tcPr>
            <w:tcW w:w="1240" w:type="dxa"/>
            <w:vAlign w:val="bottom"/>
            <w:shd w:val="clear" w:color="auto" w:fill="ECEBE8"/>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6757035</wp:posOffset>
            </wp:positionH>
            <wp:positionV relativeFrom="paragraph">
              <wp:posOffset>-848995</wp:posOffset>
            </wp:positionV>
            <wp:extent cx="825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27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HOW YOU CAN VOTE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262626"/>
        </w:rPr>
        <w:t xml:space="preserve">Shareholders of Record. </w:t>
      </w:r>
      <w:r>
        <w:rPr>
          <w:rFonts w:ascii="Arial" w:cs="Arial" w:eastAsia="Arial" w:hAnsi="Arial"/>
          <w:sz w:val="14"/>
          <w:szCs w:val="14"/>
          <w:color w:val="262626"/>
        </w:rPr>
        <w:t>For shareholders of record, there are four different ways you can vote:</w:t>
      </w:r>
    </w:p>
    <w:p>
      <w:pPr>
        <w:spacing w:after="0" w:line="2" w:lineRule="exact"/>
        <w:rPr>
          <w:sz w:val="20"/>
          <w:szCs w:val="20"/>
          <w:color w:val="auto"/>
        </w:rPr>
      </w:pPr>
    </w:p>
    <w:p>
      <w:pPr>
        <w:ind w:left="1060" w:hanging="186"/>
        <w:spacing w:after="0"/>
        <w:tabs>
          <w:tab w:leader="none" w:pos="1060" w:val="left"/>
        </w:tabs>
        <w:numPr>
          <w:ilvl w:val="0"/>
          <w:numId w:val="83"/>
        </w:numPr>
        <w:rPr>
          <w:rFonts w:ascii="Arial" w:cs="Arial" w:eastAsia="Arial" w:hAnsi="Arial"/>
          <w:sz w:val="16"/>
          <w:szCs w:val="16"/>
          <w:color w:val="CC870F"/>
        </w:rPr>
      </w:pPr>
      <w:r>
        <w:rPr>
          <w:rFonts w:ascii="Arial" w:cs="Arial" w:eastAsia="Arial" w:hAnsi="Arial"/>
          <w:sz w:val="14"/>
          <w:szCs w:val="14"/>
          <w:b w:val="1"/>
          <w:bCs w:val="1"/>
          <w:color w:val="262626"/>
        </w:rPr>
        <w:t>By Internet</w:t>
      </w:r>
      <w:r>
        <w:rPr>
          <w:rFonts w:ascii="Arial" w:cs="Arial" w:eastAsia="Arial" w:hAnsi="Arial"/>
          <w:sz w:val="14"/>
          <w:szCs w:val="14"/>
          <w:color w:val="262626"/>
        </w:rPr>
        <w:t>. To vote via the Internet, use the website on the enclosed proxy card.</w:t>
      </w:r>
    </w:p>
    <w:p>
      <w:pPr>
        <w:spacing w:after="0" w:line="17" w:lineRule="exact"/>
        <w:rPr>
          <w:rFonts w:ascii="Arial" w:cs="Arial" w:eastAsia="Arial" w:hAnsi="Arial"/>
          <w:sz w:val="16"/>
          <w:szCs w:val="16"/>
          <w:color w:val="CC870F"/>
        </w:rPr>
      </w:pPr>
    </w:p>
    <w:p>
      <w:pPr>
        <w:ind w:left="1060" w:hanging="186"/>
        <w:spacing w:after="0" w:line="236" w:lineRule="auto"/>
        <w:tabs>
          <w:tab w:leader="none" w:pos="1060" w:val="left"/>
        </w:tabs>
        <w:numPr>
          <w:ilvl w:val="0"/>
          <w:numId w:val="83"/>
        </w:numPr>
        <w:rPr>
          <w:rFonts w:ascii="Arial" w:cs="Arial" w:eastAsia="Arial" w:hAnsi="Arial"/>
          <w:sz w:val="16"/>
          <w:szCs w:val="16"/>
          <w:color w:val="CC870F"/>
        </w:rPr>
      </w:pPr>
      <w:r>
        <w:rPr>
          <w:rFonts w:ascii="Arial" w:cs="Arial" w:eastAsia="Arial" w:hAnsi="Arial"/>
          <w:sz w:val="14"/>
          <w:szCs w:val="14"/>
          <w:b w:val="1"/>
          <w:bCs w:val="1"/>
          <w:color w:val="262626"/>
        </w:rPr>
        <w:t>By Telephone</w:t>
      </w:r>
      <w:r>
        <w:rPr>
          <w:rFonts w:ascii="Arial" w:cs="Arial" w:eastAsia="Arial" w:hAnsi="Arial"/>
          <w:sz w:val="14"/>
          <w:szCs w:val="14"/>
          <w:color w:val="262626"/>
        </w:rPr>
        <w:t>. To vote by telephone, call the toll-free number on the enclosed proxy card.</w:t>
      </w:r>
    </w:p>
    <w:p>
      <w:pPr>
        <w:spacing w:after="0" w:line="17" w:lineRule="exact"/>
        <w:rPr>
          <w:rFonts w:ascii="Arial" w:cs="Arial" w:eastAsia="Arial" w:hAnsi="Arial"/>
          <w:sz w:val="16"/>
          <w:szCs w:val="16"/>
          <w:color w:val="CC870F"/>
        </w:rPr>
      </w:pPr>
    </w:p>
    <w:p>
      <w:pPr>
        <w:ind w:left="1060" w:hanging="186"/>
        <w:spacing w:after="0" w:line="236" w:lineRule="auto"/>
        <w:tabs>
          <w:tab w:leader="none" w:pos="1060" w:val="left"/>
        </w:tabs>
        <w:numPr>
          <w:ilvl w:val="0"/>
          <w:numId w:val="83"/>
        </w:numPr>
        <w:rPr>
          <w:rFonts w:ascii="Arial" w:cs="Arial" w:eastAsia="Arial" w:hAnsi="Arial"/>
          <w:sz w:val="16"/>
          <w:szCs w:val="16"/>
          <w:color w:val="CC870F"/>
        </w:rPr>
      </w:pPr>
      <w:r>
        <w:rPr>
          <w:rFonts w:ascii="Arial" w:cs="Arial" w:eastAsia="Arial" w:hAnsi="Arial"/>
          <w:sz w:val="14"/>
          <w:szCs w:val="14"/>
          <w:b w:val="1"/>
          <w:bCs w:val="1"/>
          <w:color w:val="262626"/>
        </w:rPr>
        <w:t>By Mail</w:t>
      </w:r>
      <w:r>
        <w:rPr>
          <w:rFonts w:ascii="Arial" w:cs="Arial" w:eastAsia="Arial" w:hAnsi="Arial"/>
          <w:sz w:val="14"/>
          <w:szCs w:val="14"/>
          <w:color w:val="262626"/>
        </w:rPr>
        <w:t>. To vote by mail, follow the instructions on the enclosed proxy card.</w:t>
      </w:r>
    </w:p>
    <w:p>
      <w:pPr>
        <w:spacing w:after="0" w:line="17" w:lineRule="exact"/>
        <w:rPr>
          <w:rFonts w:ascii="Arial" w:cs="Arial" w:eastAsia="Arial" w:hAnsi="Arial"/>
          <w:sz w:val="16"/>
          <w:szCs w:val="16"/>
          <w:color w:val="CC870F"/>
        </w:rPr>
      </w:pPr>
    </w:p>
    <w:p>
      <w:pPr>
        <w:ind w:left="1060" w:right="340" w:hanging="186"/>
        <w:spacing w:after="0" w:line="236" w:lineRule="auto"/>
        <w:tabs>
          <w:tab w:leader="none" w:pos="1060" w:val="left"/>
        </w:tabs>
        <w:numPr>
          <w:ilvl w:val="0"/>
          <w:numId w:val="83"/>
        </w:numPr>
        <w:rPr>
          <w:rFonts w:ascii="Arial" w:cs="Arial" w:eastAsia="Arial" w:hAnsi="Arial"/>
          <w:sz w:val="16"/>
          <w:szCs w:val="16"/>
          <w:color w:val="CC870F"/>
        </w:rPr>
      </w:pPr>
      <w:r>
        <w:rPr>
          <w:rFonts w:ascii="Arial" w:cs="Arial" w:eastAsia="Arial" w:hAnsi="Arial"/>
          <w:sz w:val="14"/>
          <w:szCs w:val="14"/>
          <w:b w:val="1"/>
          <w:bCs w:val="1"/>
          <w:color w:val="262626"/>
        </w:rPr>
        <w:t>In Person</w:t>
      </w:r>
      <w:r>
        <w:rPr>
          <w:rFonts w:ascii="Arial" w:cs="Arial" w:eastAsia="Arial" w:hAnsi="Arial"/>
          <w:sz w:val="14"/>
          <w:szCs w:val="14"/>
          <w:color w:val="262626"/>
        </w:rPr>
        <w:t>. To vote in person, you must attend the Annual Meeting as instructed below and follow the procedures for voting announced at the Annual</w:t>
      </w:r>
      <w:r>
        <w:rPr>
          <w:rFonts w:ascii="Arial" w:cs="Arial" w:eastAsia="Arial" w:hAnsi="Arial"/>
          <w:sz w:val="14"/>
          <w:szCs w:val="14"/>
          <w:b w:val="1"/>
          <w:bCs w:val="1"/>
          <w:color w:val="262626"/>
        </w:rPr>
        <w:t xml:space="preserve"> </w:t>
      </w:r>
      <w:r>
        <w:rPr>
          <w:rFonts w:ascii="Arial" w:cs="Arial" w:eastAsia="Arial" w:hAnsi="Arial"/>
          <w:sz w:val="14"/>
          <w:szCs w:val="14"/>
          <w:color w:val="262626"/>
        </w:rPr>
        <w:t>Meeting.</w:t>
      </w:r>
    </w:p>
    <w:p>
      <w:pPr>
        <w:spacing w:after="0" w:line="162" w:lineRule="exact"/>
        <w:rPr>
          <w:sz w:val="20"/>
          <w:szCs w:val="20"/>
          <w:color w:val="auto"/>
        </w:rPr>
      </w:pPr>
    </w:p>
    <w:p>
      <w:pPr>
        <w:ind w:left="780" w:right="80"/>
        <w:spacing w:after="0" w:line="241" w:lineRule="auto"/>
        <w:rPr>
          <w:sz w:val="20"/>
          <w:szCs w:val="20"/>
          <w:color w:val="auto"/>
        </w:rPr>
      </w:pPr>
      <w:r>
        <w:rPr>
          <w:rFonts w:ascii="Arial" w:cs="Arial" w:eastAsia="Arial" w:hAnsi="Arial"/>
          <w:sz w:val="14"/>
          <w:szCs w:val="14"/>
          <w:color w:val="262626"/>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4"/>
          <w:szCs w:val="14"/>
          <w:b w:val="1"/>
          <w:bCs w:val="1"/>
          <w:color w:val="262626"/>
        </w:rPr>
        <w:t>11:59 p.m. Eastern Time on May 6, 2019</w:t>
      </w:r>
      <w:r>
        <w:rPr>
          <w:rFonts w:ascii="Arial" w:cs="Arial" w:eastAsia="Arial" w:hAnsi="Arial"/>
          <w:sz w:val="14"/>
          <w:szCs w:val="14"/>
          <w:color w:val="262626"/>
        </w:rPr>
        <w:t>. Regardless of the method you choose, your vote is important. Please vote by following the specific instructions on your proxy card.</w:t>
      </w:r>
    </w:p>
    <w:p>
      <w:pPr>
        <w:spacing w:after="0" w:line="156" w:lineRule="exact"/>
        <w:rPr>
          <w:sz w:val="20"/>
          <w:szCs w:val="20"/>
          <w:color w:val="auto"/>
        </w:rPr>
      </w:pPr>
    </w:p>
    <w:p>
      <w:pPr>
        <w:ind w:left="780" w:right="280"/>
        <w:spacing w:after="0" w:line="256" w:lineRule="auto"/>
        <w:rPr>
          <w:sz w:val="20"/>
          <w:szCs w:val="20"/>
          <w:color w:val="auto"/>
        </w:rPr>
      </w:pPr>
      <w:r>
        <w:rPr>
          <w:rFonts w:ascii="Arial" w:cs="Arial" w:eastAsia="Arial" w:hAnsi="Arial"/>
          <w:sz w:val="14"/>
          <w:szCs w:val="14"/>
          <w:b w:val="1"/>
          <w:bCs w:val="1"/>
          <w:color w:val="262626"/>
        </w:rPr>
        <w:t xml:space="preserve">Beneficial Shareholders. </w:t>
      </w:r>
      <w:r>
        <w:rPr>
          <w:rFonts w:ascii="Arial" w:cs="Arial" w:eastAsia="Arial" w:hAnsi="Arial"/>
          <w:sz w:val="14"/>
          <w:szCs w:val="14"/>
          <w:color w:val="262626"/>
        </w:rPr>
        <w:t>For shareholders who own shares of the Company’s Common Stock through an intermediary, such as a broker, bank or other</w:t>
      </w:r>
      <w:r>
        <w:rPr>
          <w:rFonts w:ascii="Arial" w:cs="Arial" w:eastAsia="Arial" w:hAnsi="Arial"/>
          <w:sz w:val="14"/>
          <w:szCs w:val="14"/>
          <w:b w:val="1"/>
          <w:bCs w:val="1"/>
          <w:color w:val="262626"/>
        </w:rPr>
        <w:t xml:space="preserve"> </w:t>
      </w:r>
      <w:r>
        <w:rPr>
          <w:rFonts w:ascii="Arial" w:cs="Arial" w:eastAsia="Arial" w:hAnsi="Arial"/>
          <w:sz w:val="14"/>
          <w:szCs w:val="14"/>
          <w:color w:val="262626"/>
        </w:rPr>
        <w:t>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27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REVOCABILITY OF PROXIES</w:t>
      </w:r>
    </w:p>
    <w:p>
      <w:pPr>
        <w:spacing w:after="0" w:line="100" w:lineRule="exact"/>
        <w:rPr>
          <w:sz w:val="20"/>
          <w:szCs w:val="20"/>
          <w:color w:val="auto"/>
        </w:rPr>
      </w:pPr>
    </w:p>
    <w:p>
      <w:pPr>
        <w:ind w:left="780" w:right="100"/>
        <w:spacing w:after="0" w:line="250" w:lineRule="auto"/>
        <w:rPr>
          <w:sz w:val="20"/>
          <w:szCs w:val="20"/>
          <w:color w:val="auto"/>
        </w:rPr>
      </w:pPr>
      <w:r>
        <w:rPr>
          <w:rFonts w:ascii="Arial" w:cs="Arial" w:eastAsia="Arial" w:hAnsi="Arial"/>
          <w:sz w:val="14"/>
          <w:szCs w:val="14"/>
          <w:b w:val="1"/>
          <w:bCs w:val="1"/>
          <w:color w:val="262626"/>
        </w:rPr>
        <w:t xml:space="preserve">Shareholders of Record. </w:t>
      </w:r>
      <w:r>
        <w:rPr>
          <w:rFonts w:ascii="Arial" w:cs="Arial" w:eastAsia="Arial" w:hAnsi="Arial"/>
          <w:sz w:val="14"/>
          <w:szCs w:val="14"/>
          <w:color w:val="262626"/>
        </w:rPr>
        <w:t>If you are a shareholder of record and you deliver a proxy pursuant to this solicitation, you may revoke that proxy at any time</w:t>
      </w:r>
      <w:r>
        <w:rPr>
          <w:rFonts w:ascii="Arial" w:cs="Arial" w:eastAsia="Arial" w:hAnsi="Arial"/>
          <w:sz w:val="14"/>
          <w:szCs w:val="14"/>
          <w:b w:val="1"/>
          <w:bCs w:val="1"/>
          <w:color w:val="262626"/>
        </w:rPr>
        <w:t xml:space="preserve"> </w:t>
      </w:r>
      <w:r>
        <w:rPr>
          <w:rFonts w:ascii="Arial" w:cs="Arial" w:eastAsia="Arial" w:hAnsi="Arial"/>
          <w:sz w:val="14"/>
          <w:szCs w:val="14"/>
          <w:color w:val="262626"/>
        </w:rPr>
        <w:t>before it is voted by (a) giving written notice to our Corporate Secretary at the address set forth below, (b) delivering to our Corporate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4"/>
          <w:szCs w:val="14"/>
          <w:color w:val="262626"/>
        </w:rPr>
        <w:t>Wynn Resorts, Limited</w:t>
      </w:r>
    </w:p>
    <w:p>
      <w:pPr>
        <w:ind w:left="1080"/>
        <w:spacing w:after="0" w:line="236" w:lineRule="auto"/>
        <w:rPr>
          <w:sz w:val="20"/>
          <w:szCs w:val="20"/>
          <w:color w:val="auto"/>
        </w:rPr>
      </w:pPr>
      <w:r>
        <w:rPr>
          <w:rFonts w:ascii="Arial" w:cs="Arial" w:eastAsia="Arial" w:hAnsi="Arial"/>
          <w:sz w:val="14"/>
          <w:szCs w:val="14"/>
          <w:color w:val="262626"/>
        </w:rPr>
        <w:t>c/o Corporate Secretary</w:t>
      </w:r>
    </w:p>
    <w:p>
      <w:pPr>
        <w:ind w:left="1080"/>
        <w:spacing w:after="0" w:line="237" w:lineRule="auto"/>
        <w:rPr>
          <w:sz w:val="20"/>
          <w:szCs w:val="20"/>
          <w:color w:val="auto"/>
        </w:rPr>
      </w:pPr>
      <w:r>
        <w:rPr>
          <w:rFonts w:ascii="Arial" w:cs="Arial" w:eastAsia="Arial" w:hAnsi="Arial"/>
          <w:sz w:val="14"/>
          <w:szCs w:val="14"/>
          <w:color w:val="262626"/>
        </w:rPr>
        <w:t>3131 Las Vegas Boulevard South</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262626"/>
        </w:rPr>
        <w:t>Las Vegas, Nevada 89109</w:t>
      </w:r>
    </w:p>
    <w:p>
      <w:pPr>
        <w:spacing w:after="0" w:line="152" w:lineRule="exact"/>
        <w:rPr>
          <w:sz w:val="20"/>
          <w:szCs w:val="20"/>
          <w:color w:val="auto"/>
        </w:rPr>
      </w:pPr>
    </w:p>
    <w:p>
      <w:pPr>
        <w:ind w:left="780" w:right="60"/>
        <w:spacing w:after="0" w:line="276" w:lineRule="auto"/>
        <w:rPr>
          <w:sz w:val="20"/>
          <w:szCs w:val="20"/>
          <w:color w:val="auto"/>
        </w:rPr>
      </w:pPr>
      <w:r>
        <w:rPr>
          <w:rFonts w:ascii="Arial" w:cs="Arial" w:eastAsia="Arial" w:hAnsi="Arial"/>
          <w:sz w:val="14"/>
          <w:szCs w:val="14"/>
          <w:b w:val="1"/>
          <w:bCs w:val="1"/>
          <w:color w:val="262626"/>
        </w:rPr>
        <w:t xml:space="preserve">Beneficial Shareholders. </w:t>
      </w:r>
      <w:r>
        <w:rPr>
          <w:rFonts w:ascii="Arial" w:cs="Arial" w:eastAsia="Arial" w:hAnsi="Arial"/>
          <w:sz w:val="14"/>
          <w:szCs w:val="14"/>
          <w:color w:val="262626"/>
        </w:rPr>
        <w:t>If your shares are held through an intermediary, such as a bank, broker or other nominee, you must contact that person if you wish</w:t>
      </w:r>
      <w:r>
        <w:rPr>
          <w:rFonts w:ascii="Arial" w:cs="Arial" w:eastAsia="Arial" w:hAnsi="Arial"/>
          <w:sz w:val="14"/>
          <w:szCs w:val="14"/>
          <w:b w:val="1"/>
          <w:bCs w:val="1"/>
          <w:color w:val="262626"/>
        </w:rPr>
        <w:t xml:space="preserve"> </w:t>
      </w:r>
      <w:r>
        <w:rPr>
          <w:rFonts w:ascii="Arial" w:cs="Arial" w:eastAsia="Arial" w:hAnsi="Arial"/>
          <w:sz w:val="14"/>
          <w:szCs w:val="14"/>
          <w:color w:val="262626"/>
        </w:rPr>
        <w:t>to revoke previously given voting instructions. In this case, attendance at the Annual Meeting, in and of itself, does not revoke a prior proxy.</w:t>
      </w:r>
    </w:p>
    <w:p>
      <w:pPr>
        <w:spacing w:after="0" w:line="257"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ATTENDING THE ANNUAL MEETING</w:t>
      </w:r>
    </w:p>
    <w:p>
      <w:pPr>
        <w:spacing w:after="0" w:line="100" w:lineRule="exact"/>
        <w:rPr>
          <w:sz w:val="20"/>
          <w:szCs w:val="20"/>
          <w:color w:val="auto"/>
        </w:rPr>
      </w:pPr>
    </w:p>
    <w:p>
      <w:pPr>
        <w:ind w:left="780" w:right="20"/>
        <w:spacing w:after="0" w:line="276" w:lineRule="auto"/>
        <w:rPr>
          <w:sz w:val="20"/>
          <w:szCs w:val="20"/>
          <w:color w:val="auto"/>
        </w:rPr>
      </w:pPr>
      <w:r>
        <w:rPr>
          <w:rFonts w:ascii="Arial" w:cs="Arial" w:eastAsia="Arial" w:hAnsi="Arial"/>
          <w:sz w:val="14"/>
          <w:szCs w:val="14"/>
          <w:b w:val="1"/>
          <w:bCs w:val="1"/>
          <w:color w:val="262626"/>
        </w:rPr>
        <w:t xml:space="preserve">Shareholders of Record. </w:t>
      </w:r>
      <w:r>
        <w:rPr>
          <w:rFonts w:ascii="Arial" w:cs="Arial" w:eastAsia="Arial" w:hAnsi="Arial"/>
          <w:sz w:val="14"/>
          <w:szCs w:val="14"/>
          <w:color w:val="262626"/>
        </w:rPr>
        <w:t>For shareholders of record, a government-issued photo identification that matches the shareholder’s name on the Company’s stock</w:t>
      </w:r>
      <w:r>
        <w:rPr>
          <w:rFonts w:ascii="Arial" w:cs="Arial" w:eastAsia="Arial" w:hAnsi="Arial"/>
          <w:sz w:val="14"/>
          <w:szCs w:val="14"/>
          <w:b w:val="1"/>
          <w:bCs w:val="1"/>
          <w:color w:val="262626"/>
        </w:rPr>
        <w:t xml:space="preserve"> </w:t>
      </w:r>
      <w:r>
        <w:rPr>
          <w:rFonts w:ascii="Arial" w:cs="Arial" w:eastAsia="Arial" w:hAnsi="Arial"/>
          <w:sz w:val="14"/>
          <w:szCs w:val="14"/>
          <w:color w:val="262626"/>
        </w:rPr>
        <w:t>ledger as of the close of business on the Record Date must be presented to attend the Annual Meeting.</w:t>
      </w:r>
    </w:p>
    <w:p>
      <w:pPr>
        <w:spacing w:after="0" w:line="120" w:lineRule="exact"/>
        <w:rPr>
          <w:sz w:val="20"/>
          <w:szCs w:val="20"/>
          <w:color w:val="auto"/>
        </w:rPr>
      </w:pPr>
    </w:p>
    <w:p>
      <w:pPr>
        <w:ind w:left="780" w:right="380"/>
        <w:spacing w:after="0" w:line="276" w:lineRule="auto"/>
        <w:rPr>
          <w:sz w:val="20"/>
          <w:szCs w:val="20"/>
          <w:color w:val="auto"/>
        </w:rPr>
      </w:pPr>
      <w:r>
        <w:rPr>
          <w:rFonts w:ascii="Arial" w:cs="Arial" w:eastAsia="Arial" w:hAnsi="Arial"/>
          <w:sz w:val="14"/>
          <w:szCs w:val="14"/>
          <w:b w:val="1"/>
          <w:bCs w:val="1"/>
          <w:color w:val="262626"/>
        </w:rPr>
        <w:t xml:space="preserve">Beneficial Shareholders. </w:t>
      </w:r>
      <w:r>
        <w:rPr>
          <w:rFonts w:ascii="Arial" w:cs="Arial" w:eastAsia="Arial" w:hAnsi="Arial"/>
          <w:sz w:val="14"/>
          <w:szCs w:val="14"/>
          <w:color w:val="262626"/>
        </w:rPr>
        <w:t>For shareholders who own shares of the Company’s Common Stock through an intermediary, such as a broker, bank or other</w:t>
      </w:r>
      <w:r>
        <w:rPr>
          <w:rFonts w:ascii="Arial" w:cs="Arial" w:eastAsia="Arial" w:hAnsi="Arial"/>
          <w:sz w:val="14"/>
          <w:szCs w:val="14"/>
          <w:b w:val="1"/>
          <w:bCs w:val="1"/>
          <w:color w:val="262626"/>
        </w:rPr>
        <w:t xml:space="preserve"> </w:t>
      </w:r>
      <w:r>
        <w:rPr>
          <w:rFonts w:ascii="Arial" w:cs="Arial" w:eastAsia="Arial" w:hAnsi="Arial"/>
          <w:sz w:val="14"/>
          <w:szCs w:val="14"/>
          <w:color w:val="262626"/>
        </w:rPr>
        <w:t>nominee, satisfactory proof of ownership of the Company’s Common Stock as of the close of business on the Record Date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311785</wp:posOffset>
            </wp:positionV>
            <wp:extent cx="521335" cy="2355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58</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60"/>
          </w:cols>
          <w:pgMar w:left="240" w:top="453" w:right="9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right="320"/>
        <w:spacing w:after="0" w:line="243" w:lineRule="auto"/>
        <w:rPr>
          <w:sz w:val="20"/>
          <w:szCs w:val="20"/>
          <w:color w:val="auto"/>
        </w:rPr>
      </w:pPr>
      <w:r>
        <w:rPr>
          <w:rFonts w:ascii="Arial" w:cs="Arial" w:eastAsia="Arial" w:hAnsi="Arial"/>
          <w:sz w:val="14"/>
          <w:szCs w:val="14"/>
          <w:color w:val="262626"/>
        </w:rPr>
        <w:t>presented to attend the Annual Meeting. Satisfactory proof of ownership consists of a government-issued photo identification and a document that includes the shareholder’s name and confirms ownership as of the Record Date, such as (a) a copy of a voting instruction form that was mailed to the shareholder or (b) a valid, legal proxy signed by the record holder.</w:t>
      </w:r>
    </w:p>
    <w:p>
      <w:pPr>
        <w:spacing w:after="0" w:line="173" w:lineRule="exact"/>
        <w:rPr>
          <w:sz w:val="20"/>
          <w:szCs w:val="20"/>
          <w:color w:val="auto"/>
        </w:rPr>
      </w:pPr>
    </w:p>
    <w:p>
      <w:pPr>
        <w:ind w:left="780" w:right="660"/>
        <w:spacing w:after="0" w:line="249" w:lineRule="auto"/>
        <w:rPr>
          <w:sz w:val="20"/>
          <w:szCs w:val="20"/>
          <w:color w:val="auto"/>
        </w:rPr>
      </w:pPr>
      <w:r>
        <w:rPr>
          <w:rFonts w:ascii="Arial" w:cs="Arial" w:eastAsia="Arial" w:hAnsi="Arial"/>
          <w:sz w:val="14"/>
          <w:szCs w:val="14"/>
          <w:color w:val="262626"/>
        </w:rPr>
        <w:t>Persons who are not shareholders will be entitled to admission only if they have a valid legal proxy from a record holder and government-issued photo identification. Each shareholder may appoint only one proxyholder to attend on his or her behalf.</w:t>
      </w:r>
    </w:p>
    <w:p>
      <w:pPr>
        <w:spacing w:after="0" w:line="138" w:lineRule="exact"/>
        <w:rPr>
          <w:sz w:val="20"/>
          <w:szCs w:val="20"/>
          <w:color w:val="auto"/>
        </w:rPr>
      </w:pPr>
    </w:p>
    <w:p>
      <w:pPr>
        <w:ind w:left="780" w:right="280"/>
        <w:spacing w:after="0" w:line="246" w:lineRule="auto"/>
        <w:rPr>
          <w:sz w:val="20"/>
          <w:szCs w:val="20"/>
          <w:color w:val="auto"/>
        </w:rPr>
      </w:pPr>
      <w:r>
        <w:rPr>
          <w:rFonts w:ascii="Arial" w:cs="Arial" w:eastAsia="Arial" w:hAnsi="Arial"/>
          <w:sz w:val="14"/>
          <w:szCs w:val="14"/>
          <w:b w:val="1"/>
          <w:bCs w:val="1"/>
          <w:color w:val="262626"/>
        </w:rPr>
        <w:t xml:space="preserve">Notice of Internet Availability of Proxy Materials. </w:t>
      </w:r>
      <w:r>
        <w:rPr>
          <w:rFonts w:ascii="Arial" w:cs="Arial" w:eastAsia="Arial" w:hAnsi="Arial"/>
          <w:sz w:val="14"/>
          <w:szCs w:val="14"/>
          <w:color w:val="262626"/>
        </w:rPr>
        <w:t>Under rules adopted by the U.S. Securities and Exchange Commission (the “SEC”), we are furnishing</w:t>
      </w:r>
      <w:r>
        <w:rPr>
          <w:rFonts w:ascii="Arial" w:cs="Arial" w:eastAsia="Arial" w:hAnsi="Arial"/>
          <w:sz w:val="14"/>
          <w:szCs w:val="14"/>
          <w:b w:val="1"/>
          <w:bCs w:val="1"/>
          <w:color w:val="262626"/>
        </w:rPr>
        <w:t xml:space="preserve"> </w:t>
      </w:r>
      <w:r>
        <w:rPr>
          <w:rFonts w:ascii="Arial" w:cs="Arial" w:eastAsia="Arial" w:hAnsi="Arial"/>
          <w:sz w:val="14"/>
          <w:szCs w:val="14"/>
          <w:color w:val="262626"/>
        </w:rPr>
        <w:t>proxy materials to some shareholders via the Internet, instead of mailing printed copies of those materials to each shareholder. On or about March 27, 2019, we mailed to shareholders either a printed copy of our Annual Meeting materials or a Notice of Internet Availability containing instructions on how to access our Annual Meeting materials, including this Proxy Statement and our Annual Report for the fiscal year ending December 31, 2018. The Notice of Internet Availability also explains how to vote through the Internet or by telephone.</w:t>
      </w:r>
    </w:p>
    <w:p>
      <w:pPr>
        <w:spacing w:after="0" w:line="160" w:lineRule="exact"/>
        <w:rPr>
          <w:sz w:val="20"/>
          <w:szCs w:val="20"/>
          <w:color w:val="auto"/>
        </w:rPr>
      </w:pPr>
    </w:p>
    <w:p>
      <w:pPr>
        <w:ind w:left="780" w:right="200"/>
        <w:spacing w:after="0" w:line="241" w:lineRule="auto"/>
        <w:rPr>
          <w:sz w:val="20"/>
          <w:szCs w:val="20"/>
          <w:color w:val="auto"/>
        </w:rPr>
      </w:pPr>
      <w:r>
        <w:rPr>
          <w:rFonts w:ascii="Arial" w:cs="Arial" w:eastAsia="Arial" w:hAnsi="Arial"/>
          <w:sz w:val="14"/>
          <w:szCs w:val="14"/>
          <w:color w:val="262626"/>
        </w:rPr>
        <w:t>This electronic access process expedites shareholders’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PROXY PROCEDURE AND EXPENSES OF SOLICITATION</w:t>
      </w:r>
    </w:p>
    <w:p>
      <w:pPr>
        <w:spacing w:after="0" w:line="118" w:lineRule="exact"/>
        <w:rPr>
          <w:sz w:val="20"/>
          <w:szCs w:val="20"/>
          <w:color w:val="auto"/>
        </w:rPr>
      </w:pPr>
    </w:p>
    <w:p>
      <w:pPr>
        <w:ind w:left="780" w:right="200"/>
        <w:spacing w:after="0"/>
        <w:rPr>
          <w:sz w:val="20"/>
          <w:szCs w:val="20"/>
          <w:color w:val="auto"/>
        </w:rPr>
      </w:pPr>
      <w:r>
        <w:rPr>
          <w:rFonts w:ascii="Arial" w:cs="Arial" w:eastAsia="Arial" w:hAnsi="Arial"/>
          <w:sz w:val="14"/>
          <w:szCs w:val="14"/>
          <w:color w:val="262626"/>
        </w:rPr>
        <w:t>We will retain an independent tabulator to receive and tabulate the proxies and an inspector of elections will certify the results. In addition, we have engaged Innisfree M&amp;A Incorporated (“Innisfree“), a professional proxy solicitation firm, to assist in the solicitation of proxies for the Annual Meeting. The Company has agreed to pay Innisfree a fee of $17,500, plus reimbursement for out of 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75" w:lineRule="exact"/>
        <w:rPr>
          <w:sz w:val="20"/>
          <w:szCs w:val="20"/>
          <w:color w:val="auto"/>
        </w:rPr>
      </w:pPr>
    </w:p>
    <w:p>
      <w:pPr>
        <w:ind w:left="780" w:right="460"/>
        <w:spacing w:after="0" w:line="249" w:lineRule="auto"/>
        <w:rPr>
          <w:sz w:val="20"/>
          <w:szCs w:val="20"/>
          <w:color w:val="auto"/>
        </w:rPr>
      </w:pPr>
      <w:r>
        <w:rPr>
          <w:rFonts w:ascii="Arial" w:cs="Arial" w:eastAsia="Arial" w:hAnsi="Arial"/>
          <w:sz w:val="14"/>
          <w:szCs w:val="14"/>
          <w:color w:val="262626"/>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56" w:lineRule="exact"/>
        <w:rPr>
          <w:sz w:val="20"/>
          <w:szCs w:val="20"/>
          <w:color w:val="auto"/>
        </w:rPr>
      </w:pPr>
    </w:p>
    <w:p>
      <w:pPr>
        <w:ind w:left="780" w:right="920"/>
        <w:spacing w:after="0" w:line="249" w:lineRule="auto"/>
        <w:rPr>
          <w:sz w:val="20"/>
          <w:szCs w:val="20"/>
          <w:color w:val="auto"/>
        </w:rPr>
      </w:pPr>
      <w:r>
        <w:rPr>
          <w:rFonts w:ascii="Arial" w:cs="Arial" w:eastAsia="Arial" w:hAnsi="Arial"/>
          <w:sz w:val="14"/>
          <w:szCs w:val="14"/>
          <w:color w:val="262626"/>
        </w:rPr>
        <w:t>Solicitation may be undertaken by mail, telephone, personal contact or other similar means by directors, officers and employees without additional compensation.</w:t>
      </w:r>
    </w:p>
    <w:p>
      <w:pPr>
        <w:spacing w:after="0" w:line="27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SHAREHOLDER PROPOSALS</w:t>
      </w:r>
    </w:p>
    <w:p>
      <w:pPr>
        <w:spacing w:after="0" w:line="118" w:lineRule="exact"/>
        <w:rPr>
          <w:sz w:val="20"/>
          <w:szCs w:val="20"/>
          <w:color w:val="auto"/>
        </w:rPr>
      </w:pPr>
    </w:p>
    <w:p>
      <w:pPr>
        <w:ind w:left="780" w:right="400"/>
        <w:spacing w:after="0" w:line="241" w:lineRule="auto"/>
        <w:rPr>
          <w:sz w:val="20"/>
          <w:szCs w:val="20"/>
          <w:color w:val="auto"/>
        </w:rPr>
      </w:pPr>
      <w:r>
        <w:rPr>
          <w:rFonts w:ascii="Arial" w:cs="Arial" w:eastAsia="Arial" w:hAnsi="Arial"/>
          <w:sz w:val="14"/>
          <w:szCs w:val="14"/>
          <w:color w:val="262626"/>
        </w:rPr>
        <w:t>Shareholders intending to present a proposal at the 2020 Annual Meeting of Shareholders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November 28, 2019.</w:t>
      </w:r>
    </w:p>
    <w:p>
      <w:pPr>
        <w:spacing w:after="0" w:line="161" w:lineRule="exact"/>
        <w:rPr>
          <w:sz w:val="20"/>
          <w:szCs w:val="20"/>
          <w:color w:val="auto"/>
        </w:rPr>
      </w:pPr>
    </w:p>
    <w:p>
      <w:pPr>
        <w:ind w:left="780" w:right="160"/>
        <w:spacing w:after="0" w:line="239" w:lineRule="auto"/>
        <w:rPr>
          <w:sz w:val="20"/>
          <w:szCs w:val="20"/>
          <w:color w:val="auto"/>
        </w:rPr>
      </w:pPr>
      <w:r>
        <w:rPr>
          <w:rFonts w:ascii="Arial" w:cs="Arial" w:eastAsia="Arial" w:hAnsi="Arial"/>
          <w:sz w:val="14"/>
          <w:szCs w:val="14"/>
          <w:color w:val="262626"/>
        </w:rPr>
        <w:t>In addition, our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76" w:lineRule="exact"/>
        <w:rPr>
          <w:sz w:val="20"/>
          <w:szCs w:val="20"/>
          <w:color w:val="auto"/>
        </w:rPr>
      </w:pPr>
    </w:p>
    <w:p>
      <w:pPr>
        <w:ind w:left="780" w:right="200"/>
        <w:spacing w:after="0"/>
        <w:rPr>
          <w:sz w:val="20"/>
          <w:szCs w:val="20"/>
          <w:color w:val="auto"/>
        </w:rPr>
      </w:pPr>
      <w:r>
        <w:rPr>
          <w:rFonts w:ascii="Arial" w:cs="Arial" w:eastAsia="Arial" w:hAnsi="Arial"/>
          <w:sz w:val="14"/>
          <w:szCs w:val="14"/>
          <w:color w:val="262626"/>
        </w:rPr>
        <w:t>Accordingly, for our 2020 Annual Meeting, notice of a nomination or proposal must be delivered to us no later than February 7, 2020 and no earlier than January 8, 2020. Nominations and proposals also must satisfy other requirements set forth in the Bylaws.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shareholder proposal not made in compliance with the foregoing procedures.</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00" w:val="left"/>
          <w:tab w:leader="none" w:pos="80" w:val="left"/>
        </w:tabs>
        <w:rPr>
          <w:sz w:val="20"/>
          <w:szCs w:val="20"/>
          <w:color w:val="auto"/>
        </w:rPr>
      </w:pPr>
      <w:r>
        <w:rPr>
          <w:rFonts w:ascii="Arial" w:cs="Arial" w:eastAsia="Arial" w:hAnsi="Arial"/>
          <w:sz w:val="9"/>
          <w:szCs w:val="9"/>
          <w:b w:val="1"/>
          <w:bCs w:val="1"/>
          <w:color w:val="262626"/>
        </w:rPr>
        <w:t>2019 PROXY STATEMENT</w:t>
        <w:tab/>
        <w:t>|</w:t>
      </w:r>
      <w:r>
        <w:rPr>
          <w:sz w:val="20"/>
          <w:szCs w:val="20"/>
          <w:color w:val="auto"/>
        </w:rPr>
        <w:tab/>
      </w:r>
      <w:r>
        <w:rPr>
          <w:rFonts w:ascii="Arial" w:cs="Arial" w:eastAsia="Arial" w:hAnsi="Arial"/>
          <w:sz w:val="8"/>
          <w:szCs w:val="8"/>
          <w:b w:val="1"/>
          <w:bCs w:val="1"/>
          <w:color w:val="262626"/>
        </w:rPr>
        <w:t>59</w:t>
      </w:r>
    </w:p>
    <w:p>
      <w:pPr>
        <w:sectPr>
          <w:pgSz w:w="11900" w:h="16838" w:orient="portrait"/>
          <w:cols w:equalWidth="0" w:num="1">
            <w:col w:w="10800"/>
          </w:cols>
          <w:pgMar w:left="240" w:top="453" w:right="8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20"/>
        <w:spacing w:after="0"/>
        <w:rPr>
          <w:sz w:val="20"/>
          <w:szCs w:val="20"/>
          <w:color w:val="auto"/>
        </w:rPr>
      </w:pPr>
      <w:r>
        <w:rPr>
          <w:rFonts w:ascii="Arial" w:cs="Arial" w:eastAsia="Arial" w:hAnsi="Arial"/>
          <w:sz w:val="12"/>
          <w:szCs w:val="12"/>
          <w:i w:val="1"/>
          <w:iCs w:val="1"/>
          <w:color w:val="A39B8C"/>
        </w:rPr>
        <w:t>General information</w:t>
      </w:r>
    </w:p>
    <w:p>
      <w:pPr>
        <w:spacing w:after="0" w:line="29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ANNUAL REPORT</w:t>
      </w:r>
    </w:p>
    <w:p>
      <w:pPr>
        <w:spacing w:after="0" w:line="118" w:lineRule="exact"/>
        <w:rPr>
          <w:sz w:val="20"/>
          <w:szCs w:val="20"/>
          <w:color w:val="auto"/>
        </w:rPr>
      </w:pPr>
    </w:p>
    <w:p>
      <w:pPr>
        <w:ind w:left="780" w:right="140"/>
        <w:spacing w:after="0"/>
        <w:rPr>
          <w:sz w:val="20"/>
          <w:szCs w:val="20"/>
          <w:color w:val="auto"/>
        </w:rPr>
      </w:pPr>
      <w:r>
        <w:rPr>
          <w:rFonts w:ascii="Arial" w:cs="Arial" w:eastAsia="Arial" w:hAnsi="Arial"/>
          <w:sz w:val="14"/>
          <w:szCs w:val="14"/>
          <w:color w:val="262626"/>
        </w:rPr>
        <w:t>Our financial statements for the year ended December 31, 2018, are included in our 2018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HOUSEHOLDING</w:t>
      </w:r>
    </w:p>
    <w:p>
      <w:pPr>
        <w:spacing w:after="0" w:line="118" w:lineRule="exact"/>
        <w:rPr>
          <w:sz w:val="20"/>
          <w:szCs w:val="20"/>
          <w:color w:val="auto"/>
        </w:rPr>
      </w:pPr>
    </w:p>
    <w:p>
      <w:pPr>
        <w:ind w:left="780"/>
        <w:spacing w:after="0" w:line="238" w:lineRule="auto"/>
        <w:rPr>
          <w:sz w:val="20"/>
          <w:szCs w:val="20"/>
          <w:color w:val="auto"/>
        </w:rPr>
      </w:pPr>
      <w:r>
        <w:rPr>
          <w:rFonts w:ascii="Arial" w:cs="Arial" w:eastAsia="Arial" w:hAnsi="Arial"/>
          <w:sz w:val="14"/>
          <w:szCs w:val="14"/>
          <w:color w:val="262626"/>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28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512D0C"/>
        </w:rPr>
        <w:t>OTHER BUSINESS</w:t>
      </w:r>
    </w:p>
    <w:p>
      <w:pPr>
        <w:spacing w:after="0" w:line="118" w:lineRule="exact"/>
        <w:rPr>
          <w:sz w:val="20"/>
          <w:szCs w:val="20"/>
          <w:color w:val="auto"/>
        </w:rPr>
      </w:pPr>
    </w:p>
    <w:p>
      <w:pPr>
        <w:ind w:left="780" w:right="20"/>
        <w:spacing w:after="0" w:line="249" w:lineRule="auto"/>
        <w:rPr>
          <w:sz w:val="20"/>
          <w:szCs w:val="20"/>
          <w:color w:val="auto"/>
        </w:rPr>
      </w:pPr>
      <w:r>
        <w:rPr>
          <w:rFonts w:ascii="Arial" w:cs="Arial" w:eastAsia="Arial" w:hAnsi="Arial"/>
          <w:sz w:val="14"/>
          <w:szCs w:val="14"/>
          <w:color w:val="262626"/>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323215</wp:posOffset>
            </wp:positionV>
            <wp:extent cx="521335" cy="2355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35"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tabs>
          <w:tab w:leader="none" w:pos="800" w:val="left"/>
        </w:tabs>
        <w:rPr>
          <w:sz w:val="20"/>
          <w:szCs w:val="20"/>
          <w:color w:val="auto"/>
        </w:rPr>
      </w:pPr>
      <w:r>
        <w:rPr>
          <w:rFonts w:ascii="Arial" w:cs="Arial" w:eastAsia="Arial" w:hAnsi="Arial"/>
          <w:sz w:val="9"/>
          <w:szCs w:val="9"/>
          <w:b w:val="1"/>
          <w:bCs w:val="1"/>
          <w:color w:val="262626"/>
        </w:rPr>
        <w:t>60</w:t>
      </w:r>
      <w:r>
        <w:rPr>
          <w:sz w:val="20"/>
          <w:szCs w:val="20"/>
          <w:color w:val="auto"/>
        </w:rPr>
        <w:tab/>
      </w:r>
      <w:r>
        <w:rPr>
          <w:rFonts w:ascii="Arial" w:cs="Arial" w:eastAsia="Arial" w:hAnsi="Arial"/>
          <w:sz w:val="7"/>
          <w:szCs w:val="7"/>
          <w:b w:val="1"/>
          <w:bCs w:val="1"/>
          <w:color w:val="262626"/>
        </w:rPr>
        <w:t>|</w:t>
      </w:r>
    </w:p>
    <w:p>
      <w:pPr>
        <w:sectPr>
          <w:pgSz w:w="11900" w:h="16838" w:orient="portrait"/>
          <w:cols w:equalWidth="0" w:num="1">
            <w:col w:w="10620"/>
          </w:cols>
          <w:pgMar w:left="240" w:top="453" w:right="10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221615</wp:posOffset>
            </wp:positionV>
            <wp:extent cx="6896100" cy="89814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96100" cy="898144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221615</wp:posOffset>
            </wp:positionV>
            <wp:extent cx="6896100" cy="892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96100" cy="892302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221615</wp:posOffset>
            </wp:positionV>
            <wp:extent cx="6896100" cy="892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96100" cy="8923020"/>
                    </a:xfrm>
                    <a:prstGeom prst="rect">
                      <a:avLst/>
                    </a:prstGeom>
                    <a:noFill/>
                  </pic:spPr>
                </pic:pic>
              </a:graphicData>
            </a:graphic>
          </wp:anchor>
        </w:drawing>
      </w:r>
    </w:p>
    <w:sectPr>
      <w:pgSz w:w="11900" w:h="16838" w:orient="portrait"/>
      <w:cols w:equalWidth="0" w:num="1">
        <w:col w:w="10219"/>
      </w:cols>
      <w:pgMar w:left="240" w:top="4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lvl w:ilvl="1">
      <w:lvlJc w:val="left"/>
      <w:lvlText w:val="(%2)"/>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2"/>
      <w:numFmt w:val="bullet"/>
      <w:start w:val="1"/>
    </w:lvl>
  </w:abstractNum>
  <w:abstractNum w:abstractNumId="6">
    <w:nsid w:val="57E4CCAF"/>
    <w:multiLevelType w:val="hybridMultilevel"/>
    <w:lvl w:ilvl="0">
      <w:lvlJc w:val="left"/>
      <w:lvlText w:val="\endash "/>
      <w:numFmt w:val="bullet"/>
      <w:start w:val="1"/>
    </w:lvl>
  </w:abstractNum>
  <w:abstractNum w:abstractNumId="7">
    <w:nsid w:val="7A6D8D3C"/>
    <w:multiLevelType w:val="hybridMultilevel"/>
    <w:lvl w:ilvl="0">
      <w:lvlJc w:val="left"/>
      <w:lvlText w:val="\endash "/>
      <w:numFmt w:val="bullet"/>
      <w:start w:val="1"/>
    </w:lvl>
  </w:abstractNum>
  <w:abstractNum w:abstractNumId="8">
    <w:nsid w:val="4B588F54"/>
    <w:multiLevelType w:val="hybridMultilevel"/>
    <w:lvl w:ilvl="0">
      <w:lvlJc w:val="left"/>
      <w:lvlText w:val="\endash "/>
      <w:numFmt w:val="bullet"/>
      <w:start w:val="1"/>
    </w:lvl>
  </w:abstractNum>
  <w:abstractNum w:abstractNumId="9">
    <w:nsid w:val="542289EC"/>
    <w:multiLevelType w:val="hybridMultilevel"/>
    <w:lvl w:ilvl="0">
      <w:lvlJc w:val="left"/>
      <w:lvlText w:val="\endash "/>
      <w:numFmt w:val="bullet"/>
      <w:start w:val="1"/>
    </w:lvl>
  </w:abstractNum>
  <w:abstractNum w:abstractNumId="10">
    <w:nsid w:val="6DE91B18"/>
    <w:multiLevelType w:val="hybridMultilevel"/>
    <w:lvl w:ilvl="0">
      <w:lvlJc w:val="left"/>
      <w:lvlText w:val="4"/>
      <w:numFmt w:val="bullet"/>
      <w:start w:val="1"/>
    </w:lvl>
  </w:abstractNum>
  <w:abstractNum w:abstractNumId="11">
    <w:nsid w:val="38437FDB"/>
    <w:multiLevelType w:val="hybridMultilevel"/>
    <w:lvl w:ilvl="0">
      <w:lvlJc w:val="left"/>
      <w:lvlText w:val="\endash "/>
      <w:numFmt w:val="bullet"/>
      <w:start w:val="1"/>
    </w:lvl>
  </w:abstractNum>
  <w:abstractNum w:abstractNumId="12">
    <w:nsid w:val="7644A45C"/>
    <w:multiLevelType w:val="hybridMultilevel"/>
    <w:lvl w:ilvl="0">
      <w:lvlJc w:val="left"/>
      <w:lvlText w:val="\endash "/>
      <w:numFmt w:val="bullet"/>
      <w:start w:val="1"/>
    </w:lvl>
  </w:abstractNum>
  <w:abstractNum w:abstractNumId="13">
    <w:nsid w:val="32FFF902"/>
    <w:multiLevelType w:val="hybridMultilevel"/>
    <w:lvl w:ilvl="0">
      <w:lvlJc w:val="left"/>
      <w:lvlText w:val="\endash "/>
      <w:numFmt w:val="bullet"/>
      <w:start w:val="1"/>
    </w:lvl>
  </w:abstractNum>
  <w:abstractNum w:abstractNumId="14">
    <w:nsid w:val="684A481A"/>
    <w:multiLevelType w:val="hybridMultilevel"/>
    <w:lvl w:ilvl="0">
      <w:lvlJc w:val="left"/>
      <w:lvlText w:val="\endash "/>
      <w:numFmt w:val="bullet"/>
      <w:start w:val="1"/>
    </w:lvl>
  </w:abstractNum>
  <w:abstractNum w:abstractNumId="15">
    <w:nsid w:val="579478FE"/>
    <w:multiLevelType w:val="hybridMultilevel"/>
    <w:lvl w:ilvl="0">
      <w:lvlJc w:val="left"/>
      <w:lvlText w:val="6"/>
      <w:numFmt w:val="bullet"/>
      <w:start w:val="1"/>
    </w:lvl>
  </w:abstractNum>
  <w:abstractNum w:abstractNumId="16">
    <w:nsid w:val="749ABB43"/>
    <w:multiLevelType w:val="hybridMultilevel"/>
    <w:lvl w:ilvl="0">
      <w:lvlJc w:val="left"/>
      <w:lvlText w:val="\endash "/>
      <w:numFmt w:val="bullet"/>
      <w:start w:val="1"/>
    </w:lvl>
  </w:abstractNum>
  <w:abstractNum w:abstractNumId="17">
    <w:nsid w:val="3DC240FB"/>
    <w:multiLevelType w:val="hybridMultilevel"/>
    <w:lvl w:ilvl="0">
      <w:lvlJc w:val="left"/>
      <w:lvlText w:val="\endash "/>
      <w:numFmt w:val="bullet"/>
      <w:start w:val="1"/>
    </w:lvl>
  </w:abstractNum>
  <w:abstractNum w:abstractNumId="18">
    <w:nsid w:val="1BA026FA"/>
    <w:multiLevelType w:val="hybridMultilevel"/>
    <w:lvl w:ilvl="0">
      <w:lvlJc w:val="left"/>
      <w:lvlText w:val="\endash "/>
      <w:numFmt w:val="bullet"/>
      <w:start w:val="1"/>
    </w:lvl>
  </w:abstractNum>
  <w:abstractNum w:abstractNumId="19">
    <w:nsid w:val="79A1DEAA"/>
    <w:multiLevelType w:val="hybridMultilevel"/>
    <w:lvl w:ilvl="0">
      <w:lvlJc w:val="left"/>
      <w:lvlText w:val="8"/>
      <w:numFmt w:val="bullet"/>
      <w:start w:val="1"/>
    </w:lvl>
  </w:abstractNum>
  <w:abstractNum w:abstractNumId="20">
    <w:nsid w:val="75C6C33A"/>
    <w:multiLevelType w:val="hybridMultilevel"/>
    <w:lvl w:ilvl="0">
      <w:lvlJc w:val="left"/>
      <w:lvlText w:val="\endash "/>
      <w:numFmt w:val="bullet"/>
      <w:start w:val="1"/>
    </w:lvl>
  </w:abstractNum>
  <w:abstractNum w:abstractNumId="21">
    <w:nsid w:val="12E685FB"/>
    <w:multiLevelType w:val="hybridMultilevel"/>
    <w:lvl w:ilvl="0">
      <w:lvlJc w:val="left"/>
      <w:lvlText w:val="\endash "/>
      <w:numFmt w:val="bullet"/>
      <w:start w:val="1"/>
    </w:lvl>
  </w:abstractNum>
  <w:abstractNum w:abstractNumId="22">
    <w:nsid w:val="70C6A529"/>
    <w:multiLevelType w:val="hybridMultilevel"/>
    <w:lvl w:ilvl="0">
      <w:lvlJc w:val="left"/>
      <w:lvlText w:val="\endash "/>
      <w:numFmt w:val="bullet"/>
      <w:start w:val="1"/>
    </w:lvl>
  </w:abstractNum>
  <w:abstractNum w:abstractNumId="23">
    <w:nsid w:val="520EEDD1"/>
    <w:multiLevelType w:val="hybridMultilevel"/>
    <w:lvl w:ilvl="0">
      <w:lvlJc w:val="left"/>
      <w:lvlText w:val="\endash "/>
      <w:numFmt w:val="bullet"/>
      <w:start w:val="1"/>
    </w:lvl>
  </w:abstractNum>
  <w:abstractNum w:abstractNumId="24">
    <w:nsid w:val="374A3FE6"/>
    <w:multiLevelType w:val="hybridMultilevel"/>
    <w:lvl w:ilvl="0">
      <w:lvlJc w:val="left"/>
      <w:lvlText w:val="\endash "/>
      <w:numFmt w:val="bullet"/>
      <w:start w:val="1"/>
    </w:lvl>
  </w:abstractNum>
  <w:abstractNum w:abstractNumId="25">
    <w:nsid w:val="4F4EF005"/>
    <w:multiLevelType w:val="hybridMultilevel"/>
    <w:lvl w:ilvl="0">
      <w:lvlJc w:val="left"/>
      <w:lvlText w:val="\endash "/>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lowerRoman"/>
      <w:start w:val="1"/>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1"/>
      <w:numFmt w:val="decimal"/>
      <w:start w:val="1"/>
    </w:lvl>
    <w:lvl w:ilvl="1">
      <w:lvlJc w:val="left"/>
      <w:lvlText w:val="(%2)"/>
      <w:numFmt w:val="lowerRoman"/>
      <w:start w:val="1"/>
    </w:lvl>
  </w:abstractNum>
  <w:abstractNum w:abstractNumId="30">
    <w:nsid w:val="1CF10FD8"/>
    <w:multiLevelType w:val="hybridMultilevel"/>
    <w:lvl w:ilvl="0">
      <w:lvlJc w:val="left"/>
      <w:lvlText w:val="(%1)"/>
      <w:numFmt w:val="decimal"/>
      <w:start w:val="4"/>
    </w:lvl>
    <w:lvl w:ilvl="1">
      <w:lvlJc w:val="left"/>
      <w:lvlText w:val="%2"/>
      <w:numFmt w:val="lowerRoman"/>
      <w:start w:val="1"/>
    </w:lvl>
  </w:abstractNum>
  <w:abstractNum w:abstractNumId="31">
    <w:nsid w:val="180115BE"/>
    <w:multiLevelType w:val="hybridMultilevel"/>
    <w:lvl w:ilvl="0">
      <w:lvlJc w:val="left"/>
      <w:lvlText w:val="\endash "/>
      <w:numFmt w:val="bullet"/>
      <w:start w:val="1"/>
    </w:lvl>
    <w:lvl w:ilvl="1">
      <w:lvlJc w:val="left"/>
      <w:lvlText w:val="•"/>
      <w:numFmt w:val="bullet"/>
      <w:start w:val="1"/>
    </w:lvl>
  </w:abstractNum>
  <w:abstractNum w:abstractNumId="32">
    <w:nsid w:val="235BA861"/>
    <w:multiLevelType w:val="hybridMultilevel"/>
    <w:lvl w:ilvl="0">
      <w:lvlJc w:val="left"/>
      <w:lvlText w:val="\endash "/>
      <w:numFmt w:val="bullet"/>
      <w:start w:val="1"/>
    </w:lvl>
  </w:abstractNum>
  <w:abstractNum w:abstractNumId="33">
    <w:nsid w:val="47398C89"/>
    <w:multiLevelType w:val="hybridMultilevel"/>
    <w:lvl w:ilvl="0">
      <w:lvlJc w:val="left"/>
      <w:lvlText w:val="\endash "/>
      <w:numFmt w:val="bullet"/>
      <w:start w:val="1"/>
    </w:lvl>
  </w:abstractNum>
  <w:abstractNum w:abstractNumId="34">
    <w:nsid w:val="354FE9F9"/>
    <w:multiLevelType w:val="hybridMultilevel"/>
    <w:lvl w:ilvl="0">
      <w:lvlJc w:val="left"/>
      <w:lvlText w:val="\endash "/>
      <w:numFmt w:val="bullet"/>
      <w:start w:val="1"/>
    </w:lvl>
  </w:abstractNum>
  <w:abstractNum w:abstractNumId="35">
    <w:nsid w:val="15B5AF5C"/>
    <w:multiLevelType w:val="hybridMultilevel"/>
    <w:lvl w:ilvl="0">
      <w:lvlJc w:val="left"/>
      <w:lvlText w:val="\endash "/>
      <w:numFmt w:val="bullet"/>
      <w:start w:val="1"/>
    </w:lvl>
  </w:abstractNum>
  <w:abstractNum w:abstractNumId="36">
    <w:nsid w:val="741226BB"/>
    <w:multiLevelType w:val="hybridMultilevel"/>
    <w:lvl w:ilvl="0">
      <w:lvlJc w:val="left"/>
      <w:lvlText w:val="\endash "/>
      <w:numFmt w:val="bullet"/>
      <w:start w:val="1"/>
    </w:lvl>
  </w:abstractNum>
  <w:abstractNum w:abstractNumId="37">
    <w:nsid w:val="D34B6A8"/>
    <w:multiLevelType w:val="hybridMultilevel"/>
    <w:lvl w:ilvl="0">
      <w:lvlJc w:val="left"/>
      <w:lvlText w:val="\endash "/>
      <w:numFmt w:val="bullet"/>
      <w:start w:val="1"/>
    </w:lvl>
    <w:lvl w:ilvl="1">
      <w:lvlJc w:val="left"/>
      <w:lvlText w:val="•"/>
      <w:numFmt w:val="bullet"/>
      <w:start w:val="1"/>
    </w:lvl>
  </w:abstractNum>
  <w:abstractNum w:abstractNumId="38">
    <w:nsid w:val="10233C99"/>
    <w:multiLevelType w:val="hybridMultilevel"/>
    <w:lvl w:ilvl="0">
      <w:lvlJc w:val="left"/>
      <w:lvlText w:val="\endash "/>
      <w:numFmt w:val="bullet"/>
      <w:start w:val="1"/>
    </w:lvl>
  </w:abstractNum>
  <w:abstractNum w:abstractNumId="39">
    <w:nsid w:val="3F6AB60F"/>
    <w:multiLevelType w:val="hybridMultilevel"/>
    <w:lvl w:ilvl="0">
      <w:lvlJc w:val="left"/>
      <w:lvlText w:val="\endash "/>
      <w:numFmt w:val="bullet"/>
      <w:start w:val="1"/>
    </w:lvl>
  </w:abstractNum>
  <w:abstractNum w:abstractNumId="40">
    <w:nsid w:val="61574095"/>
    <w:multiLevelType w:val="hybridMultilevel"/>
    <w:lvl w:ilvl="0">
      <w:lvlJc w:val="left"/>
      <w:lvlText w:val="\endash "/>
      <w:numFmt w:val="bullet"/>
      <w:start w:val="1"/>
    </w:lvl>
  </w:abstractNum>
  <w:abstractNum w:abstractNumId="41">
    <w:nsid w:val="7E0C57B1"/>
    <w:multiLevelType w:val="hybridMultilevel"/>
    <w:lvl w:ilvl="0">
      <w:lvlJc w:val="left"/>
      <w:lvlText w:val="\endash "/>
      <w:numFmt w:val="bullet"/>
      <w:start w:val="1"/>
    </w:lvl>
  </w:abstractNum>
  <w:abstractNum w:abstractNumId="42">
    <w:nsid w:val="77AE35EB"/>
    <w:multiLevelType w:val="hybridMultilevel"/>
    <w:lvl w:ilvl="0">
      <w:lvlJc w:val="left"/>
      <w:lvlText w:val="\endash "/>
      <w:numFmt w:val="bullet"/>
      <w:start w:val="1"/>
    </w:lvl>
  </w:abstractNum>
  <w:abstractNum w:abstractNumId="43">
    <w:nsid w:val="579BE4F1"/>
    <w:multiLevelType w:val="hybridMultilevel"/>
    <w:lvl w:ilvl="0">
      <w:lvlJc w:val="left"/>
      <w:lvlText w:val="\endash "/>
      <w:numFmt w:val="bullet"/>
      <w:start w:val="1"/>
    </w:lvl>
    <w:lvl w:ilvl="1">
      <w:lvlJc w:val="left"/>
      <w:lvlText w:val="•"/>
      <w:numFmt w:val="bullet"/>
      <w:start w:val="1"/>
    </w:lvl>
  </w:abstractNum>
  <w:abstractNum w:abstractNumId="44">
    <w:nsid w:val="310C50B3"/>
    <w:multiLevelType w:val="hybridMultilevel"/>
    <w:lvl w:ilvl="0">
      <w:lvlJc w:val="left"/>
      <w:lvlText w:val="\endash "/>
      <w:numFmt w:val="bullet"/>
      <w:start w:val="1"/>
    </w:lvl>
  </w:abstractNum>
  <w:abstractNum w:abstractNumId="45">
    <w:nsid w:val="5FF87E05"/>
    <w:multiLevelType w:val="hybridMultilevel"/>
    <w:lvl w:ilvl="0">
      <w:lvlJc w:val="left"/>
      <w:lvlText w:val="\endash "/>
      <w:numFmt w:val="bullet"/>
      <w:start w:val="1"/>
    </w:lvl>
  </w:abstractNum>
  <w:abstractNum w:abstractNumId="46">
    <w:nsid w:val="2F305DEF"/>
    <w:multiLevelType w:val="hybridMultilevel"/>
    <w:lvl w:ilvl="0">
      <w:lvlJc w:val="left"/>
      <w:lvlText w:val="\endash "/>
      <w:numFmt w:val="bullet"/>
      <w:start w:val="1"/>
    </w:lvl>
  </w:abstractNum>
  <w:abstractNum w:abstractNumId="47">
    <w:nsid w:val="25A70BF7"/>
    <w:multiLevelType w:val="hybridMultilevel"/>
    <w:lvl w:ilvl="0">
      <w:lvlJc w:val="left"/>
      <w:lvlText w:val="\endash "/>
      <w:numFmt w:val="bullet"/>
      <w:start w:val="1"/>
    </w:lvl>
  </w:abstractNum>
  <w:abstractNum w:abstractNumId="48">
    <w:nsid w:val="1DBABF00"/>
    <w:multiLevelType w:val="hybridMultilevel"/>
    <w:lvl w:ilvl="0">
      <w:lvlJc w:val="left"/>
      <w:lvlText w:val="\endash "/>
      <w:numFmt w:val="bullet"/>
      <w:start w:val="1"/>
    </w:lvl>
  </w:abstractNum>
  <w:abstractNum w:abstractNumId="49">
    <w:nsid w:val="4AD084E9"/>
    <w:multiLevelType w:val="hybridMultilevel"/>
    <w:lvl w:ilvl="0">
      <w:lvlJc w:val="left"/>
      <w:lvlText w:val="\endash "/>
      <w:numFmt w:val="bullet"/>
      <w:start w:val="1"/>
    </w:lvl>
  </w:abstractNum>
  <w:abstractNum w:abstractNumId="50">
    <w:nsid w:val="1F48EAA1"/>
    <w:multiLevelType w:val="hybridMultilevel"/>
    <w:lvl w:ilvl="0">
      <w:lvlJc w:val="left"/>
      <w:lvlText w:val="\endash "/>
      <w:numFmt w:val="bullet"/>
      <w:start w:val="1"/>
    </w:lvl>
  </w:abstractNum>
  <w:abstractNum w:abstractNumId="51">
    <w:nsid w:val="1381823A"/>
    <w:multiLevelType w:val="hybridMultilevel"/>
    <w:lvl w:ilvl="0">
      <w:lvlJc w:val="left"/>
      <w:lvlText w:val="\endash "/>
      <w:numFmt w:val="bullet"/>
      <w:start w:val="1"/>
    </w:lvl>
  </w:abstractNum>
  <w:abstractNum w:abstractNumId="52">
    <w:nsid w:val="5DB70AE5"/>
    <w:multiLevelType w:val="hybridMultilevel"/>
    <w:lvl w:ilvl="0">
      <w:lvlJc w:val="left"/>
      <w:lvlText w:val="\endash "/>
      <w:numFmt w:val="bullet"/>
      <w:start w:val="1"/>
    </w:lvl>
  </w:abstractNum>
  <w:abstractNum w:abstractNumId="53">
    <w:nsid w:val="100F8FCA"/>
    <w:multiLevelType w:val="hybridMultilevel"/>
    <w:lvl w:ilvl="0">
      <w:lvlJc w:val="left"/>
      <w:lvlText w:val="(%1)"/>
      <w:numFmt w:val="decimal"/>
      <w:start w:val="1"/>
    </w:lvl>
    <w:lvl w:ilvl="1">
      <w:lvlJc w:val="left"/>
      <w:lvlText w:val="\endash "/>
      <w:numFmt w:val="bullet"/>
      <w:start w:val="1"/>
    </w:lvl>
  </w:abstractNum>
  <w:abstractNum w:abstractNumId="54">
    <w:nsid w:val="6590700B"/>
    <w:multiLevelType w:val="hybridMultilevel"/>
    <w:lvl w:ilvl="0">
      <w:lvlJc w:val="left"/>
      <w:lvlText w:val="\endash "/>
      <w:numFmt w:val="bullet"/>
      <w:start w:val="1"/>
    </w:lvl>
  </w:abstractNum>
  <w:abstractNum w:abstractNumId="55">
    <w:nsid w:val="15014ACB"/>
    <w:multiLevelType w:val="hybridMultilevel"/>
    <w:lvl w:ilvl="0">
      <w:lvlJc w:val="left"/>
      <w:lvlText w:val="\endash "/>
      <w:numFmt w:val="bullet"/>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endash "/>
      <w:numFmt w:val="bullet"/>
      <w:start w:val="1"/>
    </w:lvl>
  </w:abstractNum>
  <w:abstractNum w:abstractNumId="61">
    <w:nsid w:val="168E121F"/>
    <w:multiLevelType w:val="hybridMultilevel"/>
    <w:lvl w:ilvl="0">
      <w:lvlJc w:val="left"/>
      <w:lvlText w:val="(%1)"/>
      <w:numFmt w:val="decimal"/>
      <w:start w:val="1"/>
    </w:lvl>
    <w:lvl w:ilvl="1">
      <w:lvlJc w:val="left"/>
      <w:lvlText w:val="(%2)"/>
      <w:numFmt w:val="lowerRoman"/>
      <w:start w:val="1"/>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lowerRoman"/>
      <w:start w:val="1"/>
    </w:lvl>
  </w:abstractNum>
  <w:abstractNum w:abstractNumId="64">
    <w:nsid w:val="5DC79EA8"/>
    <w:multiLevelType w:val="hybridMultilevel"/>
    <w:lvl w:ilvl="0">
      <w:lvlJc w:val="left"/>
      <w:lvlText w:val="(%1)"/>
      <w:numFmt w:val="lowerRoman"/>
      <w:start w:val="1"/>
    </w:lvl>
  </w:abstractNum>
  <w:abstractNum w:abstractNumId="65">
    <w:nsid w:val="540A471C"/>
    <w:multiLevelType w:val="hybridMultilevel"/>
    <w:lvl w:ilvl="0">
      <w:lvlJc w:val="left"/>
      <w:lvlText w:val="(%1)"/>
      <w:numFmt w:val="lowerRoman"/>
      <w:start w:val="3"/>
    </w:lvl>
  </w:abstractNum>
  <w:abstractNum w:abstractNumId="66">
    <w:nsid w:val="7BD3EE7B"/>
    <w:multiLevelType w:val="hybridMultilevel"/>
    <w:lvl w:ilvl="0">
      <w:lvlJc w:val="left"/>
      <w:lvlText w:val="%1"/>
      <w:numFmt w:val="decimal"/>
      <w:start w:val="1"/>
    </w:lvl>
    <w:lvl w:ilvl="1">
      <w:lvlJc w:val="left"/>
      <w:lvlText w:val="(%2)"/>
      <w:numFmt w:val="lowerRoman"/>
      <w:start w:val="1"/>
    </w:lvl>
  </w:abstractNum>
  <w:abstractNum w:abstractNumId="67">
    <w:nsid w:val="51D9C564"/>
    <w:multiLevelType w:val="hybridMultilevel"/>
    <w:lvl w:ilvl="0">
      <w:lvlJc w:val="left"/>
      <w:lvlText w:val="(%1)"/>
      <w:numFmt w:val="decimal"/>
      <w:start w:val="6"/>
    </w:lvl>
    <w:lvl w:ilvl="1">
      <w:lvlJc w:val="left"/>
      <w:lvlText w:val="%2"/>
      <w:numFmt w:val="lowerRoman"/>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lowerRoman"/>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3"/>
    </w:lvl>
  </w:abstractNum>
  <w:abstractNum w:abstractNumId="79">
    <w:nsid w:val="6A5EE64"/>
    <w:multiLevelType w:val="hybridMultilevel"/>
    <w:lvl w:ilvl="0">
      <w:lvlJc w:val="left"/>
      <w:lvlText w:val="\endash "/>
      <w:numFmt w:val="bullet"/>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2019-12-03T19:23:38Z</dcterms:created>
  <dcterms:modified xsi:type="dcterms:W3CDTF">2019-12-03T19:23:38Z</dcterms:modified>
</cp:coreProperties>
</file>