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pPr>
      <w:r>
        <w:rPr>
          <w:color w:val="000000"/>
        </w:rPr>
        <w:t> </w:t>
      </w: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000-50028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48"/>
        </w:rPr>
        <w:t>WYNN RESORTS, LIMITED</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3131 Las Vegas Boulevard South - Las Vegas, Nevada 89109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95"/>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5410" w:type="dxa"/>
        <w:jc w:val="left"/>
        <w:tblInd w:w="0" w:type="dxa"/>
        <w:tblLayout w:type="fixed"/>
        <w:tblCellMar>
          <w:top w:w="28" w:type="dxa"/>
          <w:left w:w="28" w:type="dxa"/>
          <w:bottom w:w="28" w:type="dxa"/>
          <w:right w:w="28" w:type="dxa"/>
        </w:tblCellMar>
      </w:tblPr>
      <w:tblGrid>
        <w:gridCol w:w="973"/>
        <w:gridCol w:w="858"/>
        <w:gridCol w:w="868"/>
        <w:gridCol w:w="109"/>
        <w:gridCol w:w="109"/>
        <w:gridCol w:w="109"/>
        <w:gridCol w:w="696"/>
        <w:gridCol w:w="696"/>
        <w:gridCol w:w="992"/>
      </w:tblGrid>
      <w:tr>
        <w:trPr/>
        <w:tc>
          <w:tcPr>
            <w:tcW w:w="97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at August 1, 2023</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113,936,334</w:t>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7"/>
        <w:gridCol w:w="261"/>
        <w:gridCol w:w="3041"/>
        <w:gridCol w:w="2985"/>
        <w:gridCol w:w="2995"/>
        <w:gridCol w:w="109"/>
        <w:gridCol w:w="109"/>
        <w:gridCol w:w="15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
              <w:r>
                <w:rPr>
                  <w:rStyle w:val="InternetLink"/>
                  <w:rFonts w:ascii="Times New Roman;sans-serif" w:hAnsi="Times New Roman;sans-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
              <w:r>
                <w:rPr>
                  <w:rStyle w:val="InternetLink"/>
                  <w:rFonts w:ascii="Times New Roman;sans-serif" w:hAnsi="Times New Roman;sans-serif"/>
                  <w:b w:val="false"/>
                  <w:color w:val="0000FF"/>
                  <w:sz w:val="20"/>
                  <w:u w:val="single"/>
                </w:rPr>
                <w:t>Financial Statements</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6">
              <w:r>
                <w:rPr>
                  <w:rStyle w:val="InternetLink"/>
                  <w:rFonts w:ascii="Times New Roman;sans-serif" w:hAnsi="Times New Roman;sans-serif"/>
                  <w:b w:val="false"/>
                  <w:color w:val="000080"/>
                  <w:sz w:val="20"/>
                  <w:u w:val="single"/>
                </w:rPr>
                <w:t xml:space="preserve">Condensed Consolidated Balance Sheets - </w:t>
              </w:r>
            </w:hyperlink>
            <w:hyperlink w:anchor="i7a51c07a5e4648feab487d1ad0235126_16">
              <w:r>
                <w:rPr>
                  <w:rStyle w:val="InternetLink"/>
                  <w:rFonts w:ascii="Times New Roman;sans-serif" w:hAnsi="Times New Roman;sans-serif"/>
                  <w:b w:val="false"/>
                  <w:color w:val="000080"/>
                  <w:sz w:val="20"/>
                  <w:u w:val="single"/>
                </w:rPr>
                <w:t>June</w:t>
              </w:r>
            </w:hyperlink>
            <w:hyperlink w:anchor="i7a51c07a5e4648feab487d1ad0235126_16">
              <w:r>
                <w:rPr>
                  <w:rStyle w:val="InternetLink"/>
                  <w:rFonts w:ascii="Times New Roman;sans-serif" w:hAnsi="Times New Roman;sans-serif"/>
                  <w:b w:val="false"/>
                  <w:color w:val="000080"/>
                  <w:sz w:val="20"/>
                  <w:u w:val="single"/>
                </w:rPr>
                <w:t xml:space="preserve"> 3</w:t>
              </w:r>
            </w:hyperlink>
            <w:hyperlink w:anchor="i7a51c07a5e4648feab487d1ad0235126_16">
              <w:r>
                <w:rPr>
                  <w:rStyle w:val="InternetLink"/>
                  <w:rFonts w:ascii="Times New Roman;sans-serif" w:hAnsi="Times New Roman;sans-serif"/>
                  <w:b w:val="false"/>
                  <w:color w:val="000080"/>
                  <w:sz w:val="20"/>
                  <w:u w:val="single"/>
                </w:rPr>
                <w:t>0</w:t>
              </w:r>
            </w:hyperlink>
            <w:hyperlink w:anchor="i7a51c07a5e4648feab487d1ad0235126_16">
              <w:r>
                <w:rPr>
                  <w:rStyle w:val="InternetLink"/>
                  <w:rFonts w:ascii="Times New Roman;sans-serif" w:hAnsi="Times New Roman;sans-serif"/>
                  <w:b w:val="false"/>
                  <w:color w:val="000080"/>
                  <w:sz w:val="20"/>
                  <w:u w:val="single"/>
                </w:rPr>
                <w:t>, 2023 (unaudited) and December 31, 2022</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9">
              <w:r>
                <w:rPr>
                  <w:rStyle w:val="InternetLink"/>
                  <w:rFonts w:ascii="Times New Roman;sans-serif" w:hAnsi="Times New Roman;sans-serif"/>
                  <w:b w:val="false"/>
                  <w:color w:val="000080"/>
                  <w:sz w:val="20"/>
                  <w:u w:val="single"/>
                </w:rPr>
                <w:t xml:space="preserve">Condensed Consolidated Statements of Operations (unaudited) - Three </w:t>
              </w:r>
            </w:hyperlink>
            <w:hyperlink w:anchor="i7a51c07a5e4648feab487d1ad0235126_19">
              <w:r>
                <w:rPr>
                  <w:rStyle w:val="InternetLink"/>
                  <w:rFonts w:ascii="Times New Roman;sans-serif" w:hAnsi="Times New Roman;sans-serif"/>
                  <w:b w:val="false"/>
                  <w:color w:val="000080"/>
                  <w:sz w:val="20"/>
                  <w:u w:val="single"/>
                </w:rPr>
                <w:t xml:space="preserve">and </w:t>
              </w:r>
            </w:hyperlink>
            <w:hyperlink w:anchor="i7a51c07a5e4648feab487d1ad0235126_19">
              <w:r>
                <w:rPr>
                  <w:rStyle w:val="InternetLink"/>
                  <w:rFonts w:ascii="Times New Roman;sans-serif" w:hAnsi="Times New Roman;sans-serif"/>
                  <w:b w:val="false"/>
                  <w:color w:val="000080"/>
                  <w:sz w:val="20"/>
                  <w:u w:val="single"/>
                </w:rPr>
                <w:t>S</w:t>
              </w:r>
            </w:hyperlink>
            <w:hyperlink w:anchor="i7a51c07a5e4648feab487d1ad0235126_19">
              <w:r>
                <w:rPr>
                  <w:rStyle w:val="InternetLink"/>
                  <w:rFonts w:ascii="Times New Roman;sans-serif" w:hAnsi="Times New Roman;sans-serif"/>
                  <w:b w:val="false"/>
                  <w:color w:val="000080"/>
                  <w:sz w:val="20"/>
                  <w:u w:val="single"/>
                </w:rPr>
                <w:t xml:space="preserve">ix </w:t>
              </w:r>
            </w:hyperlink>
            <w:hyperlink w:anchor="i7a51c07a5e4648feab487d1ad0235126_19">
              <w:r>
                <w:rPr>
                  <w:rStyle w:val="InternetLink"/>
                  <w:rFonts w:ascii="Times New Roman;sans-serif" w:hAnsi="Times New Roman;sans-serif"/>
                  <w:b w:val="false"/>
                  <w:color w:val="000080"/>
                  <w:sz w:val="20"/>
                  <w:u w:val="single"/>
                </w:rPr>
                <w:t>Months Ended</w:t>
              </w:r>
            </w:hyperlink>
            <w:hyperlink w:anchor="i7a51c07a5e4648feab487d1ad0235126_19">
              <w:r>
                <w:rPr>
                  <w:rStyle w:val="InternetLink"/>
                  <w:rFonts w:ascii="Times New Roman;sans-serif" w:hAnsi="Times New Roman;sans-serif"/>
                  <w:b w:val="false"/>
                  <w:color w:val="000080"/>
                  <w:sz w:val="20"/>
                  <w:u w:val="single"/>
                </w:rPr>
                <w:t xml:space="preserve"> June</w:t>
              </w:r>
            </w:hyperlink>
            <w:hyperlink w:anchor="i7a51c07a5e4648feab487d1ad0235126_19">
              <w:r>
                <w:rPr>
                  <w:rStyle w:val="InternetLink"/>
                  <w:rFonts w:ascii="Times New Roman;sans-serif" w:hAnsi="Times New Roman;sans-serif"/>
                  <w:b w:val="false"/>
                  <w:color w:val="000080"/>
                  <w:sz w:val="20"/>
                  <w:u w:val="single"/>
                </w:rPr>
                <w:t xml:space="preserve"> 3</w:t>
              </w:r>
            </w:hyperlink>
            <w:hyperlink w:anchor="i7a51c07a5e4648feab487d1ad0235126_19">
              <w:r>
                <w:rPr>
                  <w:rStyle w:val="InternetLink"/>
                  <w:rFonts w:ascii="Times New Roman;sans-serif" w:hAnsi="Times New Roman;sans-serif"/>
                  <w:b w:val="false"/>
                  <w:color w:val="000080"/>
                  <w:sz w:val="20"/>
                  <w:u w:val="single"/>
                </w:rPr>
                <w:t>0</w:t>
              </w:r>
            </w:hyperlink>
            <w:hyperlink w:anchor="i7a51c07a5e4648feab487d1ad0235126_19">
              <w:r>
                <w:rPr>
                  <w:rStyle w:val="InternetLink"/>
                  <w:rFonts w:ascii="Times New Roman;sans-serif" w:hAnsi="Times New Roman;sans-serif"/>
                  <w:b w:val="false"/>
                  <w:color w:val="000080"/>
                  <w:sz w:val="20"/>
                  <w:u w:val="single"/>
                </w:rPr>
                <w:t>, 2023 and 2022</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9">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22">
              <w:r>
                <w:rPr>
                  <w:rStyle w:val="InternetLink"/>
                  <w:rFonts w:ascii="Times New Roman;sans-serif" w:hAnsi="Times New Roman;sans-serif"/>
                  <w:b w:val="false"/>
                  <w:color w:val="000080"/>
                  <w:sz w:val="20"/>
                  <w:u w:val="single"/>
                </w:rPr>
                <w:t>Condensed Consolidated Statements of Comprehensive Income (Loss) (unaudited) - Three</w:t>
              </w:r>
            </w:hyperlink>
            <w:hyperlink w:anchor="i7a51c07a5e4648feab487d1ad0235126_22">
              <w:r>
                <w:rPr>
                  <w:rStyle w:val="InternetLink"/>
                  <w:rFonts w:ascii="Times New Roman;sans-serif" w:hAnsi="Times New Roman;sans-serif"/>
                  <w:b w:val="false"/>
                  <w:color w:val="000080"/>
                  <w:sz w:val="20"/>
                  <w:u w:val="single"/>
                </w:rPr>
                <w:t xml:space="preserve"> and Six</w:t>
              </w:r>
            </w:hyperlink>
            <w:hyperlink w:anchor="i7a51c07a5e4648feab487d1ad0235126_22">
              <w:r>
                <w:rPr>
                  <w:rStyle w:val="InternetLink"/>
                  <w:rFonts w:ascii="Times New Roman;sans-serif" w:hAnsi="Times New Roman;sans-serif"/>
                  <w:b w:val="false"/>
                  <w:color w:val="000080"/>
                  <w:sz w:val="20"/>
                  <w:u w:val="single"/>
                </w:rPr>
                <w:t xml:space="preserve"> Months Ended </w:t>
              </w:r>
            </w:hyperlink>
            <w:hyperlink w:anchor="i7a51c07a5e4648feab487d1ad0235126_22">
              <w:r>
                <w:rPr>
                  <w:rStyle w:val="InternetLink"/>
                  <w:rFonts w:ascii="Times New Roman;sans-serif" w:hAnsi="Times New Roman;sans-serif"/>
                  <w:b w:val="false"/>
                  <w:color w:val="000080"/>
                  <w:sz w:val="20"/>
                  <w:u w:val="single"/>
                </w:rPr>
                <w:t>June</w:t>
              </w:r>
            </w:hyperlink>
            <w:hyperlink w:anchor="i7a51c07a5e4648feab487d1ad0235126_22">
              <w:r>
                <w:rPr>
                  <w:rStyle w:val="InternetLink"/>
                  <w:rFonts w:ascii="Times New Roman;sans-serif" w:hAnsi="Times New Roman;sans-serif"/>
                  <w:b w:val="false"/>
                  <w:color w:val="000080"/>
                  <w:sz w:val="20"/>
                  <w:u w:val="single"/>
                </w:rPr>
                <w:t xml:space="preserve"> 3</w:t>
              </w:r>
            </w:hyperlink>
            <w:hyperlink w:anchor="i7a51c07a5e4648feab487d1ad0235126_22">
              <w:r>
                <w:rPr>
                  <w:rStyle w:val="InternetLink"/>
                  <w:rFonts w:ascii="Times New Roman;sans-serif" w:hAnsi="Times New Roman;sans-serif"/>
                  <w:b w:val="false"/>
                  <w:color w:val="000080"/>
                  <w:sz w:val="20"/>
                  <w:u w:val="single"/>
                </w:rPr>
                <w:t>0</w:t>
              </w:r>
            </w:hyperlink>
            <w:hyperlink w:anchor="i7a51c07a5e4648feab487d1ad0235126_22">
              <w:r>
                <w:rPr>
                  <w:rStyle w:val="InternetLink"/>
                  <w:rFonts w:ascii="Times New Roman;sans-serif" w:hAnsi="Times New Roman;sans-serif"/>
                  <w:b w:val="false"/>
                  <w:color w:val="000080"/>
                  <w:sz w:val="20"/>
                  <w:u w:val="single"/>
                </w:rPr>
                <w:t>, 2023 and 2022</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22">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25">
              <w:r>
                <w:rPr>
                  <w:rStyle w:val="InternetLink"/>
                  <w:rFonts w:ascii="Times New Roman;sans-serif" w:hAnsi="Times New Roman;sans-serif"/>
                  <w:b w:val="false"/>
                  <w:color w:val="000080"/>
                  <w:sz w:val="20"/>
                  <w:u w:val="single"/>
                </w:rPr>
                <w:t xml:space="preserve">Condensed Consolidated Statements of Stockholders’ Deficit (unaudited) - Three </w:t>
              </w:r>
            </w:hyperlink>
            <w:hyperlink w:anchor="i7a51c07a5e4648feab487d1ad0235126_25">
              <w:r>
                <w:rPr>
                  <w:rStyle w:val="InternetLink"/>
                  <w:rFonts w:ascii="Times New Roman;sans-serif" w:hAnsi="Times New Roman;sans-serif"/>
                  <w:b w:val="false"/>
                  <w:color w:val="000080"/>
                  <w:sz w:val="20"/>
                  <w:u w:val="single"/>
                </w:rPr>
                <w:t xml:space="preserve">and Six </w:t>
              </w:r>
            </w:hyperlink>
            <w:hyperlink w:anchor="i7a51c07a5e4648feab487d1ad0235126_25">
              <w:r>
                <w:rPr>
                  <w:rStyle w:val="InternetLink"/>
                  <w:rFonts w:ascii="Times New Roman;sans-serif" w:hAnsi="Times New Roman;sans-serif"/>
                  <w:b w:val="false"/>
                  <w:color w:val="000080"/>
                  <w:sz w:val="20"/>
                  <w:u w:val="single"/>
                </w:rPr>
                <w:t xml:space="preserve">Months Ended </w:t>
              </w:r>
            </w:hyperlink>
            <w:hyperlink w:anchor="i7a51c07a5e4648feab487d1ad0235126_25">
              <w:r>
                <w:rPr>
                  <w:rStyle w:val="InternetLink"/>
                  <w:rFonts w:ascii="Times New Roman;sans-serif" w:hAnsi="Times New Roman;sans-serif"/>
                  <w:b w:val="false"/>
                  <w:color w:val="000080"/>
                  <w:sz w:val="20"/>
                  <w:u w:val="single"/>
                </w:rPr>
                <w:t>June</w:t>
              </w:r>
            </w:hyperlink>
            <w:hyperlink w:anchor="i7a51c07a5e4648feab487d1ad0235126_25">
              <w:r>
                <w:rPr>
                  <w:rStyle w:val="InternetLink"/>
                  <w:rFonts w:ascii="Times New Roman;sans-serif" w:hAnsi="Times New Roman;sans-serif"/>
                  <w:b w:val="false"/>
                  <w:color w:val="000080"/>
                  <w:sz w:val="20"/>
                  <w:u w:val="single"/>
                </w:rPr>
                <w:t xml:space="preserve"> 3</w:t>
              </w:r>
            </w:hyperlink>
            <w:hyperlink w:anchor="i7a51c07a5e4648feab487d1ad0235126_25">
              <w:r>
                <w:rPr>
                  <w:rStyle w:val="InternetLink"/>
                  <w:rFonts w:ascii="Times New Roman;sans-serif" w:hAnsi="Times New Roman;sans-serif"/>
                  <w:b w:val="false"/>
                  <w:color w:val="000080"/>
                  <w:sz w:val="20"/>
                  <w:u w:val="single"/>
                </w:rPr>
                <w:t>0</w:t>
              </w:r>
            </w:hyperlink>
            <w:hyperlink w:anchor="i7a51c07a5e4648feab487d1ad0235126_25">
              <w:r>
                <w:rPr>
                  <w:rStyle w:val="InternetLink"/>
                  <w:rFonts w:ascii="Times New Roman;sans-serif" w:hAnsi="Times New Roman;sans-serif"/>
                  <w:b w:val="false"/>
                  <w:color w:val="000080"/>
                  <w:sz w:val="20"/>
                  <w:u w:val="single"/>
                </w:rPr>
                <w:t>, 2023 and 2022</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25">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28">
              <w:r>
                <w:rPr>
                  <w:rStyle w:val="InternetLink"/>
                  <w:rFonts w:ascii="Times New Roman;sans-serif" w:hAnsi="Times New Roman;sans-serif"/>
                  <w:b w:val="false"/>
                  <w:color w:val="000080"/>
                  <w:sz w:val="20"/>
                  <w:u w:val="single"/>
                </w:rPr>
                <w:t xml:space="preserve">Condensed Consolidated Statements of Cash Flows (unaudited) - </w:t>
              </w:r>
            </w:hyperlink>
            <w:hyperlink w:anchor="i7a51c07a5e4648feab487d1ad0235126_28">
              <w:r>
                <w:rPr>
                  <w:rStyle w:val="InternetLink"/>
                  <w:rFonts w:ascii="Times New Roman;sans-serif" w:hAnsi="Times New Roman;sans-serif"/>
                  <w:b w:val="false"/>
                  <w:color w:val="000080"/>
                  <w:sz w:val="20"/>
                  <w:u w:val="single"/>
                </w:rPr>
                <w:t>June</w:t>
              </w:r>
            </w:hyperlink>
            <w:hyperlink w:anchor="i7a51c07a5e4648feab487d1ad0235126_28">
              <w:r>
                <w:rPr>
                  <w:rStyle w:val="InternetLink"/>
                  <w:rFonts w:ascii="Times New Roman;sans-serif" w:hAnsi="Times New Roman;sans-serif"/>
                  <w:b w:val="false"/>
                  <w:color w:val="000080"/>
                  <w:sz w:val="20"/>
                  <w:u w:val="single"/>
                </w:rPr>
                <w:t xml:space="preserve"> 3</w:t>
              </w:r>
            </w:hyperlink>
            <w:hyperlink w:anchor="i7a51c07a5e4648feab487d1ad0235126_28">
              <w:r>
                <w:rPr>
                  <w:rStyle w:val="InternetLink"/>
                  <w:rFonts w:ascii="Times New Roman;sans-serif" w:hAnsi="Times New Roman;sans-serif"/>
                  <w:b w:val="false"/>
                  <w:color w:val="000080"/>
                  <w:sz w:val="20"/>
                  <w:u w:val="single"/>
                </w:rPr>
                <w:t>0</w:t>
              </w:r>
            </w:hyperlink>
            <w:hyperlink w:anchor="i7a51c07a5e4648feab487d1ad0235126_28">
              <w:r>
                <w:rPr>
                  <w:rStyle w:val="InternetLink"/>
                  <w:rFonts w:ascii="Times New Roman;sans-serif" w:hAnsi="Times New Roman;sans-serif"/>
                  <w:b w:val="false"/>
                  <w:color w:val="000080"/>
                  <w:sz w:val="20"/>
                  <w:u w:val="single"/>
                </w:rPr>
                <w:t>, 2023 and 2022</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28">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a51c07a5e4648feab487d1ad0235126_31">
              <w:r>
                <w:rPr>
                  <w:rStyle w:val="InternetLink"/>
                  <w:rFonts w:ascii="Times New Roman;sans-serif" w:hAnsi="Times New Roman;sans-serif"/>
                  <w:b w:val="false"/>
                  <w:color w:val="0000FF"/>
                  <w:sz w:val="20"/>
                  <w:u w:val="single"/>
                </w:rPr>
                <w:t>Notes to Condensed Consolidated 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31">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91">
              <w:r>
                <w:rPr>
                  <w:rStyle w:val="InternetLink"/>
                  <w:rFonts w:ascii="Times New Roman;sans-serif" w:hAnsi="Times New Roman;sans-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91">
              <w:r>
                <w:rPr>
                  <w:rStyle w:val="InternetLink"/>
                  <w:rFonts w:ascii="Times New Roman;sans-serif" w:hAnsi="Times New Roman;sans-serif"/>
                  <w:b w:val="false"/>
                  <w:color w:val="0000FF"/>
                  <w:sz w:val="20"/>
                  <w:u w:val="single"/>
                </w:rPr>
                <w:t>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18">
              <w:r>
                <w:rPr>
                  <w:rStyle w:val="InternetLink"/>
                  <w:rFonts w:ascii="Times New Roman;sans-serif" w:hAnsi="Times New Roman;sans-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18">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18">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21">
              <w:r>
                <w:rPr>
                  <w:rStyle w:val="InternetLink"/>
                  <w:rFonts w:ascii="Times New Roman;sans-serif" w:hAnsi="Times New Roman;sans-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21">
              <w:r>
                <w:rPr>
                  <w:rStyle w:val="InternetLink"/>
                  <w:rFonts w:ascii="Times New Roman;sans-serif" w:hAnsi="Times New Roman;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21">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27">
              <w:r>
                <w:rPr>
                  <w:rStyle w:val="InternetLink"/>
                  <w:rFonts w:ascii="Times New Roman;sans-serif" w:hAnsi="Times New Roman;sans-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27">
              <w:r>
                <w:rPr>
                  <w:rStyle w:val="InternetLink"/>
                  <w:rFonts w:ascii="Times New Roman;sans-serif" w:hAnsi="Times New Roman;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27">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0">
              <w:r>
                <w:rPr>
                  <w:rStyle w:val="InternetLink"/>
                  <w:rFonts w:ascii="Times New Roman;sans-serif" w:hAnsi="Times New Roman;sans-serif"/>
                  <w:b w:val="false"/>
                  <w:color w:val="0000FF"/>
                  <w:sz w:val="20"/>
                  <w:u w:val="single"/>
                </w:rPr>
                <w:t>Item 1A.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0">
              <w:r>
                <w:rPr>
                  <w:rStyle w:val="InternetLink"/>
                  <w:rFonts w:ascii="Times New Roman;sans-serif" w:hAnsi="Times New Roman;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30">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3">
              <w:r>
                <w:rPr>
                  <w:rStyle w:val="InternetLink"/>
                  <w:rFonts w:ascii="Times New Roman;sans-serif" w:hAnsi="Times New Roman;sans-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3">
              <w:r>
                <w:rPr>
                  <w:rStyle w:val="InternetLink"/>
                  <w:rFonts w:ascii="Times New Roman;sans-serif" w:hAnsi="Times New Roman;sans-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33">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6">
              <w:r>
                <w:rPr>
                  <w:rStyle w:val="InternetLink"/>
                  <w:rFonts w:ascii="Times New Roman;sans-serif" w:hAnsi="Times New Roman;sans-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6">
              <w:r>
                <w:rPr>
                  <w:rStyle w:val="InternetLink"/>
                  <w:rFonts w:ascii="Times New Roman;sans-serif" w:hAnsi="Times New Roman;sans-serif"/>
                  <w:b w:val="false"/>
                  <w:color w:val="0000FF"/>
                  <w:sz w:val="20"/>
                  <w:u w:val="single"/>
                </w:rPr>
                <w:t>Default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33">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9">
              <w:r>
                <w:rPr>
                  <w:rStyle w:val="InternetLink"/>
                  <w:rFonts w:ascii="Times New Roman;sans-serif" w:hAnsi="Times New Roman;sans-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39">
              <w:r>
                <w:rPr>
                  <w:rStyle w:val="InternetLink"/>
                  <w:rFonts w:ascii="Times New Roman;sans-serif" w:hAnsi="Times New Roman;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33">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42">
              <w:r>
                <w:rPr>
                  <w:rStyle w:val="InternetLink"/>
                  <w:rFonts w:ascii="Times New Roman;sans-serif" w:hAnsi="Times New Roman;sans-serif"/>
                  <w:b w:val="false"/>
                  <w:color w:val="0000FF"/>
                  <w:sz w:val="20"/>
                  <w:u w:val="single"/>
                </w:rPr>
                <w:t>Item 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42">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42">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45">
              <w:r>
                <w:rPr>
                  <w:rStyle w:val="InternetLink"/>
                  <w:rFonts w:ascii="Times New Roman;sans-serif" w:hAnsi="Times New Roman;sans-serif"/>
                  <w:b w:val="false"/>
                  <w:color w:val="0000FF"/>
                  <w:sz w:val="20"/>
                  <w:u w:val="single"/>
                </w:rPr>
                <w:t>Item 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45">
              <w:r>
                <w:rPr>
                  <w:rStyle w:val="InternetLink"/>
                  <w:rFonts w:ascii="Times New Roman;sans-serif" w:hAnsi="Times New Roman;sans-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45">
              <w:r>
                <w:rPr>
                  <w:rStyle w:val="InternetLink"/>
                  <w:rFonts w:ascii="Times New Roman;sans-serif" w:hAnsi="Times New Roman;sans-serif"/>
                  <w:b w:val="false"/>
                  <w:color w:val="0000FF"/>
                  <w:sz w:val="20"/>
                  <w:u w:val="single"/>
                </w:rPr>
                <w:t>51</w:t>
              </w:r>
            </w:hyperlink>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51c07a5e4648feab487d1ad0235126_148">
              <w:r>
                <w:rPr>
                  <w:rStyle w:val="InternetLink"/>
                  <w:rFonts w:ascii="Times New Roman;sans-serif" w:hAnsi="Times New Roman;sans-serif"/>
                  <w:b w:val="false"/>
                  <w:color w:val="0000FF"/>
                  <w:sz w:val="20"/>
                  <w:u w:val="single"/>
                </w:rPr>
                <w:t>Signature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1c07a5e4648feab487d1ad0235126_148">
              <w:r>
                <w:rPr>
                  <w:rStyle w:val="InternetLink"/>
                  <w:rFonts w:ascii="Times New Roman;sans-serif" w:hAnsi="Times New Roman;sans-serif"/>
                  <w:b w:val="false"/>
                  <w:color w:val="0000FF"/>
                  <w:sz w:val="20"/>
                  <w:u w:val="single"/>
                </w:rPr>
                <w:t>52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00075"/>
                <wp:effectExtent l="0" t="0" r="0" b="0"/>
                <wp:wrapNone/>
                <wp:docPr id="2" name="Frame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7"/>
        <w:gridCol w:w="2139"/>
        <w:gridCol w:w="2152"/>
        <w:gridCol w:w="196"/>
        <w:gridCol w:w="976"/>
        <w:gridCol w:w="109"/>
        <w:gridCol w:w="109"/>
        <w:gridCol w:w="109"/>
        <w:gridCol w:w="109"/>
        <w:gridCol w:w="212"/>
        <w:gridCol w:w="1058"/>
        <w:gridCol w:w="169"/>
      </w:tblGrid>
      <w:tr>
        <w:trPr/>
        <w:tc>
          <w:tcPr>
            <w:tcW w:w="2867"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3,650,440 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of $57,261 and $78,842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4,351,764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4,029,587</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6,896,060 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13,783,686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13,415,100</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construction payables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547,543 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1,346,047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1,811,423</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11,569,316 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operating lease liabilities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1,615,157 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15,290,850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15,055,465</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16)</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deficit:</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40,000,000 shares authorized; zero shares issued and outstanding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400,000,000 shares authorized; 132,948,390 and 132,256,185 shares issued; 113,942,935 and 113,369,439 shares outstanding, respectively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19,005,455 and 18,886,746 shares,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3,583,923 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(2,711,808)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Wynn Resorts, Limited stockholders' deficit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(630,253)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(750,838)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(889,527)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(1,507,164)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(1,640,365)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13,783,686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13,415,100</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00075"/>
                <wp:effectExtent l="0" t="0" r="0" b="0"/>
                <wp:wrapNone/>
                <wp:docPr id="3" name="Frame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07"/>
        <w:gridCol w:w="1346"/>
        <w:gridCol w:w="1352"/>
        <w:gridCol w:w="211"/>
        <w:gridCol w:w="841"/>
        <w:gridCol w:w="109"/>
        <w:gridCol w:w="109"/>
        <w:gridCol w:w="109"/>
        <w:gridCol w:w="109"/>
        <w:gridCol w:w="211"/>
        <w:gridCol w:w="887"/>
        <w:gridCol w:w="109"/>
        <w:gridCol w:w="109"/>
        <w:gridCol w:w="109"/>
        <w:gridCol w:w="109"/>
        <w:gridCol w:w="211"/>
        <w:gridCol w:w="976"/>
        <w:gridCol w:w="109"/>
        <w:gridCol w:w="109"/>
        <w:gridCol w:w="109"/>
        <w:gridCol w:w="109"/>
        <w:gridCol w:w="211"/>
        <w:gridCol w:w="887"/>
        <w:gridCol w:w="157"/>
      </w:tblGrid>
      <w:tr>
        <w:trPr/>
        <w:tc>
          <w:tcPr>
            <w:tcW w:w="160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1,595,822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908,832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3,019,501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1,862,166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1,345,486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960,860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2,599,650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2,009,059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419,851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(146,893)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(285,547)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(319,281)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(212,704)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(466,174)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(468,032)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105,184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117,516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(313,375)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00075"/>
                <wp:effectExtent l="0" t="0" r="0" b="0"/>
                <wp:wrapNone/>
                <wp:docPr id="4" name="Frame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57"/>
        <w:gridCol w:w="1426"/>
        <w:gridCol w:w="1373"/>
        <w:gridCol w:w="211"/>
        <w:gridCol w:w="841"/>
        <w:gridCol w:w="109"/>
        <w:gridCol w:w="109"/>
        <w:gridCol w:w="109"/>
        <w:gridCol w:w="109"/>
        <w:gridCol w:w="211"/>
        <w:gridCol w:w="879"/>
        <w:gridCol w:w="109"/>
        <w:gridCol w:w="109"/>
        <w:gridCol w:w="109"/>
        <w:gridCol w:w="109"/>
        <w:gridCol w:w="211"/>
        <w:gridCol w:w="841"/>
        <w:gridCol w:w="109"/>
        <w:gridCol w:w="109"/>
        <w:gridCol w:w="109"/>
        <w:gridCol w:w="109"/>
        <w:gridCol w:w="211"/>
        <w:gridCol w:w="879"/>
        <w:gridCol w:w="157"/>
      </w:tblGrid>
      <w:tr>
        <w:trPr/>
        <w:tc>
          <w:tcPr>
            <w:tcW w:w="165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(468,032)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before and after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124,240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(212,538)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140,549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(462,551)</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Wynn Resorts, Limited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102,625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(129,523)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125,836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(309,550)</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0075"/>
                <wp:effectExtent l="0" t="0" r="0" b="0"/>
                <wp:wrapNone/>
                <wp:docPr id="5" name="Frame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15"/>
        <w:gridCol w:w="645"/>
        <w:gridCol w:w="13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June 30, 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April 1, 2023</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113,808,044 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(1,634,706)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3,604,945 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(898,936)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(1,616,370)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income </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147,628 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(11,528)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June 30, 2023</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113,942,935</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(1,635,966)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3,619,241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7,916</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(2,622,773)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(630,253)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(876,911)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(1,507,164)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June 30, 2022</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April 1, 2022</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115,917,961 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(1,448,040)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9,301 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(2,471,285)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(696,219)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(1,033,259)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(83,371)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178,038 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(2,384,952)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June 30, 2022</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113,707,642</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(1,585,678)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3,566,498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9,829</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(2,601,331)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(609,362)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(764,892)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(1,374,254)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00075"/>
                <wp:effectExtent l="0" t="0" r="0" b="0"/>
                <wp:wrapNone/>
                <wp:docPr id="6" name="Frame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six months ended June 30, 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2023</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113,369,439 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(1,623,872)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(2,711,808)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(889,527)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(1,640,365)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income </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32,284 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668,329 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(14,589)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(118,709)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June 30, 2023</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113,942,935</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(1,635,966)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3,619,241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7,916</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(2,622,773)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(630,253)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(876,911)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(1,507,164)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six months ended June 30, 2022</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2022</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115,714,943 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(1,436,373)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3,502,715 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(2,288,078)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(621,797)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(836,215)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(154,657)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597,236 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(82,500)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(2,522,037)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 from noncontrolling interest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 with subsidiary minority shareholders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June 30, 2022</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113,707,642</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(1,585,678)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3,566,498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9,829</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(2,601,331)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(609,362)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(764,892)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(1,374,254)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0075"/>
                <wp:effectExtent l="0" t="0" r="0" b="0"/>
                <wp:wrapNone/>
                <wp:docPr id="7" name="Frame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669" w:type="dxa"/>
        <w:jc w:val="center"/>
        <w:tblInd w:w="0" w:type="dxa"/>
        <w:tblLayout w:type="fixed"/>
        <w:tblCellMar>
          <w:top w:w="28" w:type="dxa"/>
          <w:left w:w="28" w:type="dxa"/>
          <w:bottom w:w="28" w:type="dxa"/>
          <w:right w:w="28" w:type="dxa"/>
        </w:tblCellMar>
      </w:tblPr>
      <w:tblGrid>
        <w:gridCol w:w="2505"/>
        <w:gridCol w:w="2197"/>
        <w:gridCol w:w="2213"/>
        <w:gridCol w:w="196"/>
        <w:gridCol w:w="886"/>
        <w:gridCol w:w="109"/>
        <w:gridCol w:w="109"/>
        <w:gridCol w:w="109"/>
        <w:gridCol w:w="109"/>
        <w:gridCol w:w="196"/>
        <w:gridCol w:w="88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financing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Provision for credit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derivatives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charges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from changes in: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prepaid expenses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530,739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(157,451)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net of construction payables and retention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(195,384)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subsidiary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noncontrolling interest in subsidiary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noncontrolling interest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payments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(150,906)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exchange rate on cash, cash equivalents and restricted cash</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Decrease in cash, cash equivalents and 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(507,331)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beginning of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3,782,990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2,531,067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3,747,797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2,023,736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0075"/>
                <wp:effectExtent l="0" t="0" r="0" b="0"/>
                <wp:wrapNone/>
                <wp:docPr id="8" name="Frame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Organization</w:t>
      </w:r>
    </w:p>
    <w:p>
      <w:pPr>
        <w:pStyle w:val="TextBody"/>
        <w:bidi w:val="0"/>
        <w:spacing w:before="0" w:after="0"/>
        <w:ind w:left="0" w:right="0" w:firstLine="22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Macau Special Administrative Region ("Macau") of the People's Republic of China ("PRC"),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The Company also holds an approximately 97% interest in, and consolidates, Wynn Interactive Ltd. ("Wynn Interactive"), through which it operates online sports betting, gaming, and social casino businesses.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2 -</w:t>
      </w:r>
      <w:r>
        <w:rPr>
          <w:color w:val="000000"/>
        </w:rPr>
        <w:t>    </w:t>
      </w:r>
      <w:r>
        <w:rPr>
          <w:rFonts w:ascii="Times New Roman;sans-serif" w:hAnsi="Times New Roman;sans-serif"/>
          <w:b/>
          <w:color w:val="000000"/>
          <w:sz w:val="20"/>
        </w:rPr>
        <w:t>Basis of Presentation and Significant Accounting Policies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six months ended June 30, 2023 are not necessarily indicative of results to be expected for any other interim period or the full fiscal year ending December 31, 2023. These condensed consolidated financial statements should be read in conjunction with the consolidated financial statements and notes thereto in the Company's Annual Report on Form 10-K for the year ended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17, "Retail Joint Venture." All significant intercompany accounts and transactions have been eliminated.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long-lived and intangible assets, valuations of derivatives, and litigation and contingency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 Taxes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$391.4 million and $106.3 million for the three months ended June 30, 2023 and 2022, respectively, and $701.8 million and $283.2 million for the six months ended June 30, 2023 and 2022,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0075"/>
                <wp:effectExtent l="0" t="0" r="0" b="0"/>
                <wp:wrapNone/>
                <wp:docPr id="9" name="Frame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Investment Securities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consist of short-term investments in United States treasury bills. Short-term investments have a maturity date of less than one year.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had $288.2 million in investment securities, recorded at amortized cost. The estimated fair value of the Company's investment securities as of June 30, 2023 was approximately $286.9 million and the gross unrecognized holding loss was $1.3 million. As of June 30, 2023, the Company had $1.7 million in accrued interest, recorded in Investment securities on the Condensed Consolidated Balance Sheets.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had no investment securities.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and six months ended June 30, 2023, no impairment loss was recognized.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the recently issued, but not yet effective, accounting standards that have been issued or proposed by the Financial Accounting Standards Board or other standards-setting bodies through the filing date of these financial statements and does not believe the future adoption of any such pronouncements will have a material effect on the Company’s financial position, results of operations and cash flows.</w:t>
      </w:r>
    </w:p>
    <w:p>
      <w:pPr>
        <w:pStyle w:val="TextBody"/>
        <w:bidi w:val="0"/>
        <w:spacing w:before="0" w:after="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Cash, Cash Equivalents and Restricted Cash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10205" w:type="dxa"/>
        <w:jc w:val="left"/>
        <w:tblInd w:w="0" w:type="dxa"/>
        <w:tblLayout w:type="fixed"/>
        <w:tblCellMar>
          <w:top w:w="28" w:type="dxa"/>
          <w:left w:w="28" w:type="dxa"/>
          <w:bottom w:w="28" w:type="dxa"/>
          <w:right w:w="28" w:type="dxa"/>
        </w:tblCellMar>
      </w:tblPr>
      <w:tblGrid>
        <w:gridCol w:w="1724"/>
        <w:gridCol w:w="1516"/>
        <w:gridCol w:w="1525"/>
        <w:gridCol w:w="370"/>
        <w:gridCol w:w="1742"/>
        <w:gridCol w:w="191"/>
        <w:gridCol w:w="191"/>
        <w:gridCol w:w="191"/>
        <w:gridCol w:w="191"/>
        <w:gridCol w:w="398"/>
        <w:gridCol w:w="1871"/>
        <w:gridCol w:w="295"/>
      </w:tblGrid>
      <w:tr>
        <w:trPr/>
        <w:tc>
          <w:tcPr>
            <w:tcW w:w="17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2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Cash </w:t>
            </w:r>
            <w:r>
              <w:rPr>
                <w:rFonts w:ascii="Times New Roman;sans-serif" w:hAnsi="Times New Roman;sans-serif"/>
                <w:b w:val="false"/>
                <w:color w:val="000000"/>
                <w:sz w:val="16"/>
              </w:rPr>
              <w:t>(1)</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1,699,583 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6"/>
              </w:rPr>
              <w:t>(2)</w:t>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1,950,857 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 xml:space="preserve">Total cash and cash equivalents </w:t>
            </w:r>
          </w:p>
        </w:tc>
        <w:tc>
          <w:tcPr>
            <w:tcW w:w="2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3,653,966</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3,650,440</w:t>
            </w:r>
            <w:r>
              <w:rPr>
                <w:color w:val="000000"/>
              </w:rPr>
              <w:t>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6"/>
              </w:rPr>
              <w:t>(3)</w:t>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cash equivalents and restricted cash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3,747,797</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3,782,990</w:t>
            </w:r>
            <w:r>
              <w:rPr>
                <w:color w:val="000000"/>
              </w:rPr>
              <w:t>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Cash consists of cash on hand and bank deposits. </w:t>
            </w:r>
          </w:p>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Cash equivalents consist of bank time deposits and money market funds.</w:t>
            </w:r>
          </w:p>
          <w:p>
            <w:pPr>
              <w:pStyle w:val="TableContents"/>
              <w:bidi w:val="0"/>
              <w:spacing w:lineRule="auto" w:line="240"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Restricted cash consists of cash subject to certain contractual restrictions, cash collateral associated with obligations and cash held in a trust in accordance with WML's share award plan, and as of June 30, 2023 and December 31, 2022 included $86.7 million and $124.5 million, respectively, in the form of a first demand bank guarantee in favor of the Macau government to support Wynn Resorts (Macau) S.A.'s legal and contractual obligations through the term of the Gaming Concession Contract (as defined in Note 6, "Goodwill and Intangible Assets, net"). </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disclosures of the Company (in thousands):</w:t>
      </w:r>
    </w:p>
    <w:tbl>
      <w:tblPr>
        <w:tblW w:w="8528" w:type="dxa"/>
        <w:jc w:val="left"/>
        <w:tblInd w:w="0" w:type="dxa"/>
        <w:tblLayout w:type="fixed"/>
        <w:tblCellMar>
          <w:top w:w="28" w:type="dxa"/>
          <w:left w:w="28" w:type="dxa"/>
          <w:bottom w:w="28" w:type="dxa"/>
          <w:right w:w="28" w:type="dxa"/>
        </w:tblCellMar>
      </w:tblPr>
      <w:tblGrid>
        <w:gridCol w:w="2124"/>
        <w:gridCol w:w="1867"/>
        <w:gridCol w:w="1873"/>
        <w:gridCol w:w="211"/>
        <w:gridCol w:w="826"/>
        <w:gridCol w:w="109"/>
        <w:gridCol w:w="109"/>
        <w:gridCol w:w="109"/>
        <w:gridCol w:w="109"/>
        <w:gridCol w:w="211"/>
        <w:gridCol w:w="826"/>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settled with shares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construction payables related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liabilities related to intangible assets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finance lease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For the six months ended June 30, 2023, included $201.5 million related to the Macau gaming premium in connection with the Gaming Concession Contract. See Note 6, "Goodwill and Intangible Assets, net"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0075"/>
                <wp:effectExtent l="0" t="0" r="0" b="0"/>
                <wp:wrapNone/>
                <wp:docPr id="10" name="Frame1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4 -    Receivables, net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Credit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net consisted of the following (in thousands): </w:t>
      </w:r>
    </w:p>
    <w:tbl>
      <w:tblPr>
        <w:tblW w:w="5747" w:type="dxa"/>
        <w:jc w:val="left"/>
        <w:tblInd w:w="0" w:type="dxa"/>
        <w:tblLayout w:type="fixed"/>
        <w:tblCellMar>
          <w:top w:w="28" w:type="dxa"/>
          <w:left w:w="28" w:type="dxa"/>
          <w:bottom w:w="28" w:type="dxa"/>
          <w:right w:w="28" w:type="dxa"/>
        </w:tblCellMar>
      </w:tblPr>
      <w:tblGrid>
        <w:gridCol w:w="982"/>
        <w:gridCol w:w="864"/>
        <w:gridCol w:w="868"/>
        <w:gridCol w:w="211"/>
        <w:gridCol w:w="841"/>
        <w:gridCol w:w="109"/>
        <w:gridCol w:w="109"/>
        <w:gridCol w:w="109"/>
        <w:gridCol w:w="109"/>
        <w:gridCol w:w="270"/>
        <w:gridCol w:w="1078"/>
        <w:gridCol w:w="197"/>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287,055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294,875</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229,794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216,033</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approximately 64.2% and 57.6%,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allowance for casino credit losses was 33.2% and 43.2% of gross casino receivables as of June 30, 2023 and December 31, 2022, respectively. Although the Company believes that its allowance is adequate, it is possible the estimated amounts of cash collections with respect to receivables could change. The Company’s allowance for credit losses from its hotel and other receivables is not material. </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The following table shows the movement in the Company's allowance for credit losses recognized for receivables that occurred during the periods presented (in thousands):</w:t>
      </w:r>
      <w:r>
        <w:rPr>
          <w:color w:val="000000"/>
        </w:rPr>
        <w:t> </w:t>
      </w:r>
    </w:p>
    <w:p>
      <w:pPr>
        <w:pStyle w:val="TextBody"/>
        <w:bidi w:val="0"/>
        <w:spacing w:before="0" w:after="0"/>
        <w:ind w:left="0" w:right="0" w:firstLine="495"/>
        <w:jc w:val="both"/>
        <w:rPr/>
      </w:pPr>
      <w:r>
        <w:rPr/>
      </w:r>
    </w:p>
    <w:tbl>
      <w:tblPr>
        <w:tblW w:w="6758" w:type="dxa"/>
        <w:jc w:val="left"/>
        <w:tblInd w:w="0" w:type="dxa"/>
        <w:tblLayout w:type="fixed"/>
        <w:tblCellMar>
          <w:top w:w="28" w:type="dxa"/>
          <w:left w:w="28" w:type="dxa"/>
          <w:bottom w:w="28" w:type="dxa"/>
          <w:right w:w="28" w:type="dxa"/>
        </w:tblCellMar>
      </w:tblPr>
      <w:tblGrid>
        <w:gridCol w:w="1510"/>
        <w:gridCol w:w="1328"/>
        <w:gridCol w:w="1331"/>
        <w:gridCol w:w="211"/>
        <w:gridCol w:w="736"/>
        <w:gridCol w:w="109"/>
        <w:gridCol w:w="109"/>
        <w:gridCol w:w="109"/>
        <w:gridCol w:w="109"/>
        <w:gridCol w:w="211"/>
        <w:gridCol w:w="841"/>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111,319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Recoveries of receivables previously written off</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92,579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p>
      <w:pPr>
        <w:pStyle w:val="TextBody"/>
        <w:bidi w:val="0"/>
        <w:spacing w:before="0" w:after="0"/>
        <w:ind w:left="0" w:right="0" w:firstLine="450"/>
        <w:jc w:val="left"/>
        <w:rPr/>
      </w:pPr>
      <w:r>
        <w:rPr/>
      </w:r>
    </w:p>
    <w:tbl>
      <w:tblPr>
        <w:tblW w:w="6017" w:type="dxa"/>
        <w:jc w:val="left"/>
        <w:tblInd w:w="0" w:type="dxa"/>
        <w:tblLayout w:type="fixed"/>
        <w:tblCellMar>
          <w:top w:w="28" w:type="dxa"/>
          <w:left w:w="28" w:type="dxa"/>
          <w:bottom w:w="28" w:type="dxa"/>
          <w:right w:w="28" w:type="dxa"/>
        </w:tblCellMar>
      </w:tblPr>
      <w:tblGrid>
        <w:gridCol w:w="1027"/>
        <w:gridCol w:w="902"/>
        <w:gridCol w:w="906"/>
        <w:gridCol w:w="211"/>
        <w:gridCol w:w="991"/>
        <w:gridCol w:w="109"/>
        <w:gridCol w:w="109"/>
        <w:gridCol w:w="109"/>
        <w:gridCol w:w="109"/>
        <w:gridCol w:w="240"/>
        <w:gridCol w:w="1129"/>
        <w:gridCol w:w="175"/>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8,363,427 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13,085,880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12,947,460</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(6,051,400)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6,771,322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6,896,060</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0075"/>
                <wp:effectExtent l="0" t="0" r="0" b="0"/>
                <wp:wrapNone/>
                <wp:docPr id="11" name="Frame1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construction in progress consisted primarily of costs capitalized for various capital enhancements at the Company's properties.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June 30, 2023 and 2022 was $154.8 million and $154.1 million, respectively, and depreciation expense for the six months ended June 30, 2023 and 2022 was $308.9 million and $330.4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following table shows the movement in the Company's goodwill and intangible assets balances that occurred during the periods presented (in thousands):</w:t>
      </w:r>
      <w:r>
        <w:rPr>
          <w:color w:val="000000"/>
        </w:rPr>
        <w:t> </w:t>
      </w:r>
    </w:p>
    <w:tbl>
      <w:tblPr>
        <w:tblW w:w="6602" w:type="dxa"/>
        <w:jc w:val="left"/>
        <w:tblInd w:w="0" w:type="dxa"/>
        <w:tblLayout w:type="fixed"/>
        <w:tblCellMar>
          <w:top w:w="28" w:type="dxa"/>
          <w:left w:w="28" w:type="dxa"/>
          <w:bottom w:w="28" w:type="dxa"/>
          <w:right w:w="28" w:type="dxa"/>
        </w:tblCellMar>
      </w:tblPr>
      <w:tblGrid>
        <w:gridCol w:w="1292"/>
        <w:gridCol w:w="1136"/>
        <w:gridCol w:w="1141"/>
        <w:gridCol w:w="211"/>
        <w:gridCol w:w="841"/>
        <w:gridCol w:w="109"/>
        <w:gridCol w:w="109"/>
        <w:gridCol w:w="109"/>
        <w:gridCol w:w="109"/>
        <w:gridCol w:w="270"/>
        <w:gridCol w:w="1078"/>
        <w:gridCol w:w="197"/>
      </w:tblGrid>
      <w:tr>
        <w:trPr/>
        <w:tc>
          <w:tcPr>
            <w:tcW w:w="12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Macau gaming concession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Massachusetts gaming license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86,139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90,062</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finite-lived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56,274</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finite-lived intangible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345,890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146,336</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Water rights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indefinite-lived intangible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8,397</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Balance at beginning of year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129,738</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currency translation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Impairment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Balance at end of period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90,520</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goodwill and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444,807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245,253</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075"/>
                <wp:effectExtent l="0" t="0" r="0" b="0"/>
                <wp:wrapNone/>
                <wp:docPr id="12" name="Frame1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Gaming Concession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Wynn Resorts (Macau) S.A. ("Wynn Macau SA"), an indirect subsidiary of Wynn Resorts, Limited,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 Under the terms of the Gaming Concession Contract, Wynn Macau SA is required to pay the Macau government an annual gaming premium consisting of a fixed and a variable portion. The fixed portion of the premium is composed of an annual amount equal to MOP30.0 million (approximately $3.7 million). The variable portion is composed of an annual amount equal to MOP300,000 (approximately $37 thousand) per gaming table located in special gaming halls reserved exclusively to particular games or players, MOP150,000 (approximately $19 thousand) per gaming table that is not reserved exclusively to particular games or players, and MOP1,000 (approximately $124) per gaming machine, including slot machines, operated by Wynn Macau SA.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As the Company expects to continue to operate the casino areas and gaming equipment at its Macau Operations in the same manner as under the previous concession, obtain substantially all of the economic benefits, and bear all of the risks arising from the use of these assets, the Company will continue to recognize the casino areas and gaming equipment as property and equipment over their remaining estimated useful lives. In exchange for the use of such assets, Wynn Macau SA has agreed to make annual payments to the Macau government of MOP53.1 million (approximately $6.6 million) during each of the years ending December 31, 2023, 2024, and 2025, and an annual payment of MOP177.0 million (approximately $21.9 million) during each of the remaining years of the term of the Gaming Concession Contract through December 31, 2032, subject to adjustment in each year based on the average price index in Macau. Pursuant to the Gaming Concession Contract, Wynn Macau SA will revert to the Macau government the casino areas and gaming equipment, without compensation and free of encumbrance upon the rescission or termination of the gaming concession on December 31, 2032.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the Company recognized an intangible asset and financial liability of MOP1.68 billion (approximately $208.3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above-described Property Transfer Agreements. The contractually obligated annual variable premium payments associated with the intangible asset was determined using the total number of gaming tables and gaming machines that Wynn Macau SA is currently approved to operate by the Macau government. In the accompanying condensed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$10.4 million in the six months ending December 31, 2023, and $20.9 million each year from 2024 to 2032.</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Interactive Goodwill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2022, as a result of management's decision to cease the operations of Betbull Limited ("BetBull"), a subsidiary of Wynn Interactive, the Company impaired its trademark and customer list totaling $10.3 million and impaired the remaining balance of goodwill related to the BetBull reporting unit totaling $7.5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as a result of changes in forecasts and other industry-specific factors, the Company identified interim indicators of impairment related to the goodwill assigned to the reporting units comprising Wynn Interactive. After revisiting the estimated fair value of those reporting units based on a combination of the income and market approaches, the Company recognized impairment of $30.3 million. Impairment of goodwill and intangible assets is recorded in Property charges and other in the accompanying Condensed Consolidated Statements of Operations.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0075"/>
                <wp:effectExtent l="0" t="0" r="0" b="0"/>
                <wp:wrapNone/>
                <wp:docPr id="13" name="Frame1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Long-Term Debt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(in thousands):</w:t>
      </w:r>
    </w:p>
    <w:p>
      <w:pPr>
        <w:pStyle w:val="TextBody"/>
        <w:bidi w:val="0"/>
        <w:spacing w:lineRule="auto" w:line="288" w:before="0" w:after="0"/>
        <w:ind w:left="0" w:right="0" w:firstLine="45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6"/>
        <w:gridCol w:w="2200"/>
        <w:gridCol w:w="2212"/>
        <w:gridCol w:w="211"/>
        <w:gridCol w:w="1096"/>
        <w:gridCol w:w="109"/>
        <w:gridCol w:w="109"/>
        <w:gridCol w:w="109"/>
        <w:gridCol w:w="109"/>
        <w:gridCol w:w="222"/>
        <w:gridCol w:w="1158"/>
        <w:gridCol w:w="164"/>
      </w:tblGrid>
      <w:tr>
        <w:trPr/>
        <w:tc>
          <w:tcPr>
            <w:tcW w:w="2506"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Macau Related:</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WM Cayman II Revolver, due 2025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4 7/8% Senior Notes, due 2024</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2026</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5/8% Senior Notes, due 2028</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1/8% Senior Notes, due 2029</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WML 4 1/2% Convertible Bonds, due 2029 </w:t>
            </w:r>
            <w:r>
              <w:rPr>
                <w:rFonts w:ascii="Times New Roman;sans-serif" w:hAnsi="Times New Roman;sans-serif"/>
                <w:b w:val="false"/>
                <w:color w:val="000000"/>
                <w:sz w:val="16"/>
              </w:rPr>
              <w:t>(2)</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and Corporate Related:</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WRF Credit Facilities </w:t>
            </w:r>
            <w:r>
              <w:rPr>
                <w:rFonts w:ascii="Times New Roman;sans-serif" w:hAnsi="Times New Roman;sans-serif"/>
                <w:b w:val="false"/>
                <w:color w:val="000000"/>
                <w:sz w:val="16"/>
              </w:rPr>
              <w:t>(3)</w:t>
            </w:r>
            <w:r>
              <w:rPr>
                <w:rFonts w:ascii="Times New Roman;sans-serif" w:hAnsi="Times New Roman;sans-serif"/>
                <w:b w:val="false"/>
                <w:color w:val="000000"/>
                <w:sz w:val="20"/>
              </w:rPr>
              <w:t>:</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4 1/4% Senior Notes, due 2023</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1/4% Senior Notes, due 2027</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3/4% Senior Notes, due 2025</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5 1/8% Senior Notes, due 2029</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Retail Term Loan, due 2025</w:t>
            </w:r>
            <w:r>
              <w:rPr>
                <w:color w:val="000000"/>
              </w:rPr>
              <w:t xml:space="preserve"> </w:t>
            </w:r>
            <w:r>
              <w:rPr>
                <w:rFonts w:ascii="Times New Roman;sans-serif" w:hAnsi="Times New Roman;sans-serif"/>
                <w:b w:val="false"/>
                <w:color w:val="000000"/>
                <w:sz w:val="16"/>
              </w:rPr>
              <w:t>(4)</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12,244,366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12,162,973</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original issue discounts and premium,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12,142,727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12,116,859</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(547,543)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12,101,477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11,569,316</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As of June 30, 2023, the borrowings under the WM Cayman II Revolver bear interest at LIBOR or HIBOR plus a margin of 1.875% to 2.875% per annum based on WM Cayman II’s leverage ratio on a consolidated basis, subject to a floor on the interest rate margin of 2.625% per annum. Approximately $312.5 million and $1.18 billion of the WM Cayman II Revolver bears interest at a rate of LIBOR plus 2.875% per year and HIBOR plus 2.875% per year, respectively. As of June 30, 2023, the weighted average interest rate was approximately 7.81%. As of June 30, 2023, the WM Cayman II Revolver was fully drawn. Due to the global phase out of LIBOR, on June 27, 2023, WM Cayman II entered into an amended and restated facility agreement to, among other things, transition the base rate applicable to U.S. dollar-denominated loans made under the WM Cayman II Revolver from LIBOR to the term secured overnight financing rate ("Term SOFR"). The new Term SOFR base rate became effective July 4, 2023.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As of June 30, 2023, the net carrying amount of the WML Convertible Bonds was $470.7 million, with unamortized debt discount and debt issuance costs of $129.3 million. The Company recorded contractual interest expense of $6.8 million and $8.6 million and amortization of discounts and issuance costs of $4.3 million and $5.4 million during the three and six months ended June 30, 2023, respectively.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The WRF Credit Facilities bear interest at a rate of Term SOFR plus 1.85% per year. As of June 30, 2023, the weighted average interest rate was approximately 6.95%. Additionally, as of June 30, 2023, the available borrowing capacity under the WRF Revolver was $737.0 million, net of $13.0 million in outstanding letters of credit.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The Retail Term Loan bears interest at a rate of LIBOR plus 1.70% per year. As of June 30, 2023, the interest rate was 5.45%. On June 2, 2023, the Company entered into a second amendment to the existing term loan agreement which transitions the benchmark interest rate of the Retail Term Loan from LIBOR to the adjusted daily simple secured overnight financing rate ("SOFR"), effective July 3, 2023.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 Cayman II Revolver Facility Agreement Amendment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global phase out of LIBOR, on June 27, 2023, WM Cayman Holdings Limited II, as borrower ("WM Cayman II"), and WML, as guarantor, entered into an Amended and Restated Facility Agreement with Bank of China Limited, Macau Branch, as agent for the syndicate of lenders (as amended and restated, the "Facility Agreement"), to transition the base rate applicable to loans denominated in U.S. dollars made pursuant to the revolving credit facility provided thereunder (the "WM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075"/>
                <wp:effectExtent l="0" t="0" r="0" b="0"/>
                <wp:wrapNone/>
                <wp:docPr id="14" name="Frame1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Cayman II Revolver") from the London Interbank Offered Rate ("LIBOR") to Term SOFR. The new Term SOFR base rate became effective July 4, 2023.</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WM Cayman II Revolver consists of a U.S. dollar tranche in an amount of $312.5 million ("Facility A") and a Hong Kong dollar tranche in an amount of HK$9.26 billion (equivalent to $1.18 billion) ("Facility B"). Pursuant to the Facility Agreement, loans provided under Facility A bear interest at a variable rate per annum equal to: (a) Term SOFR, plus 0.10% (subject to a minimum floor of 0.00%), plus (b) a margin of 1.875% to 2.875% based on the consolidated leverage ratio of WM Cayman II and its subsidiaries (as calculated pursuant to the Facility Agreement), and loans provided under Facility B bear interest at a variable rate per annum equal to: (i) the Hong Kong Interbank Offered Rate, plus (ii) a margin of 1.875% to 2.875% based on the consolidated leverage ratio of WM Cayman II and its subsidiaries (as calculated pursuant to the Facility Agreement).</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4 1/2% Convertible Bonds, due 2029</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2023, WML completed an offering (the "Offering") of $600 million 4.50% convertible bonds due 2029 (the "WML Convertible Bonds"). The WML Convertible Bonds are governed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$585.9 million. WML intends to use the net proceeds for general corporate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bear interest on their outstanding principal amount from and including March 7, 2023 at the rate of 4.50% per annum, payable semi-annually in arrears on March 7 and September 7 of each year. At any time on or after April 17, 2023, the WML Convertible Bonds are convertible at the option of the holder thereof into fully paid ordinary shares of WML, each with a nominal value of HK$0.001 per share ("Ordinary Shares"), at the initial conversion price of approximately HK$10.24 (equivalent to approximately $1.31)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WML Convertible Bonds have the option to require WML to redeem all or some only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075"/>
                <wp:effectExtent l="0" t="0" r="0" b="0"/>
                <wp:wrapNone/>
                <wp:docPr id="15" name="Frame1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conversion feature contained within the WML Convertible Bonds is required to be bifurcated from the debt host contract and accounted for as a free-standing derivative (the "WML Convertible Bond Conversion Option Derivative"). In accordance with applicable accounting standards, the WML Convertible Bond Conversion Option Derivative will be reported at fair value as of the end of each reporting period, with changes recognized in the statement of operations. For more information, see "Note 8 - WML Convertible Bond Conversion Option Derivative." As a result, the Company recognized a debt discount of $123.5 million within Long-term debt, representing the estimated fair value of the holders' conversion option upon completion of the Offering. The debt discount will be amortized to interest expense over the term of the WML Convertible Bonds using the effective interest method. As of June 30, 2023, the estimated fair value of the WML Convertible Bond Conversion Option Derivative was a liability of $77.0 million, recorded within Long-term debt within the accompanying Condensed Consolidated Balance Sheet.</w:t>
      </w:r>
    </w:p>
    <w:p>
      <w:pPr>
        <w:pStyle w:val="TextBody"/>
        <w:bidi w:val="0"/>
        <w:spacing w:before="0" w:after="0"/>
        <w:ind w:left="0" w:right="0" w:hanging="9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WRF Credit Facility Agreement Amendment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17, 2023, Wynn Resorts Finance, LLC ("WRF") and certain of its subsidiaries entered into an amendment (the "WRF Credit Facility Agreement Amendment") to its existing credit agreement (the "WRF Credit Facility Agreement") among Deutsche Bank AG New York Branch, as administrative agent and collateral agent, and the other lenders party thereto.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WRF Credit Facility Agreement Amendment amends the WRF Credit Facility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 In connection with the WRF Credit Facility Agreement Amendment, the Company recognized a loss on debt financing transactions of $1.2 million within the accompanying Condensed Consolidated Statement of Operations, and the Company recorded debt issuance costs of $5.1 million, within the Condensed Consolidated Balance Sheet. </w:t>
      </w:r>
    </w:p>
    <w:p>
      <w:pPr>
        <w:pStyle w:val="TextBody"/>
        <w:bidi w:val="0"/>
        <w:spacing w:before="0" w:after="0"/>
        <w:ind w:left="0" w:right="0" w:hanging="9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WRF 7 1/8% Senior Notes, due 2031 and WRF 7 3/4% Senior Notes, due 2025</w:t>
      </w:r>
    </w:p>
    <w:p>
      <w:pPr>
        <w:pStyle w:val="TextBody"/>
        <w:bidi w:val="0"/>
        <w:spacing w:before="0" w:after="0"/>
        <w:ind w:left="0" w:right="0" w:firstLine="72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16, 2023, WRF and its subsidiary Wynn Resorts Capital Corp. (together with WRF, the "WRF Issuers"), each an indirect wholly owned subsidiary of the Company, issued $600.0 million aggregate principal amount of 7 1/8% Senior Notes due 2031 (the "2031 WRF Senior Notes") pursuant to an indenture among the WRF Issuers, the guarantors party thereto, and U.S. Bank Trust Company, National Association, as trustee, in a private offering. The 2031 WRF Senior Notes were issued at par, for proceeds of $596.2 million, net of $3.8 million of related fees and expenses. Also on February 16, 2023, the WRF Issuers completed a cash tender offer for any and all of the outstanding principal amount of the 7 3/4% Senior Notes due 2025 (the "2025 WRF Senior Notes") and accepted for purchase valid tenders with respect to $506.4 million principal amount and paid a tender premium of $12.4 million to the holders of such tendered 2025 WRF Senior Notes. The Company used a portion of the net proceeds from the issuance of the 2031 WRF Senior Notes to purchase such tendered 2025 WRF Senior Notes and to pay the tender premium and related fees and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WRF repurchased all of the outstanding 2025 WRF Senior Notes using the remaining net proceeds from the issuance of the 2031 WRF Senior Notes and cash held by WRF, at a price equal to 101.938% of the principal amount plus accrued interest under the terms of its indenture.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2031 WRF Senior Notes and purchase of the 2025 WRF Senior Notes, the Company recognized a loss on debt financing transactions of $10.6 million within the accompanying Condensed Consolidated Statement of Operations, and the Company recorded debt issuance costs of $11.4 million within the accompanying Condensed Consolidated Balance Sheet.</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0075"/>
                <wp:effectExtent l="0" t="0" r="0" b="0"/>
                <wp:wrapNone/>
                <wp:docPr id="16" name="Frame1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WLV 4 1/4% Senior Notes, due 2023</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repurchased all of its outstanding Wynn Las Vegas 4 1/4% Senior Notes due 2023, representing an aggregate principal amount of $500.0 million, using cash held by WRF, at a price equal to 100% of the principal amount plus accrued interest under the terms of its indenture. The Company recognized a loss on early extinguishment of debt of $1.0 million.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Term Loan Second Amendment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2023, Wynn/CA Plaza Property Owner, LLC and Wynn/CA Property Owner, LLC (collectively, the "Borrowers") entered into a second amendment (the "Retail Term Loan Second Amendment") to their existing term loan agreement (the "Retail Term Loan Agreement"). The Retail Term Loan Second Amendment, which is effective as of July 3, 2023, amends the Retail Term Loan Agreement to transition the benchmark interest rate applicable to the secured loan in an aggregate principal amount of $615.0 million issued to the Borrowers thereunder from LIBOR to SOFR and to make related conforming changes to the Retail Term Loan Agreement.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Covenant Compliance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management believes the Company was in compliance with all debt covenants.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Long-Term Debt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long-term debt as of June 30, 2023 and December 31, 2022, was approximately $11.56 billion and $11.23 billion, respectively, compared to its carrying value, excluding debt issuance costs and original issue discount and premium, of $12.24 billion and $12.16 billion, respectively. The estimated fair value of the Company's long-term debt is based on recent trades, if available, and indicative pricing from market information (Level 2 inputs).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WML Convertible Bond Conversion Option Derivative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reported at fair value as of the end of each reporting period, with changes recognized in the statement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075"/>
                <wp:effectExtent l="0" t="0" r="0" b="0"/>
                <wp:wrapNone/>
                <wp:docPr id="17" name="Frame1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inputs to the lattice models that were used to value the embedded derivatives:</w:t>
      </w:r>
    </w:p>
    <w:tbl>
      <w:tblPr>
        <w:tblW w:w="5729" w:type="dxa"/>
        <w:jc w:val="left"/>
        <w:tblInd w:w="0" w:type="dxa"/>
        <w:tblLayout w:type="fixed"/>
        <w:tblCellMar>
          <w:top w:w="28" w:type="dxa"/>
          <w:left w:w="28" w:type="dxa"/>
          <w:bottom w:w="28" w:type="dxa"/>
          <w:right w:w="28" w:type="dxa"/>
        </w:tblCellMar>
      </w:tblPr>
      <w:tblGrid>
        <w:gridCol w:w="677"/>
        <w:gridCol w:w="595"/>
        <w:gridCol w:w="602"/>
        <w:gridCol w:w="481"/>
        <w:gridCol w:w="511"/>
        <w:gridCol w:w="271"/>
        <w:gridCol w:w="109"/>
        <w:gridCol w:w="109"/>
        <w:gridCol w:w="109"/>
        <w:gridCol w:w="833"/>
        <w:gridCol w:w="885"/>
        <w:gridCol w:w="547"/>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 2023 (Pricing date)</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stock price</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volatility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completion of the Offering on March 7,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June 30, 2023, the estimated fair value of the embedded derivative was a liability of $77.0 million, recorded within Long-term debt within the accompanying Condensed Consolidated Balance Sheet. In connection with the change in fair value, the Company recorded a $21.6 million and $46.5 million gain within Change in derivatives fair value in the accompanying Condensed Consolidated Statement of Operations for the three and six months ended June 30,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Stockholders' Deficit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2023, the Company paid a cash dividend of $0.25 per share and recorded $28.5 million as a reduction of accumulated deficit.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9, 2023, the Company announced a cash dividend of $0.25 per share, payable on August 31, 2023 to stockholders of record as of August 21,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Joint Venture</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the Retail Joint Venture made aggregate distributions of approximately $8.9 million and $16.5 million, respectively, to its non-controlling interest holder. For more information on the Retail Joint Venture, see Note 17, "Retail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in exchange for cash consideration of $50.0 million, the Company sold to Crown Acquisitions Inc. ("Crown") a 49.9% interest in certain additional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Condensed Consolidated Statement of Stockholders' Deficit for the three months ended March 31, 2022.</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WML Convertible Bonds Offering, WM Cayman Holdings I Limited ("WM Cayman I"), a wholly owned subsidiary of the Company and holder of our approximately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On March 6, 2023, the WML Stock Borrower borrowed 459,774,985 ordinary shares of WML under the Securities Lending Agreement and on April 3, 2023 returned 280,000,000 of such shares to WM Cayman I. As of the date of this report, the WML Stock Borrower held 179,774,985 WML shares under the Securities Lending Agreement.</w: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0075"/>
                <wp:effectExtent l="0" t="0" r="0" b="0"/>
                <wp:wrapNone/>
                <wp:docPr id="18" name="Frame1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10 - Fair Value Measurements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 following tables present assets and liabilities carried at fair value (in thousands):</w:t>
      </w:r>
      <w:r>
        <w:rPr>
          <w:color w:val="000000"/>
        </w:rPr>
        <w:t> </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507"/>
        <w:gridCol w:w="1319"/>
        <w:gridCol w:w="1329"/>
        <w:gridCol w:w="231"/>
        <w:gridCol w:w="1087"/>
        <w:gridCol w:w="119"/>
        <w:gridCol w:w="109"/>
        <w:gridCol w:w="109"/>
        <w:gridCol w:w="109"/>
        <w:gridCol w:w="219"/>
        <w:gridCol w:w="860"/>
        <w:gridCol w:w="113"/>
        <w:gridCol w:w="109"/>
        <w:gridCol w:w="109"/>
        <w:gridCol w:w="109"/>
        <w:gridCol w:w="211"/>
        <w:gridCol w:w="976"/>
        <w:gridCol w:w="109"/>
        <w:gridCol w:w="109"/>
        <w:gridCol w:w="109"/>
        <w:gridCol w:w="109"/>
        <w:gridCol w:w="221"/>
        <w:gridCol w:w="757"/>
        <w:gridCol w:w="166"/>
      </w:tblGrid>
      <w:tr>
        <w:trPr/>
        <w:tc>
          <w:tcPr>
            <w:tcW w:w="150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2,359,773</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93,831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11,302</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 (see Note 8)</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76,992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1,950,857</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490,683 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132,550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10,408</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11 - Customer Contract Liabilities </w: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liabilities associated with customer contracts are as follows (in thousands):</w:t>
      </w:r>
    </w:p>
    <w:tbl>
      <w:tblPr>
        <w:tblW w:w="10205" w:type="dxa"/>
        <w:jc w:val="left"/>
        <w:tblInd w:w="0" w:type="dxa"/>
        <w:tblLayout w:type="fixed"/>
        <w:tblCellMar>
          <w:top w:w="28" w:type="dxa"/>
          <w:left w:w="28" w:type="dxa"/>
          <w:bottom w:w="28" w:type="dxa"/>
          <w:right w:w="28" w:type="dxa"/>
        </w:tblCellMar>
      </w:tblPr>
      <w:tblGrid>
        <w:gridCol w:w="755"/>
        <w:gridCol w:w="463"/>
        <w:gridCol w:w="464"/>
        <w:gridCol w:w="211"/>
        <w:gridCol w:w="841"/>
        <w:gridCol w:w="109"/>
        <w:gridCol w:w="109"/>
        <w:gridCol w:w="109"/>
        <w:gridCol w:w="109"/>
        <w:gridCol w:w="217"/>
        <w:gridCol w:w="866"/>
        <w:gridCol w:w="112"/>
        <w:gridCol w:w="109"/>
        <w:gridCol w:w="109"/>
        <w:gridCol w:w="109"/>
        <w:gridCol w:w="223"/>
        <w:gridCol w:w="677"/>
        <w:gridCol w:w="115"/>
        <w:gridCol w:w="109"/>
        <w:gridCol w:w="109"/>
        <w:gridCol w:w="109"/>
        <w:gridCol w:w="211"/>
        <w:gridCol w:w="841"/>
        <w:gridCol w:w="109"/>
        <w:gridCol w:w="109"/>
        <w:gridCol w:w="109"/>
        <w:gridCol w:w="109"/>
        <w:gridCol w:w="217"/>
        <w:gridCol w:w="866"/>
        <w:gridCol w:w="112"/>
        <w:gridCol w:w="109"/>
        <w:gridCol w:w="109"/>
        <w:gridCol w:w="109"/>
        <w:gridCol w:w="219"/>
        <w:gridCol w:w="775"/>
        <w:gridCol w:w="167"/>
      </w:tblGrid>
      <w:tr>
        <w:trPr/>
        <w:tc>
          <w:tcPr>
            <w:tcW w:w="75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Casino outstanding chips and front money deposits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Advance room deposits and ticket sales </w:t>
            </w:r>
            <w:r>
              <w:rPr>
                <w:rFonts w:ascii="Times New Roman;sans-serif" w:hAnsi="Times New Roman;sans-serif"/>
                <w:b w:val="false"/>
                <w:color w:val="000000"/>
                <w:sz w:val="16"/>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gaming-related liabilities </w:t>
            </w:r>
            <w:r>
              <w:rPr>
                <w:rFonts w:ascii="Times New Roman;sans-serif" w:hAnsi="Times New Roman;sans-serif"/>
                <w:b w:val="false"/>
                <w:color w:val="000000"/>
                <w:sz w:val="16"/>
              </w:rPr>
              <w:t>(3)</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Loyalty program and related liabilities </w:t>
            </w:r>
            <w:r>
              <w:rPr>
                <w:rFonts w:ascii="Times New Roman;sans-serif" w:hAnsi="Times New Roman;sans-serif"/>
                <w:b w:val="false"/>
                <w:color w:val="000000"/>
                <w:sz w:val="16"/>
              </w:rPr>
              <w:t>(4)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538,463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541,898</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(3,435)</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449,596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469,478</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(19,882)</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075"/>
                <wp:effectExtent l="0" t="0" r="0" b="0"/>
                <wp:wrapNone/>
                <wp:docPr id="19" name="Frame1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Stock-Based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compensation cost for stock-based compensation plans was recorded as follows (in thousands):</w:t>
      </w:r>
    </w:p>
    <w:p>
      <w:pPr>
        <w:pStyle w:val="TextBody"/>
        <w:bidi w:val="0"/>
        <w:spacing w:before="0" w:after="0"/>
        <w:ind w:left="0" w:right="0" w:firstLine="450"/>
        <w:jc w:val="left"/>
        <w:rPr/>
      </w:pPr>
      <w:r>
        <w:rPr/>
      </w:r>
    </w:p>
    <w:tbl>
      <w:tblPr>
        <w:tblW w:w="8939" w:type="dxa"/>
        <w:jc w:val="left"/>
        <w:tblInd w:w="0" w:type="dxa"/>
        <w:tblLayout w:type="fixed"/>
        <w:tblCellMar>
          <w:top w:w="28" w:type="dxa"/>
          <w:left w:w="28" w:type="dxa"/>
          <w:bottom w:w="28" w:type="dxa"/>
          <w:right w:w="28" w:type="dxa"/>
        </w:tblCellMar>
      </w:tblPr>
      <w:tblGrid>
        <w:gridCol w:w="1332"/>
        <w:gridCol w:w="1171"/>
        <w:gridCol w:w="1186"/>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expense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28,495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capitalized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29,952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13 - Income Taxes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expense of $4.3 million and $0.7 million for the three months ended June 30, 2023 and 2022, respectively and an income tax expense of $5.3 million and $1.9 million for the six months ended June 30, 2023 and 2022, respectively. Income tax expense in 2023 primarily relates to U.S. operating profits. Income tax expense in 2022 primarily related to the Macau dividend tax agreement that provides for an annual payment as complementary tax otherwise due by stockholders of WRM.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carryback, the reversal of net taxable temporary differences, the duration of statutory carryforward periods and tax planning strategies.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Company’s current earnings and anticipated future earnings, the Company believes there is a reasonable possibility that within the next 12 months, sufficient positive evidence may become available to reach a conclusion that a portion of the valuation allowance on certain of its U.S. deferred tax assets will no longer be needed.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Earnings Per Share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as of the date of their issuance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075"/>
                <wp:effectExtent l="0" t="0" r="0" b="0"/>
                <wp:wrapNone/>
                <wp:docPr id="20" name="Frame2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weighted average number of common and common equivalent shares used in the calculation of basic and diluted EPS consisted of the following (in thousands, except per share amounts):</w:t>
      </w:r>
      <w:r>
        <w:rPr>
          <w:color w:val="000000"/>
        </w:rPr>
        <w:t> </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704"/>
        <w:gridCol w:w="1391"/>
        <w:gridCol w:w="1399"/>
        <w:gridCol w:w="211"/>
        <w:gridCol w:w="841"/>
        <w:gridCol w:w="109"/>
        <w:gridCol w:w="109"/>
        <w:gridCol w:w="109"/>
        <w:gridCol w:w="109"/>
        <w:gridCol w:w="211"/>
        <w:gridCol w:w="860"/>
        <w:gridCol w:w="109"/>
        <w:gridCol w:w="109"/>
        <w:gridCol w:w="109"/>
        <w:gridCol w:w="109"/>
        <w:gridCol w:w="211"/>
        <w:gridCol w:w="841"/>
        <w:gridCol w:w="109"/>
        <w:gridCol w:w="109"/>
        <w:gridCol w:w="109"/>
        <w:gridCol w:w="109"/>
        <w:gridCol w:w="211"/>
        <w:gridCol w:w="860"/>
        <w:gridCol w:w="157"/>
      </w:tblGrid>
      <w:tr>
        <w:trPr/>
        <w:tc>
          <w:tcPr>
            <w:tcW w:w="170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(313,375)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 of Wynn Resorts, Limited subsidiaries: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WML Convertible Bonds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94,555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94,916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(313,375)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effect of stock options, nonvested, and performance nonvested shares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and common equivalent shares outstanding</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114,471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114,749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nonvested, and performance nonvested shares excluded from the calculation of diluted net income per share</w:t>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Note 15 - Leases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minimum and contingent operating lease income for the periods presented (in thousands):</w:t>
      </w:r>
    </w:p>
    <w:p>
      <w:pPr>
        <w:pStyle w:val="TextBody"/>
        <w:bidi w:val="0"/>
        <w:spacing w:before="0" w:after="0"/>
        <w:ind w:left="0" w:right="0" w:firstLine="450"/>
        <w:jc w:val="both"/>
        <w:rPr/>
      </w:pPr>
      <w:r>
        <w:rPr/>
      </w:r>
    </w:p>
    <w:tbl>
      <w:tblPr>
        <w:tblW w:w="7559" w:type="dxa"/>
        <w:jc w:val="left"/>
        <w:tblInd w:w="0" w:type="dxa"/>
        <w:tblLayout w:type="fixed"/>
        <w:tblCellMar>
          <w:top w:w="28" w:type="dxa"/>
          <w:left w:w="28" w:type="dxa"/>
          <w:bottom w:w="28" w:type="dxa"/>
          <w:right w:w="28" w:type="dxa"/>
        </w:tblCellMar>
      </w:tblPr>
      <w:tblGrid>
        <w:gridCol w:w="798"/>
        <w:gridCol w:w="701"/>
        <w:gridCol w:w="705"/>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73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rental income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51,325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119,619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96,549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 Commitments and Contingencies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075"/>
                <wp:effectExtent l="0" t="0" r="0" b="0"/>
                <wp:wrapNone/>
                <wp:docPr id="21" name="Frame2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Litigation Related to Dore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SA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Wynn Macau SA, as a gaming concessionaire, should be held responsible for Dore’s conduct on the basis that Wynn Macau SA is responsible for the supervision of Dore’s activities at Wynn Macau that resulted in the purported losses.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these cases are without merit and unfounded and intends to vigorously defend against the remaining claims pleaded against Wynn Macau SA in these lawsuits. The Company has made estimates for potential litigation costs based upon its assessment of the likely outcome and has recorded provisions for such amounts in the accompanying condensed consolidated financial statements. No assurances can be provided as to the outcome of the pending Dore cases, and actual results may differ from these estimates.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current CEO Craig Billings and the individual directors, and allowing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The parties are now proceeding with discovery.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defendants in this action intend to vigorously defend against the claims pleaded against them and believe that the claims are without merit. This action is in the preliminary stages and the Company has determined that based on proceedings to date, it is currently unable to determine the probability of the outcome of these actions or reasonably estimate the range of possible loss, if any.</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Investigation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 Retail Joint Venture</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Retail Joint Venture had total assets of $112.2 million and $102.9 million, respectively, and total liabilities of $621.9 million and $620.9 million, respectively. As of June 30, 2023 and December 31, 2022, the Retail Joint Venture's liabilities included long-term debt of $613.8 million and $613.5 million, respectively, net of debt issuance costs, related to the outstanding borrowings under the Retail Term Loan.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0075"/>
                <wp:effectExtent l="0" t="0" r="0" b="0"/>
                <wp:wrapNone/>
                <wp:docPr id="22" name="Frame2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 Segment Information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its reportable segments based on factors such as geography, regulatory environment, the information reviewed by its chief operating decision maker, and the Company's organizational and management reporting structure.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0075"/>
                <wp:effectExtent l="0" t="0" r="0" b="0"/>
                <wp:wrapNone/>
                <wp:docPr id="23" name="Frame2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segment information (in thousands):</w:t>
      </w:r>
    </w:p>
    <w:p>
      <w:pPr>
        <w:pStyle w:val="TextBody"/>
        <w:bidi w:val="0"/>
        <w:spacing w:before="0" w:after="0"/>
        <w:ind w:left="0" w:right="0" w:firstLine="450"/>
        <w:jc w:val="both"/>
        <w:rPr/>
      </w:pPr>
      <w:r>
        <w:rPr/>
      </w:r>
    </w:p>
    <w:tbl>
      <w:tblPr>
        <w:tblW w:w="9405" w:type="dxa"/>
        <w:jc w:val="left"/>
        <w:tblInd w:w="0" w:type="dxa"/>
        <w:tblLayout w:type="fixed"/>
        <w:tblCellMar>
          <w:top w:w="28" w:type="dxa"/>
          <w:left w:w="28" w:type="dxa"/>
          <w:bottom w:w="28" w:type="dxa"/>
          <w:right w:w="28" w:type="dxa"/>
        </w:tblCellMar>
      </w:tblPr>
      <w:tblGrid>
        <w:gridCol w:w="1189"/>
        <w:gridCol w:w="1045"/>
        <w:gridCol w:w="1051"/>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Macau Operations: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468,350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58,651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837,713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221,976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301,593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58,583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532,319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193,683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769,943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1,370,032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415,659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Las Vegas Operations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578,072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561,069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1,164,836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1,002,255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Encore Boston Harbor</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221,932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400,950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Wynn Interactive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46,395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43,302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1,595,822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908,832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3,019,501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1,862,166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0075"/>
                <wp:effectExtent l="0" t="0" r="0" b="0"/>
                <wp:wrapNone/>
                <wp:docPr id="24" name="Frame2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32"/>
        <w:gridCol w:w="1392"/>
        <w:gridCol w:w="1403"/>
        <w:gridCol w:w="211"/>
        <w:gridCol w:w="841"/>
        <w:gridCol w:w="109"/>
        <w:gridCol w:w="109"/>
        <w:gridCol w:w="109"/>
        <w:gridCol w:w="109"/>
        <w:gridCol w:w="211"/>
        <w:gridCol w:w="894"/>
        <w:gridCol w:w="109"/>
        <w:gridCol w:w="109"/>
        <w:gridCol w:w="109"/>
        <w:gridCol w:w="109"/>
        <w:gridCol w:w="211"/>
        <w:gridCol w:w="841"/>
        <w:gridCol w:w="109"/>
        <w:gridCol w:w="109"/>
        <w:gridCol w:w="109"/>
        <w:gridCol w:w="109"/>
        <w:gridCol w:w="211"/>
        <w:gridCol w:w="894"/>
        <w:gridCol w:w="156"/>
      </w:tblGrid>
      <w:tr>
        <w:trPr/>
        <w:tc>
          <w:tcPr>
            <w:tcW w:w="163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Adjusted Property EBITDAR </w:t>
            </w:r>
            <w:r>
              <w:rPr>
                <w:rFonts w:ascii="Times New Roman;sans-serif" w:hAnsi="Times New Roman;sans-serif"/>
                <w:b/>
                <w:color w:val="000000"/>
                <w:sz w:val="16"/>
              </w:rPr>
              <w:t>(2)</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Macau Operations: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246,197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(95,886)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Las Vegas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Encore Boston Harbor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Interactive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179,159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954,204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356,740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231,187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534,353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503,633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419,851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(146,893)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of amounts capitalized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(285,547)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(319,281)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(212,704)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(466,174)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(468,032)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105,184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117,516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(313,375)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lease revenue accounted for under lease accounting guidance. For more information on leases, see Note 15, "Leases."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"Adjusted Property EBITDAR" is net income (loss)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pStyle w:val="TextBody"/>
        <w:bidi w:val="0"/>
        <w:spacing w:before="0" w:after="0"/>
        <w:ind w:left="0" w:right="0" w:hanging="27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00075"/>
                <wp:effectExtent l="0" t="0" r="0" b="0"/>
                <wp:wrapNone/>
                <wp:docPr id="25" name="Frame2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6332" w:type="dxa"/>
        <w:jc w:val="left"/>
        <w:tblInd w:w="0" w:type="dxa"/>
        <w:tblLayout w:type="fixed"/>
        <w:tblCellMar>
          <w:top w:w="28" w:type="dxa"/>
          <w:left w:w="28" w:type="dxa"/>
          <w:bottom w:w="28" w:type="dxa"/>
          <w:right w:w="28" w:type="dxa"/>
        </w:tblCellMar>
      </w:tblPr>
      <w:tblGrid>
        <w:gridCol w:w="1100"/>
        <w:gridCol w:w="968"/>
        <w:gridCol w:w="977"/>
        <w:gridCol w:w="211"/>
        <w:gridCol w:w="1096"/>
        <w:gridCol w:w="109"/>
        <w:gridCol w:w="109"/>
        <w:gridCol w:w="109"/>
        <w:gridCol w:w="109"/>
        <w:gridCol w:w="223"/>
        <w:gridCol w:w="1159"/>
        <w:gridCol w:w="162"/>
      </w:tblGrid>
      <w:tr>
        <w:trPr/>
        <w:tc>
          <w:tcPr>
            <w:tcW w:w="110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Macau</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5,449,860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4,582,141</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2,080,424 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3,370,101 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13,783,686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13,415,100</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0075"/>
                <wp:effectExtent l="0" t="0" r="0" b="0"/>
                <wp:wrapNone/>
                <wp:docPr id="26" name="Frame2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and is qualified in its entirety by, the unaudited condensed consolidated financial statements and the notes thereto included elsewhere in this Form 10-Q and the audited consolidated financial statements appearing in our Annual Report on Form 10-K for the year ended December 31, 2022.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2022 and other factors we describe from time to time in our periodic filings with the Securities and Exchange Commission ("SEC"), such as:</w:t>
      </w:r>
    </w:p>
    <w:p>
      <w:pPr>
        <w:pStyle w:val="TextBody"/>
        <w:bidi w:val="0"/>
        <w:spacing w:before="0" w:after="0"/>
        <w:ind w:left="0" w:right="0" w:firstLine="45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impact on the travel and leisure industry from factors such as an outbreak of an infectious disease, including the COVID-19 pandemic, public incidents of violence, mass shootings, riots, demonstrations, extreme weather patterns or natural disasters, military conflicts, civil unrest, and any future security alerts and/or terrorist attacks;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extensive regulation of our business and the cost of compliance or failure to comply with applicable laws and regulations;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pending or future investigations, litigation and other disputes;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our dependence on key managers and employees;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the deterioration of the macroeconomic environment, including an economic downturn or recession or worsening geopolitical tensions that could reduce discretionary consumer spending;</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our ability to maintain our gaming licenses and concessions and comply with applicable gaming law; </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international relations, national security policies, anticorruption campaigns and other geopolitical events, which may impact the number of visitors to our properties and the amount of money they are willing to spend;</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public perception of our resorts and the level of service we provide; </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our dependence on a limited number of resorts and locations for all of our cash flow and our subsidiaries' ability to pay us dividends and distributions;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competition in the casino/hotel and resort industries and actions taken by our competitors, including new development and construction activities of competitors;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our ability to maintain our customer relationships and collect and enforce gaming receivables;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win rates for our gaming operations;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construction and regulatory risks associated with our current and future construction projects;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any violations by us of the anti-money laundering laws or Foreign Corrupt Practices Act;</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our compliance with environmental requirements and potential cleanup responsibility and liability as an owner or operator of property;</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adverse incidents or adverse publicity concerning our resorts or our corporate responsibilities;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changes in and compliance with the gaming laws or regulations in the various jurisdictions in which we operate;</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changes in tax laws or regulations related to taxation, including changes in the rates of taxation;</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our collection and use of personal data and our level of compliance with applicable governmental regulations, credit card industry standards and other applicable data security standards;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our ability to protect our intellectual property rights; </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labor actions and other labor problems; </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our current and future insurance coverage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00075"/>
                <wp:effectExtent l="0" t="0" r="0" b="0"/>
                <wp:wrapNone/>
                <wp:docPr id="27" name="Frame2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 xml:space="preserve">risks specifically associated with our Macau Operations; </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the level of our indebtedness and our ability to meet our debt service obligations (including sensitivity to fluctuations in interest rates); and</w:t>
      </w:r>
    </w:p>
    <w:p>
      <w:pPr>
        <w:pStyle w:val="TextBody"/>
        <w:bidi w:val="0"/>
        <w:spacing w:lineRule="auto" w:line="264" w:before="0" w:after="0"/>
        <w:ind w:left="0" w:right="0" w:hanging="720"/>
        <w:jc w:val="both"/>
        <w:rPr/>
      </w:pPr>
      <w:r>
        <w:rPr>
          <w:color w:val="000000"/>
        </w:rPr>
        <w:t>•</w:t>
      </w:r>
      <w:r>
        <w:rPr>
          <w:rFonts w:ascii="Times New Roman;sans-serif" w:hAnsi="Times New Roman;sans-serif"/>
          <w:b w:val="false"/>
          <w:color w:val="000000"/>
          <w:sz w:val="20"/>
        </w:rPr>
        <w:t>continued compliance with the covenants in our debt agreements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We also hold an approximately 97% interest in, and consolidate, Wynn Interactive Ltd. ("Wynn Interactive"), through which we operate WynnBet, our digital sports betting and casino gaming business.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Measures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Table drop in mass market for our Macau Operations is the amount of cash that is deposited in a gaming table's drop box plus cash chips purchased at the casino cage.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our Las Vegas Operations is the amount of cash and net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Encore Boston Harbor is the amount of cash and gross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Rolling chips are non-negotiable identifiable chips that are used to track turnover for purposes of calculating incentives within our Macau Operations' VIP program.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Turnover is the sum of all losing rolling chip wagers within our Macau Operations' VIP program.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Average daily rate ("ADR") is calculated by dividing total room revenues, including complimentaries (less service charges, if any), by total rooms occupied.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Revenue per available room ("REVPAR") is calculated by dividing total room revenues, including complimentaries (less service charges, if any), by total rooms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0075"/>
                <wp:effectExtent l="0" t="0" r="0" b="0"/>
                <wp:wrapNone/>
                <wp:docPr id="28" name="Frame2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Occupancy is calculated by dividing total occupied rooms, including complimentary rooms, by the total rooms available.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discussion of the methodologies used to calculate win percentages at our resorts.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second quarter 2023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financial results for the periods presented (dollars in thousands, except per share data):</w:t>
      </w:r>
    </w:p>
    <w:tbl>
      <w:tblPr>
        <w:tblW w:w="12233" w:type="dxa"/>
        <w:jc w:val="left"/>
        <w:tblInd w:w="0" w:type="dxa"/>
        <w:tblLayout w:type="fixed"/>
        <w:tblCellMar>
          <w:top w:w="28" w:type="dxa"/>
          <w:left w:w="28" w:type="dxa"/>
          <w:bottom w:w="28" w:type="dxa"/>
          <w:right w:w="28" w:type="dxa"/>
        </w:tblCellMar>
      </w:tblPr>
      <w:tblGrid>
        <w:gridCol w:w="337"/>
        <w:gridCol w:w="296"/>
        <w:gridCol w:w="298"/>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1"/>
        <w:gridCol w:w="220"/>
        <w:gridCol w:w="22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305"/>
        <w:gridCol w:w="206"/>
        <w:gridCol w:w="29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NM - Not meaningful. </w:t>
      </w:r>
    </w:p>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operating revenues for the three months ended June 30, 2023 was primarily driven by increases of $409.7 million and $243.0 million from Wynn Palace and Wynn Macau, respectively, resulting from an increase in gaming volumes, hotel occupancy, and covers at restaurants. The results of our Macau Operations for the three months ended June 30, 2022 were negatively impacted by certain travel-related restrictions and conditions, including COVID-19 testing, certain entry restrictions, and other mitigation procedures, related to the COVID-19 pandemic. Over the course of December 2022 and January 2023, Macau authorities relaxed or eliminated COVID-19 related protective measures. As of the date of this report, there are no remaining entry restrictions or mandatory quarantine requirements in place for travelers to Macau, which resulted in increased business volumes at our Macau Operations for the three months ended June 30, 2023.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00075"/>
                <wp:effectExtent l="0" t="0" r="0" b="0"/>
                <wp:wrapNone/>
                <wp:docPr id="29" name="Frame2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income attributable to Wynn Resorts, Limited for the three months ended June 30, 2023 was primarily related to increased operating revenues at our Macau Operations, partially offset by increased operating expenses associated with higher business volumes at our Macau Operations.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Financial results for the three months ended June 30, 2023 compared to the three months ended June 30,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operating revenues (dollars in thousands): </w:t>
      </w:r>
    </w:p>
    <w:p>
      <w:pPr>
        <w:pStyle w:val="TextBody"/>
        <w:bidi w:val="0"/>
        <w:spacing w:before="0" w:after="0"/>
        <w:ind w:left="0" w:right="0" w:firstLine="450"/>
        <w:jc w:val="left"/>
        <w:rPr/>
      </w:pPr>
      <w:r>
        <w:rPr/>
      </w:r>
    </w:p>
    <w:tbl>
      <w:tblPr>
        <w:tblW w:w="8702" w:type="dxa"/>
        <w:jc w:val="left"/>
        <w:tblInd w:w="0" w:type="dxa"/>
        <w:tblLayout w:type="fixed"/>
        <w:tblCellMar>
          <w:top w:w="28" w:type="dxa"/>
          <w:left w:w="28" w:type="dxa"/>
          <w:bottom w:w="28" w:type="dxa"/>
          <w:right w:w="28" w:type="dxa"/>
        </w:tblCellMar>
      </w:tblPr>
      <w:tblGrid>
        <w:gridCol w:w="864"/>
        <w:gridCol w:w="758"/>
        <w:gridCol w:w="763"/>
        <w:gridCol w:w="211"/>
        <w:gridCol w:w="991"/>
        <w:gridCol w:w="109"/>
        <w:gridCol w:w="109"/>
        <w:gridCol w:w="109"/>
        <w:gridCol w:w="109"/>
        <w:gridCol w:w="211"/>
        <w:gridCol w:w="841"/>
        <w:gridCol w:w="109"/>
        <w:gridCol w:w="109"/>
        <w:gridCol w:w="109"/>
        <w:gridCol w:w="109"/>
        <w:gridCol w:w="283"/>
        <w:gridCol w:w="1130"/>
        <w:gridCol w:w="146"/>
        <w:gridCol w:w="109"/>
        <w:gridCol w:w="109"/>
        <w:gridCol w:w="109"/>
        <w:gridCol w:w="381"/>
        <w:gridCol w:w="381"/>
        <w:gridCol w:w="54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769,943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652,709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Interactive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1,595,822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908,832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686,990</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51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841"/>
        <w:gridCol w:w="109"/>
        <w:gridCol w:w="109"/>
        <w:gridCol w:w="109"/>
        <w:gridCol w:w="109"/>
        <w:gridCol w:w="283"/>
        <w:gridCol w:w="1130"/>
        <w:gridCol w:w="146"/>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912,999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359,585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553,414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Non-casino revenues: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non-casino revenues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682,823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133,576</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1,595,822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908,832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686,990</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for the three months ended June 30, 2023 were 57.2% of operating revenues, compared to 39.6% for the same period of 2022. Non-casino revenues for the three months ended June 30, 2023 were 42.8% of operating revenues, compared to 60.4% for the same period of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Casino revenues</w:t>
      </w:r>
      <w:r>
        <w:rPr>
          <w:color w:val="000000"/>
        </w:rPr>
        <w:t>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increased primarily due to higher gaming volumes at our Macau Operations following the discontinuation of pandemic-related travel restrictions in Macau in late 2022 and early 2023.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our casino revenues and associated key operating measures (dollars in thousands, except for win per unit per day):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075"/>
                <wp:effectExtent l="0" t="0" r="0" b="0"/>
                <wp:wrapNone/>
                <wp:docPr id="30" name="Frame3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9901" w:type="dxa"/>
        <w:jc w:val="left"/>
        <w:tblInd w:w="0" w:type="dxa"/>
        <w:tblLayout w:type="fixed"/>
        <w:tblCellMar>
          <w:top w:w="28" w:type="dxa"/>
          <w:left w:w="28" w:type="dxa"/>
          <w:bottom w:w="28" w:type="dxa"/>
          <w:right w:w="28" w:type="dxa"/>
        </w:tblCellMar>
      </w:tblPr>
      <w:tblGrid>
        <w:gridCol w:w="1189"/>
        <w:gridCol w:w="1045"/>
        <w:gridCol w:w="1051"/>
        <w:gridCol w:w="211"/>
        <w:gridCol w:w="976"/>
        <w:gridCol w:w="271"/>
        <w:gridCol w:w="109"/>
        <w:gridCol w:w="109"/>
        <w:gridCol w:w="109"/>
        <w:gridCol w:w="211"/>
        <w:gridCol w:w="826"/>
        <w:gridCol w:w="271"/>
        <w:gridCol w:w="109"/>
        <w:gridCol w:w="109"/>
        <w:gridCol w:w="109"/>
        <w:gridCol w:w="254"/>
        <w:gridCol w:w="1175"/>
        <w:gridCol w:w="131"/>
        <w:gridCol w:w="109"/>
        <w:gridCol w:w="109"/>
        <w:gridCol w:w="109"/>
        <w:gridCol w:w="383"/>
        <w:gridCol w:w="383"/>
        <w:gridCol w:w="543"/>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(loss)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(loss)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00075"/>
                <wp:effectExtent l="0" t="0" r="0" b="0"/>
                <wp:wrapNone/>
                <wp:docPr id="31" name="Frame3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075"/>
                <wp:effectExtent l="0" t="0" r="0" b="0"/>
                <wp:wrapNone/>
                <wp:docPr id="32" name="Frame3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our room revenues and associated key operating measures: </w:t>
      </w:r>
    </w:p>
    <w:tbl>
      <w:tblPr>
        <w:tblW w:w="10046"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316"/>
        <w:gridCol w:w="1081"/>
        <w:gridCol w:w="163"/>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Wynn Palace</w:t>
            </w:r>
            <w:r>
              <w:rPr>
                <w:rFonts w:ascii="Times New Roman;sans-serif" w:hAnsi="Times New Roman;sans-serif"/>
                <w:b w:val="false"/>
                <w:color w:val="000000"/>
                <w:sz w:val="16"/>
              </w:rPr>
              <w:t>:</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revenues increased $75.2 million, primarily due to higher occupancy and ADR at our Macau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increased $27.2 million as a result of increased restaurant covers at our Macau Operations.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 revenues increased $31.1 million, due to higher business volumes across our properties, including an increase in revenues of $12.5 million from our leased retail outlets at our Macau Operations.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00075"/>
                <wp:effectExtent l="0" t="0" r="0" b="0"/>
                <wp:wrapNone/>
                <wp:docPr id="33" name="Frame3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operating expenses (dollars in thousands): </w:t>
      </w:r>
    </w:p>
    <w:p>
      <w:pPr>
        <w:pStyle w:val="TextBody"/>
        <w:bidi w:val="0"/>
        <w:spacing w:before="0" w:after="0"/>
        <w:ind w:left="0" w:right="0" w:firstLine="450"/>
        <w:jc w:val="both"/>
        <w:rPr/>
      </w:pPr>
      <w:r>
        <w:rPr/>
      </w:r>
    </w:p>
    <w:tbl>
      <w:tblPr>
        <w:tblW w:w="8911" w:type="dxa"/>
        <w:jc w:val="left"/>
        <w:tblInd w:w="0" w:type="dxa"/>
        <w:tblLayout w:type="fixed"/>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841"/>
        <w:gridCol w:w="109"/>
        <w:gridCol w:w="109"/>
        <w:gridCol w:w="109"/>
        <w:gridCol w:w="109"/>
        <w:gridCol w:w="283"/>
        <w:gridCol w:w="1130"/>
        <w:gridCol w:w="146"/>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1,345,486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960,860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384,626</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increased $384.6 million compared to the three months ended June 30, 2022, primarily due to increased casino, room, food and beverage, entertainment, retail and other, and general and administrative expenses, partially offset by decreased property charges and other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expenses increased $189.5 million and $104.5 million at Wynn Palace and Wynn Macau, respectively. These increases resulted from higher operating costs, including $179.1 million and $102.0 million in incremental gaming tax expense at Wynn Palace and Wynn Macau, respectively, driven by the increase in casino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expenses increased $3.8 million and $2.8 million at our Las Vegas Operations and Wynn Palace, respectively. These increases resulted from higher operating costs related to an increase in room revenues at our Las Vegas Operations and Wynn Palace.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expenses increased $7.3 million and $4.1 million at Wynn Palace and Wynn Macau, respectively. These increases resulted from higher operating costs related to an increase in food and beverage revenues at Wynn Palace and Wynn Macau.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 expenses increased $4.7 million, $2.5 million, and $1.9 million at our Las Vegas operations, Wynn Macau, and Wynn Palace, respectively. These increases resulted from higher operating costs related to increased revenues at our Las Vegas Operations and our Macau Operations. None of the increased operating costs was individually significant.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primarily due to triple-net operating lease expense of $35.6 million at Encore Boston Harbor following the sale-leaseback transaction in December 2022. In addition, corporate and other general and administrative expenses increased $12.2 million, primarily due to increased development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pre-opening expenses totaled $1.5 million, which primarily related to new outlets and amenities across our properties. For the three months ended June 30, 2022, pre-opening expenses totaled $4.5 million, which primarily related to reconfiguring the theater space at Wynn Las Vegas.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charges and other expenses for the quarter ended June 30, 2023 consisted primarily of asset abandonments of $6.6 million and $1.1 million at our Las Vegas Operations and Wynn Palace, respectively, as well as contract termination and other expenses of $6.5 million at Wynn Macau. Our property charges and other expenses for the quarter ended June 30, 2022 consisted primarily of impairment of goodwill and other finite-lived intangible assets of $7.5 million and $10.3 million, respectively, and $7.6 million of other restructuring costs related to management's decision to cease the operations of BetBull, Limited ("BetBull"), a subsidiary of Wynn Interactive.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00075"/>
                <wp:effectExtent l="0" t="0" r="0" b="0"/>
                <wp:wrapNone/>
                <wp:docPr id="34" name="Frame3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increased $35.4 million primarily due to an increase in the weighted average total debt balance and an increase in the weighted average interest rate to 6.08% for the three months ended June 30, 2023, from 5.14% for the three months ended June 30, 2022.</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interest income of $44.1 million for the three months ended June 30, 2023,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gain of $7.0 million and a loss of $10.1 million for the three months ended June 30, 2023 and 2022, respectively. The impact of the exchange rate fluctuation of the Macau pataca, in relation to the U.S. dollar, on the remeasurements of U.S. dollar denominated debt and other obligations from our Macau-related entities primarily drove the variability between periods.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gain of $24.3 million and $1.6 million for the three months ended June 30, 2023 and 2022, respectively, from change in derivatives fair value. The change in derivatives fair value for the three months ended June 30, 2023 included a gain of $21.6 million recorded in relation to the conversion feature of the WML Convertible Bonds.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$3.4 million loss on debt financing transactions for the three months ended June 30, 2023, primarily related to the issuance of the 2031 WRF Senior Notes, and the repurchase of the tendered 2025 WRF Senior Notes.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income tax expense of $4.3 million and $0.7 million for the three months ended June 30, 2023 and 2022, respectively. Income tax expense in 2023 primarily relates to U.S. operating profits. Income tax expense in 2022 primarily related to the Macau dividend tax agreement that provides for an annual payment as complementary tax otherwise due by stockholders of WRM.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maintain a valuation allowance on our deferred tax assets until there is sufficient evidence to support the reversal of all or some portion of these allowances. However, given our current earnings and anticipated future earnings, we believe there is a reasonable possibility that within the next 12 months, sufficient positive evidence may become available to allow us to reach a conclusion that a portion of the valuation allowance on certain U.S. deferred tax assets will no longer be needed. Release of the valuation allowance would result in the recognition of our deferred tax assets and a decrease to income tax expense for the period the release is recorded. However, the exact timing and amount of the valuation allowance release are uncertain. </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(loss) attributable to noncontrolling interests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 was $22.7 million and net loss attributable to noncontrolling interests was $83.4 million for the three months ended June 30, 2023 and 2022, respectively. These amounts are primarily related to the noncontrolling interests' share of net income (loss) attributable to WML.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075"/>
                <wp:effectExtent l="0" t="0" r="0" b="0"/>
                <wp:wrapNone/>
                <wp:docPr id="35" name="Frame3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results for the six months ended June 30, 2023 compared to the six months ended June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bidi w:val="0"/>
        <w:spacing w:before="0" w:after="0"/>
        <w:ind w:left="0" w:right="0" w:firstLine="27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revenues (dollars in thousands):</w:t>
      </w:r>
    </w:p>
    <w:p>
      <w:pPr>
        <w:pStyle w:val="TextBody"/>
        <w:bidi w:val="0"/>
        <w:spacing w:before="0" w:after="0"/>
        <w:ind w:left="0" w:right="0" w:firstLine="450"/>
        <w:jc w:val="left"/>
        <w:rPr/>
      </w:pPr>
      <w:r>
        <w:rPr/>
      </w:r>
    </w:p>
    <w:tbl>
      <w:tblPr>
        <w:tblW w:w="8672" w:type="dxa"/>
        <w:jc w:val="left"/>
        <w:tblInd w:w="0" w:type="dxa"/>
        <w:tblLayout w:type="fixed"/>
        <w:tblCellMar>
          <w:top w:w="28" w:type="dxa"/>
          <w:left w:w="28" w:type="dxa"/>
          <w:bottom w:w="28" w:type="dxa"/>
          <w:right w:w="28" w:type="dxa"/>
        </w:tblCellMar>
      </w:tblPr>
      <w:tblGrid>
        <w:gridCol w:w="798"/>
        <w:gridCol w:w="701"/>
        <w:gridCol w:w="706"/>
        <w:gridCol w:w="211"/>
        <w:gridCol w:w="991"/>
        <w:gridCol w:w="109"/>
        <w:gridCol w:w="109"/>
        <w:gridCol w:w="109"/>
        <w:gridCol w:w="109"/>
        <w:gridCol w:w="211"/>
        <w:gridCol w:w="991"/>
        <w:gridCol w:w="109"/>
        <w:gridCol w:w="109"/>
        <w:gridCol w:w="109"/>
        <w:gridCol w:w="109"/>
        <w:gridCol w:w="251"/>
        <w:gridCol w:w="1179"/>
        <w:gridCol w:w="129"/>
        <w:gridCol w:w="109"/>
        <w:gridCol w:w="109"/>
        <w:gridCol w:w="109"/>
        <w:gridCol w:w="381"/>
        <w:gridCol w:w="381"/>
        <w:gridCol w:w="543"/>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1,370,032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954,373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3,019,501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1,862,166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1,157,335</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251"/>
        <w:gridCol w:w="1179"/>
        <w:gridCol w:w="129"/>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1,679,991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849,447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830,544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Non-casino revenues: </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 xml:space="preserve">Total non-casino revenues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1,339,510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1,012,719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326,791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3,019,501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1,862,166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1,157,335</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for the six months ended June 30, 2023 were 55.6% of operating revenues, compared to 45.6% for the same period of 2022. Non-casino revenues for the six months ended June 30, 2023 were 44.4% of operating revenues, compared to 54.4% for the same period of 2022.</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0075"/>
                <wp:effectExtent l="0" t="0" r="0" b="0"/>
                <wp:wrapNone/>
                <wp:docPr id="36" name="Frame3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Casino revenues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increased primarily due to higher gaming volumes at our Macau Operations following the discontinuation of pandemic-related travel restrictions in Macau in late 2022 and early 2023. The table below sets forth our casino revenues and associated key operating measures (dollars in thousands, except for win per unit per day):  </w:t>
      </w:r>
    </w:p>
    <w:p>
      <w:pPr>
        <w:pStyle w:val="TextBody"/>
        <w:bidi w:val="0"/>
        <w:spacing w:before="0" w:after="0"/>
        <w:jc w:val="both"/>
        <w:rPr/>
      </w:pPr>
      <w:r>
        <w:rPr/>
      </w:r>
    </w:p>
    <w:tbl>
      <w:tblPr>
        <w:tblW w:w="9703" w:type="dxa"/>
        <w:jc w:val="center"/>
        <w:tblInd w:w="0" w:type="dxa"/>
        <w:tblLayout w:type="fixed"/>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54"/>
        <w:gridCol w:w="1175"/>
        <w:gridCol w:w="131"/>
        <w:gridCol w:w="109"/>
        <w:gridCol w:w="109"/>
        <w:gridCol w:w="109"/>
        <w:gridCol w:w="473"/>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4,025,679 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 market:</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1,946,738 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 market:</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00075"/>
                <wp:effectExtent l="0" t="0" r="0" b="0"/>
                <wp:wrapNone/>
                <wp:docPr id="37" name="Frame3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2,415,740 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jc w:val="both"/>
        <w:rPr/>
      </w:pPr>
      <w:r>
        <w:rPr/>
      </w:r>
    </w:p>
    <w:p>
      <w:pPr>
        <w:pStyle w:val="TextBody"/>
        <w:bidi w:val="0"/>
        <w:spacing w:before="0" w:after="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075"/>
                <wp:effectExtent l="0" t="0" r="0" b="0"/>
                <wp:wrapNone/>
                <wp:docPr id="38" name="Frame3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room revenues and associated key operating measures:</w:t>
      </w:r>
    </w:p>
    <w:p>
      <w:pPr>
        <w:pStyle w:val="TextBody"/>
        <w:bidi w:val="0"/>
        <w:spacing w:before="0" w:after="0"/>
        <w:jc w:val="both"/>
        <w:rPr/>
      </w:pPr>
      <w:r>
        <w:rPr/>
      </w:r>
    </w:p>
    <w:tbl>
      <w:tblPr>
        <w:tblW w:w="9941"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721"/>
        <w:gridCol w:w="271"/>
        <w:gridCol w:w="109"/>
        <w:gridCol w:w="109"/>
        <w:gridCol w:w="109"/>
        <w:gridCol w:w="316"/>
        <w:gridCol w:w="1081"/>
        <w:gridCol w:w="163"/>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revenues increased $177.4 million, primarily due to higher occupancy and ADR at our Macau Operations and our Las Vegas Operations.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increased $85.8 million, primarily due to increased restaurant covers at our Las Vegas Operations and our Macau Operations.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 revenues increased $63.6 million due to higher business volumes across our properties, including an increase in revenues of $20.6 million from entertainment venue and convention-related sales at our Las Vegas Operations and an increase in revenues of $19.3 million from our leased retail outlets at our Macau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00075"/>
                <wp:effectExtent l="0" t="0" r="0" b="0"/>
                <wp:wrapNone/>
                <wp:docPr id="39" name="Frame3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operating expenses (dollars in thousands):</w:t>
      </w:r>
    </w:p>
    <w:tbl>
      <w:tblPr>
        <w:tblW w:w="9061" w:type="dxa"/>
        <w:jc w:val="left"/>
        <w:tblInd w:w="0" w:type="dxa"/>
        <w:tblLayout w:type="fixed"/>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5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2,599,650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2,009,059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590,591</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increased $590.6 million compared to the six months ended June 30, 2022, primarily due to increased operating costs associated with higher business volumes at each of our properties, partially offset by decreased property charges and other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increased $281.4 million and $144.9 million at Wynn Palace and Wynn Macau, respectively. These increases resulted from higher operating costs, including increases of $265.5 million and $141.6 million in incremental gaming tax expense at Wynn Palace and Wynn Macau, respectively, driven by the increase in casino revenues.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expenses increased $12.9 million and $4.6 million at our Las Vegas Operations and Wynn Palace, respectively. These increases resulted from higher operating costs related to an increase in room revenues at our Las Vegas Operations and Wynn Palace.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expenses increased $31.0 million and $10.3 million at our Las Vegas Operations and Wynn Palace, respectively. These increases resulted from higher operating costs related to an increase in food and beverage revenues at our Las Vegas Operations and Wynn Palace.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expenses increased $22.0 million at our Las Vegas operations as a result of higher operating costs associated with live and theatrical entertainment. The increase was partially offset by a decrease of $13.0 million at Wynn Interactive, primarily due to decreased marketing costs.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primarily due to triple-net operating lease expense of $70.9 million at Encore Boston Harbor following the sale-leaseback transaction in December 2022, an increase of $15.7 million at our Las Vegas Operations attributable to payroll and other general and administrative expenses required to support higher business volumes, and increased corporate and other general and administrative expenses of $24.3 million, primarily due to development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pre-opening expenses totaled $6.0 million, which primarily related to the launch of sports betting operations in Massachusetts. For the six months ended June 30, 2022, pre-opening expenses totaled $6.9 million, which primarily related to reconfiguring the theater space at Wynn Las Vegas.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charges and other expenses for the six months ended June 30, 2023 consisted primarily of asset abandonments of $6.7 million and $3.4 million at our Las Vegas Operations and Wynn Palace, respectively, as well as contract termination and other expenses of $6.5 million at Wynn Macau. Our property charges and other expenses for the six months ended June 30, 2022 consisted primarily of impairment of goodwill and other finite-lived intangible assets of $37.8 million and $10.3 million, respectively, and $7.6 million of restructuring costs related to Wynn Interactive's BetBull operations, as well as other contract termination expenses of $10.6 million and asset abandonments of $2.1 million related to Wynn Interactive.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075"/>
                <wp:effectExtent l="0" t="0" r="0" b="0"/>
                <wp:wrapNone/>
                <wp:docPr id="40" name="Frame4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increased $71.0 million primarily due to an increase in the weighted average total debt balance and an increase in the weighted average interest rate to 6.02% for the six months ended June 30, 2023, from 5.09% for the six months ended June 30, 2022.</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interest income of $84.3 million for the six months ended June 30, 2023,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loss of $23.7 million and $25.2 million for the six months ended June 30, 2023 and 2022, respectively. The impact of the exchange rate fluctuation of the Macau pataca, in relation to the U.S. dollar, on the remeasurements of U.S. dollar denominated debt and other obligations from our Macau-related entities primarily drove the variability between periods.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gain of $47.4 million and $9.0 million for the six months ended June 30, 2023 and 2022, respectively, from change in derivatives fair value. The change in derivatives fair value for the six months ended June 30, 2023 included a gain of $46.5 million recorded in relation to the conversion feature of the WML Convertible Bonds.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$15.6 million loss on debt financing transactions for the six months ended June 30, 2023, primarily related to the issuance of the 2031 WRF Senior Notes and the repurchase of the tendered 2025 WRF Senior Notes.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$5.3 million and $1.9 million for the six months ended June 30, 2023 and 2022, respectively. Income tax expense in 2023 primarily relates to U.S. operating profits. Income tax expense in 2022 primarily related to the Macau dividend tax agreement that provides for an annual payment as complementary tax otherwise due by stockholders of WRM.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maintain a valuation allowance on our deferred tax assets until there is sufficient evidence to support the reversal of all or some portion of these allowances. However, given our current earnings and anticipated future earnings, we believe there is a reasonable possibility that within the next 12 months, sufficient positive evidence may become available to allow us to reach a conclusion that a portion of the valuation allowance on certain U.S. deferred tax assets will no longer be needed. Release of the valuation allowance would result in the recognition of our deferred tax assets and a decrease to income tax expense for the period the release is recorded. However, the exact timing and amount of the valuation allowance release are uncertain.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(loss) attributable to noncontrolling interests</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noncontrolling interests was $11.5 million and net loss attributable to noncontrolling interests was $154.7 million for the six months ended June 30, 2023 and 2022, respectively. These amounts are primarily related to the noncontrolling interests' share of net income (loss) from WML.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0075"/>
                <wp:effectExtent l="0" t="0" r="0" b="0"/>
                <wp:wrapNone/>
                <wp:docPr id="41" name="Frame4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described in Item 1—"Notes to Condensed Consolidated Financial Statements," Note 18, "Segment Information," we use Adjusted Property EBITDAR to manage the operating results of our segments. Adjusted Property EBITDAR is net income (loss)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Adjusted Property EBITDAR (dollars in thousands) for Wynn Palace, Wynn Macau, Las Vegas Operations, Encore Boston Harbor, and Wynn Interactive as reviewed by management and summarized in Item 1—"Notes to Condensed Consolidated Financial Statements," Note 18, "Segment Information." That footnote also presents a reconciliation of Adjusted Property EBITDAR to net income (loss) attributable to Wynn Resorts, Limited. </w:t>
      </w:r>
    </w:p>
    <w:p>
      <w:pPr>
        <w:pStyle w:val="TextBody"/>
        <w:bidi w:val="0"/>
        <w:spacing w:before="0" w:after="0"/>
        <w:ind w:left="0" w:right="0" w:firstLine="450"/>
        <w:jc w:val="both"/>
        <w:rPr/>
      </w:pPr>
      <w:r>
        <w:rPr/>
      </w:r>
    </w:p>
    <w:tbl>
      <w:tblPr>
        <w:tblW w:w="10733" w:type="dxa"/>
        <w:jc w:val="left"/>
        <w:tblInd w:w="0" w:type="dxa"/>
        <w:tblLayout w:type="fixed"/>
        <w:tblCellMar>
          <w:top w:w="28" w:type="dxa"/>
          <w:left w:w="28" w:type="dxa"/>
          <w:bottom w:w="28" w:type="dxa"/>
          <w:right w:w="28" w:type="dxa"/>
        </w:tblCellMar>
      </w:tblPr>
      <w:tblGrid>
        <w:gridCol w:w="392"/>
        <w:gridCol w:w="326"/>
        <w:gridCol w:w="183"/>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246"/>
        <w:gridCol w:w="220"/>
        <w:gridCol w:w="221"/>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260"/>
        <w:gridCol w:w="206"/>
        <w:gridCol w:w="294"/>
      </w:tblGrid>
      <w:tr>
        <w:trPr/>
        <w:tc>
          <w:tcPr>
            <w:tcW w:w="3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Palace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Macau</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Encore Boston Harbor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Interactive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NM - Not meaningful. </w:t>
      </w:r>
    </w:p>
    <w:p>
      <w:pPr>
        <w:pStyle w:val="TextBody"/>
        <w:bidi w:val="0"/>
        <w:spacing w:before="0" w:after="0"/>
        <w:ind w:left="0" w:right="0" w:hanging="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Wynn Palace and Wynn Macau increased $206.6 million and $130.0 million for the three months ended June 30, 2023, respectively, and $318.5 million and $179.4 million for the six months ended June 30, 2023, respectively, primarily due to an increase in operating revenues of $409.7 million and $243.0 million for the three months ended June 30, 2023, respectively, and $615.7 million and $338.6 million for the six months ended June 30, 2023, respectively, partially offset by an increase in operating expenses. Our Macau Operations for the three and six months ended June 30, 2022 were negatively impacted by certain travel-related restrictions and conditions related to the COVID-19 pandemic. Over the course of December 2022 and January 2023, the Macau authorities relaxed or eliminated COVID-19 related protective measures, which resulted in increased business volumes at our Macau Operations for the three and six months ended June 30, 2023.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our Las Vegas Operations decreased $2.6 million for the three months ended June 30, 2023, primarily due to an increase in operating expenses, partially off by an increase in revenues. Adjusted Property EBITDAR at our Las Vegas Operations increased $69.6 million for the six months ended June 30, 2023, primarily due to an increase in revenues from casino, hotel, and food and beverage operations, partially offset by increased operating expenses.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00075"/>
                <wp:effectExtent l="0" t="0" r="0" b="0"/>
                <wp:wrapNone/>
                <wp:docPr id="42" name="Frame4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Encore Boston Harbor increased $5.4 million and $13.5 million for the three and six months ended June 30, 2023, primarily due to an increase in revenues from casino operations, partially offset by increased operating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Wynn Interactive increased $6.0 million and $16.4 million for the three and six months ended June 30, 2023, primarily due to a decrease in marketing and promotional expense. </w:t>
      </w:r>
    </w:p>
    <w:p>
      <w:pPr>
        <w:pStyle w:val="TextBody"/>
        <w:bidi w:val="0"/>
        <w:spacing w:before="0" w:after="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the discussions above regarding the specific details of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00075"/>
                <wp:effectExtent l="0" t="0" r="0" b="0"/>
                <wp:wrapNone/>
                <wp:docPr id="43" name="Frame4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 (in thousands):</w:t>
      </w:r>
    </w:p>
    <w:tbl>
      <w:tblPr>
        <w:tblW w:w="8588" w:type="dxa"/>
        <w:jc w:val="left"/>
        <w:tblInd w:w="0" w:type="dxa"/>
        <w:tblLayout w:type="fixed"/>
        <w:tblCellMar>
          <w:top w:w="28" w:type="dxa"/>
          <w:left w:w="28" w:type="dxa"/>
          <w:bottom w:w="28" w:type="dxa"/>
          <w:right w:w="28" w:type="dxa"/>
        </w:tblCellMar>
      </w:tblPr>
      <w:tblGrid>
        <w:gridCol w:w="2113"/>
        <w:gridCol w:w="1854"/>
        <w:gridCol w:w="1867"/>
        <w:gridCol w:w="211"/>
        <w:gridCol w:w="841"/>
        <w:gridCol w:w="109"/>
        <w:gridCol w:w="109"/>
        <w:gridCol w:w="109"/>
        <w:gridCol w:w="109"/>
        <w:gridCol w:w="211"/>
        <w:gridCol w:w="901"/>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 Summary</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530,739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(157,451)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investing activities: </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construction payables and retention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(544,261)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(195,384)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subsidiary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noncontrolling interest in subsidiary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(150,906)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on cash, cash equivalents and 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(35,193)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(507,331)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increase in cash flows from operating activities was primarily due to increased revenues from our Macau Operations, our Las Vegas Operations, and Encore Boston Harbor, which was partially offset by an increase in operating expenses associated with higher business volumes. During the six months ended June 30, 2022, the decrease in net cash used in operating activities was primarily due to increased revenues from our Las Vegas Operations and Encore Boston Harbor, which was partially offset by decreases in revenues from Wynn Palace and Wynn Macau. </w:t>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0075"/>
                <wp:effectExtent l="0" t="0" r="0" b="0"/>
                <wp:wrapNone/>
                <wp:docPr id="44" name="Frame4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incurred capital expenditures of $96.1 million at our Las Vegas Operations, $41.3 million at Encore Boston Harbor, $14.1 million at Wynn Palace, and $8.9 million at Wynn Macau primarily related to maintenance capital expenditures, and $55.0 million at Corporate and other primarily related to future development projects. In addition, during the six months ended June 30, 2023, we purchased $286.5 million in investment securities.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incurred capital expenditures of $140.8 million at our Las Vegas Operations primarily related to the Wynn Las Vegas room remodel and the theater reconfiguration, and $10.6 million at Encore Boston Harbor, $22.3 million at Wynn Palace, and $7.7 million at Wynn Macau primarily related to maintenance capital expenditures.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cash flows from financing activities was primarily due to the following debt issuances and repayments (in thousands):</w:t>
      </w:r>
    </w:p>
    <w:tbl>
      <w:tblPr>
        <w:tblW w:w="7563" w:type="dxa"/>
        <w:jc w:val="left"/>
        <w:tblInd w:w="0" w:type="dxa"/>
        <w:tblLayout w:type="fixed"/>
        <w:tblCellMar>
          <w:top w:w="28" w:type="dxa"/>
          <w:left w:w="28" w:type="dxa"/>
          <w:bottom w:w="28" w:type="dxa"/>
          <w:right w:w="28" w:type="dxa"/>
        </w:tblCellMar>
      </w:tblPr>
      <w:tblGrid>
        <w:gridCol w:w="1464"/>
        <w:gridCol w:w="1290"/>
        <w:gridCol w:w="1296"/>
        <w:gridCol w:w="294"/>
        <w:gridCol w:w="1384"/>
        <w:gridCol w:w="152"/>
        <w:gridCol w:w="109"/>
        <w:gridCol w:w="109"/>
        <w:gridCol w:w="109"/>
        <w:gridCol w:w="211"/>
        <w:gridCol w:w="991"/>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4 1/2% Convertible Bonds, due 2029</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3/4% Senior Notes, due 2025</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Las Vegas 4 1/4% Senior Notes, due 2023</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1,200,000</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1,112,500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six months ended June 30, 2023, we made dividend payments of $28.7 million, paid $41.1 million for financing costs related to the financing activities above and used cash of $8.9 million for distributions to noncontrolling interest holders of the 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repurchased 2,381,928 shares of our common stock for approximately $137.4 million. In addition, we received a $50.0 million contribution from a noncontrolling interest holder in exchange for a 49.9% interest in certain retail space contributed by the Company to the Retail Joint Venture, used cash of $16.5 million for distributions to noncontrolling interest holders of the Retail Joint Venture, and made quarterly amortization payments under the WRF Term Loan totaling $25.0 million.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unrestricted cash and cash equivalents and available revolver borrowing capacity presented by significant financing entity as of June 30, 2023 (in thousands): </w:t>
      </w:r>
    </w:p>
    <w:tbl>
      <w:tblPr>
        <w:tblW w:w="8470" w:type="dxa"/>
        <w:jc w:val="left"/>
        <w:tblInd w:w="0" w:type="dxa"/>
        <w:tblLayout w:type="fixed"/>
        <w:tblCellMar>
          <w:top w:w="28" w:type="dxa"/>
          <w:left w:w="28" w:type="dxa"/>
          <w:bottom w:w="28" w:type="dxa"/>
          <w:right w:w="28" w:type="dxa"/>
        </w:tblCellMar>
      </w:tblPr>
      <w:tblGrid>
        <w:gridCol w:w="1193"/>
        <w:gridCol w:w="1050"/>
        <w:gridCol w:w="1056"/>
        <w:gridCol w:w="403"/>
        <w:gridCol w:w="1894"/>
        <w:gridCol w:w="208"/>
        <w:gridCol w:w="109"/>
        <w:gridCol w:w="109"/>
        <w:gridCol w:w="109"/>
        <w:gridCol w:w="409"/>
        <w:gridCol w:w="1632"/>
        <w:gridCol w:w="298"/>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Revolver Borrowing Capacity</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 Limited and subsidiaries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1,616,733 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Wynn Resorts Finance, LLC </w:t>
            </w:r>
            <w:r>
              <w:rPr>
                <w:rFonts w:ascii="Times New Roman;sans-serif" w:hAnsi="Times New Roman;sans-serif"/>
                <w:b w:val="false"/>
                <w:color w:val="000000"/>
                <w:sz w:val="16"/>
              </w:rPr>
              <w:t>(1)</w:t>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736,985 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3,653,966</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736,985</w:t>
            </w:r>
            <w:r>
              <w:rPr>
                <w:color w:val="000000"/>
              </w:rPr>
              <w:t>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Excluding Wynn Macau, Limited and subsidiaries.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Macau, Limited and subsidiaries</w:t>
      </w:r>
      <w:r>
        <w:rPr>
          <w:rFonts w:ascii="Times New Roman;sans-serif" w:hAnsi="Times New Roman;sans-serif"/>
          <w:b w:val="false"/>
          <w:color w:val="000000"/>
          <w:sz w:val="20"/>
        </w:rPr>
        <w:t>. WML generates cash from our Macau Operations. We expect to use this cash to fund working capital and capital expenditure requirements at WML and our Macau Operations, and to service our WML Senior Notes, WM Cayman II Revolver, and WML Convertible Bonds. WML paid no dividends during 2022 or the first half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00075"/>
                <wp:effectExtent l="0" t="0" r="0" b="0"/>
                <wp:wrapNone/>
                <wp:docPr id="45" name="Frame4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WM Cayman II Revolver bore interest at LIBOR or HIBOR plus a margin of 1.875% to 2.875% per annum based on WM Cayman II's leverage ratio on a consolidated basis subject to a floor on the interest rate margin of 2.625% per annum through June 30, 2023. Pursuant to the amended and restated facility agreement dated June 27, 2023, the base rate applicable to loans denominated in U.S. dollars made pursuant to the WM Cayman II Revolver transitioned to the term secured overnight financing rate ("Term SOFR"), plus 0.10% (which is subject to a minimum floor of 0.00%), plus (b) a margin of 1.875% to 2.875% per annum based on WM Cayman II’s leverage ratio on a consolidated basis. The new Term SOFR base rate became effective July 4, 2023. The final maturity of all outstanding loans under the Revolving Facility remains unchanged at September 16,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amended and restated facility agreement also reflected the prior agreement of the lenders under the WM Cayman II Revolver to waive certain financial covenants therein in respect of the relevant periods ending on the following applicable test dates: (a) June 30, 2022; (b) September 30, 2022; (c) December 31, 2022; and (d) March 31, 2023; and to provide for a floor on the interest rate margin of 2.625% per annum through June 30, 2023. </w:t>
      </w:r>
      <w:r>
        <w:rPr>
          <w:rFonts w:ascii="Times New Roman;sans-serif" w:hAnsi="Times New Roman;sans-serif"/>
          <w:b w:val="false"/>
          <w:color w:val="242424"/>
          <w:sz w:val="20"/>
        </w:rPr>
        <w:t>WML</w:t>
      </w:r>
      <w:r>
        <w:rPr>
          <w:rFonts w:ascii="Times New Roman;sans-serif" w:hAnsi="Times New Roman;sans-serif"/>
          <w:b w:val="false"/>
          <w:color w:val="000000"/>
          <w:sz w:val="20"/>
        </w:rPr>
        <w:t>, as guarantor, may be subject to certain restrictions on payments of dividends or distributions to its shareholders, unless certain financial criteria have been satisfied.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2023, WML completed an offering (the "Offering") of $600.0 million 4.50% convertible bonds due 2029 (the "WML Convertible Bonds"). The WML Convertible Bonds are governed by a trust deed dated March 7, 2023 (the "Trust Deed"). The net proceeds from the Offering, after deduction of commission and other related expenses, were $585.9 million. WML intends to use the proceeds for general corporate purposes. The WML Convertible Bonds bear interest on their outstanding principal amount from and including March 7, 2023 at the rate of 4.50% per annum.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are convertible at the option of the holder thereof into fully paid ordinary shares of WML, at the initial conversion price of approximately HK$10.24 (equivalent to approximately $1.31) per share, subject to and upon compliance with the terms and conditions of the WML Convertible Bonds (the "Terms and Conditions," and such right, the "Conversion Right"). The conversion price is at the fixed rate of HK$7.8497 (equivalent to US$1.00), subject to standard adjustments for certain dilutive events as described in the Terms and Conditions. WML has the option, in its sole discretion, to pay to the relevant bondholder an amount of cash equivalent in order to satisfy the Conversion Right in whole or in part.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WML Convertible Bonds have the option to require WML to redeem all or some only of such holder’s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 The WML Convertible Bonds may also be redeemed at the option of WML in whole, but not in part, at any time after March 7, 2027, but prior to March 7, 2029, upon giving notice to the bondholders in accordance with the Terms and Conditions, under certain circumstances specified in the Trust Deed.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portion of our cash and cash equivalents were repatriated to the U.S. on June 30, 2023, it would be subject to minimal U.S. taxes in the year of repatriation.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Finance, LLC and subsidiaries.</w:t>
      </w:r>
      <w:r>
        <w:rPr>
          <w:color w:val="000000"/>
        </w:rPr>
        <w:t xml:space="preserve"> </w:t>
      </w:r>
      <w:r>
        <w:rPr>
          <w:rFonts w:ascii="Times New Roman;sans-serif" w:hAnsi="Times New Roman;sans-serif"/>
          <w:b w:val="false"/>
          <w:color w:val="000000"/>
          <w:sz w:val="20"/>
        </w:rPr>
        <w:t>Wynn Resorts Finance, LLC ("WRF" or "Wynn Resorts Finance") 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16, 2023, WRF and its subsidiary Wynn Resorts Capital Corp. (together with WRF, the "WRF Issuers") issued $600.0 million aggregate principal amount of 7 1/8% Senior Notes due 2031 (the "2031 WRF Senior Notes") in a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00075"/>
                <wp:effectExtent l="0" t="0" r="0" b="0"/>
                <wp:wrapNone/>
                <wp:docPr id="46" name="Frame4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offering. The 2031 WRF Senior Notes were issued at par, for proceeds of $596.2 million, net of $3.8 million of related fees and expenses. Also on February 16, 2023, WRF completed a cash tender offer for any and all of the outstanding principal amount of the 2025 WRF Senior Notes, and accepted for purchase valid tenders with respect to $506.4 million and paid a tender premium of $12.4 million. We used a portion of the net proceeds from the offering of the 2031 WRF Senior Notes to purchase such tendered 2025 WRF Senior Notes and to pay related fees and expenses, and intend to use the remaining net proceeds for general corporate purposes. In April 2023, we repurchased the remaining outstanding 2025 WRF Senior Notes using the remaining net proceeds from the issuance of the 2031 WRF Senior Notes and cash held by WRF, at a price equal to 101.938% of the principal amount plus accrued interest under the terms of its indenture.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we repurchased all of the outstanding Wynn Las Vegas 4.25% Senior Notes due 2023 of $500.0 million using cash held by WRF, at a price equal to 100% of the principal amount plus accrued interest under the terms of their indenture.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WRF and certain of its subsidiaries entered into an amendment (the "WRF Credit Agreement Amendment") to its existing credit agreement (the "WRF Credit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Credit Agreement Amendment amends the WRF Credit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Limited and other subsidiaries.</w:t>
      </w:r>
      <w:r>
        <w:rPr>
          <w:color w:val="000000"/>
        </w:rPr>
        <w:t xml:space="preserve"> </w:t>
      </w:r>
      <w:r>
        <w:rPr>
          <w:rFonts w:ascii="Times New Roman;sans-serif" w:hAnsi="Times New Roman;sans-serif"/>
          <w:b w:val="false"/>
          <w:color w:val="000000"/>
          <w:sz w:val="20"/>
        </w:rPr>
        <w:t>Wynn Resorts, Limited is a holding company and, as a result, our ability to 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$115.1 million for the year ended December 31, 2023. We expect to use cash held by Wynn Resorts, Limited and other to service our Retail Term Loan, to pay dividends, to fund future development projects, and for general corporate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 2023, the Company entered into a second amendment to the existing term loan agreement (the "Retail Term Loan Amendment") which transitions the benchmark interest rate of the Retail Term Loan from LIBOR to the adjusted daily simple secured overnight financing rate ("SOFR") and to make related conforming changes, effective July 3, 2023.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2023, the Company paid a cash dividend of $0.25 per share to stockholders of record as of May 23, 2023. On August 9, 2023, the Company declared a cash dividend of $0.25 per share, payable on August 31, 2023 to stockholders of record as of August 21, 2023.</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Factors Affecting Liquidity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refinance all or a portion of our indebtedness on or before maturity. We cannot assure you that we will be able to refinance any of the indebtedness on acceptable terms or at all.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Note 16, "Commitments and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2016, our Board of Directors has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During the three and six months ended June 30, 2023, we did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00075"/>
                <wp:effectExtent l="0" t="0" r="0" b="0"/>
                <wp:wrapNone/>
                <wp:docPr id="47" name="Frame4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repurchase any shares of our common stock under this equity repurchase program. As of June 30, 2023, we had $628.8 million in repurchase authority remaining under the program.</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Contractual Commitments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six months ended June 30, 2023, except as described below, there have been no material changes to the contractual obligations previously reported in our Annual Report on Form 10-K for the year ended December 31, 2022.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During the six months ended June 30, 2023, our fixed interest rate long-term debt obligations increased by a net amount of $100.0 million, as a result of $1.20 billion in long-term debt issuances, net of $1.10 billion in debt repayments. Additionally, our annual fixed interest payments are expected to increase $10.4 million in 2023, $23.3 million in 2024, $56.2 million in 2025, $69.8 million in each of 2026 and 2027, and $166.2 million thereafter, primarily as a result of the issuance of the WRF 2031 Senior Notes and the WML Convertible Bonds and the </w:t>
      </w:r>
      <w:r>
        <w:rPr>
          <w:rFonts w:ascii="Times New Roman;sans-serif" w:hAnsi="Times New Roman;sans-serif"/>
          <w:b w:val="false"/>
          <w:color w:val="000000"/>
          <w:sz w:val="20"/>
        </w:rPr>
        <w:t>repurchase of the tendered 2025 WRF Senior Notes and the 2023 Wynn Las Vegas Senior Notes, each</w:t>
      </w:r>
      <w:r>
        <w:rPr>
          <w:color w:val="000000"/>
          <w:shd w:fill="FFFFFF" w:val="clear"/>
        </w:rPr>
        <w:t xml:space="preserve"> </w:t>
      </w:r>
      <w:r>
        <w:rPr>
          <w:rFonts w:ascii="Times New Roman;sans-serif" w:hAnsi="Times New Roman;sans-serif"/>
          <w:b w:val="false"/>
          <w:color w:val="000000"/>
          <w:sz w:val="20"/>
          <w:shd w:fill="FFFFFF" w:val="clear"/>
        </w:rPr>
        <w:t xml:space="preserve">as described above.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critical accounting policies is included in Item 7 of our Annual Report on Form 10-K for the year ended December 31, 2022. Except as described below, there have been no significant changes to these policies for the six months ended June 30, 2023:</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WML Convertible Bond Conversion Option Derivative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will be reported at fair value as of the end of each reporting period, with changes recognized in the statement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Standards and Accounting Standards Issued But Not Yet Adopted</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related disclosure in Note 2, "Basis of Presentation and Significant Accounting Policies" of Part I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00075"/>
                <wp:effectExtent l="0" t="0" r="0" b="0"/>
                <wp:wrapNone/>
                <wp:docPr id="48" name="Frame4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w:t>
      </w:r>
    </w:p>
    <w:p>
      <w:pPr>
        <w:pStyle w:val="TextBody"/>
        <w:bidi w:val="0"/>
        <w:spacing w:before="0" w:after="0"/>
        <w:ind w:left="0" w:right="0" w:firstLine="22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Sensitivity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approximately 24% of our long-term debt was based on variable rates. Based on our outstanding borrowings as of June 30, 2023, an assumed 100 basis point increase and decrease in the applicable variable rates would have caused our annual interest expense to change by $23.2 million.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mitigate exposure to interest rate fluctuations on the Retail Term Loan, the Company entered into an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 and as of the July 3, 2023 effective date of the Retail Term Loan Amendment, the Company pays the counterparty if one-month SOFR falls below the established floor rate of 1.00%, and the counterparty will pay the Company if one-month SOFR exceeds the ceiling rate of 3.67%.</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June 30, 2023, an assumed 1% change in the U.S. dollar/Hong Kong dollar exchange rate would cause a foreign currency transaction gain/loss of $44.1 million.</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00075"/>
                <wp:effectExtent l="0" t="0" r="0" b="0"/>
                <wp:wrapNone/>
                <wp:docPr id="49" name="Frame4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16, "Commitments and Contingencies" of Part I in this Quarterly Report on Form 10-Q.</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risk factors can be found in Item 1A, Part I of our Annual Report on Form 10-K for the year ended December 31, 2022. There were no material changes to those risk factors during the six months ended June 30, 2023.</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share repurchases made by the Company under its publicly announced equity prepurchase program during the three and six months ended June 30, 2023. As of June 30, 2023, the Company had $628.8 million in repurchase authority remaining under the program.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shares we repurchased in satisfaction of employee tax withholding obligations on vested restricted stock during the three months ended June 30, 2023, which were not part of the Company's publicly announced equity repurchase program:</w:t>
      </w:r>
    </w:p>
    <w:tbl>
      <w:tblPr>
        <w:tblW w:w="10205" w:type="dxa"/>
        <w:jc w:val="left"/>
        <w:tblInd w:w="0" w:type="dxa"/>
        <w:tblLayout w:type="fixed"/>
        <w:tblCellMar>
          <w:top w:w="28" w:type="dxa"/>
          <w:left w:w="28" w:type="dxa"/>
          <w:bottom w:w="28" w:type="dxa"/>
          <w:right w:w="28" w:type="dxa"/>
        </w:tblCellMar>
      </w:tblPr>
      <w:tblGrid>
        <w:gridCol w:w="514"/>
        <w:gridCol w:w="453"/>
        <w:gridCol w:w="457"/>
        <w:gridCol w:w="109"/>
        <w:gridCol w:w="109"/>
        <w:gridCol w:w="109"/>
        <w:gridCol w:w="688"/>
        <w:gridCol w:w="688"/>
        <w:gridCol w:w="689"/>
        <w:gridCol w:w="109"/>
        <w:gridCol w:w="109"/>
        <w:gridCol w:w="109"/>
        <w:gridCol w:w="516"/>
        <w:gridCol w:w="1765"/>
        <w:gridCol w:w="266"/>
        <w:gridCol w:w="109"/>
        <w:gridCol w:w="109"/>
        <w:gridCol w:w="109"/>
        <w:gridCol w:w="808"/>
        <w:gridCol w:w="1785"/>
        <w:gridCol w:w="595"/>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Month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Approximate Dollar Value of Repurchased Shares </w:t>
              <w:br/>
              <w:t>(in thousands)</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3. Default Upon Senior Securities. </w:t>
      </w:r>
    </w:p>
    <w:p>
      <w:pPr>
        <w:pStyle w:val="TextBody"/>
        <w:bidi w:val="0"/>
        <w:spacing w:before="0" w:after="0"/>
        <w:ind w:left="0" w:right="0" w:firstLine="49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Section 16 of the Exchange Act) adopted or terminated a "Rule 10b5-1 trading arrangement" or a "non-Rule 10b5-1 trading arrangement" (each as defined in Item 408(a) and (c) of Regulation S-K) during the Company's fiscal quarter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00075"/>
                <wp:effectExtent l="0" t="0" r="0" b="0"/>
                <wp:wrapNone/>
                <wp:docPr id="50" name="Frame5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99"/>
        <w:gridCol w:w="2651"/>
        <w:gridCol w:w="378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Ninth Amended and Restated Bylaws of the Registrant. (Incorporated by reference from the Annual Report on Form 10-K filed by the Registrant on February 28, 2020.)</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3 to Credit Agreement, dated as of May 17, 2023, by and among Wynn Resorts Finance, LLC, as borrower, the subsidiaries of borrower party hereto, as guarantors, Deutsche Bank AG New York Branch, as administrative agent (Incorporated by reference from the Current Report on Form 8-K filed by the Registrant on May 17,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Exhibit A to Amendment No. 3 - Credit Agreement, dated as of September 20, 2019 (as amended by Amendment No. 1 dated as of April 10, 2020, Amendment No. 2 dated as of November 27, 2020, and Amendment No. 3 dated as of May 17, 2023), by and among Wynn Resorts Finance, LLC, as borrower, the subsidiaries of borrower party hereto, as guarantors, Deutsche Bank AG New York Branch, as administrative agent and as collateral agent (Incorporated by reference from the Current Report on Form 8-K filed by the Registrant on Ma</w:t>
              </w:r>
            </w:hyperlink>
            <w:hyperlink r:id="rId6">
              <w:r>
                <w:rPr>
                  <w:rStyle w:val="InternetLink"/>
                  <w:rFonts w:ascii="Times New Roman;sans-serif" w:hAnsi="Times New Roman;sans-serif"/>
                  <w:b w:val="false"/>
                  <w:color w:val="000080"/>
                  <w:sz w:val="20"/>
                  <w:u w:val="single"/>
                </w:rPr>
                <w:t>y</w:t>
              </w:r>
            </w:hyperlink>
            <w:hyperlink r:id="rId7">
              <w:r>
                <w:rPr>
                  <w:rStyle w:val="InternetLink"/>
                  <w:rFonts w:ascii="Times New Roman;sans-serif" w:hAnsi="Times New Roman;sans-serif"/>
                  <w:b w:val="false"/>
                  <w:color w:val="000080"/>
                  <w:sz w:val="20"/>
                  <w:u w:val="single"/>
                </w:rPr>
                <w:t xml:space="preserve"> </w:t>
              </w:r>
            </w:hyperlink>
            <w:hyperlink r:id="rId8">
              <w:r>
                <w:rPr>
                  <w:rStyle w:val="InternetLink"/>
                  <w:rFonts w:ascii="Times New Roman;sans-serif" w:hAnsi="Times New Roman;sans-serif"/>
                  <w:b w:val="false"/>
                  <w:color w:val="000080"/>
                  <w:sz w:val="20"/>
                  <w:u w:val="single"/>
                </w:rPr>
                <w:t>1</w:t>
              </w:r>
            </w:hyperlink>
            <w:hyperlink r:id="rId9">
              <w:r>
                <w:rPr>
                  <w:rStyle w:val="InternetLink"/>
                  <w:rFonts w:ascii="Times New Roman;sans-serif" w:hAnsi="Times New Roman;sans-serif"/>
                  <w:b w:val="false"/>
                  <w:color w:val="000080"/>
                  <w:sz w:val="20"/>
                  <w:u w:val="single"/>
                </w:rPr>
                <w:t>7, 2023.)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80"/>
                  <w:sz w:val="20"/>
                  <w:u w:val="single"/>
                </w:rPr>
                <w:t>Second Amendment to Term Loan Agreement, dated as of June 2, 2023, by and among Wynn/CA Plaza Property Owner, LLC and Wynn/CA Property Owner, LLC, as borrowers, United Overseas Bank Limited, New York Agency, as administrative agent, and the lenders party thereto</w:t>
              </w:r>
            </w:hyperlink>
            <w:hyperlink r:id="rId11">
              <w:r>
                <w:rPr>
                  <w:rStyle w:val="InternetLink"/>
                  <w:rFonts w:ascii="Times New Roman;sans-serif" w:hAnsi="Times New Roman;sans-serif"/>
                  <w:b w:val="false"/>
                  <w:color w:val="000080"/>
                  <w:sz w:val="20"/>
                  <w:u w:val="single"/>
                </w:rPr>
                <w:t xml:space="preserve"> </w:t>
              </w:r>
            </w:hyperlink>
            <w:hyperlink r:id="rId12">
              <w:r>
                <w:rPr>
                  <w:rStyle w:val="InternetLink"/>
                  <w:rFonts w:ascii="Times New Roman;sans-serif" w:hAnsi="Times New Roman;sans-serif"/>
                  <w:b w:val="false"/>
                  <w:color w:val="000080"/>
                  <w:sz w:val="20"/>
                  <w:u w:val="single"/>
                </w:rPr>
                <w:t xml:space="preserve">(Incorporated by reference from the Current Report on Form 8-K filed by the Registrant on </w:t>
              </w:r>
            </w:hyperlink>
            <w:hyperlink r:id="rId13">
              <w:r>
                <w:rPr>
                  <w:rStyle w:val="InternetLink"/>
                  <w:rFonts w:ascii="Times New Roman;sans-serif" w:hAnsi="Times New Roman;sans-serif"/>
                  <w:b w:val="false"/>
                  <w:color w:val="000080"/>
                  <w:sz w:val="20"/>
                  <w:u w:val="single"/>
                </w:rPr>
                <w:t xml:space="preserve">June </w:t>
              </w:r>
            </w:hyperlink>
            <w:hyperlink r:id="rId14">
              <w:r>
                <w:rPr>
                  <w:rStyle w:val="InternetLink"/>
                  <w:rFonts w:ascii="Times New Roman;sans-serif" w:hAnsi="Times New Roman;sans-serif"/>
                  <w:b w:val="false"/>
                  <w:color w:val="000080"/>
                  <w:sz w:val="20"/>
                  <w:u w:val="single"/>
                </w:rPr>
                <w:t>5</w:t>
              </w:r>
            </w:hyperlink>
            <w:hyperlink r:id="rId15">
              <w:r>
                <w:rPr>
                  <w:rStyle w:val="InternetLink"/>
                  <w:rFonts w:ascii="Times New Roman;sans-serif" w:hAnsi="Times New Roman;sans-serif"/>
                  <w:b w:val="false"/>
                  <w:color w:val="000080"/>
                  <w:sz w:val="20"/>
                  <w:u w:val="single"/>
                </w:rPr>
                <w:t>,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20"/>
                  <w:u w:val="single"/>
                </w:rPr>
                <w:t xml:space="preserve">Amendment and Restatement Agreement to Facility Agreement, dated as of June 27, 2023, by and among WM Cayman Holdings Limited II, as borrower, Wynn Macau, Limited, as guarantor, Bank of China Limited, Macau Branch, as agent and a syndicate of lenders party thereto (Incorporated by reference from the Current Report on Form 8-K filed by the Registrant on June </w:t>
              </w:r>
            </w:hyperlink>
            <w:hyperlink r:id="rId17">
              <w:r>
                <w:rPr>
                  <w:rStyle w:val="InternetLink"/>
                  <w:rFonts w:ascii="Times New Roman;sans-serif" w:hAnsi="Times New Roman;sans-serif"/>
                  <w:b w:val="false"/>
                  <w:color w:val="000080"/>
                  <w:sz w:val="20"/>
                  <w:u w:val="single"/>
                </w:rPr>
                <w:t>30</w:t>
              </w:r>
            </w:hyperlink>
            <w:hyperlink r:id="rId18">
              <w:r>
                <w:rPr>
                  <w:rStyle w:val="InternetLink"/>
                  <w:rFonts w:ascii="Times New Roman;sans-serif" w:hAnsi="Times New Roman;sans-serif"/>
                  <w:b w:val="false"/>
                  <w:color w:val="000080"/>
                  <w:sz w:val="20"/>
                  <w:u w:val="single"/>
                </w:rPr>
                <w:t>,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First Amendment to Employment Agreement, dated as of June 1, 2023, by and between Wynn Resorts, Limited and Craig S. Billings (Incorporated by reference from the Current Report on Form 8-K filed by the Registrant on June 2,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Second Amendment to Employment Agreement, dated as of June 1, 2023, by and between Wynn Resorts, Limited and Julie Cameron-Doe (Incorporated by reference from the Current Report on Form 8-K filed by the Registrant on June 2,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scertificationxq2.htm">
              <w:r>
                <w:rPr>
                  <w:rStyle w:val="InternetLink"/>
                  <w:rFonts w:ascii="Times New Roman;sans-serif" w:hAnsi="Times New Roman;sans-serif"/>
                  <w:b w:val="false"/>
                  <w:color w:val="0000FF"/>
                  <w:sz w:val="20"/>
                  <w:u w:val="single"/>
                </w:rPr>
                <w:t>Certification of Chief Executive Officer of Periodic Report Pursuant to Rule 13a – 14(a) and Rule 15d – 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scertificationxq2.htm">
              <w:r>
                <w:rPr>
                  <w:rStyle w:val="InternetLink"/>
                  <w:rFonts w:ascii="Times New Roman;sans-serif" w:hAnsi="Times New Roman;sans-serif"/>
                  <w:b w:val="false"/>
                  <w:color w:val="0000FF"/>
                  <w:sz w:val="20"/>
                  <w:u w:val="single"/>
                </w:rPr>
                <w:t>Certification of Chief Financial Officer of Periodic Report Pursuant to Rule 13a – 14(a) and Rule 15d – 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ceoandcfocertification.htm">
              <w:r>
                <w:rPr>
                  <w:rStyle w:val="InternetLink"/>
                  <w:rFonts w:ascii="Times New Roman;sans-serif" w:hAnsi="Times New Roman;sans-serif"/>
                  <w:b w:val="false"/>
                  <w:color w:val="0000FF"/>
                  <w:sz w:val="20"/>
                  <w:u w:val="single"/>
                </w:rPr>
                <w:t>Certification of CEO and CFO Pursuant to 18 U.S.C. Section 1350 (furnished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 from Wynn Resorts, Limited's Quarterly Report on Form 10-Q, formatted in Inline XBRL (Inline Extensible Business Reporting Language): (i) the Condensed Consolidated Balance Sheets as of June 30, 2023 and December 31, 2022; (ii) the Condensed Consolidated Statements of Operations for the three and six months ended June 30, 2023 and 2022; (iii) the Condensed Consolidated Statements of Comprehensive Income (Loss) for the three and six months ended June 30, 2023 and 2022; (iv) the Condensed Consolidated Statements of Stockholders' Deficit for the three and six months ended June 30, 2023 and 2022; (v) the Condensed Consolidated Statements of Cash Flows for the six months ended June 30, 2023 and 2022; and (vi) Notes to Condensed Consolidated Financial Statements. The instance document does not appear in the Interactive Data File because its XBRL tags are embedded within the Inline XBRL document.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00075"/>
                <wp:effectExtent l="0" t="0" r="0" b="0"/>
                <wp:wrapNone/>
                <wp:docPr id="51" name="Frame5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a51c07a5e4648feab487d1ad023512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039"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49"/>
        <w:gridCol w:w="149"/>
        <w:gridCol w:w="151"/>
        <w:gridCol w:w="121"/>
        <w:gridCol w:w="121"/>
        <w:gridCol w:w="121"/>
        <w:gridCol w:w="864"/>
        <w:gridCol w:w="864"/>
        <w:gridCol w:w="122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00075"/>
                <wp:effectExtent l="0" t="0" r="0" b="0"/>
                <wp:wrapNone/>
                <wp:docPr id="52" name="Frame5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Craig S. Billings,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5300"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724"/>
        <w:gridCol w:w="724"/>
        <w:gridCol w:w="102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br/>
              <w:t xml:space="preserve">Chief Executive Officer </w:t>
              <w:br/>
              <w:t>(Principal Executive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Julie Cameron-Doe,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6589"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100"/>
        <w:gridCol w:w="1100"/>
        <w:gridCol w:w="156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Cameron-Doe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br/>
              <w:t xml:space="preserve">Chief Financial Officer </w:t>
              <w:br/>
              <w:t>(Principal Financial and Accounting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 and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Wynn Resorts, Limited (the “Company”) for the quarter ended June 30, 2023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720"/>
        <w:jc w:val="left"/>
        <w:rPr/>
      </w:pPr>
      <w:r>
        <w:rPr/>
      </w:r>
    </w:p>
    <w:p>
      <w:pPr>
        <w:pStyle w:val="TextBody"/>
        <w:bidi w:val="0"/>
        <w:spacing w:before="180" w:after="283"/>
        <w:ind w:left="0" w:right="0" w:hanging="720"/>
        <w:jc w:val="left"/>
        <w:rPr/>
      </w:pPr>
      <w:r>
        <w:rPr/>
      </w:r>
    </w:p>
    <w:tbl>
      <w:tblPr>
        <w:tblW w:w="3163" w:type="dxa"/>
        <w:jc w:val="left"/>
        <w:tblInd w:w="0" w:type="dxa"/>
        <w:tblLayout w:type="fixed"/>
        <w:tblCellMar>
          <w:top w:w="28" w:type="dxa"/>
          <w:left w:w="28" w:type="dxa"/>
          <w:bottom w:w="28" w:type="dxa"/>
          <w:right w:w="28" w:type="dxa"/>
        </w:tblCellMar>
      </w:tblPr>
      <w:tblGrid>
        <w:gridCol w:w="249"/>
        <w:gridCol w:w="219"/>
        <w:gridCol w:w="221"/>
        <w:gridCol w:w="722"/>
        <w:gridCol w:w="722"/>
        <w:gridCol w:w="1030"/>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249"/>
        <w:gridCol w:w="219"/>
        <w:gridCol w:w="221"/>
        <w:gridCol w:w="1100"/>
        <w:gridCol w:w="1100"/>
        <w:gridCol w:w="156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bl>
    <w:p>
      <w:pPr>
        <w:pStyle w:val="TextBody"/>
        <w:bidi w:val="0"/>
        <w:spacing w:lineRule="auto" w:line="288" w:before="29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74922/000117492215000044/ex-31.htm" TargetMode="External"/><Relationship Id="rId3" Type="http://schemas.openxmlformats.org/officeDocument/2006/relationships/hyperlink" Target="http://www.sec.gov/Archives/edgar/data/1174922/000117492220000024/ex32-bylaws.htm" TargetMode="External"/><Relationship Id="rId4" Type="http://schemas.openxmlformats.org/officeDocument/2006/relationships/hyperlink" Target="https://www.sec.gov/Archives/edgar/data/1174922/000117492223000111/wynn-amendmentno3tocredita.htm" TargetMode="External"/><Relationship Id="rId5" Type="http://schemas.openxmlformats.org/officeDocument/2006/relationships/hyperlink" Target="https://www.sec.gov/Archives/edgar/data/1174922/000117492223000111/exhibitatoamendmentno3v2.htm" TargetMode="External"/><Relationship Id="rId6" Type="http://schemas.openxmlformats.org/officeDocument/2006/relationships/hyperlink" Target="https://www.sec.gov/Archives/edgar/data/1174922/000117492223000111/exhibitatoamendmentno3v2.htm" TargetMode="External"/><Relationship Id="rId7" Type="http://schemas.openxmlformats.org/officeDocument/2006/relationships/hyperlink" Target="https://www.sec.gov/Archives/edgar/data/1174922/000117492223000111/exhibitatoamendmentno3v2.htm" TargetMode="External"/><Relationship Id="rId8" Type="http://schemas.openxmlformats.org/officeDocument/2006/relationships/hyperlink" Target="https://www.sec.gov/Archives/edgar/data/1174922/000117492223000111/exhibitatoamendmentno3v2.htm" TargetMode="External"/><Relationship Id="rId9" Type="http://schemas.openxmlformats.org/officeDocument/2006/relationships/hyperlink" Target="https://www.sec.gov/Archives/edgar/data/1174922/000117492223000111/exhibitatoamendmentno3v2.htm" TargetMode="External"/><Relationship Id="rId10" Type="http://schemas.openxmlformats.org/officeDocument/2006/relationships/hyperlink" Target="https://www.sec.gov/Archives/edgar/data/1174922/000117492223000120/ex101-wynnretailxsecondame.htm" TargetMode="External"/><Relationship Id="rId11" Type="http://schemas.openxmlformats.org/officeDocument/2006/relationships/hyperlink" Target="https://www.sec.gov/Archives/edgar/data/1174922/000117492223000120/ex101-wynnretailxsecondame.htm" TargetMode="External"/><Relationship Id="rId12" Type="http://schemas.openxmlformats.org/officeDocument/2006/relationships/hyperlink" Target="https://www.sec.gov/Archives/edgar/data/1174922/000117492223000120/ex101-wynnretailxsecondame.htm" TargetMode="External"/><Relationship Id="rId13" Type="http://schemas.openxmlformats.org/officeDocument/2006/relationships/hyperlink" Target="https://www.sec.gov/Archives/edgar/data/1174922/000117492223000120/ex101-wynnretailxsecondame.htm" TargetMode="External"/><Relationship Id="rId14" Type="http://schemas.openxmlformats.org/officeDocument/2006/relationships/hyperlink" Target="https://www.sec.gov/Archives/edgar/data/1174922/000117492223000120/ex101-wynnretailxsecondame.htm" TargetMode="External"/><Relationship Id="rId15" Type="http://schemas.openxmlformats.org/officeDocument/2006/relationships/hyperlink" Target="https://www.sec.gov/Archives/edgar/data/1174922/000117492223000120/ex101-wynnretailxsecondame.htm" TargetMode="External"/><Relationship Id="rId16" Type="http://schemas.openxmlformats.org/officeDocument/2006/relationships/hyperlink" Target="https://www.sec.gov/Archives/edgar/data/1174922/000117492223000124/ex101-wmcaymaniirevolveram.htm" TargetMode="External"/><Relationship Id="rId17" Type="http://schemas.openxmlformats.org/officeDocument/2006/relationships/hyperlink" Target="https://www.sec.gov/Archives/edgar/data/1174922/000117492223000124/ex101-wmcaymaniirevolveram.htm" TargetMode="External"/><Relationship Id="rId18" Type="http://schemas.openxmlformats.org/officeDocument/2006/relationships/hyperlink" Target="https://www.sec.gov/Archives/edgar/data/1174922/000117492223000124/ex101-wmcaymaniirevolveram.htm" TargetMode="External"/><Relationship Id="rId19" Type="http://schemas.openxmlformats.org/officeDocument/2006/relationships/hyperlink" Target="https://www.sec.gov/Archives/edgar/data/1174922/000117492223000116/ex101-craigsbillingsamendm.htm" TargetMode="External"/><Relationship Id="rId20" Type="http://schemas.openxmlformats.org/officeDocument/2006/relationships/hyperlink" Target="https://www.sec.gov/Archives/edgar/data/1174922/000117492223000116/ex102-juliecameronxdoeamen.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25353</Words>
  <Characters>138803</Characters>
  <CharactersWithSpaces>162403</CharactersWithSpaces>
  <Paragraphs>4270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