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68580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237490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27, 2009</w:t>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740" w:type="dxa"/>
        <w:tblCellMar>
          <w:top w:w="0" w:type="dxa"/>
          <w:left w:w="0" w:type="dxa"/>
          <w:bottom w:w="0" w:type="dxa"/>
          <w:right w:w="0" w:type="dxa"/>
        </w:tblCellMar>
      </w:tblPr>
      <w:tr>
        <w:trPr>
          <w:trHeight w:val="236"/>
        </w:trPr>
        <w:tc>
          <w:tcPr>
            <w:tcW w:w="23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84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60" w:type="dxa"/>
            <w:vAlign w:val="bottom"/>
          </w:tcPr>
          <w:p>
            <w:pPr>
              <w:jc w:val="center"/>
              <w:ind w:left="8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340" w:type="dxa"/>
            <w:vAlign w:val="bottom"/>
          </w:tcPr>
          <w:p>
            <w:pPr>
              <w:jc w:val="center"/>
              <w:spacing w:after="0"/>
              <w:rPr>
                <w:sz w:val="20"/>
                <w:szCs w:val="20"/>
                <w:color w:val="auto"/>
              </w:rPr>
            </w:pPr>
            <w:r>
              <w:rPr>
                <w:rFonts w:ascii="Arial" w:cs="Arial" w:eastAsia="Arial" w:hAnsi="Arial"/>
                <w:sz w:val="20"/>
                <w:szCs w:val="20"/>
                <w:color w:val="auto"/>
                <w:w w:val="91"/>
              </w:rPr>
              <w:t>(State or other jurisdiction of</w:t>
            </w:r>
          </w:p>
        </w:tc>
        <w:tc>
          <w:tcPr>
            <w:tcW w:w="4840" w:type="dxa"/>
            <w:vAlign w:val="bottom"/>
          </w:tcPr>
          <w:p>
            <w:pPr>
              <w:jc w:val="center"/>
              <w:ind w:left="341"/>
              <w:spacing w:after="0"/>
              <w:rPr>
                <w:sz w:val="20"/>
                <w:szCs w:val="20"/>
                <w:color w:val="auto"/>
              </w:rPr>
            </w:pPr>
            <w:r>
              <w:rPr>
                <w:rFonts w:ascii="Arial" w:cs="Arial" w:eastAsia="Arial" w:hAnsi="Arial"/>
                <w:sz w:val="20"/>
                <w:szCs w:val="20"/>
                <w:color w:val="auto"/>
                <w:w w:val="92"/>
              </w:rPr>
              <w:t>(Commission File Number)</w:t>
            </w:r>
          </w:p>
        </w:tc>
        <w:tc>
          <w:tcPr>
            <w:tcW w:w="3060" w:type="dxa"/>
            <w:vAlign w:val="bottom"/>
          </w:tcPr>
          <w:p>
            <w:pPr>
              <w:jc w:val="center"/>
              <w:ind w:left="8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340" w:type="dxa"/>
            <w:vAlign w:val="bottom"/>
          </w:tcPr>
          <w:p>
            <w:pPr>
              <w:jc w:val="center"/>
              <w:spacing w:after="0"/>
              <w:rPr>
                <w:sz w:val="20"/>
                <w:szCs w:val="20"/>
                <w:color w:val="auto"/>
              </w:rPr>
            </w:pPr>
            <w:r>
              <w:rPr>
                <w:rFonts w:ascii="Arial" w:cs="Arial" w:eastAsia="Arial" w:hAnsi="Arial"/>
                <w:sz w:val="20"/>
                <w:szCs w:val="20"/>
                <w:color w:val="auto"/>
                <w:w w:val="93"/>
              </w:rPr>
              <w:t>incorporation)</w:t>
            </w:r>
          </w:p>
        </w:tc>
        <w:tc>
          <w:tcPr>
            <w:tcW w:w="484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695"/>
        </w:trPr>
        <w:tc>
          <w:tcPr>
            <w:tcW w:w="2340" w:type="dxa"/>
            <w:vAlign w:val="bottom"/>
          </w:tcPr>
          <w:p>
            <w:pPr>
              <w:spacing w:after="0"/>
              <w:rPr>
                <w:sz w:val="24"/>
                <w:szCs w:val="24"/>
                <w:color w:val="auto"/>
              </w:rPr>
            </w:pPr>
          </w:p>
        </w:tc>
        <w:tc>
          <w:tcPr>
            <w:tcW w:w="4840" w:type="dxa"/>
            <w:vAlign w:val="bottom"/>
          </w:tcPr>
          <w:p>
            <w:pPr>
              <w:jc w:val="center"/>
              <w:ind w:left="321"/>
              <w:spacing w:after="0"/>
              <w:rPr>
                <w:sz w:val="20"/>
                <w:szCs w:val="20"/>
                <w:color w:val="auto"/>
              </w:rPr>
            </w:pPr>
            <w:r>
              <w:rPr>
                <w:rFonts w:ascii="Arial" w:cs="Arial" w:eastAsia="Arial" w:hAnsi="Arial"/>
                <w:sz w:val="20"/>
                <w:szCs w:val="20"/>
                <w:b w:val="1"/>
                <w:bCs w:val="1"/>
                <w:color w:val="auto"/>
                <w:w w:val="99"/>
              </w:rPr>
              <w:t>WYNN LAS VEGAS, LLC</w:t>
            </w:r>
          </w:p>
        </w:tc>
        <w:tc>
          <w:tcPr>
            <w:tcW w:w="3060" w:type="dxa"/>
            <w:vAlign w:val="bottom"/>
          </w:tcPr>
          <w:p>
            <w:pPr>
              <w:spacing w:after="0"/>
              <w:rPr>
                <w:sz w:val="24"/>
                <w:szCs w:val="24"/>
                <w:color w:val="auto"/>
              </w:rPr>
            </w:pPr>
          </w:p>
        </w:tc>
      </w:tr>
      <w:tr>
        <w:trPr>
          <w:trHeight w:val="250"/>
        </w:trPr>
        <w:tc>
          <w:tcPr>
            <w:tcW w:w="2340" w:type="dxa"/>
            <w:vAlign w:val="bottom"/>
          </w:tcPr>
          <w:p>
            <w:pPr>
              <w:spacing w:after="0"/>
              <w:rPr>
                <w:sz w:val="21"/>
                <w:szCs w:val="21"/>
                <w:color w:val="auto"/>
              </w:rPr>
            </w:pPr>
          </w:p>
        </w:tc>
        <w:tc>
          <w:tcPr>
            <w:tcW w:w="4840" w:type="dxa"/>
            <w:vAlign w:val="bottom"/>
          </w:tcPr>
          <w:p>
            <w:pPr>
              <w:jc w:val="center"/>
              <w:ind w:left="321"/>
              <w:spacing w:after="0"/>
              <w:rPr>
                <w:sz w:val="20"/>
                <w:szCs w:val="20"/>
                <w:color w:val="auto"/>
              </w:rPr>
            </w:pPr>
            <w:r>
              <w:rPr>
                <w:rFonts w:ascii="Arial" w:cs="Arial" w:eastAsia="Arial" w:hAnsi="Arial"/>
                <w:sz w:val="20"/>
                <w:szCs w:val="20"/>
                <w:color w:val="auto"/>
                <w:w w:val="89"/>
              </w:rPr>
              <w:t>(Exact name of registrant as specified in its charter)</w:t>
            </w:r>
          </w:p>
        </w:tc>
        <w:tc>
          <w:tcPr>
            <w:tcW w:w="3060" w:type="dxa"/>
            <w:vAlign w:val="bottom"/>
          </w:tcPr>
          <w:p>
            <w:pPr>
              <w:spacing w:after="0"/>
              <w:rPr>
                <w:sz w:val="21"/>
                <w:szCs w:val="21"/>
                <w:color w:val="auto"/>
              </w:rPr>
            </w:pPr>
          </w:p>
        </w:tc>
      </w:tr>
      <w:tr>
        <w:trPr>
          <w:trHeight w:val="452"/>
        </w:trPr>
        <w:tc>
          <w:tcPr>
            <w:tcW w:w="23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840" w:type="dxa"/>
            <w:vAlign w:val="bottom"/>
          </w:tcPr>
          <w:p>
            <w:pPr>
              <w:jc w:val="right"/>
              <w:ind w:right="1621"/>
              <w:spacing w:after="0"/>
              <w:rPr>
                <w:sz w:val="20"/>
                <w:szCs w:val="20"/>
                <w:color w:val="auto"/>
              </w:rPr>
            </w:pPr>
            <w:r>
              <w:rPr>
                <w:rFonts w:ascii="Arial" w:cs="Arial" w:eastAsia="Arial" w:hAnsi="Arial"/>
                <w:sz w:val="20"/>
                <w:szCs w:val="20"/>
                <w:b w:val="1"/>
                <w:bCs w:val="1"/>
                <w:color w:val="auto"/>
              </w:rPr>
              <w:t>333-100768</w:t>
            </w:r>
          </w:p>
        </w:tc>
        <w:tc>
          <w:tcPr>
            <w:tcW w:w="3060" w:type="dxa"/>
            <w:vAlign w:val="bottom"/>
          </w:tcPr>
          <w:p>
            <w:pPr>
              <w:jc w:val="center"/>
              <w:ind w:left="8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2340" w:type="dxa"/>
            <w:vAlign w:val="bottom"/>
          </w:tcPr>
          <w:p>
            <w:pPr>
              <w:jc w:val="center"/>
              <w:spacing w:after="0"/>
              <w:rPr>
                <w:sz w:val="20"/>
                <w:szCs w:val="20"/>
                <w:color w:val="auto"/>
              </w:rPr>
            </w:pPr>
            <w:r>
              <w:rPr>
                <w:rFonts w:ascii="Arial" w:cs="Arial" w:eastAsia="Arial" w:hAnsi="Arial"/>
                <w:sz w:val="20"/>
                <w:szCs w:val="20"/>
                <w:color w:val="auto"/>
                <w:w w:val="91"/>
              </w:rPr>
              <w:t>(State or other jurisdiction of</w:t>
            </w:r>
          </w:p>
        </w:tc>
        <w:tc>
          <w:tcPr>
            <w:tcW w:w="4840" w:type="dxa"/>
            <w:vAlign w:val="bottom"/>
          </w:tcPr>
          <w:p>
            <w:pPr>
              <w:jc w:val="center"/>
              <w:ind w:left="341"/>
              <w:spacing w:after="0"/>
              <w:rPr>
                <w:sz w:val="20"/>
                <w:szCs w:val="20"/>
                <w:color w:val="auto"/>
              </w:rPr>
            </w:pPr>
            <w:r>
              <w:rPr>
                <w:rFonts w:ascii="Arial" w:cs="Arial" w:eastAsia="Arial" w:hAnsi="Arial"/>
                <w:sz w:val="20"/>
                <w:szCs w:val="20"/>
                <w:color w:val="auto"/>
                <w:w w:val="92"/>
              </w:rPr>
              <w:t>(Commission File Number)</w:t>
            </w:r>
          </w:p>
        </w:tc>
        <w:tc>
          <w:tcPr>
            <w:tcW w:w="3060" w:type="dxa"/>
            <w:vAlign w:val="bottom"/>
          </w:tcPr>
          <w:p>
            <w:pPr>
              <w:jc w:val="center"/>
              <w:ind w:left="8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340" w:type="dxa"/>
            <w:vAlign w:val="bottom"/>
          </w:tcPr>
          <w:p>
            <w:pPr>
              <w:jc w:val="center"/>
              <w:spacing w:after="0"/>
              <w:rPr>
                <w:sz w:val="20"/>
                <w:szCs w:val="20"/>
                <w:color w:val="auto"/>
              </w:rPr>
            </w:pPr>
            <w:r>
              <w:rPr>
                <w:rFonts w:ascii="Arial" w:cs="Arial" w:eastAsia="Arial" w:hAnsi="Arial"/>
                <w:sz w:val="20"/>
                <w:szCs w:val="20"/>
                <w:color w:val="auto"/>
                <w:w w:val="93"/>
              </w:rPr>
              <w:t>incorporation)</w:t>
            </w:r>
          </w:p>
        </w:tc>
        <w:tc>
          <w:tcPr>
            <w:tcW w:w="484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446"/>
        </w:trPr>
        <w:tc>
          <w:tcPr>
            <w:tcW w:w="7180" w:type="dxa"/>
            <w:vAlign w:val="bottom"/>
            <w:gridSpan w:val="2"/>
          </w:tcPr>
          <w:p>
            <w:pPr>
              <w:ind w:left="1720"/>
              <w:spacing w:after="0"/>
              <w:rPr>
                <w:sz w:val="20"/>
                <w:szCs w:val="20"/>
                <w:color w:val="auto"/>
              </w:rPr>
            </w:pPr>
            <w:r>
              <w:rPr>
                <w:rFonts w:ascii="Arial" w:cs="Arial" w:eastAsia="Arial" w:hAnsi="Arial"/>
                <w:sz w:val="20"/>
                <w:szCs w:val="20"/>
                <w:b w:val="1"/>
                <w:bCs w:val="1"/>
                <w:color w:val="auto"/>
              </w:rPr>
              <w:t>3131 Las Vegas Boulevard South</w:t>
            </w:r>
          </w:p>
        </w:tc>
        <w:tc>
          <w:tcPr>
            <w:tcW w:w="3060" w:type="dxa"/>
            <w:vAlign w:val="bottom"/>
          </w:tcPr>
          <w:p>
            <w:pPr>
              <w:spacing w:after="0"/>
              <w:rPr>
                <w:sz w:val="24"/>
                <w:szCs w:val="24"/>
                <w:color w:val="auto"/>
              </w:rPr>
            </w:pPr>
          </w:p>
        </w:tc>
      </w:tr>
      <w:tr>
        <w:trPr>
          <w:trHeight w:val="236"/>
        </w:trPr>
        <w:tc>
          <w:tcPr>
            <w:tcW w:w="23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20"/>
                <w:szCs w:val="20"/>
                <w:b w:val="1"/>
                <w:bCs w:val="1"/>
                <w:color w:val="auto"/>
              </w:rPr>
              <w:t>Las Vegas, Nevada</w:t>
            </w:r>
          </w:p>
        </w:tc>
        <w:tc>
          <w:tcPr>
            <w:tcW w:w="3060" w:type="dxa"/>
            <w:vAlign w:val="bottom"/>
          </w:tcPr>
          <w:p>
            <w:pPr>
              <w:jc w:val="right"/>
              <w:ind w:right="2181"/>
              <w:spacing w:after="0"/>
              <w:rPr>
                <w:sz w:val="20"/>
                <w:szCs w:val="20"/>
                <w:color w:val="auto"/>
              </w:rPr>
            </w:pPr>
            <w:r>
              <w:rPr>
                <w:rFonts w:ascii="Arial" w:cs="Arial" w:eastAsia="Arial" w:hAnsi="Arial"/>
                <w:sz w:val="20"/>
                <w:szCs w:val="20"/>
                <w:b w:val="1"/>
                <w:bCs w:val="1"/>
                <w:color w:val="auto"/>
              </w:rPr>
              <w:t>89109</w:t>
            </w:r>
          </w:p>
        </w:tc>
      </w:tr>
      <w:tr>
        <w:trPr>
          <w:trHeight w:val="250"/>
        </w:trPr>
        <w:tc>
          <w:tcPr>
            <w:tcW w:w="7180" w:type="dxa"/>
            <w:vAlign w:val="bottom"/>
            <w:gridSpan w:val="2"/>
          </w:tcPr>
          <w:p>
            <w:pPr>
              <w:ind w:left="1060"/>
              <w:spacing w:after="0"/>
              <w:rPr>
                <w:sz w:val="20"/>
                <w:szCs w:val="20"/>
                <w:color w:val="auto"/>
              </w:rPr>
            </w:pPr>
            <w:r>
              <w:rPr>
                <w:rFonts w:ascii="Arial" w:cs="Arial" w:eastAsia="Arial" w:hAnsi="Arial"/>
                <w:sz w:val="20"/>
                <w:szCs w:val="20"/>
                <w:color w:val="auto"/>
              </w:rPr>
              <w:t>(Address of principal executive offices of each registrant)</w:t>
            </w:r>
          </w:p>
        </w:tc>
        <w:tc>
          <w:tcPr>
            <w:tcW w:w="3060" w:type="dxa"/>
            <w:vAlign w:val="bottom"/>
          </w:tcPr>
          <w:p>
            <w:pPr>
              <w:jc w:val="center"/>
              <w:ind w:right="1901"/>
              <w:spacing w:after="0"/>
              <w:rPr>
                <w:sz w:val="20"/>
                <w:szCs w:val="20"/>
                <w:color w:val="auto"/>
              </w:rPr>
            </w:pPr>
            <w:r>
              <w:rPr>
                <w:rFonts w:ascii="Arial" w:cs="Arial" w:eastAsia="Arial" w:hAnsi="Arial"/>
                <w:sz w:val="20"/>
                <w:szCs w:val="20"/>
                <w:color w:val="auto"/>
                <w:w w:val="90"/>
              </w:rPr>
              <w:t>(Zip Code)</w:t>
            </w:r>
          </w:p>
        </w:tc>
      </w:tr>
      <w:tr>
        <w:trPr>
          <w:trHeight w:val="452"/>
        </w:trPr>
        <w:tc>
          <w:tcPr>
            <w:tcW w:w="2340" w:type="dxa"/>
            <w:vAlign w:val="bottom"/>
          </w:tcPr>
          <w:p>
            <w:pPr>
              <w:spacing w:after="0"/>
              <w:rPr>
                <w:sz w:val="24"/>
                <w:szCs w:val="24"/>
                <w:color w:val="auto"/>
              </w:rPr>
            </w:pPr>
          </w:p>
        </w:tc>
        <w:tc>
          <w:tcPr>
            <w:tcW w:w="4840" w:type="dxa"/>
            <w:vAlign w:val="bottom"/>
          </w:tcPr>
          <w:p>
            <w:pPr>
              <w:jc w:val="right"/>
              <w:ind w:right="1481"/>
              <w:spacing w:after="0"/>
              <w:rPr>
                <w:sz w:val="20"/>
                <w:szCs w:val="20"/>
                <w:color w:val="auto"/>
              </w:rPr>
            </w:pPr>
            <w:r>
              <w:rPr>
                <w:rFonts w:ascii="Arial" w:cs="Arial" w:eastAsia="Arial" w:hAnsi="Arial"/>
                <w:sz w:val="20"/>
                <w:szCs w:val="20"/>
                <w:b w:val="1"/>
                <w:bCs w:val="1"/>
                <w:color w:val="auto"/>
              </w:rPr>
              <w:t>(702) 770-7555</w:t>
            </w:r>
          </w:p>
        </w:tc>
        <w:tc>
          <w:tcPr>
            <w:tcW w:w="3060" w:type="dxa"/>
            <w:vAlign w:val="bottom"/>
          </w:tcPr>
          <w:p>
            <w:pPr>
              <w:spacing w:after="0"/>
              <w:rPr>
                <w:sz w:val="24"/>
                <w:szCs w:val="24"/>
                <w:color w:val="auto"/>
              </w:rPr>
            </w:pPr>
          </w:p>
        </w:tc>
      </w:tr>
      <w:tr>
        <w:trPr>
          <w:trHeight w:val="250"/>
        </w:trPr>
        <w:tc>
          <w:tcPr>
            <w:tcW w:w="2340" w:type="dxa"/>
            <w:vAlign w:val="bottom"/>
          </w:tcPr>
          <w:p>
            <w:pPr>
              <w:spacing w:after="0"/>
              <w:rPr>
                <w:sz w:val="21"/>
                <w:szCs w:val="21"/>
                <w:color w:val="auto"/>
              </w:rPr>
            </w:pPr>
          </w:p>
        </w:tc>
        <w:tc>
          <w:tcPr>
            <w:tcW w:w="4840" w:type="dxa"/>
            <w:vAlign w:val="bottom"/>
          </w:tcPr>
          <w:p>
            <w:pPr>
              <w:jc w:val="center"/>
              <w:ind w:left="321"/>
              <w:spacing w:after="0"/>
              <w:rPr>
                <w:sz w:val="20"/>
                <w:szCs w:val="20"/>
                <w:color w:val="auto"/>
              </w:rPr>
            </w:pPr>
            <w:r>
              <w:rPr>
                <w:rFonts w:ascii="Arial" w:cs="Arial" w:eastAsia="Arial" w:hAnsi="Arial"/>
                <w:sz w:val="20"/>
                <w:szCs w:val="20"/>
                <w:color w:val="auto"/>
                <w:w w:val="88"/>
              </w:rPr>
              <w:t>(Registrant’s telephone number, including area code)</w:t>
            </w:r>
          </w:p>
        </w:tc>
        <w:tc>
          <w:tcPr>
            <w:tcW w:w="306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October 27, 2009, Wynn Resorts, Limited issued a press release announcing its results of operations for the third quarter of 2009.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280" w:hanging="583"/>
        <w:spacing w:after="0"/>
        <w:tabs>
          <w:tab w:leader="none" w:pos="1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rFonts w:ascii="Arial" w:cs="Arial" w:eastAsia="Arial" w:hAnsi="Arial"/>
          <w:sz w:val="22"/>
          <w:szCs w:val="22"/>
          <w:color w:val="auto"/>
        </w:rPr>
      </w:pPr>
    </w:p>
    <w:p>
      <w:pPr>
        <w:ind w:left="1280"/>
        <w:spacing w:after="0"/>
        <w:rPr>
          <w:rFonts w:ascii="Arial" w:cs="Arial" w:eastAsia="Arial" w:hAnsi="Arial"/>
          <w:sz w:val="22"/>
          <w:szCs w:val="22"/>
          <w:color w:val="auto"/>
        </w:rPr>
      </w:pPr>
      <w:r>
        <w:rPr>
          <w:rFonts w:ascii="Arial" w:cs="Arial" w:eastAsia="Arial" w:hAnsi="Arial"/>
          <w:sz w:val="22"/>
          <w:szCs w:val="22"/>
          <w:color w:val="auto"/>
        </w:rPr>
        <w:t>Exhibit</w:t>
      </w:r>
    </w:p>
    <w:p>
      <w:pPr>
        <w:spacing w:after="0" w:line="8" w:lineRule="exact"/>
        <w:rPr>
          <w:rFonts w:ascii="Arial" w:cs="Arial" w:eastAsia="Arial" w:hAnsi="Arial"/>
          <w:sz w:val="22"/>
          <w:szCs w:val="22"/>
          <w:color w:val="auto"/>
        </w:rPr>
      </w:pPr>
    </w:p>
    <w:p>
      <w:pPr>
        <w:ind w:left="1280"/>
        <w:spacing w:after="0"/>
        <w:rPr>
          <w:rFonts w:ascii="Arial" w:cs="Arial" w:eastAsia="Arial" w:hAnsi="Arial"/>
          <w:sz w:val="22"/>
          <w:szCs w:val="22"/>
          <w:color w:val="auto"/>
        </w:rPr>
      </w:pPr>
      <w:r>
        <w:rPr>
          <w:rFonts w:ascii="Arial" w:cs="Arial" w:eastAsia="Arial" w:hAnsi="Arial"/>
          <w:sz w:val="22"/>
          <w:szCs w:val="22"/>
          <w:u w:val="single" w:color="auto"/>
          <w:color w:val="auto"/>
        </w:rPr>
        <w:t>Number  Description</w:t>
      </w:r>
    </w:p>
    <w:p>
      <w:pPr>
        <w:spacing w:after="0" w:line="215"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October 27,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October 27, 2009</w:t>
      </w:r>
    </w:p>
    <w:p>
      <w:pPr>
        <w:spacing w:after="0" w:line="243"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9"/>
          <w:szCs w:val="19"/>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3035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Financial Officer and</w:t>
      </w:r>
    </w:p>
    <w:p>
      <w:pPr>
        <w:ind w:left="684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October 27, 2009</w:t>
      </w:r>
    </w:p>
    <w:p>
      <w:pPr>
        <w:spacing w:after="0" w:line="243"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0"/>
          <w:szCs w:val="20"/>
          <w:color w:val="auto"/>
        </w:rPr>
        <w:t>By:</w:t>
        <w:tab/>
        <w:t>Wynn Resorts Holdings, LLC, its sole member</w:t>
      </w:r>
    </w:p>
    <w:p>
      <w:pPr>
        <w:spacing w:after="0" w:line="21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0"/>
          <w:szCs w:val="20"/>
          <w:color w:val="auto"/>
        </w:rPr>
        <w:t>By:</w:t>
        <w:tab/>
        <w:t>Wynn Resorts, Limited, its sole member</w:t>
      </w:r>
    </w:p>
    <w:p>
      <w:pPr>
        <w:spacing w:after="0" w:line="21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9"/>
          <w:szCs w:val="19"/>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30359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Financial Officer and</w:t>
      </w:r>
    </w:p>
    <w:p>
      <w:pPr>
        <w:ind w:left="6840"/>
        <w:spacing w:after="0"/>
        <w:rPr>
          <w:sz w:val="20"/>
          <w:szCs w:val="20"/>
          <w:color w:val="auto"/>
        </w:rPr>
      </w:pPr>
      <w:r>
        <w:rPr>
          <w:rFonts w:ascii="Arial" w:cs="Arial" w:eastAsia="Arial" w:hAnsi="Arial"/>
          <w:sz w:val="20"/>
          <w:szCs w:val="20"/>
          <w:color w:val="auto"/>
        </w:rPr>
        <w:t>Treasurer</w:t>
      </w:r>
    </w:p>
    <w:p>
      <w:pPr>
        <w:sectPr>
          <w:pgSz w:w="11900" w:h="16838" w:orient="portrait"/>
          <w:cols w:equalWidth="0" w:num="1">
            <w:col w:w="11420"/>
          </w:cols>
          <w:pgMar w:left="240" w:top="59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8"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Wynn Resorts, Limited Reports Third Quarter Results</w:t>
      </w:r>
    </w:p>
    <w:p>
      <w:pPr>
        <w:spacing w:after="0" w:line="26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LAS VEGAS, October 27, 2009 (BUSINESS WIRE) -- Wynn Resorts, Limited (Nasdaq: WYNN) today reported financial results for the quarter ended September 30,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third quarter of 2009 were $773.1 million, compared to $769.2 million in the third quarter of 2008.</w:t>
      </w:r>
    </w:p>
    <w:p>
      <w:pPr>
        <w:spacing w:after="0" w:line="23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Consolidated adjusted property EBITDA (1) increased 12.4% to $198.2 million for the third quarter of 2009, compared to $176.4 million in the third quarter of 2008.</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a US GAAP (Generally Accepted Accounting Principles) basis, net income for the quarter was $34.2 million, or $0.28 per diluted share, compared to net income of $51.2 million, or $0.49 per diluted share in 2008. Adjusted net income in the third quarter of 2009 was $ 39.9 million, or $0.33 per diluted share (adjusted EPS)(2) compared to an adjusted net income of $64.3 million, or $0.62 per diluted share in the third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Third Quarter Results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results of operations for the periods presented are not comparable to prior periods as the three months ended September 30, 2009 includes Encore at Wynn Las Vegas, which opened on December 22, 2008. The prior year quarter includes only Wynn Las Vegas.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September 30, 2009, our Las Vegas operations generated adjusted property EBITDA of $70.0 million (with a 21.6% EBITDA margin on net revenue), flat when compared to the $70.1 million generated in the third quarter of 2008. Revenues at Wynn Las Vegas were up 10.2% but EBITDA was flat due to the additional costs associated with the operation of Encore.</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casino revenues in the third quarter of 2009 were $144.0 million, flat with the third quarter of 2008. Table games drop was $518.1 million, with win per table per day (before discounts) of $ 5,801, compared to drop of $531.0 million and win per table per day of $10,062 in the third quarter of 2008. Table games win percentage of 23.7% was within the property’s expected range of 21% to 24%. Slot machine handle of $850.3 million was in-line with the comparable period of 2008 and win per unit per day was $149, compared to a win per unit per day of $225 in the third quarter of 2008. The reduction in win per table and win per unit is due to the addition of 91 tables and 812 slot machines primarily at Encore.</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non-casino revenues for the quarter were $225.0 million, a 17.9% increase from the third quarter of 2008, driven primarily by higher hotel and food and beverage revenues resulting from Encore. Hotel revenues were up 17.7% to $76.9 million during the quarter, versus $65.3 million in the third quarter of 2008 due to the addition of 2,034 suites at Encore. Our Las Vegas operations achieved an Average Daily Rate (ADR) of $210 for the quarter, compared to $272 in the 2008 quarter. Our occupancy was 83.9%, compared to 96.1% during the prior year period, generating revenue per available room (REVPAR) of $176 in the 2009 period (32.6% below the third quarter of 2008 of $261).</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29.8% to $ 96.8 million in the quarter as a result of the additional 12 food and beverage outlets located in Encore. Retail revenues were $21.0 million in the quarter, 8.6% below last year’s levels and entertainment revenues increased 3.9% to $16.6 million from the third quarter of 2008 primarily due to the contribution from headliner performances during the quarter.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Third Quarter Results</w:t>
      </w:r>
    </w:p>
    <w:p>
      <w:pPr>
        <w:spacing w:after="0" w:line="2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 the third quarter of 2009, net revenues were $448.5 million compared to $474.8 million in the third quarter of 2008. Wynn Macau generated adjusted property EBITDA of $128.2 million, compared to $106.3 million in the third quarter of 2008.</w:t>
      </w:r>
    </w:p>
    <w:p>
      <w:pPr>
        <w:spacing w:after="0" w:line="224"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Table games turnover in the VIP segment was $14.1 billion for the period, compared to $13.3 billion for the third quarter of 2008. VIP table games win as a percentage of turnover (calculated before discounts and commissions) for the third quarter of 2009 was 2.8%, within the expected range of 2.7% to 3.0% and below the 3.1% experienced in the 2008 quarter.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right="160"/>
        <w:spacing w:after="0"/>
        <w:rPr>
          <w:sz w:val="20"/>
          <w:szCs w:val="20"/>
          <w:color w:val="auto"/>
        </w:rPr>
      </w:pPr>
      <w:r>
        <w:rPr>
          <w:rFonts w:ascii="Arial" w:cs="Arial" w:eastAsia="Arial" w:hAnsi="Arial"/>
          <w:sz w:val="18"/>
          <w:szCs w:val="18"/>
          <w:color w:val="auto"/>
        </w:rPr>
        <w:t>Table games drop in the mass market category was approximately $ 501.8 million during the period, an 11.8% decrease from $568.8 million in the third quarter of 2008. Mass market table games win percentage (calculated before discounts) of 20.8% was within our expected range of 19% to 21% and slightly higher than the 20.3% experienced in the third quarter of 2008.</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Slot machine win decreased 8.9% compared to the third quarter of 2008 and win per unit per day decreased 0.3% to $365 compared to $366 in the third quarter 2008 as we reconfigured the slot floor and removed approximately 100 machines.</w:t>
      </w:r>
    </w:p>
    <w:p>
      <w:pPr>
        <w:spacing w:after="0" w:line="22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Wynn Macau achieved an Average Daily Rate (ADR) of $263 for the third quarter of 2009, compared to $272 in the 2008 quarter. The property’s occupancy was 89.2%, compared to 86.2% during the prior year period, generating revenue per available room (REVPAR) of $235 in the 2009 period, slightly above 2008 levels of $234.</w:t>
      </w:r>
    </w:p>
    <w:p>
      <w:pPr>
        <w:spacing w:after="0" w:line="23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September 30, 2009, we added a new high-limit gaming salon containing approximately 40 machines. In November 2009 we will also add two new private gaming salons with 29 VIP tables.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6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continue construction on our further expansion of Wynn Macau that will add a fully-integrated resort hotel named Encore at Wynn Macau, with approximately 400 luxury suites and four villas, as well as additional gaming areas that will include 37 VIP table games, approximately 20 high-limit slot machines, 24 premium mass market table games and 75 premium mass market slot machines, food and beverage and retail amenities. We expect Encore at Wynn Macau to open in the first half of 2010.</w:t>
      </w:r>
    </w:p>
    <w:p>
      <w:pPr>
        <w:spacing w:after="0" w:line="229"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current budget for Encore at Wynn Macau is approximately $650 million. As of September 30, 2009, we have incurred $375.6 million associated with the construction of Encore at Wynn Macau.</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net of $2.6 million in capitalized interest, was $ 50.1 million for the third quarter of 2009. Depreciation and amortization expenses were $101.9 million. Corporate expense and other was $15.8 million in the third quarter, including $6.9 million in stock 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total cash balances on September 30, 2009 were $1.3 billion. Total debt outstanding at the end of the quarter was $4.2 billion, including approximately $2.7 billion of Wynn Las Vegas debt and $1.5 billion of Wynn Macau debt. Capital expenditures during the third quarter of 2009 of approximately $124 million was primarily related to the ongoing construction of Encore at Wynn Macau.</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2009, Wynn Macau Limited, a newly formed and indirect wholly owned subsidiary of Wynn Resorts and the developer, owner, and operator of Wynn Macau, completed an initial public offering of 27.7% of it’s ordinary shares on The Stock Exchange of Hong Kong Limited. Net proceeds to the Company as a result of this transaction were approximately $1.8 billion.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 October 2009, we purchased Wynn Las Vegas bank loans with a face value of $87.6 million for $84.4 million.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2009, Wynn Las Vegas, LLC and Wynn Las Vegas Capital Corp. issued $500 million aggregate principal amount of 7 7/8% First Mortgage Notes due November 1, 2017 at a price of 97.823% of the principal amount. The net proceeds of approximately $480 million were used to repay amounts outstanding under the Wynn Las Vegas revolving credit facilities and term loan facility. Subsequent to this transaction and the loan repurchase discussed above, the outstanding balance under the Wynn Las Vegas Term Loan Facility is $80.4 million and the outstanding balance under the Wynn Las Vegas Revolving Facility is $317.9 million, with remaining availability of $120.0 million.</w:t>
      </w:r>
    </w:p>
    <w:p>
      <w:pPr>
        <w:spacing w:after="0" w:line="23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cash balances, after the Wynn Macau, Limited IPO and the debt transactions mentioned above, was $3.1 billion and total debt outstanding was $4.1 billion, including approximately $2.6 billion of Wynn Las Vegas debt and $1.5 billion of Wynn Macau debt.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Tuesday, October 27, 2009 at 8:30 a.m. PT (11:30 a.m.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and (ii) operating income (loss) to adjusted property EBITDA and adjusted property EBITDA to net income.</w:t>
      </w:r>
    </w:p>
    <w:p>
      <w:pPr>
        <w:spacing w:after="0" w:line="224" w:lineRule="exact"/>
        <w:rPr>
          <w:sz w:val="20"/>
          <w:szCs w:val="20"/>
          <w:color w:val="auto"/>
        </w:rPr>
      </w:pPr>
    </w:p>
    <w:p>
      <w:pPr>
        <w:jc w:val="both"/>
        <w:ind w:firstLine="8"/>
        <w:spacing w:after="0" w:line="237" w:lineRule="auto"/>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is net income before pre-opening costs, property charges and other non-cash non-operating income and expenses. Adjusted net income and adjusted net income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and adjusted net income per share may be different from the calculation methods used by other companies and, therefore, comparability may be limited.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3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Casino</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565,072</w:t>
            </w:r>
          </w:p>
        </w:tc>
        <w:tc>
          <w:tcPr>
            <w:tcW w:w="140" w:type="dxa"/>
            <w:vAlign w:val="bottom"/>
          </w:tcPr>
          <w:p>
            <w:pPr>
              <w:spacing w:after="0"/>
              <w:rPr>
                <w:sz w:val="17"/>
                <w:szCs w:val="17"/>
                <w:color w:val="auto"/>
              </w:rPr>
            </w:pP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590,576</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1,615,071</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1,805,984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Rooms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79,603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284,772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109,152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87,607</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330,293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69,306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204,104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210,418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380"/>
              <w:spacing w:after="0" w:line="196" w:lineRule="exact"/>
              <w:rPr>
                <w:sz w:val="20"/>
                <w:szCs w:val="20"/>
                <w:color w:val="auto"/>
              </w:rPr>
            </w:pPr>
            <w:r>
              <w:rPr>
                <w:rFonts w:ascii="Arial" w:cs="Arial" w:eastAsia="Arial" w:hAnsi="Arial"/>
                <w:sz w:val="18"/>
                <w:szCs w:val="18"/>
                <w:color w:val="auto"/>
              </w:rPr>
              <w:t>Gross revenues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836,905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827,092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2,434,240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2,543,705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Less: promotional allowances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(63,834)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(57,906)</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(197,958)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700"/>
              <w:spacing w:after="0" w:line="202" w:lineRule="exact"/>
              <w:rPr>
                <w:sz w:val="20"/>
                <w:szCs w:val="20"/>
                <w:color w:val="auto"/>
              </w:rPr>
            </w:pPr>
            <w:r>
              <w:rPr>
                <w:rFonts w:ascii="Arial" w:cs="Arial" w:eastAsia="Arial" w:hAnsi="Arial"/>
                <w:sz w:val="18"/>
                <w:szCs w:val="18"/>
                <w:color w:val="auto"/>
              </w:rPr>
              <w:t>Net revenues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773,071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769,186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2,236,282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2,373,049</w:t>
            </w:r>
          </w:p>
        </w:tc>
        <w:tc>
          <w:tcPr>
            <w:tcW w:w="0" w:type="dxa"/>
            <w:vAlign w:val="bottom"/>
          </w:tcPr>
          <w:p>
            <w:pPr>
              <w:spacing w:after="0"/>
              <w:rPr>
                <w:sz w:val="1"/>
                <w:szCs w:val="1"/>
                <w:color w:val="auto"/>
              </w:rPr>
            </w:pPr>
          </w:p>
        </w:tc>
      </w:tr>
      <w:tr>
        <w:trPr>
          <w:trHeight w:val="237"/>
        </w:trPr>
        <w:tc>
          <w:tcPr>
            <w:tcW w:w="512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line="202" w:lineRule="exact"/>
              <w:rPr>
                <w:sz w:val="20"/>
                <w:szCs w:val="20"/>
                <w:color w:val="auto"/>
              </w:rPr>
            </w:pPr>
            <w:r>
              <w:rPr>
                <w:rFonts w:ascii="Arial" w:cs="Arial" w:eastAsia="Arial" w:hAnsi="Arial"/>
                <w:sz w:val="18"/>
                <w:szCs w:val="18"/>
                <w:color w:val="auto"/>
              </w:rPr>
              <w:t>Casino</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358,605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377,322</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1,062,408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1,165,647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Rooms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19,317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80,293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line="202" w:lineRule="exact"/>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64,048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52,607</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188,207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39,436</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119,657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88,946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85,371</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265,544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36,296</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12,979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13,911</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101,907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65,635</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306,106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Total operating costs and expenses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693,572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691,518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2,046,836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2,060,609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77,668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189,446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312,440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2,731</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(50,140)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(40,263)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(160,861)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(126,513)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Increase (decrease) in swap fair value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(3,588)</w:t>
            </w: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Gain on extinguishment of debt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22,513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(2,805)</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ind w:left="620"/>
              <w:spacing w:after="0" w:line="202" w:lineRule="exact"/>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(43,495)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(137,959)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(102,572)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34,173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51,487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Benefit (provision) for income taxes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(25,612)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34,210</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51,199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25,875</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370,046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680"/>
              <w:spacing w:after="0" w:line="202" w:lineRule="exact"/>
              <w:rPr>
                <w:sz w:val="20"/>
                <w:szCs w:val="20"/>
                <w:color w:val="auto"/>
              </w:rPr>
            </w:pPr>
            <w:r>
              <w:rPr>
                <w:rFonts w:ascii="Arial" w:cs="Arial" w:eastAsia="Arial" w:hAnsi="Arial"/>
                <w:sz w:val="18"/>
                <w:szCs w:val="18"/>
                <w:color w:val="auto"/>
              </w:rPr>
              <w:t>Diluted</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140" w:type="dxa"/>
            <w:vAlign w:val="bottom"/>
          </w:tcPr>
          <w:p>
            <w:pPr>
              <w:spacing w:after="0"/>
              <w:rPr>
                <w:sz w:val="17"/>
                <w:szCs w:val="17"/>
                <w:color w:val="auto"/>
              </w:rPr>
            </w:pP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680"/>
              <w:spacing w:after="0" w:line="202" w:lineRule="exact"/>
              <w:rPr>
                <w:sz w:val="20"/>
                <w:szCs w:val="20"/>
                <w:color w:val="auto"/>
              </w:rPr>
            </w:pPr>
            <w:r>
              <w:rPr>
                <w:rFonts w:ascii="Arial" w:cs="Arial" w:eastAsia="Arial" w:hAnsi="Arial"/>
                <w:sz w:val="18"/>
                <w:szCs w:val="18"/>
                <w:color w:val="auto"/>
              </w:rPr>
              <w:t>Basic</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122,200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103,266</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119,011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122,610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104,270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119,263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110,106</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w:t>
      </w:r>
    </w:p>
    <w:p>
      <w:pPr>
        <w:jc w:val="center"/>
        <w:spacing w:after="0" w:line="234" w:lineRule="auto"/>
        <w:rPr>
          <w:sz w:val="20"/>
          <w:szCs w:val="20"/>
          <w:color w:val="auto"/>
        </w:rPr>
      </w:pPr>
      <w:r>
        <w:rPr>
          <w:rFonts w:ascii="Arial" w:cs="Arial" w:eastAsia="Arial" w:hAnsi="Arial"/>
          <w:sz w:val="18"/>
          <w:szCs w:val="18"/>
          <w:color w:val="auto"/>
        </w:rPr>
        <w:t>TO ADJUSTED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34,210</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51,199</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25,875</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Pre-opening costs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13,911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Gain on extinguishment of debt</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(22,513)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(Increase) decrease in swap fair value</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3,588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charges and other</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1,623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Adjustment for taxes on above</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(6,007)</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Recognition of foreign tax credit</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(140,655)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Adjusted net income (2)</w:t>
            </w:r>
          </w:p>
        </w:tc>
        <w:tc>
          <w:tcPr>
            <w:tcW w:w="1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39,932</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64,314</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21,365</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266,942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income per diluted share</w:t>
            </w:r>
          </w:p>
        </w:tc>
        <w:tc>
          <w:tcPr>
            <w:tcW w:w="1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0.33</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2009</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line="173"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Vegas</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(20,886)</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Pre-opening costs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77,811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23,351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60"/>
              <w:spacing w:after="0"/>
              <w:rPr>
                <w:sz w:val="20"/>
                <w:szCs w:val="20"/>
                <w:color w:val="auto"/>
              </w:rPr>
            </w:pPr>
            <w:r>
              <w:rPr>
                <w:rFonts w:ascii="Arial" w:cs="Arial" w:eastAsia="Arial" w:hAnsi="Arial"/>
                <w:sz w:val="18"/>
                <w:szCs w:val="18"/>
                <w:color w:val="auto"/>
              </w:rPr>
              <w:t>Management and royalty fees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17,797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(22,611)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income/(loss) from</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40"/>
              <w:spacing w:after="0"/>
              <w:rPr>
                <w:sz w:val="20"/>
                <w:szCs w:val="20"/>
                <w:color w:val="auto"/>
              </w:rPr>
            </w:pPr>
            <w:r>
              <w:rPr>
                <w:rFonts w:ascii="Arial" w:cs="Arial" w:eastAsia="Arial" w:hAnsi="Arial"/>
                <w:sz w:val="18"/>
                <w:szCs w:val="18"/>
                <w:color w:val="auto"/>
              </w:rPr>
              <w:t>unconsolidated affiliates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70,042</w:t>
            </w:r>
          </w:p>
        </w:tc>
        <w:tc>
          <w:tcPr>
            <w:tcW w:w="3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128,174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198,216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2008</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line="173"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Vegas</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Pre-opening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42,269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22,610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Management and royalty fees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(22,866)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and other expenses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in income/(loss) from</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unconsolidated affiliates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7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70,082</w:t>
            </w:r>
          </w:p>
        </w:tc>
        <w:tc>
          <w:tcPr>
            <w:tcW w:w="3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106,288</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r>
      <w:tr>
        <w:trPr>
          <w:trHeight w:val="217"/>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4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198,216</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176,370</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(13,911)</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(101,907)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(65,635)</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(1,623)</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Corporate and other expenses</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(8,890)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(11,667)</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(5,436)</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2,731</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(50,140)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(40,263)</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Decrease in swap fair value</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(3,588)</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(2,805)</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Benefit for income taxes</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17,026</w:t>
            </w: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4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34,210</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51,199</w:t>
            </w:r>
          </w:p>
        </w:tc>
      </w:tr>
      <w:tr>
        <w:trPr>
          <w:trHeight w:val="69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100" w:type="dxa"/>
            <w:vAlign w:val="bottom"/>
          </w:tcPr>
          <w:p>
            <w:pPr>
              <w:jc w:val="right"/>
              <w:ind w:right="297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Nine Months Ended September 30, 2009</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line="180"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20"/>
              <w:spacing w:after="0" w:line="180" w:lineRule="exact"/>
              <w:rPr>
                <w:sz w:val="20"/>
                <w:szCs w:val="20"/>
                <w:color w:val="auto"/>
              </w:rPr>
            </w:pPr>
            <w:r>
              <w:rPr>
                <w:rFonts w:ascii="Arial" w:cs="Arial" w:eastAsia="Arial" w:hAnsi="Arial"/>
                <w:sz w:val="18"/>
                <w:szCs w:val="18"/>
                <w:b w:val="1"/>
                <w:bCs w:val="1"/>
                <w:color w:val="auto"/>
                <w:w w:val="97"/>
              </w:rPr>
              <w:t>Wynn</w:t>
            </w: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80"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Vegas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Macau</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income(loss)</w:t>
            </w:r>
          </w:p>
        </w:tc>
        <w:tc>
          <w:tcPr>
            <w:tcW w:w="1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(87,616)</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225,614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51,448</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Pre-opening costs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233,680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70,184</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306,106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Management and royalty fees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13,871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51,258</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(65,129)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and other expenses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6,492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3,762</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7,863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income/(loss) from</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600"/>
              <w:spacing w:after="0" w:line="202" w:lineRule="exact"/>
              <w:rPr>
                <w:sz w:val="20"/>
                <w:szCs w:val="20"/>
                <w:color w:val="auto"/>
              </w:rPr>
            </w:pPr>
            <w:r>
              <w:rPr>
                <w:rFonts w:ascii="Arial" w:cs="Arial" w:eastAsia="Arial" w:hAnsi="Arial"/>
                <w:sz w:val="18"/>
                <w:szCs w:val="18"/>
                <w:color w:val="auto"/>
              </w:rPr>
              <w:t>unconsolidated affiliates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189,399</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359,990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549,389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Nine Months Ended September 30, 2008</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20"/>
              <w:spacing w:after="0" w:line="173" w:lineRule="exact"/>
              <w:rPr>
                <w:sz w:val="20"/>
                <w:szCs w:val="20"/>
                <w:color w:val="auto"/>
              </w:rPr>
            </w:pPr>
            <w:r>
              <w:rPr>
                <w:rFonts w:ascii="Arial" w:cs="Arial" w:eastAsia="Arial" w:hAnsi="Arial"/>
                <w:sz w:val="18"/>
                <w:szCs w:val="18"/>
                <w:b w:val="1"/>
                <w:bCs w:val="1"/>
                <w:color w:val="auto"/>
                <w:w w:val="97"/>
              </w:rPr>
              <w:t>Wynn</w:t>
            </w: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Vegas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Macau</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11,138</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242,823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58,479</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costs</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122,543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67,561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21,711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9,371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40"/>
              <w:spacing w:after="0" w:line="202" w:lineRule="exact"/>
              <w:rPr>
                <w:sz w:val="20"/>
                <w:szCs w:val="20"/>
                <w:color w:val="auto"/>
              </w:rPr>
            </w:pPr>
            <w:r>
              <w:rPr>
                <w:rFonts w:ascii="Arial" w:cs="Arial" w:eastAsia="Arial" w:hAnsi="Arial"/>
                <w:sz w:val="18"/>
                <w:szCs w:val="18"/>
                <w:color w:val="auto"/>
              </w:rPr>
              <w:t>Management and royalty fees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58,280</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(71,450)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and other expense</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18,388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10,293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33,783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2,541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income/(loss) from</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600"/>
              <w:spacing w:after="0" w:line="202" w:lineRule="exact"/>
              <w:rPr>
                <w:sz w:val="20"/>
                <w:szCs w:val="20"/>
                <w:color w:val="auto"/>
              </w:rPr>
            </w:pPr>
            <w:r>
              <w:rPr>
                <w:rFonts w:ascii="Arial" w:cs="Arial" w:eastAsia="Arial" w:hAnsi="Arial"/>
                <w:sz w:val="18"/>
                <w:szCs w:val="18"/>
                <w:color w:val="auto"/>
              </w:rPr>
              <w:t>unconsolidated affiliates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7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220,315</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390,870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611,185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1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4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549,389</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611,185</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(26,055)</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(306,106)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(192,328)</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(31,188)</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Corporate and other expenses</w:t>
            </w: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(23,574)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(33,783)</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(13,990)</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20,115</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(160,861)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(126,513)</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(Decrease) increase in swap fair value</w:t>
            </w: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5,119</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on extinguishment of debt</w:t>
            </w: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22,513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(2,694)</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Benefit (provision) for income taxes</w:t>
            </w: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(25,612)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160,178</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4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25,875</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370,046</w:t>
            </w:r>
          </w:p>
        </w:tc>
      </w:tr>
      <w:tr>
        <w:trPr>
          <w:trHeight w:val="912"/>
        </w:trPr>
        <w:tc>
          <w:tcPr>
            <w:tcW w:w="20" w:type="dxa"/>
            <w:vAlign w:val="bottom"/>
          </w:tcPr>
          <w:p>
            <w:pPr>
              <w:spacing w:after="0"/>
              <w:rPr>
                <w:sz w:val="24"/>
                <w:szCs w:val="24"/>
                <w:color w:val="auto"/>
              </w:rPr>
            </w:pPr>
          </w:p>
        </w:tc>
        <w:tc>
          <w:tcPr>
            <w:tcW w:w="4700" w:type="dxa"/>
            <w:vAlign w:val="bottom"/>
            <w:tcBorders>
              <w:top w:val="single" w:sz="8" w:color="CCEEFF"/>
            </w:tcBorders>
          </w:tcPr>
          <w:p>
            <w:pPr>
              <w:spacing w:after="0"/>
              <w:rPr>
                <w:sz w:val="24"/>
                <w:szCs w:val="24"/>
                <w:color w:val="auto"/>
              </w:rPr>
            </w:pPr>
          </w:p>
        </w:tc>
        <w:tc>
          <w:tcPr>
            <w:tcW w:w="4100" w:type="dxa"/>
            <w:vAlign w:val="bottom"/>
            <w:tcBorders>
              <w:top w:val="single" w:sz="8" w:color="CCEEFF"/>
            </w:tcBorders>
          </w:tcPr>
          <w:p>
            <w:pPr>
              <w:jc w:val="right"/>
              <w:ind w:right="297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802"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WYNN RESORTS, LIMITED AND SUBSIDIARIES</w:t>
      </w:r>
    </w:p>
    <w:p>
      <w:pPr>
        <w:jc w:val="center"/>
        <w:spacing w:after="0"/>
        <w:rPr>
          <w:sz w:val="20"/>
          <w:szCs w:val="20"/>
          <w:color w:val="auto"/>
        </w:rPr>
      </w:pPr>
      <w:r>
        <w:rPr>
          <w:rFonts w:ascii="Arial" w:cs="Arial" w:eastAsia="Arial" w:hAnsi="Arial"/>
          <w:sz w:val="18"/>
          <w:szCs w:val="18"/>
          <w:color w:val="auto"/>
        </w:rPr>
        <w:t>SUPPLEMENTAL DATA SCHEDULE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94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8"/>
                <w:szCs w:val="18"/>
                <w:b w:val="1"/>
                <w:bCs w:val="1"/>
                <w:color w:val="auto"/>
              </w:rPr>
              <w:t>Three Months Ended</w:t>
            </w:r>
          </w:p>
        </w:tc>
        <w:tc>
          <w:tcPr>
            <w:tcW w:w="276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389"/>
        </w:trPr>
        <w:tc>
          <w:tcPr>
            <w:tcW w:w="3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2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September</w:t>
            </w:r>
          </w:p>
        </w:tc>
        <w:tc>
          <w:tcPr>
            <w:tcW w:w="1420" w:type="dxa"/>
            <w:vAlign w:val="bottom"/>
          </w:tcPr>
          <w:p>
            <w:pPr>
              <w:jc w:val="right"/>
              <w:ind w:right="295"/>
              <w:spacing w:after="0"/>
              <w:rPr>
                <w:sz w:val="20"/>
                <w:szCs w:val="20"/>
                <w:color w:val="auto"/>
              </w:rPr>
            </w:pPr>
            <w:r>
              <w:rPr>
                <w:rFonts w:ascii="Arial" w:cs="Arial" w:eastAsia="Arial" w:hAnsi="Arial"/>
                <w:sz w:val="18"/>
                <w:szCs w:val="18"/>
                <w:b w:val="1"/>
                <w:bCs w:val="1"/>
                <w:color w:val="auto"/>
              </w:rPr>
              <w:t>September</w:t>
            </w:r>
          </w:p>
        </w:tc>
        <w:tc>
          <w:tcPr>
            <w:tcW w:w="14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September</w:t>
            </w:r>
          </w:p>
        </w:tc>
        <w:tc>
          <w:tcPr>
            <w:tcW w:w="1320" w:type="dxa"/>
            <w:vAlign w:val="bottom"/>
          </w:tcPr>
          <w:p>
            <w:pPr>
              <w:jc w:val="right"/>
              <w:ind w:right="195"/>
              <w:spacing w:after="0"/>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225"/>
        </w:trPr>
        <w:tc>
          <w:tcPr>
            <w:tcW w:w="36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20" w:type="dxa"/>
            <w:vAlign w:val="bottom"/>
            <w:tcBorders>
              <w:bottom w:val="single" w:sz="8" w:color="auto"/>
            </w:tcBorders>
            <w:gridSpan w:val="2"/>
          </w:tcPr>
          <w:p>
            <w:pPr>
              <w:jc w:val="right"/>
              <w:ind w:right="378"/>
              <w:spacing w:after="0"/>
              <w:rPr>
                <w:sz w:val="20"/>
                <w:szCs w:val="20"/>
                <w:color w:val="auto"/>
              </w:rPr>
            </w:pPr>
            <w:r>
              <w:rPr>
                <w:rFonts w:ascii="Arial" w:cs="Arial" w:eastAsia="Arial" w:hAnsi="Arial"/>
                <w:sz w:val="18"/>
                <w:szCs w:val="18"/>
                <w:b w:val="1"/>
                <w:bCs w:val="1"/>
                <w:color w:val="auto"/>
              </w:rPr>
              <w:t>30, 2009</w:t>
            </w:r>
          </w:p>
        </w:tc>
        <w:tc>
          <w:tcPr>
            <w:tcW w:w="14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30, 2008</w:t>
            </w:r>
          </w:p>
        </w:tc>
        <w:tc>
          <w:tcPr>
            <w:tcW w:w="1440" w:type="dxa"/>
            <w:vAlign w:val="bottom"/>
            <w:tcBorders>
              <w:bottom w:val="single" w:sz="8" w:color="auto"/>
            </w:tcBorders>
            <w:gridSpan w:val="2"/>
          </w:tcPr>
          <w:p>
            <w:pPr>
              <w:jc w:val="right"/>
              <w:ind w:right="398"/>
              <w:spacing w:after="0"/>
              <w:rPr>
                <w:sz w:val="20"/>
                <w:szCs w:val="20"/>
                <w:color w:val="auto"/>
              </w:rPr>
            </w:pPr>
            <w:r>
              <w:rPr>
                <w:rFonts w:ascii="Arial" w:cs="Arial" w:eastAsia="Arial" w:hAnsi="Arial"/>
                <w:sz w:val="18"/>
                <w:szCs w:val="18"/>
                <w:b w:val="1"/>
                <w:bCs w:val="1"/>
                <w:color w:val="auto"/>
              </w:rPr>
              <w:t>30, 2009</w:t>
            </w: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30, 2008</w:t>
            </w:r>
          </w:p>
        </w:tc>
        <w:tc>
          <w:tcPr>
            <w:tcW w:w="0" w:type="dxa"/>
            <w:vAlign w:val="bottom"/>
          </w:tcPr>
          <w:p>
            <w:pPr>
              <w:spacing w:after="0"/>
              <w:rPr>
                <w:sz w:val="1"/>
                <w:szCs w:val="1"/>
                <w:color w:val="auto"/>
              </w:rPr>
            </w:pPr>
          </w:p>
        </w:tc>
      </w:tr>
      <w:tr>
        <w:trPr>
          <w:trHeight w:val="595"/>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Room Statistics for Las Vegas operations</w:t>
            </w:r>
            <w:r>
              <w:rPr>
                <w:rFonts w:ascii="Arial" w:cs="Arial" w:eastAsia="Arial" w:hAnsi="Arial"/>
                <w:sz w:val="12"/>
                <w:szCs w:val="12"/>
                <w:color w:val="auto"/>
              </w:rPr>
              <w:t>5</w:t>
            </w: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500"/>
              <w:spacing w:after="0"/>
              <w:rPr>
                <w:sz w:val="20"/>
                <w:szCs w:val="20"/>
                <w:color w:val="auto"/>
              </w:rPr>
            </w:pPr>
            <w:r>
              <w:rPr>
                <w:rFonts w:ascii="Arial" w:cs="Arial" w:eastAsia="Arial" w:hAnsi="Arial"/>
                <w:sz w:val="18"/>
                <w:szCs w:val="18"/>
                <w:color w:val="auto"/>
              </w:rPr>
              <w:t>Occupancy %</w:t>
            </w:r>
          </w:p>
        </w:tc>
        <w:tc>
          <w:tcPr>
            <w:tcW w:w="2080" w:type="dxa"/>
            <w:vAlign w:val="bottom"/>
          </w:tcPr>
          <w:p>
            <w:pPr>
              <w:spacing w:after="0"/>
              <w:rPr>
                <w:sz w:val="23"/>
                <w:szCs w:val="23"/>
                <w:color w:val="auto"/>
              </w:rPr>
            </w:pPr>
          </w:p>
        </w:tc>
        <w:tc>
          <w:tcPr>
            <w:tcW w:w="1520" w:type="dxa"/>
            <w:vAlign w:val="bottom"/>
            <w:gridSpan w:val="2"/>
          </w:tcPr>
          <w:p>
            <w:pPr>
              <w:jc w:val="right"/>
              <w:ind w:right="18"/>
              <w:spacing w:after="0"/>
              <w:rPr>
                <w:sz w:val="20"/>
                <w:szCs w:val="20"/>
                <w:color w:val="auto"/>
              </w:rPr>
            </w:pPr>
            <w:r>
              <w:rPr>
                <w:rFonts w:ascii="Arial" w:cs="Arial" w:eastAsia="Arial" w:hAnsi="Arial"/>
                <w:sz w:val="18"/>
                <w:szCs w:val="18"/>
                <w:color w:val="auto"/>
              </w:rPr>
              <w:t>83.9%</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96.1%</w:t>
            </w:r>
          </w:p>
        </w:tc>
        <w:tc>
          <w:tcPr>
            <w:tcW w:w="1440" w:type="dxa"/>
            <w:vAlign w:val="bottom"/>
            <w:gridSpan w:val="2"/>
          </w:tcPr>
          <w:p>
            <w:pPr>
              <w:jc w:val="right"/>
              <w:ind w:right="38"/>
              <w:spacing w:after="0"/>
              <w:rPr>
                <w:sz w:val="20"/>
                <w:szCs w:val="20"/>
                <w:color w:val="auto"/>
              </w:rPr>
            </w:pPr>
            <w:r>
              <w:rPr>
                <w:rFonts w:ascii="Arial" w:cs="Arial" w:eastAsia="Arial" w:hAnsi="Arial"/>
                <w:sz w:val="18"/>
                <w:szCs w:val="18"/>
                <w:color w:val="auto"/>
              </w:rPr>
              <w:t>86.6%</w:t>
            </w:r>
          </w:p>
        </w:tc>
        <w:tc>
          <w:tcPr>
            <w:tcW w:w="132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640" w:type="dxa"/>
            <w:vAlign w:val="bottom"/>
            <w:shd w:val="clear" w:color="auto" w:fill="CCEEFF"/>
          </w:tcPr>
          <w:p>
            <w:pPr>
              <w:ind w:left="500"/>
              <w:spacing w:after="0" w:line="89" w:lineRule="exact"/>
              <w:rPr>
                <w:sz w:val="20"/>
                <w:szCs w:val="20"/>
                <w:color w:val="auto"/>
              </w:rPr>
            </w:pPr>
            <w:r>
              <w:rPr>
                <w:rFonts w:ascii="Arial" w:cs="Arial" w:eastAsia="Arial" w:hAnsi="Arial"/>
                <w:sz w:val="10"/>
                <w:szCs w:val="10"/>
                <w:color w:val="auto"/>
              </w:rPr>
              <w:t>Average Daily Rate (ADR)</w:t>
            </w:r>
          </w:p>
        </w:tc>
        <w:tc>
          <w:tcPr>
            <w:tcW w:w="20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60" w:type="dxa"/>
            <w:vAlign w:val="bottom"/>
            <w:shd w:val="clear" w:color="auto" w:fill="CCEEFF"/>
          </w:tcPr>
          <w:p>
            <w:pPr>
              <w:jc w:val="right"/>
              <w:ind w:right="18"/>
              <w:spacing w:after="0" w:line="89" w:lineRule="exact"/>
              <w:rPr>
                <w:sz w:val="20"/>
                <w:szCs w:val="20"/>
                <w:color w:val="auto"/>
              </w:rPr>
            </w:pPr>
            <w:r>
              <w:rPr>
                <w:rFonts w:ascii="Arial" w:cs="Arial" w:eastAsia="Arial" w:hAnsi="Arial"/>
                <w:sz w:val="10"/>
                <w:szCs w:val="10"/>
                <w:color w:val="auto"/>
              </w:rPr>
              <w:t>$210</w:t>
            </w:r>
          </w:p>
        </w:tc>
        <w:tc>
          <w:tcPr>
            <w:tcW w:w="1420" w:type="dxa"/>
            <w:vAlign w:val="bottom"/>
            <w:shd w:val="clear" w:color="auto" w:fill="CCEEFF"/>
          </w:tcPr>
          <w:p>
            <w:pPr>
              <w:jc w:val="right"/>
              <w:ind w:right="15"/>
              <w:spacing w:after="0" w:line="89" w:lineRule="exact"/>
              <w:rPr>
                <w:sz w:val="20"/>
                <w:szCs w:val="20"/>
                <w:color w:val="auto"/>
              </w:rPr>
            </w:pPr>
            <w:r>
              <w:rPr>
                <w:rFonts w:ascii="Arial" w:cs="Arial" w:eastAsia="Arial" w:hAnsi="Arial"/>
                <w:sz w:val="10"/>
                <w:szCs w:val="10"/>
                <w:color w:val="auto"/>
              </w:rPr>
              <w:t>$272</w:t>
            </w:r>
          </w:p>
        </w:tc>
        <w:tc>
          <w:tcPr>
            <w:tcW w:w="88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38"/>
              <w:spacing w:after="0" w:line="89" w:lineRule="exact"/>
              <w:rPr>
                <w:sz w:val="20"/>
                <w:szCs w:val="20"/>
                <w:color w:val="auto"/>
              </w:rPr>
            </w:pPr>
            <w:r>
              <w:rPr>
                <w:rFonts w:ascii="Arial" w:cs="Arial" w:eastAsia="Arial" w:hAnsi="Arial"/>
                <w:sz w:val="10"/>
                <w:szCs w:val="10"/>
                <w:color w:val="auto"/>
              </w:rPr>
              <w:t>217</w:t>
            </w:r>
          </w:p>
        </w:tc>
        <w:tc>
          <w:tcPr>
            <w:tcW w:w="13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$291</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1</w:t>
            </w:r>
          </w:p>
        </w:tc>
        <w:tc>
          <w:tcPr>
            <w:tcW w:w="2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64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500"/>
              <w:spacing w:after="0" w:line="202" w:lineRule="exact"/>
              <w:rPr>
                <w:sz w:val="20"/>
                <w:szCs w:val="20"/>
                <w:color w:val="auto"/>
              </w:rPr>
            </w:pPr>
            <w:r>
              <w:rPr>
                <w:rFonts w:ascii="Arial" w:cs="Arial" w:eastAsia="Arial" w:hAnsi="Arial"/>
                <w:sz w:val="18"/>
                <w:szCs w:val="18"/>
                <w:color w:val="auto"/>
                <w:w w:val="98"/>
              </w:rPr>
              <w:t>Revenue per available room (REVPAR)</w:t>
            </w:r>
          </w:p>
        </w:tc>
        <w:tc>
          <w:tcPr>
            <w:tcW w:w="2080" w:type="dxa"/>
            <w:vAlign w:val="bottom"/>
            <w:vMerge w:val="restart"/>
          </w:tcPr>
          <w:p>
            <w:pPr>
              <w:jc w:val="right"/>
              <w:ind w:right="1937"/>
              <w:spacing w:after="0"/>
              <w:rPr>
                <w:sz w:val="20"/>
                <w:szCs w:val="20"/>
                <w:color w:val="auto"/>
              </w:rPr>
            </w:pPr>
            <w:r>
              <w:rPr>
                <w:rFonts w:ascii="Arial" w:cs="Arial" w:eastAsia="Arial" w:hAnsi="Arial"/>
                <w:sz w:val="13"/>
                <w:szCs w:val="13"/>
                <w:color w:val="auto"/>
                <w:w w:val="82"/>
              </w:rPr>
              <w:t>2</w:t>
            </w:r>
          </w:p>
        </w:tc>
        <w:tc>
          <w:tcPr>
            <w:tcW w:w="960" w:type="dxa"/>
            <w:vAlign w:val="bottom"/>
          </w:tcPr>
          <w:p>
            <w:pPr>
              <w:spacing w:after="0"/>
              <w:rPr>
                <w:sz w:val="17"/>
                <w:szCs w:val="17"/>
                <w:color w:val="auto"/>
              </w:rPr>
            </w:pPr>
          </w:p>
        </w:tc>
        <w:tc>
          <w:tcPr>
            <w:tcW w:w="5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$176</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188</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0"/>
        </w:trPr>
        <w:tc>
          <w:tcPr>
            <w:tcW w:w="36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36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40" w:type="dxa"/>
            <w:vAlign w:val="bottom"/>
          </w:tcPr>
          <w:p>
            <w:pPr>
              <w:spacing w:after="0"/>
              <w:rPr>
                <w:sz w:val="20"/>
                <w:szCs w:val="20"/>
                <w:color w:val="auto"/>
              </w:rPr>
            </w:pPr>
            <w:r>
              <w:rPr>
                <w:rFonts w:ascii="Arial" w:cs="Arial" w:eastAsia="Arial" w:hAnsi="Arial"/>
                <w:sz w:val="18"/>
                <w:szCs w:val="18"/>
                <w:color w:val="auto"/>
              </w:rPr>
              <w:t>Other information for Las Vegas operations :</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ind w:left="3440"/>
              <w:spacing w:after="0"/>
              <w:rPr>
                <w:sz w:val="20"/>
                <w:szCs w:val="20"/>
                <w:color w:val="auto"/>
              </w:rPr>
            </w:pPr>
            <w:r>
              <w:rPr>
                <w:rFonts w:ascii="Arial" w:cs="Arial" w:eastAsia="Arial" w:hAnsi="Arial"/>
                <w:sz w:val="13"/>
                <w:szCs w:val="13"/>
                <w:color w:val="auto"/>
              </w:rPr>
              <w:t>5</w:t>
            </w: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6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20" w:type="dxa"/>
            <w:vAlign w:val="bottom"/>
            <w:gridSpan w:val="2"/>
          </w:tcPr>
          <w:p>
            <w:pPr>
              <w:spacing w:after="0"/>
              <w:rPr>
                <w:sz w:val="6"/>
                <w:szCs w:val="6"/>
                <w:color w:val="auto"/>
              </w:rPr>
            </w:pPr>
          </w:p>
        </w:tc>
        <w:tc>
          <w:tcPr>
            <w:tcW w:w="142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2"/>
                <w:szCs w:val="12"/>
                <w:color w:val="auto"/>
              </w:rPr>
              <w:t>3</w:t>
            </w:r>
          </w:p>
        </w:tc>
        <w:tc>
          <w:tcPr>
            <w:tcW w:w="20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$5,801</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$10,062</w:t>
            </w:r>
          </w:p>
        </w:tc>
        <w:tc>
          <w:tcPr>
            <w:tcW w:w="14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$5,071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70"/>
        </w:trPr>
        <w:tc>
          <w:tcPr>
            <w:tcW w:w="3640" w:type="dxa"/>
            <w:vAlign w:val="bottom"/>
          </w:tcPr>
          <w:p>
            <w:pPr>
              <w:ind w:left="500"/>
              <w:spacing w:after="0"/>
              <w:rPr>
                <w:sz w:val="20"/>
                <w:szCs w:val="20"/>
                <w:color w:val="auto"/>
              </w:rPr>
            </w:pPr>
            <w:r>
              <w:rPr>
                <w:rFonts w:ascii="Arial" w:cs="Arial" w:eastAsia="Arial" w:hAnsi="Arial"/>
                <w:sz w:val="18"/>
                <w:szCs w:val="18"/>
                <w:color w:val="auto"/>
              </w:rPr>
              <w:t>Table Win %</w:t>
            </w:r>
          </w:p>
        </w:tc>
        <w:tc>
          <w:tcPr>
            <w:tcW w:w="2080" w:type="dxa"/>
            <w:vAlign w:val="bottom"/>
          </w:tcPr>
          <w:p>
            <w:pPr>
              <w:spacing w:after="0"/>
              <w:rPr>
                <w:sz w:val="23"/>
                <w:szCs w:val="23"/>
                <w:color w:val="auto"/>
              </w:rPr>
            </w:pPr>
          </w:p>
        </w:tc>
        <w:tc>
          <w:tcPr>
            <w:tcW w:w="1520" w:type="dxa"/>
            <w:vAlign w:val="bottom"/>
            <w:gridSpan w:val="2"/>
          </w:tcPr>
          <w:p>
            <w:pPr>
              <w:jc w:val="right"/>
              <w:ind w:right="18"/>
              <w:spacing w:after="0"/>
              <w:rPr>
                <w:sz w:val="20"/>
                <w:szCs w:val="20"/>
                <w:color w:val="auto"/>
              </w:rPr>
            </w:pPr>
            <w:r>
              <w:rPr>
                <w:rFonts w:ascii="Arial" w:cs="Arial" w:eastAsia="Arial" w:hAnsi="Arial"/>
                <w:sz w:val="18"/>
                <w:szCs w:val="18"/>
                <w:color w:val="auto"/>
              </w:rPr>
              <w:t>23.7%</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24.3%</w:t>
            </w:r>
          </w:p>
        </w:tc>
        <w:tc>
          <w:tcPr>
            <w:tcW w:w="1440" w:type="dxa"/>
            <w:vAlign w:val="bottom"/>
            <w:gridSpan w:val="2"/>
          </w:tcPr>
          <w:p>
            <w:pPr>
              <w:jc w:val="right"/>
              <w:ind w:right="38"/>
              <w:spacing w:after="0"/>
              <w:rPr>
                <w:sz w:val="20"/>
                <w:szCs w:val="20"/>
                <w:color w:val="auto"/>
              </w:rPr>
            </w:pPr>
            <w:r>
              <w:rPr>
                <w:rFonts w:ascii="Arial" w:cs="Arial" w:eastAsia="Arial" w:hAnsi="Arial"/>
                <w:sz w:val="18"/>
                <w:szCs w:val="18"/>
                <w:color w:val="auto"/>
              </w:rPr>
              <w:t>20.7%</w:t>
            </w:r>
          </w:p>
        </w:tc>
        <w:tc>
          <w:tcPr>
            <w:tcW w:w="13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2"/>
                <w:szCs w:val="12"/>
                <w:color w:val="auto"/>
              </w:rPr>
              <w:t>4</w:t>
            </w:r>
          </w:p>
        </w:tc>
        <w:tc>
          <w:tcPr>
            <w:tcW w:w="20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149</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0"/>
        </w:trPr>
        <w:tc>
          <w:tcPr>
            <w:tcW w:w="3640" w:type="dxa"/>
            <w:vAlign w:val="bottom"/>
          </w:tcPr>
          <w:p>
            <w:pPr>
              <w:ind w:left="500"/>
              <w:spacing w:after="0"/>
              <w:rPr>
                <w:sz w:val="20"/>
                <w:szCs w:val="20"/>
                <w:color w:val="auto"/>
              </w:rPr>
            </w:pPr>
            <w:r>
              <w:rPr>
                <w:rFonts w:ascii="Arial" w:cs="Arial" w:eastAsia="Arial" w:hAnsi="Arial"/>
                <w:sz w:val="18"/>
                <w:szCs w:val="18"/>
                <w:color w:val="auto"/>
              </w:rPr>
              <w:t>Average number of table games</w:t>
            </w:r>
          </w:p>
        </w:tc>
        <w:tc>
          <w:tcPr>
            <w:tcW w:w="20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230</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139</w:t>
            </w:r>
          </w:p>
        </w:tc>
        <w:tc>
          <w:tcPr>
            <w:tcW w:w="880" w:type="dxa"/>
            <w:vAlign w:val="bottom"/>
          </w:tcPr>
          <w:p>
            <w:pPr>
              <w:spacing w:after="0"/>
              <w:rPr>
                <w:sz w:val="23"/>
                <w:szCs w:val="23"/>
                <w:color w:val="auto"/>
              </w:rPr>
            </w:pPr>
          </w:p>
        </w:tc>
        <w:tc>
          <w:tcPr>
            <w:tcW w:w="560" w:type="dxa"/>
            <w:vAlign w:val="bottom"/>
          </w:tcPr>
          <w:p>
            <w:pPr>
              <w:jc w:val="right"/>
              <w:ind w:right="38"/>
              <w:spacing w:after="0"/>
              <w:rPr>
                <w:sz w:val="20"/>
                <w:szCs w:val="20"/>
                <w:color w:val="auto"/>
              </w:rPr>
            </w:pPr>
            <w:r>
              <w:rPr>
                <w:rFonts w:ascii="Arial" w:cs="Arial" w:eastAsia="Arial" w:hAnsi="Arial"/>
                <w:sz w:val="18"/>
                <w:szCs w:val="18"/>
                <w:color w:val="auto"/>
              </w:rPr>
              <w:t>229</w:t>
            </w: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Average number of slot machines</w:t>
            </w:r>
          </w:p>
        </w:tc>
        <w:tc>
          <w:tcPr>
            <w:tcW w:w="20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7"/>
              </w:rPr>
              <w:t>2,768</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1,956</w:t>
            </w: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w w:val="93"/>
              </w:rPr>
              <w:t>2,776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Room Statistics for Macau:</w:t>
            </w:r>
          </w:p>
        </w:tc>
        <w:tc>
          <w:tcPr>
            <w:tcW w:w="20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500"/>
              <w:spacing w:after="0"/>
              <w:rPr>
                <w:sz w:val="20"/>
                <w:szCs w:val="20"/>
                <w:color w:val="auto"/>
              </w:rPr>
            </w:pPr>
            <w:r>
              <w:rPr>
                <w:rFonts w:ascii="Arial" w:cs="Arial" w:eastAsia="Arial" w:hAnsi="Arial"/>
                <w:sz w:val="18"/>
                <w:szCs w:val="18"/>
                <w:color w:val="auto"/>
              </w:rPr>
              <w:t>Occupancy %</w:t>
            </w:r>
          </w:p>
        </w:tc>
        <w:tc>
          <w:tcPr>
            <w:tcW w:w="2080" w:type="dxa"/>
            <w:vAlign w:val="bottom"/>
          </w:tcPr>
          <w:p>
            <w:pPr>
              <w:spacing w:after="0"/>
              <w:rPr>
                <w:sz w:val="23"/>
                <w:szCs w:val="23"/>
                <w:color w:val="auto"/>
              </w:rPr>
            </w:pPr>
          </w:p>
        </w:tc>
        <w:tc>
          <w:tcPr>
            <w:tcW w:w="1520" w:type="dxa"/>
            <w:vAlign w:val="bottom"/>
            <w:gridSpan w:val="2"/>
          </w:tcPr>
          <w:p>
            <w:pPr>
              <w:jc w:val="right"/>
              <w:ind w:right="18"/>
              <w:spacing w:after="0"/>
              <w:rPr>
                <w:sz w:val="20"/>
                <w:szCs w:val="20"/>
                <w:color w:val="auto"/>
              </w:rPr>
            </w:pPr>
            <w:r>
              <w:rPr>
                <w:rFonts w:ascii="Arial" w:cs="Arial" w:eastAsia="Arial" w:hAnsi="Arial"/>
                <w:sz w:val="18"/>
                <w:szCs w:val="18"/>
                <w:color w:val="auto"/>
              </w:rPr>
              <w:t>89.2%</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86.2%</w:t>
            </w:r>
          </w:p>
        </w:tc>
        <w:tc>
          <w:tcPr>
            <w:tcW w:w="1440" w:type="dxa"/>
            <w:vAlign w:val="bottom"/>
            <w:gridSpan w:val="2"/>
          </w:tcPr>
          <w:p>
            <w:pPr>
              <w:jc w:val="right"/>
              <w:ind w:right="38"/>
              <w:spacing w:after="0"/>
              <w:rPr>
                <w:sz w:val="20"/>
                <w:szCs w:val="20"/>
                <w:color w:val="auto"/>
              </w:rPr>
            </w:pPr>
            <w:r>
              <w:rPr>
                <w:rFonts w:ascii="Arial" w:cs="Arial" w:eastAsia="Arial" w:hAnsi="Arial"/>
                <w:sz w:val="18"/>
                <w:szCs w:val="18"/>
                <w:color w:val="auto"/>
              </w:rPr>
              <w:t>86.4%</w:t>
            </w:r>
          </w:p>
        </w:tc>
        <w:tc>
          <w:tcPr>
            <w:tcW w:w="132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640" w:type="dxa"/>
            <w:vAlign w:val="bottom"/>
            <w:shd w:val="clear" w:color="auto" w:fill="CCEEFF"/>
          </w:tcPr>
          <w:p>
            <w:pPr>
              <w:ind w:left="500"/>
              <w:spacing w:after="0" w:line="89" w:lineRule="exact"/>
              <w:rPr>
                <w:sz w:val="20"/>
                <w:szCs w:val="20"/>
                <w:color w:val="auto"/>
              </w:rPr>
            </w:pPr>
            <w:r>
              <w:rPr>
                <w:rFonts w:ascii="Arial" w:cs="Arial" w:eastAsia="Arial" w:hAnsi="Arial"/>
                <w:sz w:val="10"/>
                <w:szCs w:val="10"/>
                <w:color w:val="auto"/>
              </w:rPr>
              <w:t>Average Daily Rate (ADR)</w:t>
            </w:r>
          </w:p>
        </w:tc>
        <w:tc>
          <w:tcPr>
            <w:tcW w:w="2080" w:type="dxa"/>
            <w:vAlign w:val="bottom"/>
            <w:shd w:val="clear" w:color="auto" w:fill="CCEEFF"/>
          </w:tcPr>
          <w:p>
            <w:pPr>
              <w:spacing w:after="0"/>
              <w:rPr>
                <w:sz w:val="7"/>
                <w:szCs w:val="7"/>
                <w:color w:val="auto"/>
              </w:rPr>
            </w:pPr>
          </w:p>
        </w:tc>
        <w:tc>
          <w:tcPr>
            <w:tcW w:w="96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8"/>
              <w:spacing w:after="0" w:line="89" w:lineRule="exact"/>
              <w:rPr>
                <w:sz w:val="20"/>
                <w:szCs w:val="20"/>
                <w:color w:val="auto"/>
              </w:rPr>
            </w:pPr>
            <w:r>
              <w:rPr>
                <w:rFonts w:ascii="Arial" w:cs="Arial" w:eastAsia="Arial" w:hAnsi="Arial"/>
                <w:sz w:val="10"/>
                <w:szCs w:val="10"/>
                <w:color w:val="auto"/>
              </w:rPr>
              <w:t>263</w:t>
            </w:r>
          </w:p>
        </w:tc>
        <w:tc>
          <w:tcPr>
            <w:tcW w:w="1420" w:type="dxa"/>
            <w:vAlign w:val="bottom"/>
            <w:shd w:val="clear" w:color="auto" w:fill="CCEEFF"/>
          </w:tcPr>
          <w:p>
            <w:pPr>
              <w:jc w:val="right"/>
              <w:ind w:right="15"/>
              <w:spacing w:after="0" w:line="89" w:lineRule="exact"/>
              <w:rPr>
                <w:sz w:val="20"/>
                <w:szCs w:val="20"/>
                <w:color w:val="auto"/>
              </w:rPr>
            </w:pPr>
            <w:r>
              <w:rPr>
                <w:rFonts w:ascii="Arial" w:cs="Arial" w:eastAsia="Arial" w:hAnsi="Arial"/>
                <w:sz w:val="10"/>
                <w:szCs w:val="10"/>
                <w:color w:val="auto"/>
              </w:rPr>
              <w:t>$272</w:t>
            </w:r>
          </w:p>
        </w:tc>
        <w:tc>
          <w:tcPr>
            <w:tcW w:w="88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38"/>
              <w:spacing w:after="0" w:line="89" w:lineRule="exact"/>
              <w:rPr>
                <w:sz w:val="20"/>
                <w:szCs w:val="20"/>
                <w:color w:val="auto"/>
              </w:rPr>
            </w:pPr>
            <w:r>
              <w:rPr>
                <w:rFonts w:ascii="Arial" w:cs="Arial" w:eastAsia="Arial" w:hAnsi="Arial"/>
                <w:sz w:val="10"/>
                <w:szCs w:val="10"/>
                <w:color w:val="auto"/>
              </w:rPr>
              <w:t>265</w:t>
            </w:r>
          </w:p>
        </w:tc>
        <w:tc>
          <w:tcPr>
            <w:tcW w:w="13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$275</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1</w:t>
            </w:r>
          </w:p>
        </w:tc>
        <w:tc>
          <w:tcPr>
            <w:tcW w:w="2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64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500"/>
              <w:spacing w:after="0" w:line="202" w:lineRule="exact"/>
              <w:rPr>
                <w:sz w:val="20"/>
                <w:szCs w:val="20"/>
                <w:color w:val="auto"/>
              </w:rPr>
            </w:pPr>
            <w:r>
              <w:rPr>
                <w:rFonts w:ascii="Arial" w:cs="Arial" w:eastAsia="Arial" w:hAnsi="Arial"/>
                <w:sz w:val="18"/>
                <w:szCs w:val="18"/>
                <w:color w:val="auto"/>
                <w:w w:val="98"/>
              </w:rPr>
              <w:t>Revenue per available room (REVPAR)</w:t>
            </w:r>
          </w:p>
        </w:tc>
        <w:tc>
          <w:tcPr>
            <w:tcW w:w="2080" w:type="dxa"/>
            <w:vAlign w:val="bottom"/>
            <w:vMerge w:val="restart"/>
          </w:tcPr>
          <w:p>
            <w:pPr>
              <w:jc w:val="right"/>
              <w:ind w:right="1937"/>
              <w:spacing w:after="0"/>
              <w:rPr>
                <w:sz w:val="20"/>
                <w:szCs w:val="20"/>
                <w:color w:val="auto"/>
              </w:rPr>
            </w:pPr>
            <w:r>
              <w:rPr>
                <w:rFonts w:ascii="Arial" w:cs="Arial" w:eastAsia="Arial" w:hAnsi="Arial"/>
                <w:sz w:val="13"/>
                <w:szCs w:val="13"/>
                <w:color w:val="auto"/>
                <w:w w:val="82"/>
              </w:rPr>
              <w:t>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235</w:t>
            </w:r>
          </w:p>
        </w:tc>
        <w:tc>
          <w:tcPr>
            <w:tcW w:w="14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229</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0"/>
        </w:trPr>
        <w:tc>
          <w:tcPr>
            <w:tcW w:w="36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36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64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2"/>
                <w:szCs w:val="12"/>
                <w:color w:val="auto"/>
              </w:rPr>
              <w:t>3</w:t>
            </w:r>
          </w:p>
        </w:tc>
        <w:tc>
          <w:tcPr>
            <w:tcW w:w="20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$15,077</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$15,136</w:t>
            </w:r>
          </w:p>
        </w:tc>
        <w:tc>
          <w:tcPr>
            <w:tcW w:w="14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$14,308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70"/>
        </w:trPr>
        <w:tc>
          <w:tcPr>
            <w:tcW w:w="3640" w:type="dxa"/>
            <w:vAlign w:val="bottom"/>
          </w:tcPr>
          <w:p>
            <w:pPr>
              <w:ind w:left="50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2"/>
                <w:szCs w:val="12"/>
                <w:color w:val="auto"/>
              </w:rPr>
              <w:t>4</w:t>
            </w:r>
          </w:p>
        </w:tc>
        <w:tc>
          <w:tcPr>
            <w:tcW w:w="20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365</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$366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8"/>
              <w:spacing w:after="0"/>
              <w:rPr>
                <w:sz w:val="20"/>
                <w:szCs w:val="20"/>
                <w:color w:val="auto"/>
              </w:rPr>
            </w:pPr>
            <w:r>
              <w:rPr>
                <w:rFonts w:ascii="Arial" w:cs="Arial" w:eastAsia="Arial" w:hAnsi="Arial"/>
                <w:sz w:val="18"/>
                <w:szCs w:val="18"/>
                <w:color w:val="auto"/>
              </w:rPr>
              <w:t>397</w:t>
            </w: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Average number of table games</w:t>
            </w:r>
          </w:p>
        </w:tc>
        <w:tc>
          <w:tcPr>
            <w:tcW w:w="20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363</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8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324"/>
        </w:trPr>
        <w:tc>
          <w:tcPr>
            <w:tcW w:w="3640" w:type="dxa"/>
            <w:vAlign w:val="bottom"/>
          </w:tcPr>
          <w:p>
            <w:pPr>
              <w:ind w:left="500"/>
              <w:spacing w:after="0"/>
              <w:rPr>
                <w:sz w:val="20"/>
                <w:szCs w:val="20"/>
                <w:color w:val="auto"/>
              </w:rPr>
            </w:pPr>
            <w:r>
              <w:rPr>
                <w:rFonts w:ascii="Arial" w:cs="Arial" w:eastAsia="Arial" w:hAnsi="Arial"/>
                <w:sz w:val="18"/>
                <w:szCs w:val="18"/>
                <w:color w:val="auto"/>
              </w:rPr>
              <w:t>Average number of slot machines</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w w:val="97"/>
              </w:rPr>
              <w:t>1,124</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1,230</w:t>
            </w:r>
          </w:p>
        </w:tc>
        <w:tc>
          <w:tcPr>
            <w:tcW w:w="880" w:type="dxa"/>
            <w:vAlign w:val="bottom"/>
          </w:tcPr>
          <w:p>
            <w:pPr>
              <w:spacing w:after="0"/>
              <w:rPr>
                <w:sz w:val="24"/>
                <w:szCs w:val="24"/>
                <w:color w:val="auto"/>
              </w:rPr>
            </w:pPr>
          </w:p>
        </w:tc>
        <w:tc>
          <w:tcPr>
            <w:tcW w:w="560" w:type="dxa"/>
            <w:vAlign w:val="bottom"/>
          </w:tcPr>
          <w:p>
            <w:pPr>
              <w:jc w:val="right"/>
              <w:ind w:right="38"/>
              <w:spacing w:after="0"/>
              <w:rPr>
                <w:sz w:val="20"/>
                <w:szCs w:val="20"/>
                <w:color w:val="auto"/>
              </w:rPr>
            </w:pPr>
            <w:r>
              <w:rPr>
                <w:rFonts w:ascii="Arial" w:cs="Arial" w:eastAsia="Arial" w:hAnsi="Arial"/>
                <w:sz w:val="18"/>
                <w:szCs w:val="18"/>
                <w:color w:val="auto"/>
                <w:w w:val="93"/>
              </w:rPr>
              <w:t>1,196</w:t>
            </w:r>
          </w:p>
        </w:tc>
        <w:tc>
          <w:tcPr>
            <w:tcW w:w="132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4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available.</w:t>
      </w:r>
    </w:p>
    <w:p>
      <w:pPr>
        <w:spacing w:after="0" w:line="10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Las Vegas, including Encore for 2009.</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420"/>
          </w:cols>
          <w:pgMar w:left="240" w:top="62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2019-12-10T22:20:56Z</dcterms:created>
  <dcterms:modified xsi:type="dcterms:W3CDTF">2019-12-10T22:20:56Z</dcterms:modified>
</cp:coreProperties>
</file>