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281305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16, 2018</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80" w:type="dxa"/>
            <w:vAlign w:val="bottom"/>
          </w:tcPr>
          <w:p>
            <w:pPr>
              <w:ind w:left="188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6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273"/>
        </w:trPr>
        <w:tc>
          <w:tcPr>
            <w:tcW w:w="2820" w:type="dxa"/>
            <w:vAlign w:val="bottom"/>
          </w:tcPr>
          <w:p>
            <w:pPr>
              <w:spacing w:after="0"/>
              <w:rPr>
                <w:sz w:val="23"/>
                <w:szCs w:val="23"/>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3"/>
                <w:szCs w:val="23"/>
                <w:color w:val="auto"/>
              </w:rPr>
            </w:pPr>
          </w:p>
        </w:tc>
      </w:tr>
      <w:tr>
        <w:trPr>
          <w:trHeight w:val="166"/>
        </w:trPr>
        <w:tc>
          <w:tcPr>
            <w:tcW w:w="2820" w:type="dxa"/>
            <w:vAlign w:val="bottom"/>
          </w:tcPr>
          <w:p>
            <w:pPr>
              <w:spacing w:after="0"/>
              <w:rPr>
                <w:sz w:val="14"/>
                <w:szCs w:val="14"/>
                <w:color w:val="auto"/>
              </w:rPr>
            </w:pPr>
          </w:p>
        </w:tc>
        <w:tc>
          <w:tcPr>
            <w:tcW w:w="478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4"/>
                <w:szCs w:val="14"/>
                <w:color w:val="auto"/>
              </w:rPr>
            </w:pPr>
          </w:p>
        </w:tc>
      </w:tr>
      <w:tr>
        <w:trPr>
          <w:trHeight w:val="212"/>
        </w:trPr>
        <w:tc>
          <w:tcPr>
            <w:tcW w:w="2820" w:type="dxa"/>
            <w:vAlign w:val="bottom"/>
          </w:tcPr>
          <w:p>
            <w:pPr>
              <w:spacing w:after="0"/>
              <w:rPr>
                <w:sz w:val="18"/>
                <w:szCs w:val="18"/>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18"/>
                <w:szCs w:val="18"/>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79" w:right="239" w:bottom="1440" w:gutter="0" w:footer="0" w:header="0"/>
        </w:sectPr>
      </w:pPr>
    </w:p>
    <w:bookmarkStart w:id="1" w:name="page2"/>
    <w:bookmarkEnd w:id="1"/>
    <w:p>
      <w:pPr>
        <w:ind w:left="40"/>
        <w:spacing w:after="0"/>
        <w:tabs>
          <w:tab w:leader="none" w:pos="164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70" w:lineRule="exact"/>
        <w:rPr>
          <w:sz w:val="20"/>
          <w:szCs w:val="20"/>
          <w:color w:val="auto"/>
        </w:rPr>
      </w:pPr>
    </w:p>
    <w:p>
      <w:pPr>
        <w:ind w:right="60" w:firstLine="459"/>
        <w:spacing w:after="0" w:line="279" w:lineRule="auto"/>
        <w:rPr>
          <w:sz w:val="20"/>
          <w:szCs w:val="20"/>
          <w:color w:val="auto"/>
        </w:rPr>
      </w:pPr>
      <w:r>
        <w:rPr>
          <w:rFonts w:ascii="Arial" w:cs="Arial" w:eastAsia="Arial" w:hAnsi="Arial"/>
          <w:sz w:val="17"/>
          <w:szCs w:val="17"/>
          <w:color w:val="auto"/>
        </w:rPr>
        <w:t>On May 16, 2018, Wynn Resorts, Limited (the "Company") held its 2018 Annual Meeting of Stockholders (the "Annual Meeting"). Set forth below are the preliminary voting totals as provided by IVS Associates, Inc. ("IVS"), the independent inspector of elections for the Annual Meeting. The results are preliminary and are subject to change pursuant to a customary review and challenge period, after which IVS will certify the results. We will file an amendment to this Current Report on Form 8-K to disclose the final voting results after we receive a certified report from IVS.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Proposal 1: Election of Directors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elect two Class I directors, each to serve until the 2021 Annual Meeting of Stockholders: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Director Nominees</w:t>
            </w: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Votes For</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Votes Withheld</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5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Betsy Atkins</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69,684,481</w:t>
            </w:r>
          </w:p>
        </w:tc>
        <w:tc>
          <w:tcPr>
            <w:tcW w:w="12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401,165</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804,699</w:t>
            </w:r>
          </w:p>
        </w:tc>
      </w:tr>
      <w:tr>
        <w:trPr>
          <w:trHeight w:val="270"/>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Patricia Mulroy</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69,509,499</w:t>
            </w:r>
          </w:p>
        </w:tc>
        <w:tc>
          <w:tcPr>
            <w:tcW w:w="120" w:type="dxa"/>
            <w:vAlign w:val="bottom"/>
          </w:tcPr>
          <w:p>
            <w:pPr>
              <w:spacing w:after="0"/>
              <w:rPr>
                <w:sz w:val="23"/>
                <w:szCs w:val="23"/>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576,147</w:t>
            </w:r>
          </w:p>
        </w:tc>
        <w:tc>
          <w:tcPr>
            <w:tcW w:w="100" w:type="dxa"/>
            <w:vAlign w:val="bottom"/>
          </w:tcPr>
          <w:p>
            <w:pPr>
              <w:spacing w:after="0"/>
              <w:rPr>
                <w:sz w:val="23"/>
                <w:szCs w:val="23"/>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804,699</w:t>
            </w: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Proposal 2: Ratification of Appointment of Independent Registered Public Accounting Firm</w:t>
      </w:r>
    </w:p>
    <w:p>
      <w:pPr>
        <w:spacing w:after="0" w:line="225"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To ratify the Audit Committee’s appointment of Ernst &amp; Young LLP as the Company’s independent registered public accounting firm for the fiscal year ending December 31,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Votes For</w:t>
            </w:r>
          </w:p>
        </w:tc>
        <w:tc>
          <w:tcPr>
            <w:tcW w:w="2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Votes Against</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Abstain</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jc w:val="right"/>
              <w:ind w:right="950"/>
              <w:spacing w:after="0"/>
              <w:rPr>
                <w:sz w:val="20"/>
                <w:szCs w:val="20"/>
                <w:color w:val="auto"/>
              </w:rPr>
            </w:pPr>
            <w:r>
              <w:rPr>
                <w:rFonts w:ascii="Arial" w:cs="Arial" w:eastAsia="Arial" w:hAnsi="Arial"/>
                <w:sz w:val="18"/>
                <w:szCs w:val="18"/>
                <w:color w:val="auto"/>
              </w:rPr>
              <w:t>59,298,938</w:t>
            </w:r>
          </w:p>
        </w:tc>
        <w:tc>
          <w:tcPr>
            <w:tcW w:w="120" w:type="dxa"/>
            <w:vAlign w:val="bottom"/>
          </w:tcPr>
          <w:p>
            <w:pPr>
              <w:spacing w:after="0"/>
              <w:rPr>
                <w:sz w:val="20"/>
                <w:szCs w:val="20"/>
                <w:color w:val="auto"/>
              </w:rPr>
            </w:pPr>
          </w:p>
        </w:tc>
        <w:tc>
          <w:tcPr>
            <w:tcW w:w="2740" w:type="dxa"/>
            <w:vAlign w:val="bottom"/>
          </w:tcPr>
          <w:p>
            <w:pPr>
              <w:jc w:val="right"/>
              <w:ind w:right="990"/>
              <w:spacing w:after="0"/>
              <w:rPr>
                <w:sz w:val="20"/>
                <w:szCs w:val="20"/>
                <w:color w:val="auto"/>
              </w:rPr>
            </w:pPr>
            <w:r>
              <w:rPr>
                <w:rFonts w:ascii="Arial" w:cs="Arial" w:eastAsia="Arial" w:hAnsi="Arial"/>
                <w:sz w:val="18"/>
                <w:szCs w:val="18"/>
                <w:color w:val="auto"/>
              </w:rPr>
              <w:t>591,708</w:t>
            </w:r>
          </w:p>
        </w:tc>
        <w:tc>
          <w:tcPr>
            <w:tcW w:w="120" w:type="dxa"/>
            <w:vAlign w:val="bottom"/>
          </w:tcPr>
          <w:p>
            <w:pPr>
              <w:spacing w:after="0"/>
              <w:rPr>
                <w:sz w:val="20"/>
                <w:szCs w:val="20"/>
                <w:color w:val="auto"/>
              </w:rPr>
            </w:pPr>
          </w:p>
        </w:tc>
        <w:tc>
          <w:tcPr>
            <w:tcW w:w="2720" w:type="dxa"/>
            <w:vAlign w:val="bottom"/>
          </w:tcPr>
          <w:p>
            <w:pPr>
              <w:jc w:val="right"/>
              <w:ind w:right="870"/>
              <w:spacing w:after="0"/>
              <w:rPr>
                <w:sz w:val="20"/>
                <w:szCs w:val="20"/>
                <w:color w:val="auto"/>
              </w:rPr>
            </w:pPr>
            <w:r>
              <w:rPr>
                <w:rFonts w:ascii="Arial" w:cs="Arial" w:eastAsia="Arial" w:hAnsi="Arial"/>
                <w:sz w:val="18"/>
                <w:szCs w:val="18"/>
                <w:color w:val="auto"/>
              </w:rPr>
              <w:t>10,999,699</w:t>
            </w:r>
          </w:p>
        </w:tc>
        <w:tc>
          <w:tcPr>
            <w:tcW w:w="12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Proposal 3: Approval, on an Advisory Basis, of our Executive Compensation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To approve, on a non-binding advisory basis, the compensation of the Company’s named executive officers as described in the Proxy Statement:</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Votes For</w:t>
            </w:r>
          </w:p>
        </w:tc>
        <w:tc>
          <w:tcPr>
            <w:tcW w:w="2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Votes Against</w:t>
            </w:r>
          </w:p>
        </w:tc>
        <w:tc>
          <w:tcPr>
            <w:tcW w:w="2820" w:type="dxa"/>
            <w:vAlign w:val="bottom"/>
            <w:gridSpan w:val="2"/>
          </w:tcPr>
          <w:p>
            <w:pPr>
              <w:ind w:left="1060"/>
              <w:spacing w:after="0"/>
              <w:rPr>
                <w:sz w:val="20"/>
                <w:szCs w:val="20"/>
                <w:color w:val="auto"/>
              </w:rPr>
            </w:pPr>
            <w:r>
              <w:rPr>
                <w:rFonts w:ascii="Arial" w:cs="Arial" w:eastAsia="Arial" w:hAnsi="Arial"/>
                <w:sz w:val="18"/>
                <w:szCs w:val="18"/>
                <w:b w:val="1"/>
                <w:bCs w:val="1"/>
                <w:color w:val="auto"/>
              </w:rPr>
              <w:t>Abstain</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jc w:val="right"/>
              <w:ind w:right="810"/>
              <w:spacing w:after="0"/>
              <w:rPr>
                <w:sz w:val="20"/>
                <w:szCs w:val="20"/>
                <w:color w:val="auto"/>
              </w:rPr>
            </w:pPr>
            <w:r>
              <w:rPr>
                <w:rFonts w:ascii="Arial" w:cs="Arial" w:eastAsia="Arial" w:hAnsi="Arial"/>
                <w:sz w:val="18"/>
                <w:szCs w:val="18"/>
                <w:color w:val="auto"/>
              </w:rPr>
              <w:t>13,972,222</w:t>
            </w:r>
          </w:p>
        </w:tc>
        <w:tc>
          <w:tcPr>
            <w:tcW w:w="120" w:type="dxa"/>
            <w:vAlign w:val="bottom"/>
          </w:tcPr>
          <w:p>
            <w:pPr>
              <w:spacing w:after="0"/>
              <w:rPr>
                <w:sz w:val="20"/>
                <w:szCs w:val="20"/>
                <w:color w:val="auto"/>
              </w:rPr>
            </w:pPr>
          </w:p>
        </w:tc>
        <w:tc>
          <w:tcPr>
            <w:tcW w:w="2840" w:type="dxa"/>
            <w:vAlign w:val="bottom"/>
          </w:tcPr>
          <w:p>
            <w:pPr>
              <w:jc w:val="right"/>
              <w:ind w:right="930"/>
              <w:spacing w:after="0"/>
              <w:rPr>
                <w:sz w:val="20"/>
                <w:szCs w:val="20"/>
                <w:color w:val="auto"/>
              </w:rPr>
            </w:pPr>
            <w:r>
              <w:rPr>
                <w:rFonts w:ascii="Arial" w:cs="Arial" w:eastAsia="Arial" w:hAnsi="Arial"/>
                <w:sz w:val="18"/>
                <w:szCs w:val="18"/>
                <w:color w:val="auto"/>
              </w:rPr>
              <w:t>55,926,886</w:t>
            </w:r>
          </w:p>
        </w:tc>
        <w:tc>
          <w:tcPr>
            <w:tcW w:w="120" w:type="dxa"/>
            <w:vAlign w:val="bottom"/>
          </w:tcPr>
          <w:p>
            <w:pPr>
              <w:spacing w:after="0"/>
              <w:rPr>
                <w:sz w:val="20"/>
                <w:szCs w:val="20"/>
                <w:color w:val="auto"/>
              </w:rPr>
            </w:pPr>
          </w:p>
        </w:tc>
        <w:tc>
          <w:tcPr>
            <w:tcW w:w="2700" w:type="dxa"/>
            <w:vAlign w:val="bottom"/>
          </w:tcPr>
          <w:p>
            <w:pPr>
              <w:ind w:left="1060"/>
              <w:spacing w:after="0"/>
              <w:rPr>
                <w:sz w:val="20"/>
                <w:szCs w:val="20"/>
                <w:color w:val="auto"/>
              </w:rPr>
            </w:pPr>
            <w:r>
              <w:rPr>
                <w:rFonts w:ascii="Arial" w:cs="Arial" w:eastAsia="Arial" w:hAnsi="Arial"/>
                <w:sz w:val="18"/>
                <w:szCs w:val="18"/>
                <w:color w:val="auto"/>
              </w:rPr>
              <w:t>186,538</w:t>
            </w:r>
          </w:p>
        </w:tc>
        <w:tc>
          <w:tcPr>
            <w:tcW w:w="120" w:type="dxa"/>
            <w:vAlign w:val="bottom"/>
          </w:tcPr>
          <w:p>
            <w:pPr>
              <w:spacing w:after="0"/>
              <w:rPr>
                <w:sz w:val="20"/>
                <w:szCs w:val="20"/>
                <w:color w:val="auto"/>
              </w:rPr>
            </w:pPr>
          </w:p>
        </w:tc>
        <w:tc>
          <w:tcPr>
            <w:tcW w:w="2840" w:type="dxa"/>
            <w:vAlign w:val="bottom"/>
          </w:tcPr>
          <w:p>
            <w:pPr>
              <w:jc w:val="right"/>
              <w:ind w:right="1050"/>
              <w:spacing w:after="0"/>
              <w:rPr>
                <w:sz w:val="20"/>
                <w:szCs w:val="20"/>
                <w:color w:val="auto"/>
              </w:rPr>
            </w:pPr>
            <w:r>
              <w:rPr>
                <w:rFonts w:ascii="Arial" w:cs="Arial" w:eastAsia="Arial" w:hAnsi="Arial"/>
                <w:sz w:val="18"/>
                <w:szCs w:val="18"/>
                <w:color w:val="auto"/>
              </w:rPr>
              <w:t>804,699</w:t>
            </w: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Proposal 4: Stockholder Proposal Requesting A Political Contributions Report</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request that the Company provide a political contributions report, updated semiannually, setting forth specified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Votes For</w:t>
            </w:r>
          </w:p>
        </w:tc>
        <w:tc>
          <w:tcPr>
            <w:tcW w:w="2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Votes Against</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Abstain</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jc w:val="right"/>
              <w:ind w:right="810"/>
              <w:spacing w:after="0"/>
              <w:rPr>
                <w:sz w:val="20"/>
                <w:szCs w:val="20"/>
                <w:color w:val="auto"/>
              </w:rPr>
            </w:pPr>
            <w:r>
              <w:rPr>
                <w:rFonts w:ascii="Arial" w:cs="Arial" w:eastAsia="Arial" w:hAnsi="Arial"/>
                <w:sz w:val="18"/>
                <w:szCs w:val="18"/>
                <w:color w:val="auto"/>
              </w:rPr>
              <w:t>21,250,344</w:t>
            </w:r>
          </w:p>
        </w:tc>
        <w:tc>
          <w:tcPr>
            <w:tcW w:w="120" w:type="dxa"/>
            <w:vAlign w:val="bottom"/>
          </w:tcPr>
          <w:p>
            <w:pPr>
              <w:spacing w:after="0"/>
              <w:rPr>
                <w:sz w:val="20"/>
                <w:szCs w:val="20"/>
                <w:color w:val="auto"/>
              </w:rPr>
            </w:pPr>
          </w:p>
        </w:tc>
        <w:tc>
          <w:tcPr>
            <w:tcW w:w="2860" w:type="dxa"/>
            <w:vAlign w:val="bottom"/>
          </w:tcPr>
          <w:p>
            <w:pPr>
              <w:jc w:val="right"/>
              <w:ind w:right="930"/>
              <w:spacing w:after="0"/>
              <w:rPr>
                <w:sz w:val="20"/>
                <w:szCs w:val="20"/>
                <w:color w:val="auto"/>
              </w:rPr>
            </w:pPr>
            <w:r>
              <w:rPr>
                <w:rFonts w:ascii="Arial" w:cs="Arial" w:eastAsia="Arial" w:hAnsi="Arial"/>
                <w:sz w:val="18"/>
                <w:szCs w:val="18"/>
                <w:color w:val="auto"/>
              </w:rPr>
              <w:t>36,727,825</w:t>
            </w:r>
          </w:p>
        </w:tc>
        <w:tc>
          <w:tcPr>
            <w:tcW w:w="100" w:type="dxa"/>
            <w:vAlign w:val="bottom"/>
          </w:tcPr>
          <w:p>
            <w:pPr>
              <w:spacing w:after="0"/>
              <w:rPr>
                <w:sz w:val="20"/>
                <w:szCs w:val="20"/>
                <w:color w:val="auto"/>
              </w:rPr>
            </w:pPr>
          </w:p>
        </w:tc>
        <w:tc>
          <w:tcPr>
            <w:tcW w:w="2720" w:type="dxa"/>
            <w:vAlign w:val="bottom"/>
          </w:tcPr>
          <w:p>
            <w:pPr>
              <w:jc w:val="right"/>
              <w:ind w:right="870"/>
              <w:spacing w:after="0"/>
              <w:rPr>
                <w:sz w:val="20"/>
                <w:szCs w:val="20"/>
                <w:color w:val="auto"/>
              </w:rPr>
            </w:pPr>
            <w:r>
              <w:rPr>
                <w:rFonts w:ascii="Arial" w:cs="Arial" w:eastAsia="Arial" w:hAnsi="Arial"/>
                <w:sz w:val="18"/>
                <w:szCs w:val="18"/>
                <w:color w:val="auto"/>
              </w:rPr>
              <w:t>12,107,477</w:t>
            </w:r>
          </w:p>
        </w:tc>
        <w:tc>
          <w:tcPr>
            <w:tcW w:w="100" w:type="dxa"/>
            <w:vAlign w:val="bottom"/>
          </w:tcPr>
          <w:p>
            <w:pPr>
              <w:spacing w:after="0"/>
              <w:rPr>
                <w:sz w:val="20"/>
                <w:szCs w:val="20"/>
                <w:color w:val="auto"/>
              </w:rPr>
            </w:pPr>
          </w:p>
        </w:tc>
        <w:tc>
          <w:tcPr>
            <w:tcW w:w="2840" w:type="dxa"/>
            <w:vAlign w:val="bottom"/>
          </w:tcPr>
          <w:p>
            <w:pPr>
              <w:jc w:val="right"/>
              <w:ind w:right="1030"/>
              <w:spacing w:after="0"/>
              <w:rPr>
                <w:sz w:val="20"/>
                <w:szCs w:val="20"/>
                <w:color w:val="auto"/>
              </w:rPr>
            </w:pPr>
            <w:r>
              <w:rPr>
                <w:rFonts w:ascii="Arial" w:cs="Arial" w:eastAsia="Arial" w:hAnsi="Arial"/>
                <w:sz w:val="18"/>
                <w:szCs w:val="18"/>
                <w:color w:val="auto"/>
              </w:rPr>
              <w:t>804,699</w:t>
            </w:r>
          </w:p>
        </w:tc>
      </w:tr>
    </w:tbl>
    <w:p>
      <w:pPr>
        <w:sectPr>
          <w:pgSz w:w="11900" w:h="16838" w:orient="portrait"/>
          <w:cols w:equalWidth="0" w:num="1">
            <w:col w:w="11420"/>
          </w:cols>
          <w:pgMar w:left="240" w:top="742" w:right="239" w:bottom="1440" w:gutter="0" w:footer="0" w:header="0"/>
        </w:sectPr>
      </w:pPr>
    </w:p>
    <w:bookmarkStart w:id="2" w:name="page3"/>
    <w:bookmarkEnd w:id="2"/>
    <w:p>
      <w:pPr>
        <w:ind w:left="53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6440" w:right="2340" w:hanging="6401"/>
        <w:spacing w:after="0" w:line="313" w:lineRule="auto"/>
        <w:tabs>
          <w:tab w:leader="none" w:pos="6420" w:val="left"/>
        </w:tabs>
        <w:rPr>
          <w:sz w:val="20"/>
          <w:szCs w:val="20"/>
          <w:color w:val="auto"/>
        </w:rPr>
      </w:pPr>
      <w:r>
        <w:rPr>
          <w:rFonts w:ascii="Arial" w:cs="Arial" w:eastAsia="Arial" w:hAnsi="Arial"/>
          <w:sz w:val="18"/>
          <w:szCs w:val="18"/>
          <w:color w:val="auto"/>
        </w:rPr>
        <w:t>Dated: May 22, 2018</w:t>
      </w:r>
      <w:r>
        <w:rPr>
          <w:sz w:val="20"/>
          <w:szCs w:val="20"/>
          <w:color w:val="auto"/>
        </w:rPr>
        <w:tab/>
      </w:r>
      <w:r>
        <w:rPr>
          <w:rFonts w:ascii="Arial" w:cs="Arial" w:eastAsia="Arial" w:hAnsi="Arial"/>
          <w:sz w:val="18"/>
          <w:szCs w:val="18"/>
          <w:color w:val="auto"/>
        </w:rPr>
        <w:t>By: /s/ Kim Sinatra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-178435</wp:posOffset>
            </wp:positionV>
            <wp:extent cx="2607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6440"/>
        <w:spacing w:after="0"/>
        <w:rPr>
          <w:sz w:val="20"/>
          <w:szCs w:val="20"/>
          <w:color w:val="auto"/>
        </w:rPr>
      </w:pPr>
      <w:r>
        <w:rPr>
          <w:rFonts w:ascii="Arial" w:cs="Arial" w:eastAsia="Arial" w:hAnsi="Arial"/>
          <w:sz w:val="18"/>
          <w:szCs w:val="18"/>
          <w:color w:val="auto"/>
        </w:rPr>
        <w:t>Executive Vice President and General Counsel</w:t>
      </w:r>
    </w:p>
    <w:sectPr>
      <w:pgSz w:w="11900" w:h="16838" w:orient="portrait"/>
      <w:cols w:equalWidth="0" w:num="1">
        <w:col w:w="10780"/>
      </w:cols>
      <w:pgMar w:left="240" w:top="580"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2019-12-06T20:22:47Z</dcterms:created>
  <dcterms:modified xsi:type="dcterms:W3CDTF">2019-12-06T20:22:47Z</dcterms:modified>
</cp:coreProperties>
</file>