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41"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2840" w:space="580"/>
            <w:col w:w="80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0"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19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3131 Las Vegas Boulevard South - Las Vegas, Nevada 89109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6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820"/>
        <w:spacing w:after="0" w:line="207" w:lineRule="exact"/>
        <w:tabs>
          <w:tab w:leader="none" w:pos="3860" w:val="left"/>
          <w:tab w:leader="none" w:pos="5460" w:val="left"/>
          <w:tab w:leader="none" w:pos="74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8"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88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Outstanding at July 31, 2008</w:t>
            </w:r>
          </w:p>
        </w:tc>
        <w:tc>
          <w:tcPr>
            <w:tcW w:w="1800" w:type="dxa"/>
            <w:vAlign w:val="bottom"/>
          </w:tcPr>
          <w:p>
            <w:pPr>
              <w:spacing w:after="0"/>
              <w:rPr>
                <w:sz w:val="14"/>
                <w:szCs w:val="14"/>
                <w:color w:val="auto"/>
              </w:rPr>
            </w:pPr>
          </w:p>
        </w:tc>
      </w:tr>
      <w:tr>
        <w:trPr>
          <w:trHeight w:val="216"/>
        </w:trPr>
        <w:tc>
          <w:tcPr>
            <w:tcW w:w="2980" w:type="dxa"/>
            <w:vAlign w:val="bottom"/>
            <w:gridSpan w:val="2"/>
          </w:tcPr>
          <w:p>
            <w:pPr>
              <w:ind w:left="1680"/>
              <w:spacing w:after="0"/>
              <w:rPr>
                <w:sz w:val="20"/>
                <w:szCs w:val="20"/>
                <w:color w:val="auto"/>
              </w:rPr>
            </w:pPr>
            <w:r>
              <w:rPr>
                <w:rFonts w:ascii="Arial" w:cs="Arial" w:eastAsia="Arial" w:hAnsi="Arial"/>
                <w:sz w:val="18"/>
                <w:szCs w:val="18"/>
                <w:color w:val="auto"/>
                <w:w w:val="91"/>
              </w:rPr>
              <w:t>Common stock, $</w:t>
            </w:r>
          </w:p>
        </w:tc>
        <w:tc>
          <w:tcPr>
            <w:tcW w:w="4880" w:type="dxa"/>
            <w:vAlign w:val="bottom"/>
          </w:tcPr>
          <w:p>
            <w:pPr>
              <w:spacing w:after="0"/>
              <w:rPr>
                <w:sz w:val="20"/>
                <w:szCs w:val="20"/>
                <w:color w:val="auto"/>
              </w:rPr>
            </w:pPr>
            <w:r>
              <w:rPr>
                <w:rFonts w:ascii="Arial" w:cs="Arial" w:eastAsia="Arial" w:hAnsi="Arial"/>
                <w:sz w:val="18"/>
                <w:szCs w:val="18"/>
                <w:color w:val="auto"/>
              </w:rPr>
              <w:t>0.01 par value</w:t>
            </w:r>
          </w:p>
        </w:tc>
        <w:tc>
          <w:tcPr>
            <w:tcW w:w="1760" w:type="dxa"/>
            <w:vAlign w:val="bottom"/>
          </w:tcPr>
          <w:p>
            <w:pPr>
              <w:jc w:val="right"/>
              <w:ind w:right="362"/>
              <w:spacing w:after="0"/>
              <w:rPr>
                <w:sz w:val="20"/>
                <w:szCs w:val="20"/>
                <w:color w:val="auto"/>
              </w:rPr>
            </w:pPr>
            <w:r>
              <w:rPr>
                <w:rFonts w:ascii="Arial" w:cs="Arial" w:eastAsia="Arial" w:hAnsi="Arial"/>
                <w:sz w:val="18"/>
                <w:szCs w:val="18"/>
                <w:color w:val="auto"/>
              </w:rPr>
              <w:t>103,745,540</w:t>
            </w:r>
          </w:p>
        </w:tc>
        <w:tc>
          <w:tcPr>
            <w:tcW w:w="1800" w:type="dxa"/>
            <w:vAlign w:val="bottom"/>
          </w:tcPr>
          <w:p>
            <w:pPr>
              <w:spacing w:after="0"/>
              <w:rPr>
                <w:sz w:val="18"/>
                <w:szCs w:val="18"/>
                <w:color w:val="auto"/>
              </w:rPr>
            </w:pPr>
          </w:p>
        </w:tc>
      </w:tr>
      <w:tr>
        <w:trPr>
          <w:trHeight w:val="115"/>
        </w:trPr>
        <w:tc>
          <w:tcPr>
            <w:tcW w:w="2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60" w:type="dxa"/>
            <w:vAlign w:val="bottom"/>
            <w:gridSpan w:val="9"/>
          </w:tcPr>
          <w:p>
            <w:pPr>
              <w:spacing w:after="0"/>
              <w:rPr>
                <w:sz w:val="20"/>
                <w:szCs w:val="20"/>
                <w:color w:val="auto"/>
              </w:rPr>
            </w:pPr>
            <w:r>
              <w:rPr>
                <w:rFonts w:ascii="Arial" w:cs="Arial" w:eastAsia="Arial" w:hAnsi="Arial"/>
                <w:sz w:val="18"/>
                <w:szCs w:val="18"/>
                <w:b w:val="1"/>
                <w:bCs w:val="1"/>
                <w:color w:val="auto"/>
              </w:rPr>
              <w:t>Financial Information</w:t>
            </w:r>
          </w:p>
        </w:tc>
        <w:tc>
          <w:tcPr>
            <w:tcW w:w="1040" w:type="dxa"/>
            <w:vAlign w:val="bottom"/>
          </w:tcPr>
          <w:p>
            <w:pPr>
              <w:spacing w:after="0"/>
              <w:rPr>
                <w:sz w:val="19"/>
                <w:szCs w:val="19"/>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040" w:type="dxa"/>
            <w:vAlign w:val="bottom"/>
          </w:tcPr>
          <w:p>
            <w:pPr>
              <w:spacing w:after="0"/>
              <w:rPr>
                <w:sz w:val="24"/>
                <w:szCs w:val="24"/>
                <w:color w:val="auto"/>
              </w:rPr>
            </w:pPr>
          </w:p>
        </w:tc>
      </w:tr>
      <w:tr>
        <w:trPr>
          <w:trHeight w:val="286"/>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2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(unaudited)—June 30, 2008 and December 31, 2007</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20" w:type="dxa"/>
            <w:vAlign w:val="bottom"/>
            <w:gridSpan w:val="8"/>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Income (unaudited)—Three and six months ended June 30, 2008 and 2007</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40" w:type="dxa"/>
            <w:vAlign w:val="bottom"/>
            <w:tcBorders>
              <w:top w:val="single" w:sz="8" w:color="0000EE"/>
            </w:tcBorders>
            <w:gridSpan w:val="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Cash Flows (unaudited)—Six months ended June 30, 2008 and 2007</w:t>
              </w:r>
            </w:hyperlink>
          </w:p>
        </w:tc>
        <w:tc>
          <w:tcPr>
            <w:tcW w:w="8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20" w:type="dxa"/>
            <w:vAlign w:val="bottom"/>
            <w:tcBorders>
              <w:top w:val="single" w:sz="8" w:color="0000EE"/>
            </w:tcBorders>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30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060" w:type="dxa"/>
            <w:vAlign w:val="bottom"/>
            <w:gridSpan w:val="4"/>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36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4440" w:type="dxa"/>
            <w:vAlign w:val="bottom"/>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5960" w:type="dxa"/>
            <w:vAlign w:val="bottom"/>
          </w:tcPr>
          <w:p>
            <w:pPr>
              <w:spacing w:after="0"/>
              <w:rPr>
                <w:sz w:val="19"/>
                <w:szCs w:val="19"/>
                <w:color w:val="auto"/>
              </w:rPr>
            </w:pPr>
          </w:p>
        </w:tc>
      </w:tr>
      <w:tr>
        <w:trPr>
          <w:trHeight w:val="286"/>
        </w:trPr>
        <w:tc>
          <w:tcPr>
            <w:tcW w:w="1020" w:type="dxa"/>
            <w:vAlign w:val="bottom"/>
            <w:gridSpan w:val="2"/>
          </w:tcPr>
          <w:p>
            <w:pPr>
              <w:spacing w:after="0"/>
              <w:rPr>
                <w:sz w:val="20"/>
                <w:szCs w:val="20"/>
                <w:color w:val="auto"/>
              </w:rPr>
            </w:pPr>
            <w:r>
              <w:rPr>
                <w:rFonts w:ascii="Arial" w:cs="Arial" w:eastAsia="Arial" w:hAnsi="Arial"/>
                <w:sz w:val="18"/>
                <w:szCs w:val="18"/>
                <w:color w:val="auto"/>
              </w:rPr>
              <w:t>Item IA.</w:t>
            </w:r>
          </w:p>
        </w:tc>
        <w:tc>
          <w:tcPr>
            <w:tcW w:w="444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Submission of Matters to a Vote of Security Holders</w:t>
              </w:r>
            </w:hyperlink>
          </w:p>
        </w:tc>
        <w:tc>
          <w:tcPr>
            <w:tcW w:w="5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44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2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8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1,333,828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1,275,120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0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1,644,147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1,581,991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531,120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4,414,496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3,939,979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Intangibles,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187,617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6,529,053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6,299,282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Accounts and construction payable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320,534</w:t>
            </w:r>
          </w:p>
        </w:tc>
        <w:tc>
          <w:tcPr>
            <w:tcW w:w="28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Current portion of land concession obligation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payable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Accrued interest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 and benefits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Gaming taxes payable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98,095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accrued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Customer deposits and other related liabilities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152,735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Pr>
          <w:p>
            <w:pPr>
              <w:ind w:left="440"/>
              <w:spacing w:after="0"/>
              <w:rPr>
                <w:sz w:val="20"/>
                <w:szCs w:val="20"/>
                <w:color w:val="auto"/>
              </w:rPr>
            </w:pPr>
            <w:r>
              <w:rPr>
                <w:rFonts w:ascii="Arial" w:cs="Arial" w:eastAsia="Arial" w:hAnsi="Arial"/>
                <w:sz w:val="18"/>
                <w:szCs w:val="18"/>
                <w:color w:val="auto"/>
              </w:rPr>
              <w:t>Construction retention</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Long-term debt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3,893,069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3,533,339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Construction retention</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4,854,907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4,351,123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0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w w:val="98"/>
              </w:rPr>
              <w:t>Preferred stock, par value $0.01; 40,000,000 shares authorized; zero shares issued and outstanding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par value $0.01; 400,000,000 shares authorized;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116,535,578 and 116,259,411 shares issued;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107,986,895 and 114,370,090 shares outstanding</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Treasury stock, at cost; 8,548,683 and 1,889,321 shares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(782,926)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(179,277)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2,283,469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2,273,078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Accumulated other comprehensive loss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 (deficit)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(143,899)</w:t>
            </w:r>
          </w:p>
        </w:tc>
        <w:tc>
          <w:tcPr>
            <w:tcW w:w="0" w:type="dxa"/>
            <w:vAlign w:val="bottom"/>
          </w:tcPr>
          <w:p>
            <w:pPr>
              <w:spacing w:after="0"/>
              <w:rPr>
                <w:sz w:val="1"/>
                <w:szCs w:val="1"/>
                <w:color w:val="auto"/>
              </w:rPr>
            </w:pPr>
          </w:p>
        </w:tc>
      </w:tr>
      <w:tr>
        <w:trPr>
          <w:trHeight w:val="230"/>
        </w:trPr>
        <w:tc>
          <w:tcPr>
            <w:tcW w:w="830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1,674,146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1,948,159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6,529,053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6,299,282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Casino</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623,637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491,825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1,215,408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949,017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96,955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92,226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880,361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734,509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1,716,613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1,417,080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(55,204)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(46,968)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(112,750)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825,157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687,541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1,603,863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1,322,858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7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Casino</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399,947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289,668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788,325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55,125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54,953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106,796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41,446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84,973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74,294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164,235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13,021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680,806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561,900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1,368,909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144,514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126,153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(40,982)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(35,460)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(86,250)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(10,642)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(22,718)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(48,923)</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133,872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103,435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175,877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185,409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(provision) for income taxes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138,121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(13,885)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271,993</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89,550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318,710</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Basic</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111,128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101,214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111,770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112,365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112,111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318,710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$ 147,955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126,511</w:t>
            </w:r>
          </w:p>
        </w:tc>
        <w:tc>
          <w:tcPr>
            <w:tcW w:w="740" w:type="dxa"/>
            <w:vAlign w:val="bottom"/>
          </w:tcPr>
          <w:p>
            <w:pPr>
              <w:jc w:val="right"/>
              <w:spacing w:after="0"/>
              <w:rPr>
                <w:sz w:val="20"/>
                <w:szCs w:val="20"/>
                <w:color w:val="auto"/>
              </w:rPr>
            </w:pPr>
            <w:r>
              <w:rPr>
                <w:rFonts w:ascii="Arial" w:cs="Arial" w:eastAsia="Arial" w:hAnsi="Arial"/>
                <w:sz w:val="18"/>
                <w:szCs w:val="18"/>
                <w:color w:val="auto"/>
              </w:rPr>
              <w:t>103,426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(144,131)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8,554</w:t>
            </w:r>
          </w:p>
        </w:tc>
        <w:tc>
          <w:tcPr>
            <w:tcW w:w="740" w:type="dxa"/>
            <w:vAlign w:val="bottom"/>
          </w:tcPr>
          <w:p>
            <w:pPr>
              <w:jc w:val="right"/>
              <w:spacing w:after="0"/>
              <w:rPr>
                <w:sz w:val="20"/>
                <w:szCs w:val="20"/>
                <w:color w:val="auto"/>
              </w:rPr>
            </w:pPr>
            <w:r>
              <w:rPr>
                <w:rFonts w:ascii="Arial" w:cs="Arial" w:eastAsia="Arial" w:hAnsi="Arial"/>
                <w:sz w:val="18"/>
                <w:szCs w:val="18"/>
                <w:color w:val="auto"/>
              </w:rPr>
              <w:t>9,341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10,774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29,565</w:t>
            </w:r>
          </w:p>
        </w:tc>
        <w:tc>
          <w:tcPr>
            <w:tcW w:w="740" w:type="dxa"/>
            <w:vAlign w:val="bottom"/>
          </w:tcPr>
          <w:p>
            <w:pPr>
              <w:jc w:val="right"/>
              <w:spacing w:after="0"/>
              <w:rPr>
                <w:sz w:val="20"/>
                <w:szCs w:val="20"/>
                <w:color w:val="auto"/>
              </w:rPr>
            </w:pPr>
            <w:r>
              <w:rPr>
                <w:rFonts w:ascii="Arial" w:cs="Arial" w:eastAsia="Arial" w:hAnsi="Arial"/>
                <w:sz w:val="18"/>
                <w:szCs w:val="18"/>
                <w:color w:val="auto"/>
              </w:rPr>
              <w:t>26,290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(8,707)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12,632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(18,034)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338,800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(606,412)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(443)</w:t>
            </w:r>
          </w:p>
        </w:tc>
        <w:tc>
          <w:tcPr>
            <w:tcW w:w="740" w:type="dxa"/>
            <w:vAlign w:val="bottom"/>
          </w:tcPr>
          <w:p>
            <w:pPr>
              <w:jc w:val="right"/>
              <w:spacing w:after="0"/>
              <w:rPr>
                <w:sz w:val="20"/>
                <w:szCs w:val="20"/>
                <w:color w:val="auto"/>
              </w:rPr>
            </w:pPr>
            <w:r>
              <w:rPr>
                <w:rFonts w:ascii="Arial" w:cs="Arial" w:eastAsia="Arial" w:hAnsi="Arial"/>
                <w:sz w:val="18"/>
                <w:szCs w:val="18"/>
                <w:color w:val="auto"/>
              </w:rPr>
              <w:t>196,786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(29,547)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3,861</w:t>
            </w:r>
          </w:p>
        </w:tc>
        <w:tc>
          <w:tcPr>
            <w:tcW w:w="740" w:type="dxa"/>
            <w:vAlign w:val="bottom"/>
          </w:tcPr>
          <w:p>
            <w:pPr>
              <w:jc w:val="right"/>
              <w:spacing w:after="0"/>
              <w:rPr>
                <w:sz w:val="20"/>
                <w:szCs w:val="20"/>
                <w:color w:val="auto"/>
              </w:rPr>
            </w:pPr>
            <w:r>
              <w:rPr>
                <w:rFonts w:ascii="Arial" w:cs="Arial" w:eastAsia="Arial" w:hAnsi="Arial"/>
                <w:sz w:val="18"/>
                <w:szCs w:val="18"/>
                <w:color w:val="auto"/>
              </w:rPr>
              <w:t>1,632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(632,541)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(239,897)</w:t>
            </w: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361,000</w:t>
            </w:r>
          </w:p>
        </w:tc>
        <w:tc>
          <w:tcPr>
            <w:tcW w:w="740" w:type="dxa"/>
            <w:vAlign w:val="bottom"/>
          </w:tcPr>
          <w:p>
            <w:pPr>
              <w:jc w:val="right"/>
              <w:spacing w:after="0"/>
              <w:rPr>
                <w:sz w:val="20"/>
                <w:szCs w:val="20"/>
                <w:color w:val="auto"/>
              </w:rPr>
            </w:pPr>
            <w:r>
              <w:rPr>
                <w:rFonts w:ascii="Arial" w:cs="Arial" w:eastAsia="Arial" w:hAnsi="Arial"/>
                <w:sz w:val="18"/>
                <w:szCs w:val="18"/>
                <w:color w:val="auto"/>
              </w:rPr>
              <w:t>220,576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Cash and investments restricted for stock repurchases</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456,143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(460,580)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(2,836)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 and other</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352,727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(46,248)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58,708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1,275,120</w:t>
            </w:r>
          </w:p>
        </w:tc>
        <w:tc>
          <w:tcPr>
            <w:tcW w:w="740" w:type="dxa"/>
            <w:vAlign w:val="bottom"/>
          </w:tcPr>
          <w:p>
            <w:pPr>
              <w:jc w:val="right"/>
              <w:spacing w:after="0"/>
              <w:rPr>
                <w:sz w:val="20"/>
                <w:szCs w:val="20"/>
                <w:color w:val="auto"/>
              </w:rPr>
            </w:pPr>
            <w:r>
              <w:rPr>
                <w:rFonts w:ascii="Arial" w:cs="Arial" w:eastAsia="Arial" w:hAnsi="Arial"/>
                <w:sz w:val="18"/>
                <w:szCs w:val="18"/>
                <w:color w:val="auto"/>
              </w:rPr>
              <w:t>789,407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1,333,828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$ 838,539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ind w:left="240" w:right="826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currently owns and operates two casino hotel resort properties, Wynn Las Vegas, which opened on April 28, 2005 and Wynn Macau, which opened on September 6, 2006. In addition, the Company is constructing Encore at Wynn Las Vegas and Encore at Wynn Macau (previously known as Wynn Diamond). Encore at Wynn Las Vegas is expected to open in December 2008. Encore at Wynn Macau is expected to open in the first half of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2008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2007.</w:t>
      </w:r>
    </w:p>
    <w:p>
      <w:pPr>
        <w:spacing w:after="0" w:line="193" w:lineRule="exact"/>
        <w:rPr>
          <w:sz w:val="20"/>
          <w:szCs w:val="20"/>
          <w:color w:val="auto"/>
        </w:rPr>
      </w:pPr>
    </w:p>
    <w:p>
      <w:pPr>
        <w:ind w:left="240" w:right="790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June 30, 2008 and December 31, 2007, approximately 73% and 65%,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certain commissions and points earned in customer loyalty programs, such as the players club loyalty program.</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89"/>
              </w:rPr>
              <w:t>Three Months Ended</w:t>
            </w:r>
          </w:p>
        </w:tc>
        <w:tc>
          <w:tcPr>
            <w:tcW w:w="340" w:type="dxa"/>
            <w:vAlign w:val="bottom"/>
          </w:tcPr>
          <w:p>
            <w:pPr>
              <w:spacing w:after="0"/>
              <w:rPr>
                <w:sz w:val="14"/>
                <w:szCs w:val="14"/>
                <w:color w:val="auto"/>
              </w:rPr>
            </w:pPr>
          </w:p>
        </w:tc>
        <w:tc>
          <w:tcPr>
            <w:tcW w:w="15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8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20" w:type="dxa"/>
            <w:vAlign w:val="bottom"/>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18,567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16,069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39,713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33,354</w:t>
            </w:r>
          </w:p>
        </w:tc>
        <w:tc>
          <w:tcPr>
            <w:tcW w:w="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20" w:type="dxa"/>
            <w:vAlign w:val="bottom"/>
          </w:tcPr>
          <w:p>
            <w:pPr>
              <w:spacing w:after="0"/>
              <w:rPr>
                <w:sz w:val="18"/>
                <w:szCs w:val="18"/>
                <w:color w:val="auto"/>
              </w:rPr>
            </w:pPr>
          </w:p>
        </w:tc>
      </w:tr>
      <w:tr>
        <w:trPr>
          <w:trHeight w:val="222"/>
        </w:trPr>
        <w:tc>
          <w:tcPr>
            <w:tcW w:w="808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29,425</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25,488</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61,621</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52,199</w:t>
            </w: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during development periods are included in pre-opening costs. Once a project is complete, advertising costs are included in general and administrative expenses. For the three months ended June 30, 2008 and 2007, advertising costs totaled approximately $6.3 million and $5.7 million, respectively. For the six months ended June 30, 2008 and 2007, advertising costs totaled approximately $13.7 million and $13.6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September 2006, the Financial Accounting Standards Board (the “FASB”) issued Statement of Financial Accounting Standards (“SFAS”) No. 157, “Fair Value Measurements”. This statement defines fair value, establishes a framework for measuring fair value, and expands disclosures about fair value measurements 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The Company partially adopted the provisions of SFAS 157 effective January 1, 2008 and expects to adopt the remaining provisions of SFAS 157 on January 1, 2009. The adoption of this statement did not have a material impact the Company’s consolidated financial statements.</w:t>
      </w:r>
    </w:p>
    <w:p>
      <w:pPr>
        <w:spacing w:after="0" w:line="10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on January 1, 2008, did not have a material impact on the Company’s consolidated financial statements.</w:t>
      </w:r>
    </w:p>
    <w:p>
      <w:pPr>
        <w:spacing w:after="0" w:line="9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the Company’s financial position, results of operations or cash flows.</w:t>
      </w:r>
    </w:p>
    <w:p>
      <w:pPr>
        <w:spacing w:after="0" w:line="9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May 2008, the FASB issued FASB Staff Position APB 14-1, Accounting for Convertible Debt Instruments That May Be Settled in Cash upon Conversion (Including Partial Cash Settlement) (the “FSP”). The FSP requires the issuer of certain convertible debt instruments that may be settled in cash on conversion to separately account for the liability (debt) and equity (conversion option) components of the instruments in a manner that reflects the issuer’s nonconvertible debt borrowing rate. The effective date of the FSP is for financial statements issued for fiscal years beginning after December 15, 2008 and interim periods within those fiscal years and does not permit earlier application. However, the transition guidance requires retrospective application to all periods presented and does not grandfather existing instruments. The Company is currently evaluating the impact that the adoption of the FSP will have on its consolidated financial statements.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which provides for the reporting of “basic,” or undiluted, earnings per share (“EPS”) and “diluted” EPS. Basic EPS is computed by dividing net income by the weighted average number of shares outstanding during the period. Diluted EPS reflects the addition of potentially dilutive securities, which for the Company include: stock options, nonvested stock, and the 6% Convertible Subordinated Debentures due 2015 (the “Debentures”) which were all converted in July 2007.</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17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522"/>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522"/>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80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w w:val="96"/>
              </w:rPr>
              <w:t>2007</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111,128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101,214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111,770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101,307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8"/>
              </w:rPr>
              <w:t>Potential dilution from the assumed exercise of stock options, non-vested stock, and the Debentures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10,897</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10,930</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and common equivalent shares outstanding (used in calculation of diluted</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112,365</w:t>
            </w: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112,111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112,986</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112,237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calculation of diluted EPS for the three and six months ended June 30, 2007 also includes an addition to net income of $2.3 million and $4.6 million, respectively, to reflect the interest expense, net of related tax effects, that would not have been incurred on the Debentures had they been converted as of January 1, 2007. For the three and six months ended June 30, 2008, 860,000 stock options were excluded from the calculation of diluted EPS because they were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$271,993</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$89,550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$318,710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6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(2,438)</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(261)</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(406)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269,555</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89,289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318,304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2008 and December 31, 2007, accumulated other comprehensive income consisted solely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Interest paid for the six months ended June 30, 2008 and 2007 totaled approximately $115.3 million and $82.7 million, respectively. Interest capitalized for the six months ended June 30, 2008 and 2007 totaled approximately $37.4 million and $16.1 million, respectively.</w:t>
      </w:r>
    </w:p>
    <w:p>
      <w:pPr>
        <w:spacing w:after="0" w:line="132"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During the six months ended June 30, 2008 and 2007, capital expenditures exclude an increase of approximately $3.4 million and $45.4 million, respectively, in construction payables and retention.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66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$195,972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216,166</w:t>
            </w: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Hotel</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26,592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19,464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231,950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245,205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gridSpan w:val="2"/>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(78,354)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(66,146)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153,596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179,059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6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24"/>
                <w:szCs w:val="24"/>
                <w:color w:val="auto"/>
              </w:rPr>
            </w:pPr>
          </w:p>
        </w:tc>
        <w:tc>
          <w:tcPr>
            <w:tcW w:w="144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615,894</w:t>
            </w: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615,894</w:t>
            </w: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1,795,040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97"/>
              </w:rPr>
              <w:t>1,799,321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926,206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896,060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66,970</w:t>
            </w: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1,487,428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921,747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4,968,864</w:t>
            </w: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4,377,331</w:t>
            </w: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(554,368)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(437,352)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$ 4,414,496</w:t>
            </w: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3,939,979</w:t>
            </w: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11420" w:type="dxa"/>
            <w:vAlign w:val="bottom"/>
            <w:gridSpan w:val="16"/>
          </w:tcPr>
          <w:p>
            <w:pPr>
              <w:ind w:left="460"/>
              <w:spacing w:after="0"/>
              <w:rPr>
                <w:sz w:val="20"/>
                <w:szCs w:val="20"/>
                <w:color w:val="auto"/>
              </w:rPr>
            </w:pPr>
            <w:r>
              <w:rPr>
                <w:rFonts w:ascii="Arial" w:cs="Arial" w:eastAsia="Arial" w:hAnsi="Arial"/>
                <w:sz w:val="18"/>
                <w:szCs w:val="18"/>
                <w:color w:val="auto"/>
                <w:w w:val="90"/>
              </w:rPr>
              <w:t>As of June 30, 2008 and December 31, 2007, construction in progress includes costs capitalized in conjunction with the development and construction of</w:t>
            </w:r>
          </w:p>
        </w:tc>
        <w:tc>
          <w:tcPr>
            <w:tcW w:w="0" w:type="dxa"/>
            <w:vAlign w:val="bottom"/>
          </w:tcPr>
          <w:p>
            <w:pPr>
              <w:spacing w:after="0"/>
              <w:rPr>
                <w:sz w:val="1"/>
                <w:szCs w:val="1"/>
                <w:color w:val="auto"/>
              </w:rPr>
            </w:pP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color w:val="auto"/>
              </w:rPr>
              <w:t>Encore at Wynn Las Vegas and Encore at Wynn Macau.</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8. Long-Term Debt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6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80" w:type="dxa"/>
            <w:vAlign w:val="bottom"/>
            <w:gridSpan w:val="3"/>
          </w:tcPr>
          <w:p>
            <w:pPr>
              <w:spacing w:after="0"/>
              <w:rPr>
                <w:sz w:val="14"/>
                <w:szCs w:val="14"/>
                <w:color w:val="auto"/>
              </w:rPr>
            </w:pPr>
          </w:p>
        </w:tc>
        <w:tc>
          <w:tcPr>
            <w:tcW w:w="7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w w:val="89"/>
              </w:rPr>
              <w:t xml:space="preserve">6 </w:t>
            </w:r>
            <w:r>
              <w:rPr>
                <w:rFonts w:ascii="Arial" w:cs="Arial" w:eastAsia="Arial" w:hAnsi="Arial"/>
                <w:sz w:val="22"/>
                <w:szCs w:val="22"/>
                <w:color w:val="auto"/>
                <w:w w:val="89"/>
                <w:vertAlign w:val="superscript"/>
              </w:rPr>
              <w:t>5</w:t>
            </w:r>
            <w:r>
              <w:rPr>
                <w:rFonts w:ascii="Arial" w:cs="Arial" w:eastAsia="Arial" w:hAnsi="Arial"/>
                <w:sz w:val="18"/>
                <w:szCs w:val="18"/>
                <w:color w:val="auto"/>
                <w:w w:val="89"/>
              </w:rPr>
              <w:t>/</w:t>
            </w:r>
            <w:r>
              <w:rPr>
                <w:rFonts w:ascii="Arial" w:cs="Arial" w:eastAsia="Arial" w:hAnsi="Arial"/>
                <w:sz w:val="13"/>
                <w:szCs w:val="13"/>
                <w:color w:val="auto"/>
                <w:w w:val="89"/>
              </w:rPr>
              <w:t>8</w:t>
            </w:r>
            <w:r>
              <w:rPr>
                <w:rFonts w:ascii="Arial" w:cs="Arial" w:eastAsia="Arial" w:hAnsi="Arial"/>
                <w:sz w:val="18"/>
                <w:szCs w:val="18"/>
                <w:color w:val="auto"/>
                <w:w w:val="89"/>
              </w:rPr>
              <w:t>% First Mortgage Notes, due December 1, 2014, net of original issue discount of $10,200 and $10,816, respectively</w:t>
            </w:r>
          </w:p>
        </w:tc>
        <w:tc>
          <w:tcPr>
            <w:tcW w:w="1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$ 1,689,800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$ 1,689,184</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$1 billion Term Loan Facility, due June 21, 2010; interest at LIBOR plus 2.25%</w:t>
            </w:r>
          </w:p>
        </w:tc>
        <w:tc>
          <w:tcPr>
            <w:tcW w:w="1520" w:type="dxa"/>
            <w:vAlign w:val="bottom"/>
            <w:gridSpan w:val="7"/>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$900 million Wynn Las Vegas Revolving Credit Facility; due August 15, 2011; interest at LIBOR plus 1.625%</w:t>
            </w:r>
          </w:p>
        </w:tc>
        <w:tc>
          <w:tcPr>
            <w:tcW w:w="1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361,000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580" w:type="dxa"/>
            <w:vAlign w:val="bottom"/>
            <w:gridSpan w:val="7"/>
          </w:tcPr>
          <w:p>
            <w:pPr>
              <w:spacing w:after="0"/>
              <w:rPr>
                <w:sz w:val="20"/>
                <w:szCs w:val="20"/>
                <w:color w:val="auto"/>
              </w:rPr>
            </w:pPr>
            <w:r>
              <w:rPr>
                <w:rFonts w:ascii="Arial" w:cs="Arial" w:eastAsia="Arial" w:hAnsi="Arial"/>
                <w:sz w:val="18"/>
                <w:szCs w:val="18"/>
                <w:color w:val="auto"/>
                <w:w w:val="96"/>
              </w:rPr>
              <w:t>$225 million Wynn Las Vegas Term Loan Facility; $112.5 million due September 30, 2012 with remaining $112.5 million due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2"/>
          </w:tcPr>
          <w:p>
            <w:pPr>
              <w:ind w:left="220"/>
              <w:spacing w:after="0"/>
              <w:rPr>
                <w:sz w:val="20"/>
                <w:szCs w:val="20"/>
                <w:color w:val="auto"/>
              </w:rPr>
            </w:pPr>
            <w:r>
              <w:rPr>
                <w:rFonts w:ascii="Arial" w:cs="Arial" w:eastAsia="Arial" w:hAnsi="Arial"/>
                <w:sz w:val="18"/>
                <w:szCs w:val="18"/>
                <w:color w:val="auto"/>
              </w:rPr>
              <w:t>August 15, 2013; interest at LIBOR plus 1.875%</w:t>
            </w:r>
          </w:p>
        </w:tc>
        <w:tc>
          <w:tcPr>
            <w:tcW w:w="1520" w:type="dxa"/>
            <w:vAlign w:val="bottom"/>
            <w:gridSpan w:val="7"/>
          </w:tcPr>
          <w:p>
            <w:pPr>
              <w:jc w:val="right"/>
              <w:spacing w:after="0"/>
              <w:rPr>
                <w:sz w:val="20"/>
                <w:szCs w:val="20"/>
                <w:color w:val="auto"/>
              </w:rPr>
            </w:pPr>
            <w:r>
              <w:rPr>
                <w:rFonts w:ascii="Arial" w:cs="Arial" w:eastAsia="Arial" w:hAnsi="Arial"/>
                <w:sz w:val="18"/>
                <w:szCs w:val="18"/>
                <w:color w:val="auto"/>
              </w:rPr>
              <w:t>225,000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8"/>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$550 million Wynn Macau Senior Term Loan Facilities; due June 27, 2014; interest at LIBOR or HIBOR plus 1.75%</w:t>
            </w:r>
          </w:p>
        </w:tc>
        <w:tc>
          <w:tcPr>
            <w:tcW w:w="1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549,901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549,995</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40,250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8"/>
                <w:szCs w:val="18"/>
                <w:color w:val="auto"/>
              </w:rPr>
              <w:t>40,950</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29,793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31,417</w:t>
            </w:r>
          </w:p>
        </w:tc>
        <w:tc>
          <w:tcPr>
            <w:tcW w:w="0" w:type="dxa"/>
            <w:vAlign w:val="bottom"/>
          </w:tcPr>
          <w:p>
            <w:pPr>
              <w:spacing w:after="0"/>
              <w:rPr>
                <w:sz w:val="1"/>
                <w:szCs w:val="1"/>
                <w:color w:val="auto"/>
              </w:rPr>
            </w:pP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3,895,783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3,536,612</w:t>
            </w:r>
          </w:p>
        </w:tc>
        <w:tc>
          <w:tcPr>
            <w:tcW w:w="0" w:type="dxa"/>
            <w:vAlign w:val="bottom"/>
          </w:tcPr>
          <w:p>
            <w:pPr>
              <w:spacing w:after="0"/>
              <w:rPr>
                <w:sz w:val="1"/>
                <w:szCs w:val="1"/>
                <w:color w:val="auto"/>
              </w:rPr>
            </w:pP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4"/>
          </w:tcPr>
          <w:p>
            <w:pPr>
              <w:jc w:val="right"/>
              <w:ind w:right="12"/>
              <w:spacing w:after="0"/>
              <w:rPr>
                <w:sz w:val="20"/>
                <w:szCs w:val="20"/>
                <w:color w:val="auto"/>
              </w:rPr>
            </w:pPr>
            <w:r>
              <w:rPr>
                <w:rFonts w:ascii="Arial" w:cs="Arial" w:eastAsia="Arial" w:hAnsi="Arial"/>
                <w:sz w:val="18"/>
                <w:szCs w:val="18"/>
                <w:color w:val="auto"/>
                <w:w w:val="94"/>
              </w:rPr>
              <w:t>(2,714)</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$ 3,893,069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$ 3,533,339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56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5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$1 Billion Term Loan Modification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1, 2008, the Company entered into an amendment to its credit agreement for the Wynn Resorts $1 billion Term Loan. This amendment allows Stephen A. Wynn, the Company’s Chairman and Chief Executive Officer, to purchase an interest in the debt. On August 1, 2008, Mr. Wynn advised the Company that he purchased $198,250,000 of the face amount of the outstanding debt.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2008, management believes the Company was in compliance with all debt covenants.</w:t>
      </w:r>
    </w:p>
    <w:p>
      <w:pPr>
        <w:spacing w:after="0" w:line="246" w:lineRule="exact"/>
        <w:rPr>
          <w:sz w:val="20"/>
          <w:szCs w:val="20"/>
          <w:color w:val="auto"/>
        </w:rPr>
      </w:pPr>
    </w:p>
    <w:p>
      <w:pPr>
        <w:ind w:left="240" w:right="9160" w:hanging="232"/>
        <w:spacing w:after="0" w:line="417" w:lineRule="auto"/>
        <w:tabs>
          <w:tab w:leader="none" w:pos="18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including household employees, construction work and other personal services. Mr. Wynn and other officers have deposits with the Company to prepay any such items, which deposits are replenished on an ongoing basis as needed. As of June 30, 2008 and December 31, 2007, Mr. Wynn and the other officers had a credit balance with the Company of $165,783 and $357,145,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ended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Through May 6, 2004, the Company operated an art gallery at the former Desert Inn displaying The Wynn Collection, a collection of fine art owned by Mr. and Mrs. Wynn. The art gallery in the Desert Inn was closed on May 6, 2004, and a new art gallery featuring The Wynn Collection was displayed from the opening of Wynn Las Vegas through February 2006.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Property charges and other for the three months ended June 30, 2008 and 2007 were $5.3 million and $13 million, respectively. Property charges and other for the six months ended June 30, 2008 and 2007 were $29.6 million and $26.3 million, respectively. Property charges generally include costs related to the retirement of assets for remodels and asset abandonments. Property charges and other for the three months ended June 30, 2008 include a $3.6 million charge at Wynn Macau related to the abandonment of certain existing floor space to begin construction of a new restaurant. Property charges and other for the three months ended June 30, 2007 include a $10.2 million charge at Wynn Macau for the abandonment of costs related to portions of the main kitchen, warehouse and restaurants that enabled the main casino to be connected with the expansion that opened in December 2007.</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Property charges and other for the six months ended June 30, 2008 include $17.8 million of costs associated with Spamalot at Wynn Las Vegas which closed in July 2008. In March 2008, the Company, together with the producers, elected to end the show’s run at Wynn Las Vegas in July 2008, pursuant to their contract. The Spamalot costs include the production rights that were included in intangible assets, show production costs that were included in other assets and certain other property and equipment. The remaining property charges were related to miscellaneous renovations and abandonments at both Wynn Las Vegas and Wynn Macau. Property charges and other for the six months ended June 30, 2007 include the following charges at Wynn Macau: (a) a $10.2 million charge for the abandonment of costs related to portions of the main kitchen, warehouse and restaurants that enabled the main casino to be connected with the expansion that opened in December 2007, and (b) a $10 million charge related to the abandonment of a parking garage to make room for Encore at Wynn Macau. The remaining property charges for the six months ended June 30, 2007 were related to the renovations to portions of the Le Rêve Theater at Wynn Las Vegas and the remodeling of certain areas in the food court at Wynn Macau.</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relating to certain of its debt facilities. The Company accounts for its interest rate swaps in accordance with SFAS No. 133, “Accounting for Derivative Instruments and Hedging Activities”, and its related interpretations. These interest rate swaps essentially fix the interest rate at the percentages noted below, however, changes in the fair value of the interest rate swaps for each reporting period have been recorded in the increase in swap fair value in the accompanying Condensed Consolidated Statements of Income, as the interest rate swaps do not qualify for hedge accounting.</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SFAS No. 157. SFAS No. 157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swap contracts as Level 2.</w:t>
      </w:r>
    </w:p>
    <w:p>
      <w:pPr>
        <w:spacing w:after="0" w:line="143"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The following table represents the historical asset (liability) fair values as of June 30, 2008 and December 31, 2007. The fair value approximates the amount the Company would receive/pay if these contracts were settled at the respective valuation dates. Fair value is estimated based upon current, and predictions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future, interest rate levels along a yield curve, the remaining duration of the instruments and other market conditions, and therefore, is subject to significant estimation and a high degree of variability and fluctuation between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Asset/(Liability) fair value at:</w:t>
            </w:r>
          </w:p>
        </w:tc>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Net Total</w:t>
            </w:r>
          </w:p>
        </w:tc>
        <w:tc>
          <w:tcPr>
            <w:tcW w:w="0" w:type="dxa"/>
            <w:vAlign w:val="bottom"/>
          </w:tcPr>
          <w:p>
            <w:pPr>
              <w:spacing w:after="0"/>
              <w:rPr>
                <w:sz w:val="1"/>
                <w:szCs w:val="1"/>
                <w:color w:val="auto"/>
              </w:rPr>
            </w:pPr>
          </w:p>
        </w:tc>
      </w:tr>
      <w:tr>
        <w:trPr>
          <w:trHeight w:val="135"/>
        </w:trPr>
        <w:tc>
          <w:tcPr>
            <w:tcW w:w="1800" w:type="dxa"/>
            <w:vAlign w:val="bottom"/>
            <w:gridSpan w:val="2"/>
            <w:vMerge w:val="continue"/>
          </w:tcPr>
          <w:p>
            <w:pPr>
              <w:spacing w:after="0"/>
              <w:rPr>
                <w:sz w:val="11"/>
                <w:szCs w:val="11"/>
                <w:color w:val="auto"/>
              </w:rPr>
            </w:pPr>
          </w:p>
        </w:tc>
        <w:tc>
          <w:tcPr>
            <w:tcW w:w="5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Wynn</w:t>
            </w:r>
          </w:p>
        </w:tc>
        <w:tc>
          <w:tcPr>
            <w:tcW w:w="100" w:type="dxa"/>
            <w:vAlign w:val="bottom"/>
          </w:tcPr>
          <w:p>
            <w:pPr>
              <w:spacing w:after="0"/>
              <w:rPr>
                <w:sz w:val="11"/>
                <w:szCs w:val="11"/>
                <w:color w:val="auto"/>
              </w:rPr>
            </w:pPr>
          </w:p>
        </w:tc>
        <w:tc>
          <w:tcPr>
            <w:tcW w:w="980" w:type="dxa"/>
            <w:vAlign w:val="bottom"/>
            <w:gridSpan w:val="2"/>
          </w:tcPr>
          <w:p>
            <w:pPr>
              <w:jc w:val="right"/>
              <w:ind w:right="620"/>
              <w:spacing w:after="0" w:line="135" w:lineRule="exact"/>
              <w:rPr>
                <w:sz w:val="20"/>
                <w:szCs w:val="20"/>
                <w:color w:val="auto"/>
              </w:rPr>
            </w:pPr>
            <w:r>
              <w:rPr>
                <w:rFonts w:ascii="Arial" w:cs="Arial" w:eastAsia="Arial" w:hAnsi="Arial"/>
                <w:sz w:val="14"/>
                <w:szCs w:val="14"/>
                <w:b w:val="1"/>
                <w:bCs w:val="1"/>
                <w:color w:val="auto"/>
                <w:w w:val="89"/>
              </w:rPr>
              <w:t>Wynn</w:t>
            </w:r>
          </w:p>
        </w:tc>
        <w:tc>
          <w:tcPr>
            <w:tcW w:w="106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rPr>
              <w:t>Wynn</w:t>
            </w:r>
          </w:p>
        </w:tc>
        <w:tc>
          <w:tcPr>
            <w:tcW w:w="10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1"/>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574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Resorts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Macau</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1"/>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5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June 30, 2008</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(1,141)</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$(3,137)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December 31, 2007</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416</w:t>
            </w:r>
          </w:p>
        </w:tc>
        <w:tc>
          <w:tcPr>
            <w:tcW w:w="5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$(3,095)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Swap</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On February 1, 2008, the Company entered into an interest rate swap to hedge the underlying interest rate risk on all of the borrowings under the Wynn Resorts, Limited $1 billion Term Loan Facility. Pursuant to the terms of this interest rate swap, the Company pays a fixed rate of 2.836% on the $1 billion notional amount and receives payments based on LIBOR. This swap fixes the interest rate at approximately 5.09%. This swap terminates in June 2010.</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currently has one $200 million notional amount interest rate swap to essentially fix the interest rate on $200 million of the $225 million of Term Loan borrowings. Pursuant to the terms of this interest rate swap, the Company pays a fixed rate of 3.793% on the $200 million notional amount and receives payments based on LIBOR. This swap fixes the interest rate at approximately 5.7% on $200 million of the outstanding $225 million term loan. This swap terminates in December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Company entered into two interest rate swap agreements to hedge a portion of the underlying interest rate risk on current and future borrowings under the Wynn Macau credit facility. Under the first swap agreement, the Company pays a fixed interest rate of 4.84% on borrowings incurred under the Wynn Macau credit facility up to a maximum of approximately $198.2 million, in exchange for receipts on the same amounts at a variable interest rate based on the applicable LIBOR at the time of payment. Under the second swap agreement, the Company pays a fixed interest rate of 4.77% on borrowings incurred under the Wynn Macau credit facility up to a maximum of approximately HK$1.1 billion (approximately U.S.$140 million), in exchange for receipts on the same amounts at a variable interest rate based on the applicable Hong Kong Interbank Offered Rate (“HIBOR”) at the time of payment. Both swap agreements terminate in November 2008.</w:t>
      </w:r>
    </w:p>
    <w:p>
      <w:pPr>
        <w:spacing w:after="0" w:line="14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These interest rate swaps fix the interest rates on the current U.S. dollar and the Hong Kong dollar borrowings under the Wynn Macau credit facility at approximately 6.59% and 6.52%,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adopted SFAS No. 123R, “Share Based Payment” effective January 1, 2006. The total compensation cost relating both to stock options and nonvested stock is allocated as follows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2"/>
              </w:rPr>
              <w:t>Three Months Ended</w:t>
            </w:r>
          </w:p>
        </w:tc>
        <w:tc>
          <w:tcPr>
            <w:tcW w:w="420" w:type="dxa"/>
            <w:vAlign w:val="bottom"/>
          </w:tcPr>
          <w:p>
            <w:pPr>
              <w:spacing w:after="0"/>
              <w:rPr>
                <w:sz w:val="14"/>
                <w:szCs w:val="14"/>
                <w:color w:val="auto"/>
              </w:rPr>
            </w:pPr>
          </w:p>
        </w:tc>
        <w:tc>
          <w:tcPr>
            <w:tcW w:w="15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2008</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4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1,744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$ 2,938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Rooms</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342</w:t>
            </w:r>
          </w:p>
        </w:tc>
        <w:tc>
          <w:tcPr>
            <w:tcW w:w="54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450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106</w:t>
            </w: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2,953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Total stock-based compensation expense</w:t>
            </w: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vMerge w:val="continue"/>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5,136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4,881</w:t>
            </w:r>
          </w:p>
        </w:tc>
        <w:tc>
          <w:tcPr>
            <w:tcW w:w="4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8,554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Total stock-based compensation costs</w:t>
            </w: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vMerge w:val="continue"/>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5,304</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5,077</w:t>
            </w:r>
          </w:p>
        </w:tc>
        <w:tc>
          <w:tcPr>
            <w:tcW w:w="4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$ 8,890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$ 9,749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320" w:type="dxa"/>
            <w:vAlign w:val="bottom"/>
            <w:vMerge w:val="restart"/>
          </w:tcPr>
          <w:p>
            <w:pPr>
              <w:jc w:val="right"/>
              <w:ind w:right="1992"/>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and six months ended June 30, 2008, the Company granted to employees and directors 760,000 and 860,000 stock options,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granted 292,500 non-vested shares to employees and directors for the three and six months ended June 30,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six months ended June 30, 2008, the Company repurchased 6,659,362 shares of the Company’s common stock for a net cost of $603.6 million. Included in accounts payable at June 30, 2008 is a payable of $143.1 million related to these share purchases. Total shares purchased through June 30, 2008, pursuant to the Board authorized equity repurchase program of up to $1.2 billion was 8,548,683 shares at a net cost of $782.9 million. On July 10, 2008, the Board of Directors of the Company authorized an increase of $500 million to its previously announced equity repurchase program bringing the total authorized to $1.7 billion. In July 2008, the Company purchased an additional 4,256,271 shares at a net cost of $336.5 million.</w:t>
      </w:r>
    </w:p>
    <w:p>
      <w:pPr>
        <w:spacing w:after="0" w:line="191" w:lineRule="exact"/>
        <w:rPr>
          <w:sz w:val="20"/>
          <w:szCs w:val="20"/>
          <w:color w:val="auto"/>
        </w:rPr>
      </w:pPr>
    </w:p>
    <w:p>
      <w:pPr>
        <w:ind w:left="240" w:right="8640" w:hanging="232"/>
        <w:spacing w:after="0" w:line="417" w:lineRule="auto"/>
        <w:tabs>
          <w:tab w:leader="none" w:pos="275"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Encore at Wynn Las Vegas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Encore at Wynn Las Vegas Construction and Development. </w:t>
      </w:r>
      <w:r>
        <w:rPr>
          <w:rFonts w:ascii="Arial" w:cs="Arial" w:eastAsia="Arial" w:hAnsi="Arial"/>
          <w:sz w:val="16"/>
          <w:szCs w:val="16"/>
          <w:color w:val="auto"/>
        </w:rPr>
        <w:t>Encore at Wynn Las Vegas will include a 2,034 all-suite hotel tower, an approximately 72,000</w:t>
      </w:r>
      <w:r>
        <w:rPr>
          <w:rFonts w:ascii="Arial" w:cs="Arial" w:eastAsia="Arial" w:hAnsi="Arial"/>
          <w:sz w:val="16"/>
          <w:szCs w:val="16"/>
          <w:i w:val="1"/>
          <w:iCs w:val="1"/>
          <w:color w:val="auto"/>
        </w:rPr>
        <w:t xml:space="preserve"> </w:t>
      </w:r>
      <w:r>
        <w:rPr>
          <w:rFonts w:ascii="Arial" w:cs="Arial" w:eastAsia="Arial" w:hAnsi="Arial"/>
          <w:sz w:val="16"/>
          <w:szCs w:val="16"/>
          <w:color w:val="auto"/>
        </w:rPr>
        <w:t>square foot casino, additional convention and meeting space, as well as restaurants, a nightclub, swimming pools, a spa and salon and retail outlets. The Company commenced construction of Encore at Wynn Las Vegas on April 28, 2006 and expects to open it to the public in December 2008.</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project budget is approximately $2.3 billion for Encore at Wynn Las Vegas and related capital improvements. The project is being funded from the existing Wynn Las Vegas Credit Facilities and operating cash flow from Wynn Las Vegas. To the extent additional funds are required, the Company will provide these amounts with additional debt and equity contributions by Wynn Resorts or additional indebtedness to be incurred by Wynn Las Vegas.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February 27, 2007, the Company entered into a Design Build Architectural, Engineering and Construction Services Agreement (the “Contract”) with Tutor-Saliba Corporation (“Tutor”) for the design and construction of Encore at Wynn Las Vegas. The Contract sets forth all of the terms and conditions pursuant to which Tutor is designing and constructing Encore at Wynn Las Vegas. In June 2007, the Company executed the first amendment to the Contract which set the guaranteed maximum price for work under the Contract at $1.3 billion. Subsequent change orders bring the current guaranteed maximum price to $1.4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Through June 30, 2008, the Company had incurred approximately $1.5 billion of project costs related to the development and construction of Encore at Wynn Las Vegas and related capital improvements.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i w:val="1"/>
          <w:iCs w:val="1"/>
          <w:color w:val="auto"/>
        </w:rPr>
        <w:t xml:space="preserve">Construction and Enhancements. </w:t>
      </w:r>
      <w:r>
        <w:rPr>
          <w:rFonts w:ascii="Arial" w:cs="Arial" w:eastAsia="Arial" w:hAnsi="Arial"/>
          <w:sz w:val="16"/>
          <w:szCs w:val="16"/>
          <w:color w:val="auto"/>
        </w:rPr>
        <w:t>The Company has made and continues to make certain enhancements and refinements to Wynn Macau. As a result,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incurred and will continue to incur capital expenditures related to these enhancements and refinements.</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Encore at Wynn Macau Construction and Development. </w:t>
      </w:r>
      <w:r>
        <w:rPr>
          <w:rFonts w:ascii="Arial" w:cs="Arial" w:eastAsia="Arial" w:hAnsi="Arial"/>
          <w:sz w:val="18"/>
          <w:szCs w:val="18"/>
          <w:color w:val="auto"/>
        </w:rPr>
        <w:t>Construction has commenced on a further expansion of Wynn Macau. Encore at Wynn Macau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open in the first half of 2010 adding a fully-integrated resort hotel to Wynn Macau with approximately 400 luxury suites and four villas, along with restaurants and additional retail and gaming space.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November 8, 2007, Wynn Macau, S.A.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Encore at Wynn Macau. The current project budget is approximately $700 million.</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Through June 30, 2008, the Company had incurred approximately $114.1 million of project costs related to the development and construction of Encore at Wynn Macau.</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Land Concession Contract</w:t>
      </w:r>
      <w:r>
        <w:rPr>
          <w:rFonts w:ascii="Arial" w:cs="Arial" w:eastAsia="Arial" w:hAnsi="Arial"/>
          <w:sz w:val="16"/>
          <w:szCs w:val="16"/>
          <w:color w:val="auto"/>
        </w:rPr>
        <w:t>. In June 2004, Wynn Macau, S.A. entered into a land concession contract for the Wynn Macau project site. Under the land</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 contract, Wynn Macau, S.A. leases a parcel of approximately 16 acres from the Macau government for an initial term of 25 years, with a right to renew for additional periods with government approval. Wynn Macau, S.A. has made eight payments to the Macau government under the land concession contract and is required to make three additional semi-annual payments (including interest) for total payments of approximately $42.7 million. Wynn Macau, S.A. also paid approximately $18 million to an unrelated third party for its relinquishment of rights to a portion of the land. During the term of the land concession contract, Wynn Macau, S.A. is also required to make annual lease payments of up to $400,000.</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Cotai Land Agreement. </w:t>
      </w:r>
      <w:r>
        <w:rPr>
          <w:rFonts w:ascii="Arial" w:cs="Arial" w:eastAsia="Arial" w:hAnsi="Arial"/>
          <w:sz w:val="18"/>
          <w:szCs w:val="18"/>
          <w:color w:val="auto"/>
        </w:rPr>
        <w:t>On August 1, 2008, subsidiaries of Wynn Resorts, Ltd entered into an agreement with an unrelated third party to make a one-time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in the amount of $50 million in consideration of the unrelated third party’s relinquishment of certain rights with respect to a portion of approximately 52 acres of land in the Cotai area of Macau. The payment will be made 15 days after the Government of the Special Administrative Region of the People’s Republic of China publishes the Company’s rights to the land in the government’s official gazette. The Company has filed an application for the land with the government of Macau and is awaiting final approval.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June 30, 2008.</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March, 2008, the Nevada Supreme Court ruled, in the matter captioned Sparks Nugget, Inc. vs. Stat ex rel. Department of Taxation,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approximately $5.4 million. As of June 30, 2008,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three and six months ended June 30, 2008, the Company recorded tax benefits of $138.1 million and $142.8 million, respectively. During the three and six months ended June 30, 2008 the Company recorded a deferred tax provision of $250.1 million as a result of increasing its U.S. deferred tax liability for that portion of the earnings of Wynn Macau no longer considered permanently invested abroad. Additionally, the Company completed a study of the taxes, levies and obligations assessed on operations of Wynn Macau under Macau law and its Macau Gaming Concession. As a result, the Company recorded a $390.8 million deferred tax asset and income tax benefit (net of valuation allowance increases) for foreign tax credits applicable to the earnings of Wynn Macau. As a result of these items, a net tax benefit of $140.7 million is included in the computation of the income tax benefit for the three and six months ended June 30, 2008. In addition to the foregoing, the Company reclassified certain deferred tax assets and liabilities from noncurrent to current based upon the expected period of realization. There is no U.S. provision for income taxes on our Macau earnings that are considered permanently invested abroad.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Company’s effective tax rate/(benefit) for the three and six months ended June 30, 2008, computed without regard to the $140.7 million net deferred tax benefit discussed in the preceding paragraph, was 1.9% and (1.2%). These rates were 33.1 and 36.2 percentage points lower than the U.S. Federal rate of 35% primarily due to the tax holiday applicable to the earnings of Wynn Macau, S.A., as described below and U.S. tax deductions resulting from Encore at Wynn Las Vegas pre-opening expenses.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Accordingly, the Company was exempted from the payment of approximately $11.3 million and $19.6 million in such taxes during the three and six months ended June 30, 2008, respectively. The Company’s non-gaming profits remain subject to the Macau Complementary Tax and casino winnings remain subject to the Macau Special Gaming tax (at a rate equal to 39%) and other levies in accordance with its concession agreement.</w:t>
      </w:r>
    </w:p>
    <w:p>
      <w:pPr>
        <w:spacing w:after="0" w:line="11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For the three and six months ended June 30, 2008, the Company increased its liability for uncertain tax positions by $9.9 million and $13.9 million respectively. Approximately $0.5 million and $1.6 million of such increases in unrecognized tax benefits would, if recognized, increase the effective tax rate.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Wynn Las Vegas and Wynn Macau. The Company’s total assets by segment are as follows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96"/>
              </w:rPr>
              <w:t>Wynn Las Vegas (including Encore at Wynn Las Vegas)</w:t>
            </w:r>
          </w:p>
        </w:tc>
        <w:tc>
          <w:tcPr>
            <w:tcW w:w="3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3,910,131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3,558,877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(including Encore at Wynn Macau)</w:t>
            </w: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1,919,534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Corporate and other</w:t>
            </w:r>
          </w:p>
        </w:tc>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699,388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3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6,529,053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80" w:type="dxa"/>
            <w:vAlign w:val="bottom"/>
            <w:vMerge w:val="restart"/>
          </w:tcPr>
          <w:p>
            <w:pPr>
              <w:jc w:val="right"/>
              <w:ind w:right="2632"/>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on its results of operations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295,261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335,053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582,421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665,788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529,896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352,488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1,021,442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825,157</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687,541</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1,603,863</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1,322,858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line="211" w:lineRule="exact"/>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81,795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115,300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150,233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155,187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92,657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236,982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207,957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434,815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398,194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13,021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92,468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81,804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198,890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144,514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126,153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Non-operating costs and expenses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(40,982)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(35,460)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(86,250)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2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(10,642)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(22,718)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(48,923)</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before benefit/(provision) for income taxes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133,872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103,435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175,877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185,409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Benefit/(provision) for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138,121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(13,885)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(37,454)</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271,993</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89,550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318,710</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06"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“Adjusted Property EBITDA” is earnings before interest, taxes, depreciation, amortization, pre-opening costs, property charges and other, corporate expenses, stock-based compensation,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comparative tools, together with GAAP measurements, to assist in the evaluation of operating performance. Such GAAP measurements include operating income,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900" w:right="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the Wynn Las Vegas Credit Facilities and the Wynn Macau Credit Facilities;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Encore at Wynn Las Vegas on time and within budget;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Las Vegas with anticipated cash flows generated at Wynn Las Vegas;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240" w:top="459"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9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(“Macau”), which opened on September 6, 2006. In addition, on April 28, 2006, we commenced construction of Encore at Wynn Las Vegas adjacent to Wynn Las Vegas and in June 2007, we commenced construction of Encore at Wynn Macau as an addition to Wynn Macau. Encore at Wynn Las Vegas is expected to open in December 2008, and Encore at Wynn Macau is expected to open in the first half of 2010.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July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right"/>
              <w:ind w:right="24"/>
              <w:spacing w:after="0"/>
              <w:rPr>
                <w:sz w:val="20"/>
                <w:szCs w:val="20"/>
                <w:color w:val="auto"/>
              </w:rPr>
            </w:pPr>
            <w:r>
              <w:rPr>
                <w:rFonts w:ascii="Arial" w:cs="Arial" w:eastAsia="Arial" w:hAnsi="Arial"/>
                <w:sz w:val="14"/>
                <w:szCs w:val="14"/>
                <w:b w:val="1"/>
                <w:bCs w:val="1"/>
                <w:color w:val="auto"/>
              </w:rPr>
              <w:t>Approximate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Hotel Rooms &amp;</w:t>
            </w:r>
          </w:p>
        </w:tc>
        <w:tc>
          <w:tcPr>
            <w:tcW w:w="800" w:type="dxa"/>
            <w:vAlign w:val="bottom"/>
          </w:tcPr>
          <w:p>
            <w:pPr>
              <w:spacing w:after="0"/>
              <w:rPr>
                <w:sz w:val="12"/>
                <w:szCs w:val="12"/>
                <w:color w:val="auto"/>
              </w:rPr>
            </w:pPr>
          </w:p>
        </w:tc>
        <w:tc>
          <w:tcPr>
            <w:tcW w:w="20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Table</w:t>
            </w:r>
          </w:p>
        </w:tc>
        <w:tc>
          <w:tcPr>
            <w:tcW w:w="82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Approximate</w:t>
            </w:r>
          </w:p>
        </w:tc>
      </w:tr>
      <w:tr>
        <w:trPr>
          <w:trHeight w:val="161"/>
        </w:trPr>
        <w:tc>
          <w:tcPr>
            <w:tcW w:w="4960" w:type="dxa"/>
            <w:vAlign w:val="bottom"/>
          </w:tcPr>
          <w:p>
            <w:pPr>
              <w:spacing w:after="0"/>
              <w:rPr>
                <w:sz w:val="14"/>
                <w:szCs w:val="14"/>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4"/>
                <w:szCs w:val="14"/>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Square Footage</w:t>
            </w:r>
          </w:p>
        </w:tc>
        <w:tc>
          <w:tcPr>
            <w:tcW w:w="820" w:type="dxa"/>
            <w:vAlign w:val="bottom"/>
          </w:tcPr>
          <w:p>
            <w:pPr>
              <w:spacing w:after="0"/>
              <w:rPr>
                <w:sz w:val="14"/>
                <w:szCs w:val="14"/>
                <w:color w:val="auto"/>
              </w:rPr>
            </w:pPr>
          </w:p>
        </w:tc>
        <w:tc>
          <w:tcPr>
            <w:tcW w:w="9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Games</w:t>
            </w:r>
          </w:p>
        </w:tc>
        <w:tc>
          <w:tcPr>
            <w:tcW w:w="8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Number of Slots</w:t>
            </w:r>
          </w:p>
        </w:tc>
        <w:tc>
          <w:tcPr>
            <w:tcW w:w="20" w:type="dxa"/>
            <w:vAlign w:val="bottom"/>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111,000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0" w:type="dxa"/>
            <w:vAlign w:val="bottom"/>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Wynn Macau</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205,000</w:t>
            </w:r>
          </w:p>
        </w:tc>
        <w:tc>
          <w:tcPr>
            <w:tcW w:w="8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900" w:right="2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22 food and beverage outlets featuring signature chefs, including the AAA Five Diamond, Mobil Five Star and Michelin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The Tower Suites at Wynn Las Vegas is the only casino resort in the world that has been awarded both the Mobil Five Star and AAA Five Diamond distinctions. In addition, Wynn Las Vegas was recognized in November 2007 by Michelin, the esteemed European restaurant rating system. Two Michelin stars were awarded to </w:t>
      </w:r>
      <w:r>
        <w:rPr>
          <w:rFonts w:ascii="Arial" w:cs="Arial" w:eastAsia="Arial" w:hAnsi="Arial"/>
          <w:sz w:val="18"/>
          <w:szCs w:val="18"/>
          <w:i w:val="1"/>
          <w:iCs w:val="1"/>
          <w:color w:val="auto"/>
        </w:rPr>
        <w:t>Alex</w:t>
      </w:r>
      <w:r>
        <w:rPr>
          <w:rFonts w:ascii="Arial" w:cs="Arial" w:eastAsia="Arial" w:hAnsi="Arial"/>
          <w:sz w:val="18"/>
          <w:szCs w:val="18"/>
          <w:color w:val="auto"/>
        </w:rPr>
        <w:t xml:space="preserve"> and one Michelin star was awarded to each of Wing Lei and Daniel Boulud Brasserie. Additionally, Wynn Las Vegas received five red pavilions, the highest honor for Michelin rated accommodations.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began to make enhancements and refinements to the property after its opening in 2005 and continued such enhancements through June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constructing Encore at Wynn Las Vegas on approximately 20 acres on the Las Vegas Strip, adjacent to Wynn Las Vegas. Encore at Wynn Las Vegas will include a 2,034 all-suite hotel tower, an approximately 72,000 square foot casino, additional convention and meeting space, as well as restaurants, a nightclub, swimming pools, a spa and salon and retail outlets. Encore at Wynn Las Vegas is expected to open to the public in December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Wynn Macau on September 6, 2006. Wynn Macau currently features:</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approximately 205,000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Approximately 46,000 square feet of high-end, brand-name retail shopping, including stores and boutiques by Bvlgari, Chanel, Dior, Dunhill, Fendi, Ferrari, Giorgio Armani, Gucci, Hermes, Hugo Boss, Louis Vuitton, Miu Miu, Piaget, Prada, Tiffany, Van Cleef &amp; Arpels, Versace, Vertu, and Zegna;</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commenced construction on a further expansion of Wynn Macau, which was first announced in November 2006 as Wynn Diamond and is now known as Encore at Wynn Macau. This further expansion will add a fully-integrated resort hotel with approximately 400 luxury suites and four villas, along with restaurants and additional retail and gaming space. We expect Encore at Wynn Macau to open in the first half of 2010.</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response to our evaluation of Wynn Macau and the reactions of our guests, we began to make enhancements and refinements to the property after its opening in 2006 and continued such enhancements through June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owns approximately 147 acres immediately adjacent to both Wynn Las Vegas and Encore at Wynn Las Vegas, which is currently improved with a golf course. We are in the process of creating a plan for its further development. Conceptual plans at this point in time include additional resorts and a convention center. No construction timeline or budget has been prepared.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The Company has applied to the government of Macau for a land concession for approximately 52 acres on Cotai and is awaiting final governmental approval of this concession. Our plans for this site currently contain a single casino resort property. No construction timeline or budget has been prepared.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operations currently consist of Wynn Las Vegas and Wynn Macau. The reliance for our operating cash flow on only two properties exposes us to certain risks that competitors, whose operations are more diversified, may be better able to control. In addition to the concentration of operations in two properties, many of our customers are high-end gaming customers who wager on credit, thus exposing us to credit risk. High-end gaming also increases the potential for variability in our results. We also believe that our operating results at Wynn Las Vegas for the three and six months ended June 30, 2008 have been adversely impacted by the weakened United States economy. Disruptions in the housing and stock markets, along with high gas and travel costs have and may continue to adversely impact our financial results at Wynn Las Vegas.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4"/>
          </w:tcPr>
          <w:p>
            <w:pPr>
              <w:jc w:val="right"/>
              <w:ind w:right="43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295,261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335,053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582,421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665,788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529,896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352,488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1,021,442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657,070</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Total Net Revenues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825,157</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687,541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1,603,863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1,322,858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Casinos generally record win as a percentage of either drop or turnover. In our casino operations at Wynn Las Vegas, table games win is recorded as a percentage of drop. However, in our casino operations at Wynn Macau, we separate table play into two distinct segments. Our Macau VIP casino segment records table games win as a percentage of turnover, whereas our general casino records win as a percentage of drop.</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Consolidated Statement of Income is presented. Below are definitions of the statistics discussed:</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Wynn Las Vegas or Wynn Macau and is recorded as casino revenue.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2008 compared to the three months ended June 30,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Net revenues for the three months ended June 30, 2008 are comprised of $623.6 million in casino revenues (75.6% of total net revenues) and $201.5 million of net non-casino revenues (24.4% of total net revenues). Net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revenues for the three months ended June 30, 2007 were comprised of $491.8 million in casino revenues (71.5% of total net revenues) and $195.7 million of net non-casino revenues (28.5% of total net revenues). The quality of our resorts’ non-casino amenities, combined with providing guests an unparalleled total resort experience, has driven a premium in the two properties’ ADR and other non-gaming revenues as well as increased the length of play in our casinos.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Casino revenues are comprised of the net win from our table games and slot machine operations. Casino revenues for the three months ended June 30, 2008</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$623.6 million represents a $131.8 million (or 26.8%) increase from casino revenues of $491.8 million for the three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2007. At Wynn Las Vegas, we experienced a $38.7 million decrease in casino revenues compared to the prior year due to a 12.1% decrease in drop and a decrease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 our table games win percentage. Our table games win percentage (before discounts) for the three months ended June 30, 2008 was 20.4%, which was below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expected range of 21% to 24% and compares to 24.2% for the prior year quarter. Slot handle at Wynn Las Vegas decreased 12.7% during the three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June 30, 2008 as compared to 2007, and the slot win percentage was within the expected range of 4.5% to 5.5%. Casino revenues at Wynn Macau increased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$170.5 million during the three months ended June 30, 2008, compared to the prior year quarter. At Wynn Macau, we experienced a 74.9% increase in turnover in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VIP casino segment and our win as a percent of turnover was 2.96%, which is within the expected range of 2.7% to 3.0%, compared to 3.25% in the prior year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quarter. Our VIP casino segment win as a percent of turnover includes a nominal beneficial effect attributable to non-rolling chip play. In our general casino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Wynn Macau, drop increased 24.7% when compared to the prior year quarter and the table games win percentage was 18.9%, which is within the expected range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18% to 20%. The table game win percentage at Wynn Macau for the three months ended June 30, 2007 was 18.4% in the mass market segment. Slot handle 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Wynn Macau increased 101.6% compared to the prior year quarter and the slot win percentage was within the expected range of 4.5% to 5.5%.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casino revenue at Wynn Macau is a result of growth in the Macau market as well as our casino expansion which opened in December 2007.</w:t>
      </w:r>
    </w:p>
    <w:p>
      <w:pPr>
        <w:spacing w:after="0" w:line="165"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For the three months ended June 30, 2008, total room revenues were approximately $86.8 million, a $1 million decrease compared to the three months ended June 30, 2007. Room revenue at Wynn Las Vegas decreased approximately $2.3 million compared to the prior year quarter due to lower occupancy and lower rates, while room revenue at Wynn Macau increased approximately $1.3 million due to increased occupancy and increased rates. See the table below for key operating measures related to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0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Daily Rate</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302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Occupancy</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87.9%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86.2%</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REVPAR</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Other non-casino revenues for the three months ended June 30, 2008 included food and beverage revenues of approximately $97 million, retail revenues of approximately $38.4 million, entertainment revenues of approximately $18.8 million, and other revenues from outlets such as the spa and salon, of approximately $15.8 million. Other non-gaming revenues for the three months ended June 30, 2007 included food and beverage revenues of approximately $92.2 million, retail revenues of approximately $29.3 million, entertainment revenues of approximately $18.7 million, and other revenues from outlets, including the spa and salon, of approximately $14.7 million. The increase in food and beverage revenues and retail revenues were primarily driven by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Macau operations. General growth in the Macau market and our expansion, which opened in December 2007 (including additional retail outlets), were primarily responsible for the increases. In July 2008, the Las Vegas run of Spamalot ended at Wynn Las Vegas. We have begun the renovation of that theater and in February 2009 it will reopen as the Encore Theater featuring Danny Gans.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the three months ended June 30, 2008, departmental expenses included casino expenses of $399.9 million, rooms expenses of $20.4 million, food and beverage expenses of $55.1 million, and entertainment, retail and other expenses of $43.3 million. Also included are general and administrative expenses of approximately $85 million and approximately $1.2 million charged as a provision for doubtful accounts receivable. During the three months ended June 30, 2007, departmental expenses included casino expenses of $289.7 million, room expenses of $21.4 million, food and beverage expenses of $55 million, and entertainment, retail and other expenses of $41.4 million, general and administrative expenses of approximately $74.3 million and approximately $14.4 million charged as a provision for doubtful accounts receivable. Casino expenses have increased over the prior year quarter primarily related to the increased revenue at Wynn Macau as noted above, including the 39 percent gross win tax on casino revenues imposed by the Macau government. General and administrative expenses have increased primarily related to the opening of our expansion of Wynn Macau in December 2007. The provision for doubtful accounts has decreased during the three months ended June 30, 2008 compared to 2007 primarily due to a significant number of collections on both fully reserved and substantially reserved casino accounts receivables at Wynn Las Vegas and Wynn Macau.</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Pre-opening costs for the three months ended June 30, 2008 were $6.8 million, compared to $889,000 for the three months ended June 30, 2007. Pre-opening costs incurred during the three months ended June 30, 2008 related to Encore at Wynn Las Vegas. We expect that pre-opening costs will increase as the opening of Encore at Wynn Las Vegas in December 2008 approaches.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Depreciation and amortization for the three months ended June 30, 2008 of $63.8 million increased by $11.9 million when compared to the three months ended June 30, 2007, primarily due to depreciation expense associated with the expansion of Wynn Macau, a portion of which opened in September 2007 and the remainder which opened in December 2007. In addition, we shortened the estimated lives of certain hotel room furniture, fixtures and equipment at Wynn Las Vegas due to an anticipated ordinary course room renovation.</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circumstances require.</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Property charges and other for the three months ended June 30, 2008 were $5.3 million compared to approximately $13 million for the three months ended June 30, 2007. Property charges and other for the three months ended June 30, 2008 include a $3.6 million charge at Wynn Macau related to the abandonment of certain existing floor space to begin construction on a new restaurant. The remaining property charges were related 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renovations and abandonments at both Wynn Las Vegas and Wynn Macau. Property charges and other for the three months ended June 30, 2007 included a $10.2 million charge at Wynn Macau for the abandonment of costs related to portions of the main kitchen, warehouse, and certain restaurants that enabled the main casino to be connected with the expansion that opened in December 2007.</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both Wynn Las Vegas and Wynn Macau. We expect that property charges may continue in future periods as additional enhancements to our properties are made.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income and other decreased by $4 million to $6.4 million for the three months ended June 30, 2008 compared to $10.4 million for the three months ended June 30, 2007. Interest income and other decreased $4.8 million due to a decrease in our invested cash balances and a decrease in interest rates compared to the prior year quarter. Offsetting this decrease was an increase of $0.8 million in the gain recorded in connection with the remeasurement of assets and liabilities in Macau denominated in U.S. dollars during the three months ended June 30, 2008 compared to the prior year quarter.</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Interest expense was $41 million, net of capitalized interest of $20.5 million, for the three months ended June 30, 2008, compared to $35.5 million, net of capitalized interest of $9.2 million, for the three months ended June 30, 2007. Interest expense increased approximately $13.2 million due to the $1 billion Wynn Resorts term loan and approximately $7.4 million related to the additional $400 million First Mortgage Notes issued in November 2007. These increases were offset by approximately $3.5 million less interest due to the conversion of the Debentures in July, 2007 and an increase of $11.3 million in capitalized interest related to our construction activities and a decrease in interest on our other borrowings of approximately $0.3 million.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our interest rate swaps are recorded as either assets or liabilities. Changes in the fair value of our interest rate swaps are recorded as an increase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decrease) in swap fair value in each period. We recorded a gain of approximately $23.9 million for the three months ended June 30, 2008 resulting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the fair value of our interest rate swaps from March 31, 2008 to June 30, 2008. During the three months ended June 30, 2007 we recorded a gain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 million resulting from the increase in the fair value of interest rate swaps between March 31, 2007 and June 30, 2007. For further information on our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 swaps, see Item 3—“Quantitative and Qualitative Disclosures about Market Risk.”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three months ended June 30, 2008, we recorded a tax benefit of $138.1 million. During the three months ended June 30, 2008, the Company recorded a deferred tax provision of $250.1 million as a result of increasing its U.S. deferred tax liability for that portion of the earnings of Wynn Macau no longer considered permanently invested abroad. Additionally, the Company completed a study of the taxes, levies and obligations assessed on operations of Wynn Macau under Macau law and its Macau Gaming Concession. As a result, the Company recorded a $390.8 million deferred tax asset and income tax benefit (net of valuation allowance increases) for foreign tax credits applicable to the earnings of Wynn Macau. As a result of these items, a net tax benefit of $140.7 million is included in the computation of the income tax provision for the three months ended June 30, 2008. In addition to the foregoing, the Company reclassified certain deferred tax assets and liabilities from noncurrent to current based upon the expected period of realization. There is no U.S. provision for taxes on our Macau earnings that are considered permanently invested abroad.</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effective tax rate/(benefit) for the three months ended June 30, 2008, computed without regard to the $140.7 million net deferred tax benefit discussed in the preceding paragraph, was 1.9%. This amount was 33.1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percentage points lower than the U.S. Federal rate of 35%, primarily due to the tax holiday applicable to the earnings of Wynn Macau, S.A., as described below and U.S. tax deductions resulting from Encore at Wynn Las Vegas pre-opening expenses.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$11.3 million in such taxes for the three months ended June 30, 2008. Our non-gaming profits remain subject to the Macau Complementary Tax and casino winnings remain subject to the Macau Special Gaming tax (at a rate equal to 39%) and other levies in accordance with its concession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2008 Compared to the Six Months Ended June 30,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Net revenues for the six months ended June 30, 2008 are comprised of $1.2 billion in casino revenues (75.8% of total net revenues) and $388.5 million of net non-casino revenues (24.2% of total net revenues). Net revenues for the six months ended June 30, 2007 were comprised of $949 million in casino revenues (71.7% of total net revenues) and $373.8 million of net non-casino revenues (28.3% of total net revenues). The quality of our resorts’ non-casino amenities, combined with providing guests an unparalleled total resort experience, has driven a premium in the two properties’ ADR and other non-gaming revenues as well as increased the length of play in our casinos.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six months ended June 30, 2008 of approximately $1.2 billion represents a $266.4 million (or 28.1%) increase from casino revenues of $949 million for the six months ended June 30, 2007. At Wynn Las Vegas, we experienced an $86.7 million decrease in casino revenues compared to the prior year due to a 7.7% decrease in drop and a decrease in our table games win percentage. Our table games win percentage (before discounts) for the six months ended June 30, 2008 was 20.2%, which was below the expected range of 21% to 24% and compares to 25.9% for the prior year. Slot handle at Wynn Las Vegas decreased 7.9% during the six months ended June 30, 2008 as compared to 2007, and the slot win percentage was within the expected range of 4.5% to 5.5%. Casino revenues at Wynn Macau increased $353.1 million during the six months ended June 30, 2008, compared to the prior year. At Wynn Macau, we experienced an 87.9% increase in turnover in the VIP casino segment and our win as a percent of turnover was 2.99%, which is within the expected range of 2.7% to 3.0% compared to 3.29% in the prior year. Our VIP casino segment win as a percent of turnover includes a nominal beneficial effect attributable to non-rolling chip play. In our general casino at Wynn Macau, drop increased 20.8% when compared to the prior year and the table games win percentage was 19.3%, which is within the expected range of 18% to 20%. The table game win percentage at Wynn Macau for the six months ended June 30, 2007 was 18.3%. Slot handle at Wynn Macau increased 103.3% compared to the prior year and the slot win percentage was within the expected range of 4.5% to 5.5%. The increase in casino revenue at Wynn Macau is a result of growth in the Macau market as well as our casino expansion which opened in December 2007.</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six months ended June 30, 2008, total room revenues were approximately $172.1 million, a $1 million decrease compared to the six months ended June 30, 2007. Room revenue at Wynn Las Vegas decreased approximately $4.7 million compared to the prior year due to lower occupancy and lower rates, while room revenue at Wynn Macau increased approximately $3.7 million due to increased occupancy and increased rates. See the table below for key operating measures related to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8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2"/>
              </w:rPr>
              <w:t>June 30,</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76"/>
              </w:rPr>
              <w:t>2007</w:t>
            </w:r>
          </w:p>
        </w:tc>
        <w:tc>
          <w:tcPr>
            <w:tcW w:w="14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Daily Rate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$ 300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Occupancy</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96.6%</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85.5%</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REVPAR</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$ 289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Other non-casino revenues for the six months ended June 30, 2008 included food and beverage revenues of approximately $188 million, retail revenues of approximately $74.2 million, entertainment revenues of approximately $38 million, and other revenues from outlets such as the spa and salon, of approximately $28.9 million. Other non-gaming revenues for the six months ended June 30, 2007 included food and beverage revenues of approximately $180.1 million, retail revenues of approximately $56.5 million, entertainment revenues of approximately $29.6 million, and other revenues from outlets, including the spa and salon, of approximately $28.8 million. The increase in food and beverage revenues and retail revenues were primarily driven by our Macau operations. General growth in the Macau market and our expansion, which opened in December 2007 (including additional retail outlets), were primarily responsible for the increases. Entertainment revenues increased over the prior year due to Spamalot at Wynn Las Vegas, which opened in late March 2007, and six months of operations of Le Rêve in 2008 versus only five months during the prior year, due to a remodeling of the Le Rêve showroom in March 2007. In March 2008, together with the producers, we elected to end Spamalot’s run at Wynn Las Vegas in July 2008 pursuant to the terms of our contract. We are currently renovating the theater and in February 2009 it will reopen as the Encore Theater featuring Danny Gans.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During the six months ended June 30, 2008, departmental expenses included casino expenses of $788.3 million, rooms expenses of $40.7 million, food and beverage expenses of $106.8 million, and entertainment, retail and other expenses of $87.9 million. Also included are general and administrative expenses of approximately $164.2 million and approximately $12.7 million charged as a provision for doubtful accounts receivable. During the six months ended June 30, 2007, departmental expenses included casino expenses of $554.4 million, room expenses of $42.3 million, food and beverage expenses of $109.2 million, and entertainment, retail and other expenses of $76.5 million, general and administrative expenses of approximately $152.5 million and approximately $22.1 million charged as a provision for doubtful accounts receivable. Casino expenses have increased over the prior year primarily related to the increased revenue at Wynn Macau as noted above, including the 39 percent gross win tax on casino revenues. General and administrative expenses have increased primarily related to the opening of our expansion of Wynn Macau in December 2007. The provision for doubtful accounts has decreased during the six months ended June 30, 2008 compared to 2007 primarily due to a significant number of collections on both fully reserved and substantially reserved casino receivables at Wynn Las Vegas and Wynn Macau.</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Pre-opening costs for the six months ended June 30, 2008 were $12.1 million compared to $2.7 million for the six months ended June 30, 2007. Pre-opening costs incurred during the six months ended June 30, 2008 related to Encore at Wynn Las Vegas. We expect that pre-opening costs will increase as the opening of Encore at Wynn Las Vegas in December 2008 approaches.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Depreciation and amortization for the six months ended June 30, 2008 of $126.5 million increased by $23.1 million when compared to the six months ended June 30, 2007, primarily due to depreciation expense associated with the expansion of Wynn Macau, a portion of which opened in September 2007 and the remainder which opened in December 2007. In addition, we shortened the estimated lives of certain hotel room furniture, fixtures and equipment at Wynn Las Vegas due to an anticipated ordinary course room renovation.</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circumstances require.</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Property charges and other for the six months ended June 30, 2008 were $29.6 million compared to approximately $26.3 million for the six months ended June 30, 2007. Property charges and other for the six months ended June 30, 2008 include $17.8 million of costs associated with Spamalot at Wynn Las Vegas which closed in July 2008. In March 2008, the Company, together with the producers, elected to end the show’s run at Wynn Las Vegas in July 2008, pursuant to the contract. The charge includes production rights that were included in intangible assets, show production costs that were included in other assets and certain other property and equipment. We also incurred a charge of $3.6 million related to the abandonment of certain existing floor space at Wynn Macau to begin construction on a new restaurant. The remaining property charges were related to miscellaneous renovations and abandonments at both Wynn Las Vegas and Wynn Macau. Property charges and other for the six months ended June 30, 2007 included a $10 million charge for the abandonment of our parking garage at Wynn Macau to make way for Encore at Wynn Macau, and a $10.2 million charge at Wynn Macau related to abandonment costs for portions of the main kitchen, warehouse and restaurants to enable the main casino to be connected with the expansion that opened in December 2007.</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both Wynn Las Vegas and Wynn Macau. We expect that property charges may continue in future periods as additional enhancements to our properties are made.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income and other decreased by $5 million to $17.5 million for the six months ended June 30, 2008 compared to $22.5 million for the six months ended June 30, 2007. Interest income and other decreased $3.7 million due to a decrease in our invested cash balances and a decrease in interest rates compared to the prior year. In addition, the gain recorded in connection with the remeasurement of assets and liabilities in Macau denominated in U.S. dollars decreased by $1.3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Interest expense was $86.3 million, net of capitalized interest of $37.4 million, for the six months ended June 30, 2008, compared to $73.1 million, net of capitalized interest of $16.1 million, for the six months ended June 30, 2007. Interest expense increased approximately $29.3 million due to the $1 billion Wynn Resorts term loan and approximately $14.6 million related to the additional $400 million First Mortgage Notes issued in November 2007. These increases were offset by approximately $7.1 million less interest due to the conversion of the Debentures in July 2007, an increase of $21.3 million in capitalized interest related to our construction activities, and approximately $2.3 million less interest on our Wynn Las Vegas, Wynn Macau and other credit facilities.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swaps are recorded as either assets or liabilities. Changes in the fair value of our interest rate swaps are recorded as an increase (or decrease) in swap fair value in each period. We recorded a gain of approximately $8.7 million for the six months ended June 30, 2008 resulting from the increase in the fair value of our interest rate swaps from December 31, 2007 to June 30, 2008. During the six months ended June 30, 2007 we recorded a gain of $1.9 million resulting from the increase in the fair value of interest rate swaps between December 31, 2007 and June 30, 2007. For further information on our interest rate swaps, see Item 3 – “Quantitative and Qualitative Disclosures about Market Risk.”</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six months ended June 30, 2008, the Company recorded tax benefits of $142.8 million. As of June 30, 2008 the Company recorded a deferred tax provision of $250.1 million as a result of increasing its U.S. deferred tax liability for that portion of the earnings of Wynn Macau no longer considered permanently invested abroad. Additionally, the Company completed a study of the taxes, levies and obligations assessed on operations of Wynn Macau under Macau law and its Macau Gaming Concession. As a result, the Company recorded a $390.8 million deferred tax asset and income tax benefit (net of valuation allowance increases) for foreign tax credits applicable to the earnings of Wynn Macau. As a result of these items, a net tax benefit of $140.7 million is included in the computation of the income tax provision for the six months ended June 30, 2008. In addition to the foregoing, the Company reclassified certain deferred tax assets and liabilities from noncurrent to current based upon the expected period of realization. There is no U.S. provision for income taxes on our Macau earnings that are considered permanently invested abroad.</w:t>
      </w:r>
    </w:p>
    <w:p>
      <w:pPr>
        <w:spacing w:after="0" w:line="118"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Our effective tax rate/(benefit) for the six months ended June 30, 2008, computed without regard to the $140.7 million net deferred tax benefit discussed in the preceding paragraph, was (1.2%). This rate was 36.2 percentage points lower than the U.S. Federal rate of 35%, primarily due to the tax holiday applicable to the earnings of Wynn Macau, S.A., as described below and U.S. tax deductions resulting from Encore at Wynn Las Vegas pre-opening expenses. There is no U.S. provision for taxes on our Macau earnings that are considered permanently invested abroad.</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$19.6 million in such taxes for the six months ended June 30, 2008. Our non-gaming profits remain subject to the Macau Complementary Tax and casino winnings remain subject to the Macau Special Gaming tax (at a rate equal to 39%) and other levies in accordance with its concession agreement.</w:t>
      </w:r>
    </w:p>
    <w:p>
      <w:pPr>
        <w:spacing w:after="0" w:line="218"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Net cash provided from operations for the six months ended June 30, 2008 was $338.8 million compared to $337.2 million provided by operations for the six months ended June 30, 2007.</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require a certain amount of cash on hand for operations. Our cash balances at June 30, 2008 included approximately $500 million remaining from the $900 million cash received from the sale of our subconcession on September 11, 2006. At June 30, 2008, we had approximately $1.3 billion of cash and cash equivalents available for operations, new development activities, general corporate purposes, enhancements to Wynn Las Vegas and Wynn Macau, and to support the development and construction of Encore at Wynn Las Vegas and Encore at Wynn Macau. Of this amount, approximately $384 million is held by Wynn Resorts, Limited, which is not a guarantor of the debt of its subsidiaries, including Wynn Las Vegas, LLC and Wynn Macau, S.A. In addition, as of June 30, 2008, we have availability under our Wynn Las Vegas Credit Facility of $519.7 million and under our Wynn Macau Credit Facility of $1 billion as noted below under Financing Activities.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2008, we had approximately $75.4 million in restricted cash and investments which is restricted for the following:</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$31.5 million restricted for the Encore at Wynn Las Vegas completion guarantee;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$43.9 million restricted for repurchases of our common stock.</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Cash equivalents include investments in U.S. Treasury Bills and overnight money market funds. Restricted investments are kept in money market funds or relatively short-term, government-backed, marketable debt securities as required by agreements governing our debt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April 28, 2006, we commenced construction on Encore at Wynn Las Vegas. We expect to open Encore at Wynn Las Vegas in December 2008. Design and construction is progressing as expected. Current construction activities include the following:</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Exterior glass installation is 100% complete and the tower’s illuminated “Encore” sign is operational;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Construction is essentially complete in the tower;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FF&amp;E installation in the typical guestrooms is 95% complete;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Drywall in the lowrise is 98% complete;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Enclosure of the lowrise is expected to be complete in early August;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Pool construction is 85% complete and the pool deck is 70% complete.</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project budget is approximately $2.3 billion for Encore at Wynn Las Vegas and related capital improvements. The project is being funded from our Wynn Las Vegas Credit Facilities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at Wynn Las Vegas. The Contract sets forth all of the terms and conditions pursuant to which Tutor will design and construct Encore at Wynn Las Vegas. In June 2007, we executed the first amendment to the Contract which set the guaranteed maximum price for work under the Contract at $1.3 billion. Subsequent change orders bring the current guaranteed maximum price to $1.4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June 30, 2008, we had incurred approximately $1.5 billion of project costs related to the development and construction of Encore at Wynn Las Vegas and related capital improvements.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at Wynn Las Vegas will be paid with funds from the following sources and in the following order of priority:</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First, by using agreed upon amounts of excess cash flow from the operations of Wynn Las Vegas;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Second, by using the proceeds of borrowings under the Wynn Las Vegas Credit Facilities;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In response to our evaluation of Wynn Las Vegas and the reactions of our guests, we continue to make certain enhancements and refinements to the property. As a result, we have incurred and will continue to incur capital expenditures relating to these enhancements and refinements.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As at Wynn Las Vegas, in response to our evaluation of Wynn Macau and the reactions of our guests, we continue to make certain enhancements and refinements to this property. As a result, we have incurred and will continue to incur capital expenditures relating to these enhancements and refinements.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June 2007, we commenced construction on Encore at Wynn Macau, a further expansion of Wynn Macau. Encore at Wynn Macau is a second hotel tower for Wynn Macau situated on top of a new low-rise podium. We expect Encore at Wynn Macau to open in the first half of 2010.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 of the project continues to progress and current construction activities include the following:</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Construction of the tower portion of the low-rise podium and the tower itself, which has reached the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continues;</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Excavation of the basement has been completed and we are currently building the structure of the basement;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Assembly of an exterior self-jacking scaffold required for the construction of the remaining floors of the tower has begun;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Installation of Encore’s central plant on the roof of Wynn Macau continues.</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expect total development and construction costs to be approximately $700 million. The project budget will be funded from our cash flow from operations at Wynn Macau and existing Wynn Macau Credit Facilities.</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July 2007, Wynn Macau S.A. issued a notice to proceed and on November 8, 2007,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Encore at Wynn Macau.</w:t>
      </w:r>
    </w:p>
    <w:p>
      <w:pPr>
        <w:spacing w:after="0" w:line="107" w:lineRule="exact"/>
        <w:rPr>
          <w:sz w:val="20"/>
          <w:szCs w:val="20"/>
          <w:color w:val="auto"/>
        </w:rPr>
      </w:pPr>
    </w:p>
    <w:p>
      <w:pPr>
        <w:jc w:val="center"/>
        <w:ind w:left="680" w:right="20"/>
        <w:spacing w:after="0" w:line="440" w:lineRule="auto"/>
        <w:rPr>
          <w:sz w:val="20"/>
          <w:szCs w:val="20"/>
          <w:color w:val="auto"/>
        </w:rPr>
      </w:pPr>
      <w:r>
        <w:rPr>
          <w:rFonts w:ascii="Arial" w:cs="Arial" w:eastAsia="Arial" w:hAnsi="Arial"/>
          <w:sz w:val="18"/>
          <w:szCs w:val="18"/>
          <w:color w:val="auto"/>
        </w:rPr>
        <w:t>As of June 30, 2008, we had incurred approximately $114.1 million of project costs related to the development and construction of Encore at Wynn Macau. 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Limited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7, 2007, our Board of Directors authorized an equity repurchase program of up to $1.2 billion. The repurchase program may include repurchases from time to time through open market purchases, in privately negotiated transactions, and under plans complying with Rules 10b5-1 and 10b-18 under the Exchange Act. During the six months ended June 30, 2008, we repurchased 6,659,362 shares at a net cost of $603.6 million. As of June 30, 2008, we had repurchased a total of 8,548,683 shares of our common stock for a net cost of $782.9 million, at an average price of $91.58 per share. On July 10, 2008, the Board of Directors of the Company authorized an increase of $500 million to its previously announced equity repurchase program bringing the total authorized to $1.7 billion. In July 2008, the Company purchased an additional 4,256,271 shares at a net cost of $336.5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 at Wynn Las Vegas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June 30, 2008, our Wynn Las Vegas credit facilities consist of a $900 million revolving credit facility (the “Wynn Las Vegas Revolver”) and $225 million term loan facility (the “Wynn Las Vegas Term Loan”) (together the “Wynn Las Vegas Credit Facilities”). For borrowings under the Wynn Las Vegas Term Loan we have elected, and expect to continue to elect, Eurodollar loans which bear interest at the 1-month LIBOR and include a margin of 1.875% on that outstanding balance. We have a $200 million notional amount interest rate swap to essentially fix the interest on $200 million of the Wynn Las Vegas Term Loan at the rate of 5.7% per annum. (For further information, see Item 3. “Quantitative and Qualitative Discussions about Market Risk”.)</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the six months ended June 30, 2008, we borrowed $361 million under the Wynn Las Vegas Revolver. We also have $19.3 million of outstanding letters of credit that reduce our availability under the Wynn Las Vegas Revolver. Consequently, $519.7 million remains available under the Wynn Las Vegas Revolver for future borrowings for the construction of Encore at Wynn Las Vegas or for other uses as necessary. For borrowings under the Wynn Las Vegas Revolver, we have elected, and expect to continue to elect, Eurodollar loans, which bear interest at the 1-month LIBOR and currently include a margin of 1.625% on the outstanding balance. After opening Encore at Wynn Las Vegas, the margin will fluctuate between a range of 1 to 1.75%, depending on our leverage ratio. In addition to interest, we also pay quarterly in arrears, an annual rate of 0.375% on the daily average of unborrowed availability. After the opening of Encore at Wynn Las Vegas, the annual fee that we will be required to pay for unborrowed availability based on our leverage ratio and will range from an annual rate of 0.25% to 0.50%.</w:t>
      </w:r>
    </w:p>
    <w:p>
      <w:pPr>
        <w:spacing w:after="0" w:line="14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$900 million Wynn Las Vegas Revolver will terminate and be payable in full on August 15, 2011. The Wynn Las Vegas Term Loan will mature in two installments: $112.5 million will be payable on September 30, 2012 and the remaining $112.5 million will be payable on August 15, 2013.</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and Encore at Wynn Macau</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June 27, 2007, Wynn Resorts (Macau) S.A., amended its credit facilities, dated September 14, 2005 (“Amended Common Terms Agreement”), and entered into other related amendments and agreements with a syndicate of lenders. The Amended Common Terms Agreement and related agreements took effect on June 29, 2007 and expand availability under Wynn Macau, S.A.’s existing senior bank facility from $764 million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$1.550 billion, in a combination of Hong Kong and U.S. dollars, including a $550 million equivalent fully funded senior term loan facility (“the “Wynn Macau Term Loan”), and a $1 billion senior revolving credit facility (the “Wynn Macau Revolver”) (together the “Wynn Macau Credit Facilities”). Wynn Macau, S.A. also has the ability to upsize the total facilities by an additional $50 million pursuant to the terms and provisions of the Amended Common Terms Agreement.</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a margin of 1.75%.</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During the six months ended June 30, 2008, we made no borrowings under the Wynn Macau Credit Facilities, and our outstanding balance was $549.9 million, with remaining availability of $1 billion. Future borrowings under the Wynn Macau Credit Facilities will be used to complete Encore at Wynn Macau, make investments in other projects in and around Macau and for general corporate purposes.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June 30, 2008, we had outstanding letters of credit totaling $19.3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Commitments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 have been no material changes during the quarter to our contractual obligations or off balance sheet arrangements as disclosed in our Annual Report on Form 10-K for the year ended December 31, 2007, other than an increase in the amount of debt outstanding and a decrease in construction related commitments both related to the continued construction of Encore at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loan proceeds. Further, the Wynn Resorts $1 billion term loan places various restrictions on our ability to pay dividends with the proceeds of certain dispositions and certain funds drawn from such term loan.</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completion of Encore at Wynn Las Vegas is delayed, then our debt service obligations accruing prior to the actual opening will increase correspondingly. Wynn Las Vegas will fund its operations and capital requirements from operating cash flow and remaining availability under Wynn Las Vegas, LLC’s Credit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Facilities. We cannot assure you,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will fund Wynn Macau, S.A.’s debt service obligations with operating cash flow and remaining availability under its senior secured bank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and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2007. There has been no material change to these policies for the six months ended June 30,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September 2006, the Financial Accounting Standards Board (the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The Company partially adopted the provisions of SFAS 157 effective January 1, 2008 and expects to adopt the remaining provisions of SFAS 157 on January 1, 2009. The adoption of this statement did not have a material impact the Company’s consolidated financial statements.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SFAS No. 159 on January 1, 2008, did not have a material impact on our consolidated financial statements.</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our financial position, results of operations or cash flows.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our financial position, results of operations or cash flows.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our financial position, results of operations or cash flows.</w:t>
      </w:r>
    </w:p>
    <w:p>
      <w:pPr>
        <w:spacing w:after="0" w:line="11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May 2008, the FASB issued FASB Staff Position APB 14-1, Accounting for Convertible Debt Instruments That May Be Settled in Cash upon Conversion (Including Partial Cash Settlement) (the “FSP”). The FSP requires the issuer of certain convertible debt instruments that may be settled in cash on conversion to separately account for the liability (debt) and equity (conversion option) components of the instrument in a manner that reflects the issuer’s nonconvertible debt borrowing rate. The effective date of the FSP is for financial statements issued for fiscal years beginning after December 15, 2008 and interim periods within those fiscal years and does not permit earlier application. However, the transition guidance requires retrospective application to all periods presented and does not grandfather existing instruments. The Company is currently evaluating the impact that the adoption of the FSP will have on its consolidated financial statements.</w:t>
      </w:r>
    </w:p>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w:t>
      </w:r>
    </w:p>
    <w:p>
      <w:pPr>
        <w:spacing w:after="0" w:line="9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On February 1, 2008, the Company entered into an interest rate swap to hedge the underlying interest rate risk on all of the borrowings under the $1 billion Term Loan Facility, which bears interest at LIBOR plus 2.25%. Pursuant to the terms of this interest rate swap, the Company pays a fixed rate of 2.836% on the $1 billion notional amount and receives payment based on LIBOR. This swap fixes the interest rate at approximately 5.09%. This swap terminates in June 2010.</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June 30, 2008, we have one interest rate swap arrangement to hedge the underlying interest rate risk on a total of $200 million of borrowings under the current Wynn Las Vegas, LLC Term Loan,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new term loan facility at approximately 5.7%, changes in fair value of our interest rate swaps for each reporting period are, and will continue to be, recorded as an increase/(decrease) in swap fair value in our Condensed Consolidated Statements of Income, as the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June 30, 2008, we have two interest rate swaps to hedge a portion of the underlying interest rate risk on borrowings under the Wynn Macau Term Loan. Under the first swap agreement, we pay a fixed interest rate of 4.84% on borrowings incurred under the Wynn Macau Term Loan up to a maximum of approximately $198.2 million, in exchange for receipts on the same amounts at a variable interest rate based on the applicable LIBOR at the time of payment. Under the second swap agreement, we pay a fixed interest rate of 4.77% on borrowings incurred under the Wynn Macau Term Loan up to a maximum of approximately HK$1.1 billion (approximately U.S.$140 million), in exchange for receipts on the same amounts at a variable interest rate based on the applicable HIBOR at the time of payment. The term of both swap agreements is from November 28, 2005 through November 28, 2008.</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These interest rate swaps fix the interest rates on the current U.S. dollar and Hong Kong dollar borrowings under the Wynn Macau Term Loan at approximately 6.59% and 6.52%, respectively. However, changes in the fair values of these interest rate swaps for each reporting period recorded are, and will continue to be, recognized as an increase/(decrease) in swap fair value in our Condensed Consolidated Statements of Income, as the swaps do not qualify for hedge accounting.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the historical asset or (liability) fair values of our interest rate swap arrangements as of June 30, 2008 and December 31, 2007 (all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Net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Wynn</w:t>
            </w:r>
          </w:p>
        </w:tc>
        <w:tc>
          <w:tcPr>
            <w:tcW w:w="42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Wynn Las</w:t>
            </w: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Wynn</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61"/>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w w:val="93"/>
              </w:rPr>
              <w:t>Asset/(Liability) fair value at:</w:t>
            </w:r>
          </w:p>
        </w:tc>
        <w:tc>
          <w:tcPr>
            <w:tcW w:w="56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Resorts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2"/>
              </w:rPr>
              <w:t>Vegas</w:t>
            </w: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Macau</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Swaps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June 30, 2008</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10,306</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(1,141)</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$(3,137)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December 31, 2007</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416</w:t>
            </w:r>
          </w:p>
        </w:tc>
        <w:tc>
          <w:tcPr>
            <w:tcW w:w="5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$(3,095)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pay/receive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2008, approximately 83% of our long-term debt was based on fixed rates, including the notional amounts related to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June 30, 2008, an assumed 1% change in variable rates would cause our annual interest cost to change by $6.7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0" w:firstLine="464"/>
        <w:spacing w:after="0" w:line="286" w:lineRule="auto"/>
        <w:tabs>
          <w:tab w:leader="none" w:pos="695"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jc w:val="both"/>
        <w:ind w:firstLine="464"/>
        <w:spacing w:after="0" w:line="259" w:lineRule="auto"/>
        <w:tabs>
          <w:tab w:leader="none" w:pos="705"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During the quarter ended June 30, 2008, we had the following change in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such term is defined in Rules 13a-15(f) and 15d-15(f) under the Exchange Act) that materially affected, or is reasonably likely to affect, our internal control over financial reporting:</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been systematically implementing a new casino management system at Wynn Macau. The implementation began in 2008 and will continue through 2009.</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other changes in our internal control over financial reporting that materially affected, or are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IA.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2007. There were no material changes to those risk factors during the six months ended June 30,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not adopted a policy regarding the payment of dividends, however we plan to evaluate the payment of dividends from time to time.</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loan proceeds. Further, the Wynn Resorts $1 billion term loan places various restrictions on our ability to pay dividends with the proceeds of certain dispositions and certain funds drawn from such term loan.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$1.2 billion Equity Repurchase Program</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June 7, 2007, the Board of Directors of Wynn Resorts, Limited authorized an equity repurchase program of up to $1.2 billion which may include purchases of both its common stock and its 6% Convertible Debentures due 2015. As of June 30, 2008, the Company had repurchased a cumulative total of 8,548,683 shares of its common stock through open market purchases for net costs of $782.9 million, and an average price of $91.58 per share. Purchases during the three months ended June 30, 2008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560" w:type="dxa"/>
            <w:vAlign w:val="bottom"/>
          </w:tcPr>
          <w:p>
            <w:pPr>
              <w:spacing w:after="0"/>
              <w:rPr>
                <w:sz w:val="14"/>
                <w:szCs w:val="14"/>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Maximum Dollar</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56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Total Number</w:t>
            </w: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a</w:t>
            </w:r>
          </w:p>
        </w:tc>
        <w:tc>
          <w:tcPr>
            <w:tcW w:w="56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of Shares</w:t>
            </w: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Price Paid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56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4"/>
              </w:rPr>
              <w:t>Purchased</w:t>
            </w:r>
          </w:p>
        </w:tc>
        <w:tc>
          <w:tcPr>
            <w:tcW w:w="5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5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Announced Plan</w:t>
            </w:r>
          </w:p>
        </w:tc>
        <w:tc>
          <w:tcPr>
            <w:tcW w:w="5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the Plan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April 2008</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May 2008</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June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4,194,820</w:t>
            </w: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85.70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4,194,820</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4,194,820</w:t>
            </w:r>
          </w:p>
        </w:tc>
        <w:tc>
          <w:tcPr>
            <w:tcW w:w="5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85.70</w:t>
            </w:r>
          </w:p>
        </w:tc>
        <w:tc>
          <w:tcPr>
            <w:tcW w:w="1040" w:type="dxa"/>
            <w:vAlign w:val="bottom"/>
          </w:tcPr>
          <w:p>
            <w:pPr>
              <w:jc w:val="right"/>
              <w:spacing w:after="0"/>
              <w:rPr>
                <w:sz w:val="20"/>
                <w:szCs w:val="20"/>
                <w:color w:val="auto"/>
              </w:rPr>
            </w:pPr>
            <w:r>
              <w:rPr>
                <w:rFonts w:ascii="Arial" w:cs="Arial" w:eastAsia="Arial" w:hAnsi="Arial"/>
                <w:sz w:val="18"/>
                <w:szCs w:val="18"/>
                <w:color w:val="auto"/>
              </w:rPr>
              <w:t>4,194,820</w:t>
            </w:r>
          </w:p>
        </w:tc>
        <w:tc>
          <w:tcPr>
            <w:tcW w:w="1740" w:type="dxa"/>
            <w:vAlign w:val="bottom"/>
            <w:gridSpan w:val="3"/>
          </w:tcPr>
          <w:p>
            <w:pPr>
              <w:jc w:val="center"/>
              <w:ind w:left="452"/>
              <w:spacing w:after="0"/>
              <w:rPr>
                <w:sz w:val="20"/>
                <w:szCs w:val="20"/>
                <w:color w:val="auto"/>
              </w:rPr>
            </w:pPr>
            <w:r>
              <w:rPr>
                <w:rFonts w:ascii="Arial" w:cs="Arial" w:eastAsia="Arial" w:hAnsi="Arial"/>
                <w:sz w:val="18"/>
                <w:szCs w:val="18"/>
                <w:color w:val="auto"/>
                <w:w w:val="92"/>
              </w:rPr>
              <w:t>$   417,074,487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July 10, 2008, the Board of Directors of the Company authorized an increase of $500 million to its previously announced equity repurchase program bringing the total authorized amount to $1.7 billion. Our repurchase program may include repurchases from time to time through open market purchases or negotiated transactions, depending upon market conditions.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The Company’s Annual Meeting of Stockholders was held on May 6, 2008. The following proposals were presented to a vote of the stockholders. 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No. 1</w:t>
      </w:r>
      <w:r>
        <w:rPr>
          <w:rFonts w:ascii="Arial" w:cs="Arial" w:eastAsia="Arial" w:hAnsi="Arial"/>
          <w:sz w:val="18"/>
          <w:szCs w:val="18"/>
          <w:color w:val="auto"/>
        </w:rPr>
        <w:t>—Election of Directors (Class III)</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Votes For</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Votes Withheld</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Kazuo</w:t>
            </w:r>
          </w:p>
        </w:tc>
        <w:tc>
          <w:tcPr>
            <w:tcW w:w="7360" w:type="dxa"/>
            <w:vAlign w:val="bottom"/>
          </w:tcPr>
          <w:p>
            <w:pPr>
              <w:spacing w:after="0" w:line="201" w:lineRule="exact"/>
              <w:rPr>
                <w:sz w:val="20"/>
                <w:szCs w:val="20"/>
                <w:color w:val="auto"/>
              </w:rPr>
            </w:pPr>
            <w:r>
              <w:rPr>
                <w:rFonts w:ascii="Arial" w:cs="Arial" w:eastAsia="Arial" w:hAnsi="Arial"/>
                <w:sz w:val="18"/>
                <w:szCs w:val="18"/>
                <w:color w:val="auto"/>
              </w:rPr>
              <w:t>Okada</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101,783,419</w:t>
            </w:r>
          </w:p>
        </w:tc>
        <w:tc>
          <w:tcPr>
            <w:tcW w:w="42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1,280,113</w:t>
            </w:r>
          </w:p>
        </w:tc>
        <w:tc>
          <w:tcPr>
            <w:tcW w:w="20" w:type="dxa"/>
            <w:vAlign w:val="bottom"/>
          </w:tcPr>
          <w:p>
            <w:pPr>
              <w:spacing w:after="0"/>
              <w:rPr>
                <w:sz w:val="17"/>
                <w:szCs w:val="17"/>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100,113,686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2,949,846</w:t>
            </w: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102,315,750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747,782</w:t>
            </w:r>
          </w:p>
        </w:tc>
      </w:tr>
    </w:tbl>
    <w:p>
      <w:pPr>
        <w:spacing w:after="0" w:line="15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Class I directors remain in office with their term expiring in 2009—Linda Chen, John A. Moran and Elaine P. Wynn. The following Class II directors remain in office with their term expiring in 2010—Stephen A. Wynn, Ray R. Irani, Alvin V. Shoemaker and D. Boone Wayson. In May 2008, Russell Goldsmith was appointed to the Board as a Class III Director.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No. 2—</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To approve the material terms of the performance goals in the Wynn Resorts, Limited 2002 Stock Incentive Plan under Section 162(m) of the Internal Revenue Code.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3920" w:type="dxa"/>
            <w:vAlign w:val="bottom"/>
            <w:gridSpan w:val="2"/>
          </w:tcPr>
          <w:p>
            <w:pPr>
              <w:ind w:left="320"/>
              <w:spacing w:after="0"/>
              <w:rPr>
                <w:sz w:val="20"/>
                <w:szCs w:val="20"/>
                <w:color w:val="auto"/>
              </w:rPr>
            </w:pPr>
            <w:r>
              <w:rPr>
                <w:rFonts w:ascii="Arial" w:cs="Arial" w:eastAsia="Arial" w:hAnsi="Arial"/>
                <w:sz w:val="14"/>
                <w:szCs w:val="14"/>
                <w:b w:val="1"/>
                <w:bCs w:val="1"/>
                <w:color w:val="auto"/>
              </w:rPr>
              <w:t>Against</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Abstain</w:t>
            </w:r>
          </w:p>
        </w:tc>
      </w:tr>
      <w:tr>
        <w:trPr>
          <w:trHeight w:val="216"/>
        </w:trPr>
        <w:tc>
          <w:tcPr>
            <w:tcW w:w="6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2"/>
              </w:rPr>
              <w:t>87,838,787</w:t>
            </w:r>
          </w:p>
        </w:tc>
        <w:tc>
          <w:tcPr>
            <w:tcW w:w="62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15,201,535</w:t>
            </w:r>
          </w:p>
        </w:tc>
        <w:tc>
          <w:tcPr>
            <w:tcW w:w="28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23,204</w:t>
            </w:r>
          </w:p>
        </w:tc>
        <w:tc>
          <w:tcPr>
            <w:tcW w:w="20" w:type="dxa"/>
            <w:vAlign w:val="bottom"/>
          </w:tcPr>
          <w:p>
            <w:pPr>
              <w:spacing w:after="0"/>
              <w:rPr>
                <w:sz w:val="18"/>
                <w:szCs w:val="18"/>
                <w:color w:val="auto"/>
              </w:rPr>
            </w:pPr>
          </w:p>
        </w:tc>
      </w:tr>
      <w:tr>
        <w:trPr>
          <w:trHeight w:val="370"/>
        </w:trPr>
        <w:tc>
          <w:tcPr>
            <w:tcW w:w="6840" w:type="dxa"/>
            <w:vAlign w:val="bottom"/>
            <w:gridSpan w:val="2"/>
          </w:tcPr>
          <w:p>
            <w:pPr>
              <w:ind w:left="460"/>
              <w:spacing w:after="0"/>
              <w:rPr>
                <w:sz w:val="20"/>
                <w:szCs w:val="20"/>
                <w:color w:val="auto"/>
              </w:rPr>
            </w:pPr>
            <w:r>
              <w:rPr>
                <w:rFonts w:ascii="Arial" w:cs="Arial" w:eastAsia="Arial" w:hAnsi="Arial"/>
                <w:sz w:val="18"/>
                <w:szCs w:val="18"/>
                <w:i w:val="1"/>
                <w:iCs w:val="1"/>
                <w:color w:val="auto"/>
              </w:rPr>
              <w:t>Proposal No. 3</w:t>
            </w:r>
            <w:r>
              <w:rPr>
                <w:rFonts w:ascii="Arial" w:cs="Arial" w:eastAsia="Arial" w:hAnsi="Arial"/>
                <w:sz w:val="18"/>
                <w:szCs w:val="18"/>
                <w:color w:val="auto"/>
              </w:rPr>
              <w:t>—Election of Independent Auditors</w:t>
            </w:r>
          </w:p>
        </w:tc>
        <w:tc>
          <w:tcPr>
            <w:tcW w:w="1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ratify the Company’s designation of Ernst &amp; Young LLP as the independent auditors for the Company and all subsidiaries for the 2008 fiscal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Votes For</w:t>
            </w:r>
          </w:p>
        </w:tc>
        <w:tc>
          <w:tcPr>
            <w:tcW w:w="26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Against</w:t>
            </w:r>
          </w:p>
        </w:tc>
        <w:tc>
          <w:tcPr>
            <w:tcW w:w="2860" w:type="dxa"/>
            <w:vAlign w:val="bottom"/>
          </w:tcPr>
          <w:p>
            <w:pPr>
              <w:spacing w:after="0"/>
              <w:rPr>
                <w:sz w:val="14"/>
                <w:szCs w:val="14"/>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Abstain</w:t>
            </w:r>
          </w:p>
        </w:tc>
        <w:tc>
          <w:tcPr>
            <w:tcW w:w="20" w:type="dxa"/>
            <w:vAlign w:val="bottom"/>
          </w:tcPr>
          <w:p>
            <w:pPr>
              <w:spacing w:after="0"/>
              <w:rPr>
                <w:sz w:val="14"/>
                <w:szCs w:val="14"/>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102,982,856</w:t>
            </w:r>
          </w:p>
        </w:tc>
        <w:tc>
          <w:tcPr>
            <w:tcW w:w="3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68,759</w:t>
            </w:r>
          </w:p>
        </w:tc>
        <w:tc>
          <w:tcPr>
            <w:tcW w:w="2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11,917</w:t>
            </w:r>
          </w:p>
        </w:tc>
        <w:tc>
          <w:tcPr>
            <w:tcW w:w="20" w:type="dxa"/>
            <w:vAlign w:val="bottom"/>
          </w:tcPr>
          <w:p>
            <w:pPr>
              <w:spacing w:after="0"/>
              <w:rPr>
                <w:sz w:val="18"/>
                <w:szCs w:val="18"/>
                <w:color w:val="auto"/>
              </w:rPr>
            </w:pPr>
          </w:p>
        </w:tc>
      </w:tr>
      <w:tr>
        <w:trPr>
          <w:trHeight w:val="356"/>
        </w:trPr>
        <w:tc>
          <w:tcPr>
            <w:tcW w:w="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940" w:type="dxa"/>
            <w:vAlign w:val="bottom"/>
          </w:tcPr>
          <w:p>
            <w:pPr>
              <w:jc w:val="right"/>
              <w:ind w:right="1312"/>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(a)</w:t>
            </w:r>
          </w:p>
        </w:tc>
        <w:tc>
          <w:tcPr>
            <w:tcW w:w="9500" w:type="dxa"/>
            <w:vAlign w:val="bottom"/>
            <w:gridSpan w:val="2"/>
          </w:tcPr>
          <w:p>
            <w:pPr>
              <w:ind w:left="100"/>
              <w:spacing w:after="0"/>
              <w:rPr>
                <w:sz w:val="20"/>
                <w:szCs w:val="20"/>
                <w:color w:val="auto"/>
              </w:rPr>
            </w:pPr>
            <w:r>
              <w:rPr>
                <w:rFonts w:ascii="Arial" w:cs="Arial" w:eastAsia="Arial" w:hAnsi="Arial"/>
                <w:sz w:val="18"/>
                <w:szCs w:val="18"/>
                <w:color w:val="auto"/>
              </w:rPr>
              <w:t>Exhibits</w:t>
            </w:r>
          </w:p>
        </w:tc>
      </w:tr>
      <w:tr>
        <w:trPr>
          <w:trHeight w:val="5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66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84"/>
        </w:trPr>
        <w:tc>
          <w:tcPr>
            <w:tcW w:w="2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Second</w:t>
            </w:r>
          </w:p>
        </w:tc>
        <w:tc>
          <w:tcPr>
            <w:tcW w:w="8800" w:type="dxa"/>
            <w:vAlign w:val="bottom"/>
          </w:tcPr>
          <w:p>
            <w:pPr>
              <w:spacing w:after="0"/>
              <w:rPr>
                <w:sz w:val="20"/>
                <w:szCs w:val="20"/>
                <w:color w:val="auto"/>
              </w:rPr>
            </w:pPr>
            <w:r>
              <w:rPr>
                <w:rFonts w:ascii="Arial" w:cs="Arial" w:eastAsia="Arial" w:hAnsi="Arial"/>
                <w:sz w:val="18"/>
                <w:szCs w:val="18"/>
                <w:color w:val="auto"/>
              </w:rPr>
              <w:t>Amended and Restated Articles of Incorporation of the Registrant.</w:t>
            </w:r>
            <w:r>
              <w:rPr>
                <w:rFonts w:ascii="Arial" w:cs="Arial" w:eastAsia="Arial" w:hAnsi="Arial"/>
                <w:sz w:val="22"/>
                <w:szCs w:val="22"/>
                <w:color w:val="auto"/>
                <w:vertAlign w:val="superscript"/>
              </w:rPr>
              <w:t>(1)</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Fourth Amended and Restated Bylaws of the Registrant, as amended.</w:t>
            </w:r>
            <w:r>
              <w:rPr>
                <w:rFonts w:ascii="Arial" w:cs="Arial" w:eastAsia="Arial" w:hAnsi="Arial"/>
                <w:sz w:val="22"/>
                <w:szCs w:val="22"/>
                <w:color w:val="auto"/>
                <w:vertAlign w:val="superscript"/>
              </w:rPr>
              <w:t>(2)</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87"/>
              </w:rPr>
              <w:t>Second Amendment to Agreement of Lease, made as of June 10, 2008, by and between Wynn Las Vegas, LLC and Stephen A. Wynn</w:t>
            </w:r>
            <w:r>
              <w:rPr>
                <w:rFonts w:ascii="Arial" w:cs="Arial" w:eastAsia="Arial" w:hAnsi="Arial"/>
                <w:sz w:val="22"/>
                <w:szCs w:val="22"/>
                <w:color w:val="auto"/>
                <w:w w:val="87"/>
                <w:vertAlign w:val="superscript"/>
              </w:rPr>
              <w:t>(3)</w:t>
            </w:r>
          </w:p>
        </w:tc>
      </w:tr>
      <w:tr>
        <w:trPr>
          <w:trHeight w:val="248"/>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1"/>
                <w:szCs w:val="21"/>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of Periodic Report Pursuant to Rule 13a—14(a) and Rule 15d—14(a).</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of Periodic Report Pursuant to Rule 13a—14(a) and Rule 15d—14(a).</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August 9, 2007 and incorporated herein by reference.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June 12, 2008 and incorporated herein by reference.</w:t>
      </w:r>
    </w:p>
    <w:p>
      <w:pPr>
        <w:spacing w:after="0" w:line="18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00"/>
          </w:cols>
          <w:pgMar w:left="240" w:top="459" w:right="7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ind w:left="180"/>
        <w:spacing w:after="0"/>
        <w:tabs>
          <w:tab w:leader="none" w:pos="5940" w:val="left"/>
          <w:tab w:leader="none" w:pos="8000" w:val="left"/>
          <w:tab w:leader="none" w:pos="8340" w:val="left"/>
        </w:tabs>
        <w:rPr>
          <w:sz w:val="20"/>
          <w:szCs w:val="20"/>
          <w:color w:val="auto"/>
        </w:rPr>
      </w:pPr>
      <w:r>
        <w:rPr>
          <w:rFonts w:ascii="Arial" w:cs="Arial" w:eastAsia="Arial" w:hAnsi="Arial"/>
          <w:sz w:val="18"/>
          <w:szCs w:val="18"/>
          <w:color w:val="auto"/>
        </w:rPr>
        <w:t>Dated: August 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Matt Maddox</w:t>
      </w:r>
    </w:p>
    <w:p>
      <w:pPr>
        <w:jc w:val="center"/>
        <w:ind w:left="640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40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40"/>
          </w:cols>
          <w:pgMar w:left="240" w:top="459" w:right="11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00" w:val="left"/>
          <w:tab w:leader="none" w:pos="804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Stephen A. Wynn</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20" w:val="left"/>
          <w:tab w:leader="none" w:pos="816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Matt Maddox</w:t>
      </w:r>
    </w:p>
    <w:p>
      <w:pPr>
        <w:jc w:val="center"/>
        <w:ind w:left="60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0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2008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3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16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r>
      <w:tr>
        <w:trPr>
          <w:trHeight w:val="131"/>
        </w:trPr>
        <w:tc>
          <w:tcPr>
            <w:tcW w:w="52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1340" w:type="dxa"/>
            <w:vAlign w:val="bottom"/>
          </w:tcPr>
          <w:p>
            <w:pPr>
              <w:spacing w:after="0"/>
              <w:rPr>
                <w:sz w:val="11"/>
                <w:szCs w:val="11"/>
                <w:color w:val="auto"/>
              </w:rPr>
            </w:pPr>
          </w:p>
        </w:tc>
        <w:tc>
          <w:tcPr>
            <w:tcW w:w="2720" w:type="dxa"/>
            <w:vAlign w:val="bottom"/>
          </w:tcPr>
          <w:p>
            <w:pPr>
              <w:jc w:val="center"/>
              <w:ind w:right="1222"/>
              <w:spacing w:after="0" w:line="131" w:lineRule="exact"/>
              <w:rPr>
                <w:sz w:val="20"/>
                <w:szCs w:val="20"/>
                <w:color w:val="auto"/>
              </w:rPr>
            </w:pPr>
            <w:r>
              <w:rPr>
                <w:rFonts w:ascii="Arial" w:cs="Arial" w:eastAsia="Arial" w:hAnsi="Arial"/>
                <w:sz w:val="14"/>
                <w:szCs w:val="14"/>
                <w:b w:val="1"/>
                <w:bCs w:val="1"/>
                <w:color w:val="auto"/>
                <w:w w:val="88"/>
              </w:rPr>
              <w:t>Stephen A. Wynn</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520" w:type="dxa"/>
            <w:vAlign w:val="bottom"/>
          </w:tcPr>
          <w:p>
            <w:pPr>
              <w:spacing w:after="0"/>
              <w:rPr>
                <w:sz w:val="15"/>
                <w:szCs w:val="15"/>
                <w:color w:val="auto"/>
              </w:rPr>
            </w:pPr>
          </w:p>
        </w:tc>
        <w:tc>
          <w:tcPr>
            <w:tcW w:w="4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363"/>
        </w:trPr>
        <w:tc>
          <w:tcPr>
            <w:tcW w:w="1860" w:type="dxa"/>
            <w:vAlign w:val="bottom"/>
            <w:gridSpan w:val="2"/>
          </w:tcPr>
          <w:p>
            <w:pPr>
              <w:spacing w:after="0"/>
              <w:rPr>
                <w:sz w:val="20"/>
                <w:szCs w:val="20"/>
                <w:color w:val="auto"/>
              </w:rPr>
            </w:pPr>
            <w:r>
              <w:rPr>
                <w:rFonts w:ascii="Arial" w:cs="Arial" w:eastAsia="Arial" w:hAnsi="Arial"/>
                <w:sz w:val="18"/>
                <w:szCs w:val="18"/>
                <w:color w:val="auto"/>
              </w:rPr>
              <w:t>Date: August 8, 2008</w:t>
            </w:r>
          </w:p>
        </w:tc>
        <w:tc>
          <w:tcPr>
            <w:tcW w:w="2720" w:type="dxa"/>
            <w:vAlign w:val="bottom"/>
          </w:tcPr>
          <w:p>
            <w:pPr>
              <w:spacing w:after="0"/>
              <w:rPr>
                <w:sz w:val="24"/>
                <w:szCs w:val="24"/>
                <w:color w:val="auto"/>
              </w:rPr>
            </w:pPr>
          </w:p>
        </w:tc>
      </w:tr>
      <w:tr>
        <w:trPr>
          <w:trHeight w:val="419"/>
        </w:trPr>
        <w:tc>
          <w:tcPr>
            <w:tcW w:w="520" w:type="dxa"/>
            <w:vAlign w:val="bottom"/>
          </w:tcPr>
          <w:p>
            <w:pPr>
              <w:spacing w:after="0"/>
              <w:rPr>
                <w:sz w:val="24"/>
                <w:szCs w:val="24"/>
                <w:color w:val="auto"/>
              </w:rPr>
            </w:pPr>
          </w:p>
        </w:tc>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83"/>
              </w:rPr>
              <w:t>/s/</w:t>
            </w:r>
          </w:p>
        </w:tc>
        <w:tc>
          <w:tcPr>
            <w:tcW w:w="2720" w:type="dxa"/>
            <w:vAlign w:val="bottom"/>
            <w:tcBorders>
              <w:bottom w:val="single" w:sz="8" w:color="auto"/>
            </w:tcBorders>
          </w:tcPr>
          <w:p>
            <w:pPr>
              <w:jc w:val="center"/>
              <w:ind w:right="118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31"/>
        </w:trPr>
        <w:tc>
          <w:tcPr>
            <w:tcW w:w="52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1340" w:type="dxa"/>
            <w:vAlign w:val="bottom"/>
          </w:tcPr>
          <w:p>
            <w:pPr>
              <w:spacing w:after="0"/>
              <w:rPr>
                <w:sz w:val="11"/>
                <w:szCs w:val="11"/>
                <w:color w:val="auto"/>
              </w:rPr>
            </w:pPr>
          </w:p>
        </w:tc>
        <w:tc>
          <w:tcPr>
            <w:tcW w:w="2720" w:type="dxa"/>
            <w:vAlign w:val="bottom"/>
          </w:tcPr>
          <w:p>
            <w:pPr>
              <w:jc w:val="center"/>
              <w:ind w:right="1242"/>
              <w:spacing w:after="0" w:line="131" w:lineRule="exact"/>
              <w:rPr>
                <w:sz w:val="20"/>
                <w:szCs w:val="20"/>
                <w:color w:val="auto"/>
              </w:rPr>
            </w:pPr>
            <w:r>
              <w:rPr>
                <w:rFonts w:ascii="Arial" w:cs="Arial" w:eastAsia="Arial" w:hAnsi="Arial"/>
                <w:sz w:val="14"/>
                <w:szCs w:val="14"/>
                <w:b w:val="1"/>
                <w:bCs w:val="1"/>
                <w:color w:val="auto"/>
                <w:w w:val="93"/>
              </w:rPr>
              <w:t>Matt Maddox</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Chief Financial Officer and Treasurer</w:t>
            </w:r>
          </w:p>
        </w:tc>
      </w:tr>
      <w:tr>
        <w:trPr>
          <w:trHeight w:val="174"/>
        </w:trPr>
        <w:tc>
          <w:tcPr>
            <w:tcW w:w="520" w:type="dxa"/>
            <w:vAlign w:val="bottom"/>
          </w:tcPr>
          <w:p>
            <w:pPr>
              <w:spacing w:after="0"/>
              <w:rPr>
                <w:sz w:val="15"/>
                <w:szCs w:val="15"/>
                <w:color w:val="auto"/>
              </w:rPr>
            </w:pPr>
          </w:p>
        </w:tc>
        <w:tc>
          <w:tcPr>
            <w:tcW w:w="4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(Principal Financial Officer)</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4"/>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lvl w:ilvl="1">
      <w:lvlJc w:val="left"/>
      <w:lvlText w:val="(%2)"/>
      <w:numFmt w:val="lowerLetter"/>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2019-12-15T07:39:06Z</dcterms:created>
  <dcterms:modified xsi:type="dcterms:W3CDTF">2019-12-15T07:39:06Z</dcterms:modified>
</cp:coreProperties>
</file>