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fiscal year ended December 31, 2021</w:t>
            </w:r>
          </w:p>
        </w:tc>
      </w:tr>
    </w:tbl>
    <w:p>
      <w:pPr>
        <w:pStyle w:val="TextBody"/>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OR</w:t>
      </w:r>
    </w:p>
    <w:tbl>
      <w:tblPr>
        <w:tblW w:w="10205" w:type="dxa"/>
        <w:jc w:val="center"/>
        <w:tblInd w:w="0" w:type="dxa"/>
        <w:tblCellMar>
          <w:top w:w="28" w:type="dxa"/>
          <w:left w:w="28" w:type="dxa"/>
          <w:bottom w:w="28" w:type="dxa"/>
          <w:right w:w="28" w:type="dxa"/>
        </w:tblCellMar>
      </w:tblPr>
      <w:tblGrid>
        <w:gridCol w:w="124"/>
        <w:gridCol w:w="109"/>
        <w:gridCol w:w="109"/>
        <w:gridCol w:w="3177"/>
        <w:gridCol w:w="2763"/>
        <w:gridCol w:w="39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77" w:type="dxa"/>
            <w:tcBorders/>
            <w:shd w:fill="auto" w:val="clear"/>
            <w:vAlign w:val="center"/>
          </w:tcPr>
          <w:p>
            <w:pPr>
              <w:pStyle w:val="TableContents"/>
              <w:spacing w:before="0" w:after="283"/>
              <w:rPr>
                <w:sz w:val="4"/>
                <w:szCs w:val="4"/>
              </w:rPr>
            </w:pPr>
            <w:r>
              <w:rPr>
                <w:sz w:val="4"/>
                <w:szCs w:val="4"/>
              </w:rPr>
            </w:r>
          </w:p>
        </w:tc>
        <w:tc>
          <w:tcPr>
            <w:tcW w:w="2763" w:type="dxa"/>
            <w:tcBorders/>
            <w:shd w:fill="auto" w:val="clear"/>
            <w:vAlign w:val="center"/>
          </w:tcPr>
          <w:p>
            <w:pPr>
              <w:pStyle w:val="TableContents"/>
              <w:spacing w:before="0" w:after="283"/>
              <w:rPr>
                <w:sz w:val="4"/>
                <w:szCs w:val="4"/>
              </w:rPr>
            </w:pPr>
            <w:r>
              <w:rPr>
                <w:sz w:val="4"/>
                <w:szCs w:val="4"/>
              </w:rPr>
            </w:r>
          </w:p>
        </w:tc>
        <w:tc>
          <w:tcPr>
            <w:tcW w:w="39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For the transition period</w:t>
            </w:r>
            <w:r>
              <w:rPr>
                <w:color w:val="000000"/>
                <w:u w:val="single"/>
              </w:rPr>
              <w:t>                    </w:t>
            </w:r>
            <w:r>
              <w:rPr>
                <w:rFonts w:ascii="Times New Roman;sans-serif" w:hAnsi="Times New Roman;sans-serif"/>
                <w:b/>
                <w:color w:val="000000"/>
                <w:sz w:val="20"/>
              </w:rPr>
              <w:t>to</w:t>
            </w:r>
            <w:r>
              <w:rPr>
                <w:color w:val="000000"/>
                <w:u w:val="single"/>
              </w:rPr>
              <w:t>                     </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No. 000-50028</w:t>
      </w:r>
    </w:p>
    <w:p>
      <w:pPr>
        <w:pStyle w:val="TextBody"/>
        <w:spacing w:lineRule="auto" w:line="288" w:before="60" w:after="283"/>
        <w:jc w:val="center"/>
        <w:rPr>
          <w:rFonts w:ascii="Times New Roman;sans-serif" w:hAnsi="Times New Roman;sans-serif"/>
          <w:b/>
          <w:color w:val="000000"/>
          <w:sz w:val="48"/>
        </w:rPr>
      </w:pPr>
      <w:r>
        <w:rPr>
          <w:rFonts w:ascii="Times New Roman;sans-serif" w:hAnsi="Times New Roman;sans-serif"/>
          <w:b/>
          <w:color w:val="000000"/>
          <w:sz w:val="48"/>
        </w:rPr>
        <w:t>WYNN RESORTS, LIMITED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181" w:type="dxa"/>
        <w:jc w:val="center"/>
        <w:tblInd w:w="0" w:type="dxa"/>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N</w:t>
            </w:r>
            <w:r>
              <w:rPr>
                <w:rFonts w:ascii="Times New Roman;sans-serif" w:hAnsi="Times New Roman;sans-serif"/>
                <w:b/>
                <w:color w:val="000000"/>
                <w:sz w:val="16"/>
              </w:rPr>
              <w:t>evada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46-0484987</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3131 Las Vegas Boulevard South - Las Vegas, Nevada 89109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(702) 770-7555</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12" w:type="dxa"/>
        <w:jc w:val="center"/>
        <w:tblInd w:w="0" w:type="dxa"/>
        <w:tblCellMar>
          <w:top w:w="28" w:type="dxa"/>
          <w:left w:w="28" w:type="dxa"/>
          <w:bottom w:w="28" w:type="dxa"/>
          <w:right w:w="28" w:type="dxa"/>
        </w:tblCellMar>
      </w:tblPr>
      <w:tblGrid>
        <w:gridCol w:w="1017"/>
        <w:gridCol w:w="898"/>
        <w:gridCol w:w="904"/>
        <w:gridCol w:w="109"/>
        <w:gridCol w:w="109"/>
        <w:gridCol w:w="109"/>
        <w:gridCol w:w="424"/>
        <w:gridCol w:w="424"/>
        <w:gridCol w:w="426"/>
        <w:gridCol w:w="109"/>
        <w:gridCol w:w="109"/>
        <w:gridCol w:w="109"/>
        <w:gridCol w:w="1014"/>
        <w:gridCol w:w="1014"/>
        <w:gridCol w:w="1437"/>
      </w:tblGrid>
      <w:tr>
        <w:trPr/>
        <w:tc>
          <w:tcPr>
            <w:tcW w:w="1017"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014"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WYNN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60" w:after="283"/>
        <w:ind w:left="0" w:right="0" w:firstLine="108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color w:val="000000"/>
        </w:rPr>
        <w:t>☒</w:t>
      </w:r>
    </w:p>
    <w:p>
      <w:pPr>
        <w:pStyle w:val="TextBody"/>
        <w:spacing w:lineRule="auto" w:line="288" w:before="60" w:after="283"/>
        <w:ind w:left="0" w:right="0" w:firstLine="1080"/>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6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registrant's voting and non-voting common stock held by non-affiliates based on the closing price as reported on the Nasdaq Global Select Market on June 30, 2021 was approximately $12.90 billion.</w:t>
      </w:r>
    </w:p>
    <w:p>
      <w:pPr>
        <w:pStyle w:val="TextBody"/>
        <w:spacing w:lineRule="auto" w:line="288" w:before="60" w:after="283"/>
        <w:ind w:left="0" w:right="0" w:firstLine="1080"/>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16, 2022, 115,898,704 shares of the registrant's Common Stock, $0.01 par value, were outstanding.</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DOCUMENTS INCORPORATED BY REFERENCE </w:t>
      </w:r>
    </w:p>
    <w:p>
      <w:pPr>
        <w:pStyle w:val="TextBody"/>
        <w:spacing w:before="0" w:after="0"/>
        <w:jc w:val="center"/>
        <w:rPr/>
      </w:pPr>
      <w:r>
        <w:rPr/>
      </w:r>
    </w:p>
    <w:p>
      <w:pPr>
        <w:pStyle w:val="TextBody"/>
        <w:spacing w:lineRule="auto" w:line="288" w:before="0" w:after="0"/>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for its 2022 Annual Meeting of Stockholders to be filed not later than 120 days after the end of the fiscal year covered by this report are incorporated by reference into Part III of this Form 10-K.</w:t>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CellMar>
          <w:top w:w="28" w:type="dxa"/>
          <w:left w:w="28" w:type="dxa"/>
          <w:bottom w:w="28" w:type="dxa"/>
          <w:right w:w="28" w:type="dxa"/>
        </w:tblCellMar>
      </w:tblPr>
      <w:tblGrid>
        <w:gridCol w:w="293"/>
        <w:gridCol w:w="258"/>
        <w:gridCol w:w="260"/>
        <w:gridCol w:w="2975"/>
        <w:gridCol w:w="2967"/>
        <w:gridCol w:w="2985"/>
        <w:gridCol w:w="136"/>
        <w:gridCol w:w="136"/>
        <w:gridCol w:w="195"/>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975" w:type="dxa"/>
            <w:tcBorders/>
            <w:shd w:fill="auto" w:val="clear"/>
            <w:vAlign w:val="center"/>
          </w:tcPr>
          <w:p>
            <w:pPr>
              <w:pStyle w:val="TableContents"/>
              <w:spacing w:before="0" w:after="283"/>
              <w:rPr>
                <w:sz w:val="4"/>
                <w:szCs w:val="4"/>
              </w:rPr>
            </w:pPr>
            <w:r>
              <w:rPr>
                <w:sz w:val="4"/>
                <w:szCs w:val="4"/>
              </w:rPr>
            </w:r>
          </w:p>
        </w:tc>
        <w:tc>
          <w:tcPr>
            <w:tcW w:w="2967" w:type="dxa"/>
            <w:tcBorders/>
            <w:shd w:fill="auto" w:val="clear"/>
            <w:vAlign w:val="center"/>
          </w:tcPr>
          <w:p>
            <w:pPr>
              <w:pStyle w:val="TableContents"/>
              <w:spacing w:before="0" w:after="283"/>
              <w:rPr>
                <w:sz w:val="4"/>
                <w:szCs w:val="4"/>
              </w:rPr>
            </w:pPr>
            <w:r>
              <w:rPr>
                <w:sz w:val="4"/>
                <w:szCs w:val="4"/>
              </w:rPr>
            </w:r>
          </w:p>
        </w:tc>
        <w:tc>
          <w:tcPr>
            <w:tcW w:w="298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4db90b58bb24c7b8cb599f2282c310d_10">
              <w:r>
                <w:rPr>
                  <w:rStyle w:val="InternetLink"/>
                  <w:rFonts w:ascii="Times New Roman;sans-serif" w:hAnsi="Times New Roman;sans-serif"/>
                  <w:b/>
                  <w:color w:val="0000FF"/>
                  <w:sz w:val="20"/>
                  <w:u w:val="single"/>
                </w:rPr>
                <w:t>PART 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3">
              <w:r>
                <w:rPr>
                  <w:rStyle w:val="InternetLink"/>
                  <w:rFonts w:ascii="Times New Roman;sans-serif" w:hAnsi="Times New Roman;sans-serif"/>
                  <w:b w:val="false"/>
                  <w:color w:val="0000FF"/>
                  <w:sz w:val="20"/>
                  <w:u w:val="single"/>
                </w:rPr>
                <w:t>Business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3">
              <w:r>
                <w:rPr>
                  <w:rStyle w:val="InternetLink"/>
                  <w:rFonts w:ascii="Times New Roman;sans-serif" w:hAnsi="Times New Roman;sans-serif"/>
                  <w:b w:val="false"/>
                  <w:color w:val="0000FF"/>
                  <w:sz w:val="20"/>
                  <w:u w:val="single"/>
                </w:rPr>
                <w:t>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6">
              <w:r>
                <w:rPr>
                  <w:rStyle w:val="InternetLink"/>
                  <w:rFonts w:ascii="Times New Roman;sans-serif" w:hAnsi="Times New Roman;sans-serif"/>
                  <w:b w:val="false"/>
                  <w:color w:val="0000FF"/>
                  <w:sz w:val="20"/>
                  <w:u w:val="single"/>
                </w:rPr>
                <w:t>Risk Factors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6">
              <w:r>
                <w:rPr>
                  <w:rStyle w:val="InternetLink"/>
                  <w:rFonts w:ascii="Times New Roman;sans-serif" w:hAnsi="Times New Roman;sans-serif"/>
                  <w:b w:val="false"/>
                  <w:color w:val="0000FF"/>
                  <w:sz w:val="20"/>
                  <w:u w:val="single"/>
                </w:rPr>
                <w:t>19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9">
              <w:r>
                <w:rPr>
                  <w:rStyle w:val="InternetLink"/>
                  <w:rFonts w:ascii="Times New Roman;sans-serif" w:hAnsi="Times New Roman;sans-serif"/>
                  <w:b w:val="false"/>
                  <w:color w:val="0000FF"/>
                  <w:sz w:val="20"/>
                  <w:u w:val="single"/>
                </w:rPr>
                <w:t>Unresolved Staff Comments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9">
              <w:r>
                <w:rPr>
                  <w:rStyle w:val="InternetLink"/>
                  <w:rFonts w:ascii="Times New Roman;sans-serif" w:hAnsi="Times New Roman;sans-serif"/>
                  <w:b w:val="false"/>
                  <w:color w:val="0000FF"/>
                  <w:sz w:val="20"/>
                  <w:u w:val="single"/>
                </w:rPr>
                <w:t>33</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2">
              <w:r>
                <w:rPr>
                  <w:rStyle w:val="InternetLink"/>
                  <w:rFonts w:ascii="Times New Roman;sans-serif" w:hAnsi="Times New Roman;sans-serif"/>
                  <w:b w:val="false"/>
                  <w:color w:val="0000FF"/>
                  <w:sz w:val="20"/>
                  <w:u w:val="single"/>
                </w:rPr>
                <w:t>Properties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22">
              <w:r>
                <w:rPr>
                  <w:rStyle w:val="InternetLink"/>
                  <w:rFonts w:ascii="Times New Roman;sans-serif" w:hAnsi="Times New Roman;sans-serif"/>
                  <w:b w:val="false"/>
                  <w:color w:val="0000FF"/>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5">
              <w:r>
                <w:rPr>
                  <w:rStyle w:val="InternetLink"/>
                  <w:rFonts w:ascii="Times New Roman;sans-serif" w:hAnsi="Times New Roman;sans-serif"/>
                  <w:b w:val="false"/>
                  <w:color w:val="0000FF"/>
                  <w:sz w:val="20"/>
                  <w:u w:val="single"/>
                </w:rPr>
                <w:t>Legal Proceedings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25">
              <w:r>
                <w:rPr>
                  <w:rStyle w:val="InternetLink"/>
                  <w:rFonts w:ascii="Times New Roman;sans-serif" w:hAnsi="Times New Roman;sans-serif"/>
                  <w:b w:val="false"/>
                  <w:color w:val="0000FF"/>
                  <w:sz w:val="20"/>
                  <w:u w:val="single"/>
                </w:rPr>
                <w:t>34</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8">
              <w:r>
                <w:rPr>
                  <w:rStyle w:val="InternetLink"/>
                  <w:rFonts w:ascii="Times New Roman;sans-serif" w:hAnsi="Times New Roman;sans-serif"/>
                  <w:b w:val="false"/>
                  <w:color w:val="0000FF"/>
                  <w:sz w:val="20"/>
                  <w:u w:val="single"/>
                </w:rPr>
                <w:t>Mine Safety Disclosures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28">
              <w:r>
                <w:rPr>
                  <w:rStyle w:val="InternetLink"/>
                  <w:rFonts w:ascii="Times New Roman;sans-serif" w:hAnsi="Times New Roman;sans-serif"/>
                  <w:b w:val="false"/>
                  <w:color w:val="0000FF"/>
                  <w:sz w:val="20"/>
                  <w:u w:val="single"/>
                </w:rPr>
                <w:t>34</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4db90b58bb24c7b8cb599f2282c310d_31">
              <w:r>
                <w:rPr>
                  <w:rStyle w:val="InternetLink"/>
                  <w:rFonts w:ascii="Times New Roman;sans-serif" w:hAnsi="Times New Roman;sans-serif"/>
                  <w:b/>
                  <w:color w:val="0000FF"/>
                  <w:sz w:val="20"/>
                  <w:u w:val="single"/>
                </w:rPr>
                <w:t>PART II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34">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34">
              <w:r>
                <w:rPr>
                  <w:rStyle w:val="InternetLink"/>
                  <w:rFonts w:ascii="Times New Roman;sans-serif" w:hAnsi="Times New Roman;sans-serif"/>
                  <w:b w:val="false"/>
                  <w:color w:val="0000FF"/>
                  <w:sz w:val="20"/>
                  <w:u w:val="single"/>
                </w:rPr>
                <w:t>35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37">
              <w:r>
                <w:rPr>
                  <w:rStyle w:val="InternetLink"/>
                  <w:rFonts w:ascii="Times New Roman;sans-serif" w:hAnsi="Times New Roman;sans-serif"/>
                  <w:b w:val="false"/>
                  <w:color w:val="0000FF"/>
                  <w:sz w:val="20"/>
                  <w:u w:val="single"/>
                </w:rPr>
                <w:t>Reserved</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37">
              <w:r>
                <w:rPr>
                  <w:rStyle w:val="InternetLink"/>
                  <w:rFonts w:ascii="Times New Roman;sans-serif" w:hAnsi="Times New Roman;sans-serif"/>
                  <w:b w:val="false"/>
                  <w:color w:val="0000FF"/>
                  <w:sz w:val="20"/>
                  <w:u w:val="single"/>
                </w:rPr>
                <w:t>36</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40">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40">
              <w:r>
                <w:rPr>
                  <w:rStyle w:val="InternetLink"/>
                  <w:rFonts w:ascii="Times New Roman;sans-serif" w:hAnsi="Times New Roman;sans-serif"/>
                  <w:b w:val="false"/>
                  <w:color w:val="0000FF"/>
                  <w:sz w:val="20"/>
                  <w:u w:val="single"/>
                </w:rPr>
                <w:t>37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67">
              <w:r>
                <w:rPr>
                  <w:rStyle w:val="InternetLink"/>
                  <w:rFonts w:ascii="Times New Roman;sans-serif" w:hAnsi="Times New Roman;sans-serif"/>
                  <w:b w:val="false"/>
                  <w:color w:val="0000FF"/>
                  <w:sz w:val="20"/>
                  <w:u w:val="single"/>
                </w:rPr>
                <w:t>Quantitative and Qualitative Disclosures About Market Risk</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67">
              <w:r>
                <w:rPr>
                  <w:rStyle w:val="InternetLink"/>
                  <w:rFonts w:ascii="Times New Roman;sans-serif" w:hAnsi="Times New Roman;sans-serif"/>
                  <w:b w:val="false"/>
                  <w:color w:val="0000FF"/>
                  <w:sz w:val="20"/>
                  <w:u w:val="single"/>
                </w:rPr>
                <w:t>55</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70">
              <w:r>
                <w:rPr>
                  <w:rStyle w:val="InternetLink"/>
                  <w:rFonts w:ascii="Times New Roman;sans-serif" w:hAnsi="Times New Roman;sans-serif"/>
                  <w:b w:val="false"/>
                  <w:color w:val="0000FF"/>
                  <w:sz w:val="20"/>
                  <w:u w:val="single"/>
                </w:rPr>
                <w:t>Financial Statements and Supplementary Data</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70">
              <w:r>
                <w:rPr>
                  <w:rStyle w:val="InternetLink"/>
                  <w:rFonts w:ascii="Times New Roman;sans-serif" w:hAnsi="Times New Roman;sans-serif"/>
                  <w:b w:val="false"/>
                  <w:color w:val="0000FF"/>
                  <w:sz w:val="20"/>
                  <w:u w:val="single"/>
                </w:rPr>
                <w:t>57</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69">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69">
              <w:r>
                <w:rPr>
                  <w:rStyle w:val="InternetLink"/>
                  <w:rFonts w:ascii="Times New Roman;sans-serif" w:hAnsi="Times New Roman;sans-serif"/>
                  <w:b w:val="false"/>
                  <w:color w:val="0000FF"/>
                  <w:sz w:val="20"/>
                  <w:u w:val="single"/>
                </w:rPr>
                <w:t>109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72">
              <w:r>
                <w:rPr>
                  <w:rStyle w:val="InternetLink"/>
                  <w:rFonts w:ascii="Times New Roman;sans-serif" w:hAnsi="Times New Roman;sans-serif"/>
                  <w:b w:val="false"/>
                  <w:color w:val="0000FF"/>
                  <w:sz w:val="20"/>
                  <w:u w:val="single"/>
                </w:rPr>
                <w:t>Controls and Procedures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72">
              <w:r>
                <w:rPr>
                  <w:rStyle w:val="InternetLink"/>
                  <w:rFonts w:ascii="Times New Roman;sans-serif" w:hAnsi="Times New Roman;sans-serif"/>
                  <w:b w:val="false"/>
                  <w:color w:val="0000FF"/>
                  <w:sz w:val="20"/>
                  <w:u w:val="single"/>
                </w:rPr>
                <w:t>109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75">
              <w:r>
                <w:rPr>
                  <w:rStyle w:val="InternetLink"/>
                  <w:rFonts w:ascii="Times New Roman;sans-serif" w:hAnsi="Times New Roman;sans-serif"/>
                  <w:b w:val="false"/>
                  <w:color w:val="0000FF"/>
                  <w:sz w:val="20"/>
                  <w:u w:val="single"/>
                </w:rPr>
                <w:t>Other Information</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75">
              <w:r>
                <w:rPr>
                  <w:rStyle w:val="InternetLink"/>
                  <w:rFonts w:ascii="Times New Roman;sans-serif" w:hAnsi="Times New Roman;sans-serif"/>
                  <w:b w:val="false"/>
                  <w:color w:val="0000FF"/>
                  <w:sz w:val="20"/>
                  <w:u w:val="single"/>
                </w:rPr>
                <w:t>109</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063">
              <w:r>
                <w:rPr>
                  <w:rStyle w:val="InternetLink"/>
                  <w:rFonts w:ascii="Times New Roman;sans-serif" w:hAnsi="Times New Roman;sans-serif"/>
                  <w:b w:val="false"/>
                  <w:color w:val="0000FF"/>
                  <w:sz w:val="20"/>
                  <w:u w:val="single"/>
                </w:rPr>
                <w:t xml:space="preserve">Disclosure Regarding Foreign Jurisdictions that Prevent Inspections </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75">
              <w:r>
                <w:rPr>
                  <w:rStyle w:val="InternetLink"/>
                  <w:rFonts w:ascii="Times New Roman;sans-serif" w:hAnsi="Times New Roman;sans-serif"/>
                  <w:b w:val="false"/>
                  <w:color w:val="0000FF"/>
                  <w:sz w:val="20"/>
                  <w:u w:val="single"/>
                </w:rPr>
                <w:t>109</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4db90b58bb24c7b8cb599f2282c310d_178">
              <w:r>
                <w:rPr>
                  <w:rStyle w:val="InternetLink"/>
                  <w:rFonts w:ascii="Times New Roman;sans-serif" w:hAnsi="Times New Roman;sans-serif"/>
                  <w:b/>
                  <w:color w:val="0000FF"/>
                  <w:sz w:val="20"/>
                  <w:u w:val="single"/>
                </w:rPr>
                <w:t>PART III</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81">
              <w:r>
                <w:rPr>
                  <w:rStyle w:val="InternetLink"/>
                  <w:rFonts w:ascii="Times New Roman;sans-serif" w:hAnsi="Times New Roman;sans-serif"/>
                  <w:b w:val="false"/>
                  <w:color w:val="0000FF"/>
                  <w:sz w:val="20"/>
                  <w:u w:val="single"/>
                </w:rPr>
                <w:t>Directors, Executive Officers and Corporate Governance</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81">
              <w:r>
                <w:rPr>
                  <w:rStyle w:val="InternetLink"/>
                  <w:rFonts w:ascii="Times New Roman;sans-serif" w:hAnsi="Times New Roman;sans-serif"/>
                  <w:b w:val="false"/>
                  <w:color w:val="0000FF"/>
                  <w:sz w:val="20"/>
                  <w:u w:val="single"/>
                </w:rPr>
                <w:t>110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84">
              <w:r>
                <w:rPr>
                  <w:rStyle w:val="InternetLink"/>
                  <w:rFonts w:ascii="Times New Roman;sans-serif" w:hAnsi="Times New Roman;sans-serif"/>
                  <w:b w:val="false"/>
                  <w:color w:val="0000FF"/>
                  <w:sz w:val="20"/>
                  <w:u w:val="single"/>
                </w:rPr>
                <w:t>Executive Compensation</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84">
              <w:r>
                <w:rPr>
                  <w:rStyle w:val="InternetLink"/>
                  <w:rFonts w:ascii="Times New Roman;sans-serif" w:hAnsi="Times New Roman;sans-serif"/>
                  <w:b w:val="false"/>
                  <w:color w:val="0000FF"/>
                  <w:sz w:val="20"/>
                  <w:u w:val="single"/>
                </w:rPr>
                <w:t>110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87">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87">
              <w:r>
                <w:rPr>
                  <w:rStyle w:val="InternetLink"/>
                  <w:rFonts w:ascii="Times New Roman;sans-serif" w:hAnsi="Times New Roman;sans-serif"/>
                  <w:b w:val="false"/>
                  <w:color w:val="0000FF"/>
                  <w:sz w:val="20"/>
                  <w:u w:val="single"/>
                </w:rPr>
                <w:t>110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90">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90">
              <w:r>
                <w:rPr>
                  <w:rStyle w:val="InternetLink"/>
                  <w:rFonts w:ascii="Times New Roman;sans-serif" w:hAnsi="Times New Roman;sans-serif"/>
                  <w:b w:val="false"/>
                  <w:color w:val="0000FF"/>
                  <w:sz w:val="20"/>
                  <w:u w:val="single"/>
                </w:rPr>
                <w:t>110</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93">
              <w:r>
                <w:rPr>
                  <w:rStyle w:val="InternetLink"/>
                  <w:rFonts w:ascii="Times New Roman;sans-serif" w:hAnsi="Times New Roman;sans-serif"/>
                  <w:b w:val="false"/>
                  <w:color w:val="0000FF"/>
                  <w:sz w:val="20"/>
                  <w:u w:val="single"/>
                </w:rPr>
                <w:t>Principal Accountant Fees and Services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93">
              <w:r>
                <w:rPr>
                  <w:rStyle w:val="InternetLink"/>
                  <w:rFonts w:ascii="Times New Roman;sans-serif" w:hAnsi="Times New Roman;sans-serif"/>
                  <w:b w:val="false"/>
                  <w:color w:val="0000FF"/>
                  <w:sz w:val="20"/>
                  <w:u w:val="single"/>
                </w:rPr>
                <w:t>110</w:t>
              </w:r>
            </w:hyperlink>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e4db90b58bb24c7b8cb599f2282c310d_196">
              <w:r>
                <w:rPr>
                  <w:rStyle w:val="InternetLink"/>
                  <w:rFonts w:ascii="Times New Roman;sans-serif" w:hAnsi="Times New Roman;sans-serif"/>
                  <w:b/>
                  <w:color w:val="0000FF"/>
                  <w:sz w:val="20"/>
                  <w:u w:val="single"/>
                </w:rPr>
                <w:t>PART IV</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99">
              <w:r>
                <w:rPr>
                  <w:rStyle w:val="InternetLink"/>
                  <w:rFonts w:ascii="Times New Roman;sans-serif" w:hAnsi="Times New Roman;sans-serif"/>
                  <w:b w:val="false"/>
                  <w:color w:val="0000FF"/>
                  <w:sz w:val="20"/>
                  <w:u w:val="single"/>
                </w:rPr>
                <w:t>Exhibits, Financial Statement Schedules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99">
              <w:r>
                <w:rPr>
                  <w:rStyle w:val="InternetLink"/>
                  <w:rFonts w:ascii="Times New Roman;sans-serif" w:hAnsi="Times New Roman;sans-serif"/>
                  <w:b w:val="false"/>
                  <w:color w:val="0000FF"/>
                  <w:sz w:val="20"/>
                  <w:u w:val="single"/>
                </w:rPr>
                <w:t>111</w:t>
              </w:r>
            </w:hyperlink>
          </w:p>
        </w:tc>
      </w:tr>
      <w:tr>
        <w:trPr/>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9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08">
              <w:r>
                <w:rPr>
                  <w:rStyle w:val="InternetLink"/>
                  <w:rFonts w:ascii="Times New Roman;sans-serif" w:hAnsi="Times New Roman;sans-serif"/>
                  <w:b w:val="false"/>
                  <w:color w:val="0000FF"/>
                  <w:sz w:val="20"/>
                  <w:u w:val="single"/>
                </w:rPr>
                <w:t>Form 10-K Summary</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208">
              <w:r>
                <w:rPr>
                  <w:rStyle w:val="InternetLink"/>
                  <w:rFonts w:ascii="Times New Roman;sans-serif" w:hAnsi="Times New Roman;sans-serif"/>
                  <w:b w:val="false"/>
                  <w:color w:val="0000FF"/>
                  <w:sz w:val="20"/>
                  <w:u w:val="single"/>
                </w:rPr>
                <w:t>115</w:t>
              </w:r>
            </w:hyperlink>
          </w:p>
        </w:tc>
      </w:tr>
      <w:tr>
        <w:trPr/>
        <w:tc>
          <w:tcPr>
            <w:tcW w:w="9738"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211">
              <w:r>
                <w:rPr>
                  <w:rStyle w:val="InternetLink"/>
                  <w:rFonts w:ascii="Times New Roman;sans-serif" w:hAnsi="Times New Roman;sans-serif"/>
                  <w:b w:val="false"/>
                  <w:color w:val="0000FF"/>
                  <w:sz w:val="20"/>
                  <w:u w:val="single"/>
                </w:rPr>
                <w:t>Signatures</w:t>
              </w:r>
            </w:hyperlink>
          </w:p>
        </w:tc>
        <w:tc>
          <w:tcPr>
            <w:tcW w:w="467"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211">
              <w:r>
                <w:rPr>
                  <w:rStyle w:val="InternetLink"/>
                  <w:rFonts w:ascii="Times New Roman;sans-serif" w:hAnsi="Times New Roman;sans-serif"/>
                  <w:b w:val="false"/>
                  <w:color w:val="0000FF"/>
                  <w:sz w:val="20"/>
                  <w:u w:val="single"/>
                </w:rPr>
                <w:t>116</w:t>
              </w:r>
            </w:hyperlink>
          </w:p>
        </w:tc>
      </w:tr>
    </w:tbl>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 Business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Company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("Wynn Resorts," or together with its subsidiaries, "we" or the "Company") is a preeminent designer, developer, and operator of integrated resorts featuring luxury hotel rooms, high-end retail space, an array of dining and entertainment options, meeting and convention facilities, and gaming, all supported by an unparalleled focus on our guests, our people, and our community. We believe that our extensive design and operational experience across numerous gaming jurisdictions provides us with a distinct advantage over other gaming enterprises.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and Encore at Wynn Las Vegas, which we also refer to as our Las Vegas Operations. On June 23, 2019, we opened Encore Boston Harbor, an integrated resort in Everett, Massachusetts. In addition, we hold an approximately 74% interest in Wynn Interactive Ltd. ("Wynn Interactive"), which operates our digital sports betting and casino gaming business. </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website at </w:t>
      </w:r>
      <w:r>
        <w:rPr>
          <w:rFonts w:ascii="Times New Roman;sans-serif" w:hAnsi="Times New Roman;sans-serif"/>
          <w:b w:val="false"/>
          <w:color w:val="000000"/>
          <w:sz w:val="20"/>
          <w:u w:val="single"/>
        </w:rPr>
        <w:t>http://www.sec.gov</w:t>
      </w:r>
      <w:r>
        <w:rPr>
          <w:rFonts w:ascii="Times New Roman;sans-serif" w:hAnsi="Times New Roman;sans-serif"/>
          <w:b w:val="false"/>
          <w:color w:val="000000"/>
          <w:sz w:val="20"/>
        </w:rPr>
        <w:t xml:space="preserve">. Information related to the operation of the SEC's public reference room may be obtained by calling the SEC at 1-800-SEC-0330. In addition, through our corporate website at </w:t>
      </w:r>
      <w:r>
        <w:rPr>
          <w:rFonts w:ascii="Times New Roman;sans-serif" w:hAnsi="Times New Roman;sans-serif"/>
          <w:b w:val="false"/>
          <w:color w:val="000000"/>
          <w:sz w:val="20"/>
          <w:u w:val="single"/>
        </w:rPr>
        <w:t>www.wynnresorts.com</w:t>
      </w:r>
      <w:r>
        <w:rPr>
          <w:rFonts w:ascii="Times New Roman;sans-serif" w:hAnsi="Times New Roman;sans-serif"/>
          <w:b w:val="false"/>
          <w:color w:val="000000"/>
          <w:sz w:val="20"/>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with or furnish to the SEC.</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COVID-19 Update</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Macau Operations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People's Republic of China ("PRC"), Hong Kong Special Administrative Region of PRC ("Hong Kong") and Taiwan involving COVID-19 testing, among other things, and the suspension or reduced accessibility of transportation to and from Macau. Beginning in June 2020, certain restrictions and conditions have eased to allow for visitation to Macau as some regions continue to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Given the evolving conditions created by and in response to the COVID-19 pandemic, measures that have been lifted may be reintroduced if there are adverse developments in the COVID-19 situation in Macau and other regions with access to Macau,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 and Encore Boston Harbor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COVID-19 outbreak, the Company’s Las Vegas Operations and Encore Boston Harbor each implemented COVID-19 specific protective measures, such as limiting the number of seats per table game, slot machine spacing, temperature checks, mask protection, and suspension of certain entertainment and nightlife offerings. Over the course of 2021, the Company's Las Vegas Operations and Encore Boston Harbor each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COVID-19 pandemic, measures that have been lifted may be reintroduced if there are adverse developments in the COVID-19 situation, and management cannot reasonably estimate the impact of such developments to the Company's future results of operations, cash flows, or financial condition. </w:t>
      </w:r>
    </w:p>
    <w:p>
      <w:pPr>
        <w:pStyle w:val="TextBody"/>
        <w:spacing w:before="0" w:after="0"/>
        <w:ind w:left="0" w:right="0" w:firstLine="450"/>
        <w:jc w:val="both"/>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total cash and cash equivalents, excluding restricted cash, of $2.52 billion, and had access to $835.6 million of available borrowing capacity from the WRF Revolver and $212.5 million of available borrowing capacity from the WM Cayman II Revolver (as defined and discussed further in Item 8—"Financial Statements and Supplementary Data," Note 7, "Long-Term Debt"). The Company has suspended its dividend program. Given the Company's liquidity position at December 31, 2021 and the steps the Company has taken as further described in Note 7, "Long-Term Debt," the Company believes it is able to support continuing operations and respond to the COVID-19 pandemic challenges.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the Macau government published a draft of its proposed revisions to the gaming law. 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and triggering of the Property Mandatory Prepayment Event would have a material adverse effect on the Company's business, financial condition, results of operations, and cash flows.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 Real Estate Sale and Leaseback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2022, we announced our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integrated resort. The lease agreement provides for an initial annual minimum rent of $100.0 million for an initial term of 30 years, subject to certain annual rent escalations and renewal provisions.</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Our Strategy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conceptualize, design, build, and operate our resorts to create unforgettable customer experiences across a diverse set of gaming and non-gaming amenities that attract a wide range of customer segments and generate strong financial results.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Central to our strategy is the construction of, and regular reinvestment in, world-class integrated resorts. These activities are led by our in-house design, development, and construction subsidiary and its senior management team, which has significant experience across all major design and construction disciplines. In addition, we believe superior customer service is the best marketing strategy to attract customers and drive repeat visitation to our resorts. Human resources and staff training are essential to ensuring our employees are prepared to provide the luxury service that our guests expect. We have been successful in attracting a wide range of premium guests both domestically and internationally. We leverage our marketing team across </w:t>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branch offices located in Hong Kong, Singapore, Japan, Taiwan, and Canada to connect with and build relationships with our customers. We continually evaluate our offerings and service levels, and as a result, have made and expect to continue to make enhancements and refinements to our resorts.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seek out new opportunities to develop and operate world-class integrated resorts and related businesses around the world. Overall, we believe Wynn Resorts has a demonstrated track record of developing and operating integrated resorts that stimulate local and regional economic activity, by attracting a wide range of customers (including high-net-worth international tourists), driving international tourism, raising average hotel room rates in the region, extending the average length of stay per visitor, complementing existing convention and meeting business with five-star accommodations and appropriately scaled meeting amenities, elevating service levels with the execution of five-star customer service, and stimulating city-wide investment and employment.</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Our Values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Resorts thrives in the luxury hospitality industry because of our employees, who exhibit our values at every level within the Company. Our values are embodied by the following concepts:</w:t>
      </w:r>
    </w:p>
    <w:p>
      <w:pPr>
        <w:pStyle w:val="TextBody"/>
        <w:spacing w:before="0" w:after="0"/>
        <w:ind w:left="0" w:right="0" w:firstLine="446"/>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Service-Driven</w:t>
      </w:r>
      <w:r>
        <w:rPr>
          <w:rFonts w:ascii="Times New Roman;sans-serif" w:hAnsi="Times New Roman;sans-serif"/>
          <w:b w:val="false"/>
          <w:color w:val="000000"/>
          <w:sz w:val="20"/>
        </w:rPr>
        <w:t>. We foster a culture of respect, gratitude and meticulous attention to detail that makes service to guests our life’s work.</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Excellence</w:t>
      </w:r>
      <w:r>
        <w:rPr>
          <w:rFonts w:ascii="Times New Roman;sans-serif" w:hAnsi="Times New Roman;sans-serif"/>
          <w:b w:val="false"/>
          <w:color w:val="000000"/>
          <w:sz w:val="20"/>
        </w:rPr>
        <w:t>. Our singular focus on being the best celebrates the inherent connection between employee and guest, company and community.</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Artistry</w:t>
      </w:r>
      <w:r>
        <w:rPr>
          <w:rFonts w:ascii="Times New Roman;sans-serif" w:hAnsi="Times New Roman;sans-serif"/>
          <w:b w:val="false"/>
          <w:color w:val="000000"/>
          <w:sz w:val="20"/>
        </w:rPr>
        <w:t>. We provide a collection of guest experiences that prize artistry and championship craftsmanship, resulting in Wynn Resorts being the highest ranked hotel company in the world.</w:t>
      </w:r>
    </w:p>
    <w:p>
      <w:pPr>
        <w:pStyle w:val="TextBody"/>
        <w:spacing w:lineRule="auto" w:line="288" w:before="0" w:after="0"/>
        <w:ind w:left="0" w:right="0" w:hanging="360"/>
        <w:jc w:val="both"/>
        <w:rPr/>
      </w:pPr>
      <w:r>
        <w:rPr>
          <w:color w:val="000000"/>
        </w:rPr>
        <w:t>•</w:t>
      </w:r>
      <w:r>
        <w:rPr>
          <w:rFonts w:ascii="Times New Roman;sans-serif" w:hAnsi="Times New Roman;sans-serif"/>
          <w:b w:val="false"/>
          <w:i/>
          <w:color w:val="000000"/>
          <w:sz w:val="20"/>
        </w:rPr>
        <w:t>Progressive</w:t>
      </w:r>
      <w:r>
        <w:rPr>
          <w:rFonts w:ascii="Times New Roman;sans-serif" w:hAnsi="Times New Roman;sans-serif"/>
          <w:b w:val="false"/>
          <w:color w:val="000000"/>
          <w:sz w:val="20"/>
        </w:rPr>
        <w:t>. Our commitment to innovation enables us to continue evolving what it means to create and operate world-class resort destinations.</w:t>
      </w:r>
    </w:p>
    <w:p>
      <w:pPr>
        <w:pStyle w:val="TextBody"/>
        <w:spacing w:before="0" w:after="0"/>
        <w:jc w:val="both"/>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Our Commitment to Corporate Social Responsibility</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our people, our communities, and our planet. Executing on our commitment to corporate social responsibility includes: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Creating a five-star workplace.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Fostering a diverse and inclusive workforce, and investing in our people.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Furthering social impact initiatives in our communities.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Minimizing the harm and maximizing the benefit that we have on our community and environment by utilizing and sourcing energy and materials responsibly.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Elevating our corporate governance practices to ensure they appropriately support the long-term interests of our stakeholders.</w:t>
      </w:r>
    </w:p>
    <w:p>
      <w:pPr>
        <w:pStyle w:val="TextBody"/>
        <w:spacing w:before="0" w:after="0"/>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North America, we have taken a leading role in the hospitality industry's transition to clean and sustainable sources of energy. Our investments in alternative energy, including on-site solar arrays and notably, a 160-acre solar facility in Northern Nevada, have earned us an invitation to join the U.S. Environmental Protection Agency's Green Power Partnership and a top ranking among Fortune 500 companies that voluntarily use green power to reduce air pollution and other environmental impacts associated with electricity use. We encourage our employees to avail themselves of numerous leadership and development opportunities and use our resources to assist in the education and development of the next generation of employees and leaders. We are also fully committed to supporting our communities in the Las Vegas and Boston areas, through our corporate giving program and through the Wynn Employee Foundation, which fosters charitable giving and volunteerism among Wynn employees and community partners.</w:t>
      </w:r>
    </w:p>
    <w:p>
      <w:pPr>
        <w:pStyle w:val="TextBody"/>
        <w:spacing w:before="0" w:after="0"/>
        <w:ind w:left="0" w:right="0" w:firstLine="495"/>
        <w:jc w:val="both"/>
        <w:rPr/>
      </w:pPr>
      <w:r>
        <w:rPr/>
      </w:r>
    </w:p>
    <w:p>
      <w:pPr>
        <w:pStyle w:val="TextBody"/>
        <w:spacing w:lineRule="auto" w:line="276"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Macau and across the Greater Bay Area, which is the region encompassing Macau, Hong Kong, and southern Guangdong Province, we strive to drive reinvestment in our community, encourage volunteerism, and promote responsible gaming through our Wynn Care program. Since launching this program, we have centralized our community-focused initiatives under one umbrella and meaningfully increased our involvement in various volunteer activities and community events in </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Macau, the Greater Bay Area, and beyond. We are also fully committed to supporting the sustainable development of Macau and endeavor to provide our guests with a premium experience while remaining environmentally conscious by monitoring and reducing inefficient energy and resource consumption and embracing technologies that help us to responsibly use our resources. In addition, we provide our employees in Macau with numerous professional development and training opportunities to elevate core and leadership skills. </w:t>
      </w:r>
    </w:p>
    <w:p>
      <w:pPr>
        <w:pStyle w:val="TextBody"/>
        <w:spacing w:before="0" w:after="0"/>
        <w:ind w:left="0" w:right="0" w:firstLine="450"/>
        <w:jc w:val="both"/>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Executing on Our Strategy</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Reflecting our strategic focus, our values, and our commitment to delivering world-class, five-star service within luxury integrated resorts, the Company has received the following recognition:</w:t>
      </w:r>
    </w:p>
    <w:p>
      <w:pPr>
        <w:pStyle w:val="TextBody"/>
        <w:spacing w:before="0" w:after="0"/>
        <w:rPr/>
      </w:pPr>
      <w:r>
        <w:rPr/>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Wynn Las Vegas and Encore have each earned Five-Star status on the 2021 Forbes Travel Guide ("FTG") Star Rating list and are the largest and second largest FTG Five-Star resorts in the world, respectively. Wynn Palace, originally earning FTG Five-Star status in 2018, is the third largest.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Collectively, Wynn Resorts earned more FTG Five-Star awards than any other independent hotel company in the world in 2021.</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Wynn Palace garnered seven individual FTG Five-Star awards in 2021.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Wynn Macau continues to be the only resort in the world with eight individual FTG Five-Star awards in 2021.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Wynn Macau and Wynn Palace are the most decorated integrated resort brands in Asia with fifteen FTG Five-Star awards combined.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Wynn Las Vegas and Encore collectively received seven FTG Five-Star awards in 2021, the most of any resorts in North America.</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Wynn Resorts was once again honored to be included on FORTUNE Magazine's 2021 World's Most Admired Companies list in the hotel, casino, and resort category and ranked first overall in the category of Quality of Products/ Services among all international hotel companies.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Wynn Las Vegas has received Four Green Globes, the highest certification for energy-efficient and sustainable buildings from the Green Building Initiative.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Encore Boston Harbor has been certified LEED Platinum, the U.S. Green Building Council's highest level of certification.</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Our Resorts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the operating results of our four resorts in the following segments: Wynn Palace, Wynn Macau, Las Vegas Operations, and Encore Boston Harbor. We generally experience fluctuations in revenues and cash flows from month to month, including from such factors as the timing of major conventions and holidays; however, we do not believe that our business is materially impacted by seasonality. As previously discussed, the COVID-19 pandemic has had and will likely continue to have a material impact on our resorts.</w:t>
      </w:r>
    </w:p>
    <w:p>
      <w:pPr>
        <w:pStyle w:val="TextBody"/>
        <w:spacing w:before="0" w:after="0"/>
        <w:ind w:left="0" w:right="0" w:firstLine="450"/>
        <w:jc w:val="both"/>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Wynn Palace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opened Wynn Palace in August 2016, on Macau's Cotai Strip, conveniently located minutes from both Macau International Airport and the Macau Taipa Ferry Terminal and directly adjacent to a stop serviced by Macau's light rail system. The property features approximately 424,000 square feet of casino space with up to 323 table games and 1,035 slot machines available, of which 676 are currently in use, as well as private gaming salons and sky casinos. Wynn Palace also features a luxury hotel tower with a total of 1,706 guest rooms, suites, and villas, offering a health club, spa, salon, and pool. In addition, Wynn Palace offers 14 food and beverage outlets, approximately 107,000 square feet of high-end, brand-name retail space, and approximately 37,000 square feet of meeting and convention space. The property's signature public attractions and entertainment offerings include a performance lake, a gondola ride offering convenient street-level access, and an exceptional display of Western and Asian art.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continued with the design stages of developing the second phase of expansion of Wynn Palace. We currently expect that the next phase of our development at Wynn Palace will become a unique world-class cultural destination, incorporating an array of non-gaming amenities such as event space, interactive entertainment installations, food and beverage offerings, and additional hotel rooms.</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We opened Wynn Macau in September 2006, and Encore, an expansion of Wynn Macau, in April 2010. Located in the heart of downtown Macau, the property features</w:t>
      </w:r>
      <w:r>
        <w:rPr>
          <w:color w:val="000000"/>
        </w:rPr>
        <w:t xml:space="preserve"> </w:t>
      </w:r>
      <w:r>
        <w:rPr>
          <w:rFonts w:ascii="Times New Roman;sans-serif" w:hAnsi="Times New Roman;sans-serif"/>
          <w:b w:val="false"/>
          <w:color w:val="000000"/>
          <w:sz w:val="20"/>
        </w:rPr>
        <w:t>approximately 252,000 square feet of casino space with up to 331 table games and 818 slot machines available, of which 583 are currently in use, as well as private gaming salons, sky casinos, and a poker room. Wynn Macau also features two luxury hotel towers with a total of 1,010 guest rooms and suites, offering two health clubs, two spas, a salon and a pool. In addition, Wynn Macau offers 14 food and beverage outlets, approximately 59,000 square feet of high-end, brand-name retail space, and approximately 31,000 square feet of meeting and convention space. Wynn Macau's signature attractions include a performance lake and a rotunda show featuring a Chinese zodiac-inspired ceiling along with gold "tree of prosperity" and "dragon of fortune" features.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2019, we opened the first phase of our Lakeside Casino expansion at Wynn Macau which features 44 mass market table games and a refurbished high-limit slot area. We substantially completed the second phase, which will include two new restaurants and approximately 7,000 square feet of additional retail space, in December 2019, and expect to open portions of the second phase in the near future, depending on market conditions and other factors.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We opened Wynn Las Vegas in April 2005 and Encore, an expansion of Wynn Las Vegas, in December 2008. Wynn Las Vegas is located at the intersection of the Las Vegas Strip and Sands Avenue, and occupies approximately 215 acres of land fronting the Las Vegas Strip. The property features approximately 194,000 square feet of casino space with 223 table games and 1,751 slot machines, as well as private gaming salons, a sky casino, a poker room, and a race and sports book. Wynn Las Vegas also features two luxury hotel towers with a total of 4,748 guest rooms, suites, and villas, which offers swimming pools, private cabanas, two full service spas and salons, and a wedding chapel.</w:t>
      </w:r>
      <w:r>
        <w:rPr>
          <w:color w:val="000000"/>
        </w:rPr>
        <w:t xml:space="preserve"> </w:t>
      </w:r>
      <w:r>
        <w:rPr>
          <w:rFonts w:ascii="Times New Roman;sans-serif" w:hAnsi="Times New Roman;sans-serif"/>
          <w:b w:val="false"/>
          <w:color w:val="000000"/>
          <w:sz w:val="20"/>
        </w:rPr>
        <w:t xml:space="preserve">In addition, Wynn Las Vegas offers 32 food and beverage outlets, approximately 155,000 square feet of high-end, brand-name retail space, and approximately 513,000 square feet of meeting and convention space. Our nightlife and entertainment offerings at Wynn Las Vegas include three nightclubs and a beach club, and two theaters presenting entertainment productions and various headliner entertainment acts. In October 2019, we reopened the newly reconfigured Wynn Las Vegas golf course, which had been closed since 2017. </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2019, we opened Encore Boston Harbor, an integrated resort in Everett, Massachusetts, adjacent to Boston along the Mystic River. The property features approximately 211,000 square feet of casino space with 184 table games and approximately 2,766 slot machines, private and high-limit gaming areas, and a poker room. Encore Boston Harbor also features a luxury hotel tower with a total of 671 guest rooms and suites, which offers a spa and salon. In addition, Encore Boston Harbor offers 15 food and beverage outlets and a nightclub, approximately 10,000 square feet of retail space, and approximately 71,000 square feet of meeting and convention space. Public attractions include a waterfront park, floral displays, and water shuttle service to downtown Boston. </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Future Development Projects</w:t>
      </w:r>
    </w:p>
    <w:p>
      <w:pPr>
        <w:pStyle w:val="TextBody"/>
        <w:spacing w:before="0" w:after="0"/>
        <w:ind w:left="0" w:right="0" w:firstLine="18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we, along with Al Marjan Island and RAK Hospitality, announced plans for the development and management of a destination integrated resort property on Island 3, Al Marjan Island in the Emirate of Ras al Khaimah, United Arab Emirates. The project is anticipated to be completed and open to the public in 2026, featuring an over 1,000-room hotel, a high-end shopping mall, a state-of-the-art meeting and convention facility, an exclusive spa, more than 10 restaurants and lounges, a wide array of entertainment choices, a gaming area (subject to regulatory approval), and other amenities. The planned integrated resort will leverage Wynn Resorts' expertise in developing and operating luxury hospitality destinations, and is expected to create substantial value to the local economy by accelerating tourism, creating jobs, and contributing to the growth of related sectors.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Wynn Interactive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holds an approximately 74% interest in, and consolidates, Wynn Interactive. Wynn Interactive's subsidiary operates the digital sports betting app, WynnBET, which is currently operational in New Jersey, Colorado, Michigan, Virginia,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Indiana, Arizona, Tennessee, New York, and Louisiana. The results of Wynn Interactive's operations are presented within the Wynn Interactive reportable segment.</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Market and Competition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casino resort industry is highly competitive. We compete with other high-quality resorts located near our properties on the basis of the range of amenities, level of service, price, location, entertainment, themes and size, among other factors. We seek to differentiate our integrated resorts by delivering superior design and customer service. </w:t>
      </w:r>
    </w:p>
    <w:p>
      <w:pPr>
        <w:pStyle w:val="TextBody"/>
        <w:spacing w:before="0" w:after="0"/>
        <w:ind w:left="0" w:right="0" w:firstLine="45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Macau</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Macau, located in the Greater Bay Area, is governed as a special administrative region of China and is located approximately 37 miles southwest of Hong Kong. Notwithstanding certain COVID-19 pandemic-related travel restrictions that remain in place, the journey between Macau and Hong Kong takes approximately 15 minutes by helicopter, 30 minutes by road via the Hong Kong-Zhuhai-Macau Bridge, and one hour by jetfoil ferry. Macau, which has been a casino destination for more than 50 years, consists principally of a peninsula on mainland China and two neighboring islands, Taipa and Coloane, between which the Cotai area is located. In addition to Wynn Resorts (Macau) S.A. ("Wynn Macau SA"), SJM Holdings Limited ("SJM"), Galaxy Entertainment Group Limited ("Galaxy"), Sands China Ltd. ("Sands"), Melco International Development Limited ("Melco"), and MGM China Holdings Limited ("MGM China") are permitted to operate casinos in Macau, with a total of 42 casinos currently in operation.</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Macau's gaming market is primarily dependent on tourists, typically traveling from nearby destinations in Asia. Visitation to Macau grew significantly in recent years, but has fallen meaningfully since the outbreak of COVID-19, primarily due to certain border control and other travel related restrictions put in place as a result of the COVID-19 pandemic. According to the Macau Statistics and Census Service Monthly Bulletin of Statistics, tourist arrivals in Macau decreased 80.4% in 2021 compared to 2019. Beginning in June 2020, certain restrictions and conditions have eased to allow for visitation to Macau as some regions continue to recover from the COVID-19 pandemic. Visitation to Macau increased by 30.7% from 5.9 million in 2020 to 7.7 million in 2021. Travel to Macau by citizens of the PRC requires a visa.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Macau region hosts one of the world's largest concentrations of potential gaming and tourism customers. According to Macau Statistical Information, annual gaming revenues were $36.5 billion in 2019, before falling to $7.6 billion in 2020 and $10.8 billion in 2021, respectively, due to various quarantine measures and travel and entry restrictions and conditions since the outbreak of COVID-19. We continue to believe that, despite the current challenges posed by the COVID-19 pandemic, Macau's stated goal of becoming a world-class tourism destination will continue to drive additional visitation to the market and create future opportunities for us to invest and grow.</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Macau Operations face competition primarily from the 40 other casinos located throughout Macau in addition to casinos located throughout the world, including Singapore, South Korea, the Philippines, Vietnam, Cambodia, Malaysia,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pStyle w:val="TextBody"/>
        <w:spacing w:before="0" w:after="0"/>
        <w:ind w:left="0" w:right="0" w:firstLine="27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Las Vegas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Las Vegas is the largest gaming market in the United States. The Las Vegas gaming market is highly competitive and is largely dependent on tourist arrivals and meeting and convention-related visitation.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Strip gaming revenues increased significantly during the year ended December 31, 2021 due to increases in gaming volumes and visitation to the Las Vegas Strip during the recovery from government-mandated shutdowns during 2020 and other business interruptions related to the COVID-19 pandemic. According to statistics published by the Nevada Gaming Control Board, Las Vegas Strip total gaming win was $7.1 billion in 2021, a 91.9% increase from $3.7 billion in 2020. Overall Las Vegas visitor volume was 32.2 million in 2021, a 69.5% increase from 19.0 million in 2020, but still 24.2% lower than visitor volume of 42.5 million experienced in 2019, prior to the outbreak of COVID-19. Occupancy on the Las Vegas Strip increased 25.9% to 68.0%, from 42.1% in 2020, compared with 90.4% in 2019. Convention attendees increased 27.7% in 2021, after a 74.0% decrease in 2020 during the height of the COVID-19 pandemic, following year-over-year increases of 7.1%, 3.0%, and 2.3% from 2017 to 2019, respectively.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Las Vegas Operations are located on the Las Vegas Strip and compete with other high-quality resorts and hotel casinos in Las Vegas. There are currently several large-scale integrated resort projects either recently completed or under development in the vicinity of our Las Vegas Operations, which may present increased competition in the future. Our Las Vegas Operations also compete, to some extent, with other casino resorts throughout the United States and elsewhere in the world.</w:t>
      </w:r>
    </w:p>
    <w:p>
      <w:pPr>
        <w:pStyle w:val="TextBody"/>
        <w:spacing w:before="0" w:after="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Massachusetts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Massachusetts and its neighboring states of Connecticut and Rhode Island are host to a large, established casino market that generated over $2.8 billion of gross gaming revenue in 2021, and over $2.5 billion of gross gaming revenue in 2019 before the outbreak of COVID-19. The greater Boston metropolitan area is the largest population center in New England, with a population of approximately 5 million residents.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Gaming in the New England region is characterized by a high degree of competition, based largely on location, product quality, service levels, and effectiveness in marketing to and establishing relationships with repeat visitors located in the area. Encore Boston Harbor competes with both commercial and Native American casinos located in the northeastern United States, including two Native American casinos in Connecticut, two casinos in Rhode Island, and MGM Springfield in Massachusetts. Differences in regulatory landscapes across state borders may impact our ability to compete with other casinos in the region. For example, some casino operators in the region may pay lower gaming taxes, or may be permitted to offer gaming amenities we are currently unable to offer at Encore Boston Harbor. We also face competition, to a lesser degree, from operations in the region which offer other forms of legalized gaming and related recreation and leisure facilities, such as state lotteries, horse racing, online gaming, and sports betting.</w:t>
      </w:r>
    </w:p>
    <w:p>
      <w:pPr>
        <w:pStyle w:val="TextBody"/>
        <w:spacing w:before="0" w:after="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Digital Sports Betting and Casino Gaming</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Wynn Interactive operates within the digital casino and sports betting industry. The global gaming industry includes a wide array of products from lotteries to bingo, slot machines, casino games and sports betting, across land-based and online platforms. There are numerous operators and stakeholders across both the public and private sectors. Industry participants include traditional brick-and-mortar casinos, state-run lottery operators, Native American tribes, legacy digital casino operators as well as racetracks, racinos, video lottery terminals and gaming technology companies.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compete on a number of factors across our digital casino and sports betting platforms. These include, but are not limited to, our front-end online product, our back-end infrastructure, our ability to retain and monetize existing customers, re-engage prior customers and acquire new customers and our regulatory access and compliance experience.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Regulation and Licensing</w:t>
      </w:r>
    </w:p>
    <w:p>
      <w:pPr>
        <w:pStyle w:val="TextBody"/>
        <w:spacing w:before="0" w:after="0"/>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Macau</w:t>
      </w:r>
    </w:p>
    <w:p>
      <w:pPr>
        <w:pStyle w:val="TextBody"/>
        <w:spacing w:before="0" w:after="0"/>
        <w:ind w:left="0" w:right="0" w:firstLine="108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 casino concessionaire, Wynn Macau SA is subject to the regulatory control of the government of 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 the framework for the regulation of the activities of the concessionaire.</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applicable taxes, according to the rate in effect as set by the government, from any commissions paid to gaming promoters. The withholding rate may be adjusted from time to time.</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concession agreement between Wynn Macau SA and the Macau government required Wynn Macau SA to construct and operate one or more casino gaming properties in Macau, including, at a minimum, one full-service casino resort by the end of December 2006, and to invest not less than a total of 4 billion Macau patacas (approximately $500.0 million) in Macau-related projects by June 2009. These obligations were satisfied upon the opening of Wynn Macau in 2006.</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Wynn Macau SA was also obligated to obtain, and did obtain, a 700.0 million Macau pataca (approximately $87.0 million) bank guarantee from Banco National Ultramarino, S.A. ("BNU") that was effective until March 31, 2007. The amount of this guarantee was reduced to 300 million Macau patacas (approximately $37.3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of approximately 2.3 million patacas (approximately $0.3 million).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pStyle w:val="TextBody"/>
        <w:spacing w:before="0" w:after="0"/>
        <w:ind w:left="0" w:right="0" w:firstLine="495"/>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conducts unauthorized games or activities that are excluded from its corporate purpose;</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abandons or suspends gaming operations in Macau for more than seven consecutive days (or more than 14 days in a civil year) without justification;</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defaults in payment of taxes, premiums, contributions or other required amounts;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does not comply with government inspections or supervision;</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systematically fails to observe its obligations under the concession system;</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fails to maintain bank guarantees or bonds satisfactory to the government;</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is the subject of bankruptcy proceedings or becomes insolvent;</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engages in serious fraudulent activity, damaging to the public interest; or</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repeatedly and seriously violates applicable gaming laws.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gaming-related equipment pertaining to the gaming operations of Wynn Macau SA will be transferred to the government without compensation. In addition, the government of Macau may, in the public interest, unilaterally terminate the concession at any time, in which case Wynn Macau SA would be entitled to reasonable compensation.</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18, 2022, the Macau government published a draft bill on gaming law amendments, according to which up to six gaming concessions can be granted by public tender, with a maximum term of 10 years and a maximum three-year extension possible under certain circumstances. No subconcessions would be permitted. The draft bill is subject to the consideration and approval by the Legislative Assembly of Macau. The Macau government has publicly commented that it is studying the process by which gaming concessions and subconcessions may be extended, renewed or issued. The current term of our gaming concession ends on June 26, 2022. The gaming concession or subconcession held by each of SJM, MGM China, Galaxy, Sands, and Melco also end on June 26, 2022. We are monitoring developments with respect to the Macau government's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concession renewal or extension process and proposed amendments to the gaming law, and we continue to believe that our concession will be renewed or extended beyond June 26, 2022.</w:t>
      </w:r>
    </w:p>
    <w:p>
      <w:pPr>
        <w:pStyle w:val="TextBody"/>
        <w:spacing w:before="0" w:after="0"/>
        <w:ind w:left="0" w:right="0" w:firstLine="495"/>
        <w:jc w:val="both"/>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Nevada</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and operation of casino gaming facilities in Nevada are subject to the Nevada Gaming Control Act and the regulations made thereunder (collectively, the "Nevada Act"), as well as to various local ordinances. Our Las Vegas Operations are subject to the licensing and regulatory control of the Nevada Gaming Commission ("NGC"), the Nevada Gaming Control Board ("NGCB") and the Clark County Liquor and Gaming Licensing Board ("CCLGLB"). The NGC and NGCB are referred to herein collectively as the "Nevada Gaming Authorities."</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laws, regulations and supervisory procedures of the Nevada Gaming Authorities are based upon declarations of public policy. Such public policy concerns include, among other things:</w:t>
      </w:r>
    </w:p>
    <w:p>
      <w:pPr>
        <w:pStyle w:val="TextBody"/>
        <w:spacing w:before="0" w:after="0"/>
        <w:ind w:left="0" w:right="0" w:firstLine="495"/>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preventing unsavory or unsuitable persons from being directly or indirectly involved with gaming at any time or in any capacity;</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establishing and maintaining responsible accounting practices and procedures;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preventing cheating and fraudulent practices; and</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providing a source of state and local revenue through taxation and licensing fees.</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changes in applicable laws, regulations and procedures could have an adverse effect on our Las Vegas gaming operations and our financial condition and results of operations.</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subsidiary, Wynn Las Vegas, LLC, the owner and operator of Wynn Las Vegas, is licensed by the Nevada Gaming Authorities to conduct casino gaming operations, including a race book and sports pool, pari-mutuel wagering and the operation of gaming salons. It is also licensed as a manufacturer and distributor. These gaming licenses are not transferable.</w:t>
      </w:r>
    </w:p>
    <w:p>
      <w:pPr>
        <w:pStyle w:val="TextBody"/>
        <w:spacing w:before="0" w:after="0"/>
        <w:ind w:left="0" w:right="0" w:firstLine="495"/>
        <w:rPr/>
      </w:pPr>
      <w:r>
        <w:rPr/>
      </w:r>
    </w:p>
    <w:p>
      <w:pPr>
        <w:pStyle w:val="TextBody"/>
        <w:spacing w:lineRule="auto" w:line="288" w:before="0" w:after="0"/>
        <w:ind w:left="0" w:right="0" w:firstLine="495"/>
        <w:jc w:val="both"/>
        <w:rPr/>
      </w:pPr>
      <w:r>
        <w:rPr>
          <w:rFonts w:ascii="Times New Roman;sans-serif" w:hAnsi="Times New Roman;sans-serif"/>
          <w:b w:val="false"/>
          <w:color w:val="000000"/>
          <w:sz w:val="20"/>
        </w:rPr>
        <w:t>We are required to be registered as a publicly traded corporation (a "registered public company")</w:t>
      </w:r>
      <w:r>
        <w:rPr>
          <w:color w:val="000000"/>
        </w:rPr>
        <w:t xml:space="preserve"> </w:t>
      </w:r>
      <w:r>
        <w:rPr>
          <w:rFonts w:ascii="Times New Roman;sans-serif" w:hAnsi="Times New Roman;sans-serif"/>
          <w:b w:val="false"/>
          <w:color w:val="000000"/>
          <w:sz w:val="20"/>
        </w:rPr>
        <w:t>and to be found suitable by the NGC to own the equity interests of Wynn Resorts Holdings, LLC ("Wynn Resorts Holdings"). Wynn Resorts Holdings is required to be registered as an intermediary company and to be found suitable to own the equity interests of Wynn Resorts Finance, LLC</w:t>
      </w:r>
      <w:r>
        <w:rPr>
          <w:color w:val="000000"/>
        </w:rPr>
        <w:t xml:space="preserve"> </w:t>
      </w:r>
      <w:r>
        <w:rPr>
          <w:rFonts w:ascii="Times New Roman;sans-serif" w:hAnsi="Times New Roman;sans-serif"/>
          <w:b w:val="false"/>
          <w:color w:val="000000"/>
          <w:sz w:val="20"/>
        </w:rPr>
        <w:t>("Wynn Resorts Finance") (f/k/a Wynn America, LLC). Wynn Resorts Finance, LLC is required to be registered as an intermediary company and to be found suitable by the NGC to own the equity interests of Wynn America Group, LLC (“Wynn America Group”). Wynn America Group is required to be registered as an intermediary company and to be found suitable by the NGC to own the equity interests of Wynn Las Vegas Holdings, LLC ("Wynn Las Vegas Holdings"). Wynn Las Vegas Holdings is required to be registered as an intermediary company and to be</w:t>
      </w:r>
      <w:r>
        <w:rPr>
          <w:color w:val="000000"/>
        </w:rPr>
        <w:t xml:space="preserve"> </w:t>
      </w:r>
      <w:r>
        <w:rPr>
          <w:rFonts w:ascii="Times New Roman;sans-serif" w:hAnsi="Times New Roman;sans-serif"/>
          <w:b w:val="false"/>
          <w:color w:val="000000"/>
          <w:sz w:val="20"/>
        </w:rPr>
        <w:t>found suitable by the NGC to own the equity interests of Wynn Las Vegas, LLC. Wynn Resorts Holdings, Wynn Resorts Finance, Wynn America Group, and Wynn Las Vegas Holdings are referred to individually as a "registered intermediary subsidiary" and collectively as the "registered intermediary subsidiaries." We and the registered intermediary subsidiaries hold all the various registrations, approvals, permits and licenses required for Wynn Las Vegas, LLC to engage in gaming activities in Nevada.</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No person may become a member of or receive profits from Wynn Las Vegas, LLC or the registered intermediary subsidiaries without first registering (for equity ownership of 5% or less), or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Officers, directors and certain key employees of Wynn Las Vegas, LLC and the registered intermediary subsidiaries and our officers and directors who are actively and directly involved in the gaming activities of Wynn Las Vegas, LLC may be required to be licensed or found suitable by the Nevada Gaming Authorities.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76" w:before="0" w:after="0"/>
        <w:ind w:left="0" w:right="0" w:firstLine="495"/>
        <w:jc w:val="both"/>
        <w:rPr/>
      </w:pPr>
      <w:r>
        <w:rPr>
          <w:rFonts w:ascii="Times New Roman;sans-serif" w:hAnsi="Times New Roman;sans-serif"/>
          <w:b w:val="false"/>
          <w:color w:val="000000"/>
          <w:sz w:val="20"/>
        </w:rPr>
        <w:t>If the Nevada Gaming Authorities were to find an officer, director, or key employee unsuitable for licensing or to continue having a relationship with Wynn Las Vegas, LLC, the registered intermediary subsidiaries, or us, we would have to sever all relationships with the person.</w:t>
      </w:r>
      <w:r>
        <w:rPr>
          <w:color w:val="000000"/>
        </w:rPr>
        <w:t xml:space="preserve"> </w:t>
      </w:r>
      <w:r>
        <w:rPr>
          <w:rFonts w:ascii="Times New Roman;sans-serif" w:hAnsi="Times New Roman;sans-serif"/>
          <w:b w:val="false"/>
          <w:color w:val="000000"/>
          <w:sz w:val="20"/>
        </w:rPr>
        <w:t>In addition, the Nevada Gaming Authorities may require Wynn Las Vegas, LLC, the registered intermediary subsidiaries, or us to terminate the employment of any person who refuses to file appropriate applications.</w:t>
      </w:r>
      <w:r>
        <w:rPr>
          <w:color w:val="000000"/>
        </w:rPr>
        <w:t xml:space="preserve"> </w:t>
      </w:r>
      <w:r>
        <w:rPr>
          <w:rFonts w:ascii="Times New Roman;sans-serif" w:hAnsi="Times New Roman;sans-serif"/>
          <w:b w:val="false"/>
          <w:color w:val="000000"/>
          <w:sz w:val="20"/>
        </w:rPr>
        <w:t xml:space="preserve">Determinations of suitability are not subject to judicial review.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If the NGC determines that we, Wynn Las Vegas, LLC, or a registered intermediary subsidiary have violated the Nevada Act, it could limit, condition, suspend or revoke our and our intermediary subsidiary registrations and Wynn Las Vegas, LLC's gaming license. In addition, we and the persons involved could be subject to substantial fines for each separate violation of the Nevada Act at the discretion of the NGC. Further, the NGC could appoint a supervisor to operate Wynn Las Vegas and, under specified circumstances, earnings generated during the supervisor's appointment (except for the reasonable rental value of the premises) could be forfeited to Nevada. The limitation, conditioning or suspension of any of our gaming licenses and the appointment of a supervisor could, and revocation of any gaming license would, have a significant negative effect on our gaming operations.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we are required to submit detailed financial and operating reports to the NGC and provide any other information that the NGC may require. Substantially all of our material loans, leases, sales of securities and similar financing transactions must be reported to, and/or approved by, the NGC.</w:t>
      </w:r>
    </w:p>
    <w:p>
      <w:pPr>
        <w:pStyle w:val="TextBody"/>
        <w:spacing w:before="0" w:after="0"/>
        <w:ind w:left="0" w:right="0" w:firstLine="45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beneficial owner of our voting or nonvoting securities, regardless of the number of shares owned, may be required to file an application, be investigated and have that person's suitability as a beneficial owner of voting securities determined if the NGC has reason to believe that the ownership would be inconsistent with Nevada's declared public policies.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Nevada Act requires any person who acquires more than 5% of our voting securities to report the acquisition to the NGC. The Nevada Act requires beneficial owners of more than 10% of a registered company's voting securities to apply to the NGC for a finding of suitability within 30 days after the Chair of the NGCB mails the written notice requiring such filing. Under certain circumstances, an "institutional investor" as defined in the Nevada Act which acquires more than 10%, but not more than 25%, of a registered company's voting securities may apply to the NGC for a waiver of a finding of suitability if the institutional investor holds the voting securities for investment purposes only. An institutional investor that has obtained a waiver may hold more than 25% but not more than 29% of a registered company's voting securities and may, in certain circumstances, own up to 29% of the voting securities of a registered company for a limited period of time and maintain the waiver.</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NGC finds to be inconsistent with holding the registered company's voting securities for investment purposes only. Activities which are not deemed to be inconsistent with holding voting securities for investment purposes only include:</w:t>
      </w:r>
    </w:p>
    <w:p>
      <w:pPr>
        <w:pStyle w:val="TextBody"/>
        <w:spacing w:before="0" w:after="0"/>
        <w:ind w:left="0" w:right="0" w:firstLine="495"/>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voting on all matters voted on by stockholders or interest holders;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making financial and other inquiries of management of the type normally made by securities analysts for informational purposes and not to cause a change in management, policies or operations; and</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other activities that the NGC may determine to be consistent with such investment intent.</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our voting securities. The NGC has the power to require the stock certificates of any registered company to bear a legend indicating that the securities are subject to the Nevada Act. The certificates representing shares of Wynn Resorts'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common stock note that the shares are subject to a right of redemption and other restrictions set forth in Wynn Resorts' articles of incorporation and bylaws and that the shares are, or may become, subject to restrictions imposed by applicable gaming laws.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Any person who fails or refuses to apply for a finding of suitability or a license within 30 days after being ordered to do so by the NGC or by the Chair of the NGCB,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NGC may be guilty of a criminal offense. We will be subject to disciplinary action if, after we receive notice that a person is unsuitable to hold an equity interest or to have any other relationship with us, we:</w:t>
      </w:r>
    </w:p>
    <w:p>
      <w:pPr>
        <w:pStyle w:val="TextBody"/>
        <w:spacing w:before="0" w:after="0"/>
        <w:ind w:left="0" w:right="0" w:firstLine="495"/>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pay that person any dividend or interest upon any voting securities;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allow that person to exercise, directly or indirectly, any voting right held by that person relating to Wynn Resorts;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pay remuneration in any form to that person for services rendered or otherwise; or</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fail to pursue all lawful efforts to require the unsuitable person to relinquish such person's voting securities, including, if necessary, the immediate purchase of the voting securities for cash at fair market value.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NGC may, in its discretion, require the owner of any debt or similar securities of a registered public company, to file applications, be investigated and be found suitable to own the debt or other securities of the registered company if the NGC has reason to believe that such ownership would otherwise be inconsistent with Nevada's declared public policies. If the NGC decides that a person is unsuitable to own the securities, then under the Nevada Act, the registered public company can be sanctioned, including the loss of its approvals if, without the prior approval of the NGC, it</w:t>
      </w:r>
    </w:p>
    <w:p>
      <w:pPr>
        <w:pStyle w:val="TextBody"/>
        <w:spacing w:before="0" w:after="0"/>
        <w:ind w:left="0" w:right="0" w:firstLine="495"/>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pays to the unsuitable person any dividend, interest or any distribution whatsoever;</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recognizes any voting right by the unsuitable person in connection with the securities;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pays the unsuitable person remuneration in any form; or</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makes any payment to the unsuitable person by way of principal, redemption, conversion, exchange, liquidation or similar transaction.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make a public offering (debt or equity) without the prior approval of the NGC if the proceeds from the offering are intended to be used to construct, acquire or finance gaming facilities in Nevada, or to retire or extend obligations incurred for those purposes or for similar transactions. On March 28, 2019, the NGC granted Wynn Resorts prior approval, subject to certain conditions, to make public offerings for a period of three years (the "Shelf Approval"). The Shelf Approval may be rescinded for good cause without prior notice upon the issuance of an interlocutory stop order by the Chair of the NGCB.</w:t>
      </w:r>
    </w:p>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Changes in control of Wynn Resorts through merger, consolidation, stock or asset acquisitions, management or consulting agreements, or any act or conduct by a person whereby the person obtains control may not occur without the prior approval of the NGC.</w:t>
      </w:r>
      <w:r>
        <w:rPr>
          <w:color w:val="000000"/>
        </w:rPr>
        <w:t xml:space="preserve"> </w:t>
      </w:r>
      <w:r>
        <w:rPr>
          <w:rFonts w:ascii="Times New Roman;sans-serif" w:hAnsi="Times New Roman;sans-serif"/>
          <w:b w:val="false"/>
          <w:color w:val="000000"/>
          <w:sz w:val="20"/>
        </w:rPr>
        <w:t>Entities seeking to acquire control of a registered public company must satisfy the NGCB and the NGC concerning a variety of stringent standards prior to assuming control of the registered public company.</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NGC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Nevada legislature has declared that some corporate acquisitions opposed by management, repurchases of voting securities and corporate defense tactics affecting Nevada gaming licensees and registered public companies that are affiliated with the operations of Nevada gaming licensees may be harmful to stable and productive corporate gaming. The NGC has established a regulatory scheme to reduce the potential adverse effects of these business practices upon Nevada's gaming industry and to further Nevada's policy in order to:</w:t>
      </w:r>
    </w:p>
    <w:p>
      <w:pPr>
        <w:pStyle w:val="TextBody"/>
        <w:spacing w:before="0" w:after="0"/>
        <w:ind w:left="0" w:right="0" w:firstLine="495"/>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assure the financial stability of corporate gaming licensees and their affiliated companies;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preserve the beneficial aspects of conducting business in the corporate form; and</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promote a neutral environment for the orderly governance of corporate affairs.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Approvals are, in certain circumstances, required from the NGC before we can make exceptional repurchases of voting securities above its current market price and before a corporate acquisition opposed by management can be consummated. The Nevada Act also requires prior approval of a plan of recapitalization proposed by a registered company's Board of Directors in response to a tender offer made directly to its stockholders for the purpose of acquiring control.</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Nevada Act requires any person who individually or in association with others, acquires or holds any amount of any class of voting securities, or each plan sponsor of a pension or employee benefit plan that acquires or holds any amount of any class of voting securities in a registered public company with the intent to engage in an activity that necessitates an amendment to a corporate charter, bylaws, management, policies or operation of a registered public company, to engage in an activity that materially influences or affects the affairs of a registered public company, or to engage any other activity that the NGC determines is inconsistent with holding voting securities for investment purposes to, within 2 days after possession of that intent, notify the NGCB Chair and apply to the NGC for a finding of suitability within 30 days after notification to the NGCB Chair. </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monthly, quarterly or annually and are based upon a percentage of the gross revenue received; the number of gaming devices operated; or the number of table games operated. A live entertainment tax also is imposed on admission charges where live entertainment is furnished.</w:t>
      </w:r>
    </w:p>
    <w:p>
      <w:pPr>
        <w:pStyle w:val="TextBody"/>
        <w:spacing w:before="0" w:after="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Because we are involved in gaming ventures outside of Nevada, we are required to deposit with the NGCB, and thereafter maintain, a revolving fund in the amount of $10,000 to pay the expenses of investigation of the NGCB of our participation in such foreign gaming. The revolving fund is subject to increase or decrease at the discretion of the NGC. Thereafter, we are also required to comply with certain reporting requirements imposed by the Nevada Act. A licensee or registrant is also subject to disciplinary action by the NGC if it:</w:t>
      </w:r>
    </w:p>
    <w:p>
      <w:pPr>
        <w:pStyle w:val="TextBody"/>
        <w:spacing w:before="0" w:after="0"/>
        <w:ind w:left="0" w:right="0" w:firstLine="495"/>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knowingly violates any laws of the foreign jurisdiction pertaining to the foreign gaming operation;</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fails to conduct the foreign gaming operation in accordance with the standards of honesty and integrity required of Nevada gaming operations;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engages in activities or enters into associations that are harmful to the State of Nevada or its ability to collect gaming taxes and fees; or</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employs, contracts with or associates with a person in the foreign operation who has been denied a license or finding of suitability in Nevada on the ground of unsuitability.</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conduct of gaming activities and the service and sale of alcoholic beverages at Wynn Las Vegas are subject to licensing, control and regulation by the CCLGLB, which has granted Wynn Las Vegas, LLC licenses for such purposes. In addition to approving Wynn Las Vegas, LLC, the CCLGLB has the authority to approve all persons owning or controlling the equity of any entity controlling a gaming license. Certain of our officers, directors and key employees have been or may be required to file applications with the CCLGLB. Clark County gaming and liquor licenses are not transferable. The County has full power to limit, condition, suspend or revoke any license. Any disciplinary action could, and revocation would, have a substantial negative impact on our operations.</w:t>
      </w:r>
    </w:p>
    <w:p>
      <w:pPr>
        <w:pStyle w:val="TextBody"/>
        <w:spacing w:before="0" w:after="0"/>
        <w:ind w:left="0" w:right="0" w:firstLine="495"/>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Massachusetts</w:t>
      </w:r>
    </w:p>
    <w:p>
      <w:pPr>
        <w:pStyle w:val="TextBody"/>
        <w:spacing w:before="0" w:after="0"/>
        <w:ind w:left="0" w:right="0" w:firstLine="495"/>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Massachusetts Expanded Gaming Act and the regulations promulgated thereunder (collectively the "Massachusetts Act") subjects the owners and operators of gaming establishments to extensive state licensing and regulatory requirements. We are subject to the Massachusetts Act through our ownership interest in Wynn MA, LLC, ("Wynn MA") which operates Encore Boston Harbor.</w:t>
      </w:r>
    </w:p>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Massachusetts Gaming Commission ("MGC") is responsible for issuing licenses under the Massachusetts Act and assuring that licenses are not issued or held by unqualified, disqualified or unsuitable persons. The MGC, in particular its Investigations and Enforcement Bureau ("IEB"), which is a bureau within the MGC, has extensive authority to conduct background investigations of applicants and licensees, and for generally enforcing the Massachusetts Act. The MGC has the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authority to award up to three Category 1 licenses (table games and slot machines), and one Category 2 license (slot machines only), within the Commonwealth of Massachusetts to qualified applicants.</w:t>
      </w:r>
    </w:p>
    <w:p>
      <w:pPr>
        <w:pStyle w:val="TextBody"/>
        <w:spacing w:before="0" w:after="0"/>
        <w:ind w:left="0" w:right="0" w:firstLine="54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2014, the MGC designated Wynn MA the award winner of the Category 1 Greater Boston gaming license effective November 7, 2014. We, our relevant subsidiaries, and individual qualifiers required to be qualified have been found suitable by the MGC. Additional entities and key employees have been and will be required to file applications with the MGC and are or may be required to be licensed or found suitable by the MGC. A finding of suitability is comparable to licensing, and both require submission of detailed personal and financial information followed by a thorough investigation. Changes in licensed positions must be reported to the MGC.</w:t>
      </w:r>
    </w:p>
    <w:p>
      <w:pPr>
        <w:pStyle w:val="TextBody"/>
        <w:spacing w:before="0" w:after="0"/>
        <w:ind w:left="0" w:right="0" w:firstLine="54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MGC were to find an officer, director or key employee unsuitable for licensing or unsuitable to continue having a relationship with us, we would have to sever all relationships with that person. In addition, the MGC may require us to terminate the employment of any person who refuses to file appropriate applications.</w:t>
      </w:r>
    </w:p>
    <w:p>
      <w:pPr>
        <w:pStyle w:val="TextBody"/>
        <w:spacing w:before="0" w:after="0"/>
        <w:ind w:left="0" w:right="0" w:firstLine="54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license term is for 15 years, which commenced upon the MGC’s confirmation of its approval of the commencement of the operation of the gaming establishment on June 27, 2019. Wynn MA's gaming license is conditioned upon Wynn MA continuing to meet applicable licensing, registration, qualification and other regulatory requirements. The initial license fee for Category 1 licenses is $85,000,000, which Wynn MA has paid. All Category 1 and Category 2 gaming licenses are also subject to additional annual fees under the Massachusetts Act. The Commonwealth of Massachusetts also receives 25% of gross gaming revenues for Category 1 licensees.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MGC has responsibility for the continuing regulation and licensing of the licensee and its officers, directors, employees and other designated persons. The MGC retains the authority to suspend, revoke or condition a Category 1 license, or any other license issued under the Massachusetts Act, and the IEB may levy civil penalties for regulatory and other violations. All licenses issued under the Massachusetts Act are expressly deemed a revocable privilege, conditioned on the licensee's fulfillment of all conditions of licensure, compliance with applicable laws and regulations, and the licensee's continuing qualification and suitability. Among other things, the MGC is also responsible for the collection of application, license and other fees, conducting investigations of and monitoring applicants and licensees, and reviewing and ruling on complaints, and may conduct inspections of the gaming establishment premises or the licensee's records and equipment.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Massachusetts Act, the MGC may grant a gaming beverage license for the sale and distribution of alcoholic beverages for a gaming establishment. The division of gaming liquor enforcement of the Alcoholic Beverage Control Commission has the authority to enforce, regulate and control the distribution of alcoholic beverages in a gaming establishment. The MGC may revoke, suspend, refuse to renew or refuse to transfer a gaming beverage license for violations of the Massachusetts Act that pertain to the sale and distribution of alcohol consumed on the premises and the regulations adopted by the MGC. The MGC has adopted regulations for the issuance of gaming beverage licenses. These regulations and any changes in applicable laws, regulations and procedures could have significant negative effects on our future Massachusetts gaming operations and results of operations.</w:t>
      </w:r>
    </w:p>
    <w:p>
      <w:pPr>
        <w:pStyle w:val="TextBody"/>
        <w:spacing w:before="0" w:after="0"/>
        <w:ind w:left="0" w:right="0" w:firstLine="495"/>
        <w:rPr/>
      </w:pPr>
      <w:r>
        <w:rPr/>
      </w:r>
    </w:p>
    <w:p>
      <w:pPr>
        <w:pStyle w:val="TextBody"/>
        <w:spacing w:lineRule="auto" w:line="288" w:before="0" w:after="0"/>
        <w:ind w:left="0" w:right="0" w:firstLine="180"/>
        <w:rPr>
          <w:rFonts w:ascii="Times New Roman;sans-serif" w:hAnsi="Times New Roman;sans-serif"/>
          <w:b/>
          <w:color w:val="000000"/>
          <w:sz w:val="20"/>
        </w:rPr>
      </w:pPr>
      <w:r>
        <w:rPr>
          <w:rFonts w:ascii="Times New Roman;sans-serif" w:hAnsi="Times New Roman;sans-serif"/>
          <w:b/>
          <w:color w:val="000000"/>
          <w:sz w:val="20"/>
        </w:rPr>
        <w:t>Digital Sports Betting and Gaming</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partners are subject to various federal, state, and international laws and regulations that affect our digital sports betting and casino gaming businesses. The ownership, operation, and management of our digital sports betting and casino gaming business are subject to regulations of each of the jurisdictions in which we operate. Additional laws in these areas may be passed in the future, which could result in impact to the ways in which we and our partners are able to offer interactive sports betting and casino gaming in jurisdictions that permit such activities.</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Regulations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gaming regulations, we are subject to extensive local, state, federal and foreign laws and regulations in the jurisdictions in which we operate. These include, but are not limited to, laws and regulations relating to alcoholic beverages, environmental matters, employment and immigration, currency and other transactions, taxation, zoning and building codes, marketing and advertising, lending, debt collection, privacy, telemarketing, money laundering, laws and regulations administered by the Office of Foreign Assets Control, and anti-bribery laws, including the Foreign Corrupt Practices Act (the "FCPA").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Human Capital</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approximately 26,950 employees (including approximately 12,250 in Macau and 14,500 in the United States).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Diversity and inclusion are the cornerstone of our human capital management efforts. We are committed to a fair and inclusive work environment at each of our resorts. As part of this commitment, we offer diversity and inclusion training to all of our employees. 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non-union employees are all eligible to participate in the Company paid health, vision, dental, life, prescription, and long-term disability insurance plans. The Company also provides employee paid supplemental life and accident insurance plans. In the U.S., to encourage employees to keep up with routine medical care and participate in its wellness program, the Company funds a Health Reimbursement Account for participating employees. To help employees cover medical expenses pre-tax, the Company offers employees in the U.S. a Flexible Spending Account. The Company also offers defined contribution retirement plans to its eligible employees, and a non-mandatory central provident fund scheme to eligible employees in Macau which includes contributions from employees and the employer. </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collective bargaining agreement with the Culinary Workers Union, Local 226, and Bartenders Union, Local 165, which covers approximately 5,450 employees at Wynn Las Vegas, expires in July 2023. The term of the collective bargaining agreement was extended through Memoranda of Agreement ("MOA") that the Company and the Culinary and Bartenders’ Unions entered into in April 2020 and January 2021, respectively. The MOA further provided for a partial deferral of the 2020 and 2021 contractual wage increases until 2023, and allowed the Company additional flexibility in scheduling during the pandemic. In exchange, the Company agreed to a supplemental benefit contribution to provide continued health insurance coverage to employees with reduced hours. In March 2019, the table games dealers at Wynn Las Vegas voted to be represented by the United Auto Workers Union ("UAW"). Wynn Las Vegas entered into a collective bargaining agreement with the UAW effective August 28, 2021 through August 28, 2024, covering approximately 360 employees. In December 2018, employees in the horticulture and transportation departments at Wynn Las Vegas voted to be represented by the International Brotherhood of Teamsters. Wynn Las Vegas entered into a collective bargaining agreement with the Teamsters effective July 21, 2021 through July 21, 2024, covering approximately 140 employees.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as of April 2021, Encore Boston Harbor entered into a collective bargaining agreement with UNITE HERE Local 26 affiliated with UNITE HERE and International Brotherhood of Teamsters, Chauffeurs, Warehousemen &amp; Helpers, Local 25. The collective bargaining agreement covers approximately 1,300 non-gaming employees at Encore Boston Harbor, and expires in April 2023. Effective as of July 2021, Encore Boston Harbor entered into a collective bargaining agreement with Local 103, International Brotherhood of Electrical Workers, AFL-CIO. The collective bargaining agreement covers approximately 100 maintenance employees at Encore Boston Harbor, and expires in June 2024.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security officers at Encore Boston Harbor voted to be represented by the United Government Security Officers of America, Local 295 ("USGOA”). Encore Boston Harbor is in the process of negotiating an initial collective bargaining agreement with USGOA, which will cover approximately 130 employees at the facility. </w:t>
      </w:r>
    </w:p>
    <w:p>
      <w:pPr>
        <w:pStyle w:val="TextBody"/>
        <w:spacing w:before="0" w:after="0"/>
        <w:ind w:left="0" w:right="0" w:firstLine="450"/>
        <w:jc w:val="both"/>
        <w:rPr/>
      </w:pPr>
      <w:r>
        <w:rPr/>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our most important marks are our trademarks and service marks that use the name "WYNN." Wynn Resorts has registered with the U.S. Patent and Trademark Office ("PTO") a variety of WYNN-related trademarks and service marks in connection with a variety of goods and services.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pStyle w:val="TextBody"/>
        <w:spacing w:before="0" w:after="0"/>
        <w:ind w:left="0" w:right="0" w:firstLine="495"/>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Pursuant to the Surname Rights Agreement, dated August 6, 2004, Stephen A. Wynn ("Mr. Wynn") granted us our exclusive, fully paid-up, perpetual, worldwide license to use, and to own and register trademarks and service marks incorporating the "Wynn" surname for casino resorts and related businesses, together with the right to sublicense the name and marks to its affiliates. Pursuant to a separation agreement, dated February 15, 2018, by and between Mr. Wynn and the Company, if we cease to use the "Wynn" surname and trademark, we will assign all of our right, title, and interest in the "WYNN" marks to Mr. Wynn</w:t>
      </w:r>
      <w:r>
        <w:rPr>
          <w:color w:val="1F497D"/>
        </w:rPr>
        <w:t xml:space="preserve"> </w:t>
      </w:r>
      <w:r>
        <w:rPr>
          <w:rFonts w:ascii="Times New Roman;sans-serif" w:hAnsi="Times New Roman;sans-serif"/>
          <w:b w:val="false"/>
          <w:color w:val="000000"/>
          <w:sz w:val="20"/>
        </w:rPr>
        <w:t xml:space="preserve">and terminate the Surname Rights Agreement.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also registered various domain names with various domain registrars around the world. Our domain registrations extend to various foreign jurisdictions such as ".com.cn" and ".com.hk." We pursue domain related infringement on a case by case basis depending on the infringing domain in question. The information found on these websites is not a part of this Annual Report on Form 10-K or any other report we file or furnish to the SEC.</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regarding the Company's intellectual property matters, see Item 1A—"Risk Factors."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pStyle w:val="TextBody"/>
        <w:spacing w:before="0" w:after="0"/>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extensive regulation of our business and the cost of compliance or failure to comply with applicable laws and regulations;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pending or future claims and legal proceedings, regulatory or enforcement actions or probity investigations;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maintain our gaming licenses and concessions, including the renewal or extension of the concession in Macau that expires on June 26, 2022;</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key employees;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general global political and economic conditions, in the U.S. and China (including the Chinese government's ongoing anti-corruption campaign), which may impact levels of travel, leisure, and consumer spending;</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restrictions or conditions on visitation by citizens of PRC and other regions to Macau;</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the impact on the travel and leisure industry from factors such as an outbreak of an infectious disease, including the COVID-19 pandemic, public incidents of violence, riots, demonstrations, extreme weather patterns or natural disasters, military conflicts, civil unrest, and any future security alerts and/or terrorist attacks;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doing business in foreign locations such as Macau;</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maintain our customer relationships and collect and enforce gaming receivables;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dependence on a limited number of resorts and locations for all of our cash flow and our subsidiaries' ability to pay us dividends and distributions;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competition in the casino/hotel and resort industries and actions taken by our competitors, including new development and construction activities of competitors;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factors affecting the development and success of new gaming and resort properties (such as limited labor resources, government labor and gaming policies, transportation infrastructure, supply chain disruptions, cost increases, environmental regulation, and our ability to secure necessary permits and approvals);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construction risks (including disputes with and defaults by contractors and subcontractors; construction, equipment or staffing problems; shortages of materials or skilled labor; environment, health and safety issues; and unanticipated cost increases);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legalization and growth of gaming in other jurisdictions;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any violations by us of the anti-money laundering laws or Foreign Corrupt Practices Act;</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adverse incidents or adverse publicity concerning our resorts or our corporate responsibilities;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gaming laws or regulations;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changes in federal, foreign, or state tax laws or the administration of such laws;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continued compliance with all provisions in our debt agreements;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conditions precedent to funding under our credit facilities;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leverage and debt service (including sensitivity to fluctuations in interest rates);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cybersecurity risk, including cyber and physical security breaches, system failure, computer viruses, and negligent or intentional misuse by customers, company employees, or employees of third-party vendors;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ability to protect our intellectual property rights; and</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our current and future insurance coverage levels.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carefully consider the risk factors set forth below, as well as the other information contained in this Annual Report on Form 10-K, regarding matters that could have an adverse effect, including a material one, on our business, financial condition, results of operations and cash flows. Additional risks and uncertainties not currently known to us or that we currently deem to be immaterial may also have a material adverse effect on our business, financial condition, results of operations and cash flows.</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Risks Related to our Business </w:t>
      </w:r>
    </w:p>
    <w:p>
      <w:pPr>
        <w:pStyle w:val="TextBody"/>
        <w:spacing w:before="0" w:after="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The COVID-19 pandemic has had and will likely continue to have an adverse effect on our business, operations, financial condition and operating results, and the ability of our subsidiaries to pay dividends and distributions.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2020, an outbreak of a new strain of coronavirus, COVID-19, was identified and has since then spread around the world. The COVID-19 pandemic and the spread, and risk of resurgence, of COVID-19 and related variants may continue to negatively impact many aspects of our business and the ability and desire of people to travel and participate in activities at crowded indoor places, such as those we offer at our properties.</w:t>
      </w:r>
    </w:p>
    <w:p>
      <w:pPr>
        <w:pStyle w:val="TextBody"/>
        <w:spacing w:lineRule="auto" w:line="288" w:before="0" w:after="120"/>
        <w:ind w:left="0" w:right="0" w:firstLine="450"/>
        <w:jc w:val="both"/>
        <w:rPr/>
      </w:pPr>
      <w:r>
        <w:rPr>
          <w:rFonts w:ascii="Times New Roman;sans-serif" w:hAnsi="Times New Roman;sans-serif"/>
          <w:b w:val="false"/>
          <w:color w:val="000000"/>
          <w:sz w:val="20"/>
          <w:highlight w:val="white"/>
        </w:rPr>
        <w:t xml:space="preserve">In response to and as part of a continuing effort to reduce the initial spread of COVID-19, each of our properties was closed temporarily pursuant to government directives. Since reopening, we have implemented certain COVID-19 specific protective measures at each location. </w:t>
      </w:r>
      <w:r>
        <w:rPr>
          <w:rFonts w:ascii="Times New Roman;sans-serif" w:hAnsi="Times New Roman;sans-serif"/>
          <w:b w:val="false"/>
          <w:color w:val="231F20"/>
          <w:sz w:val="20"/>
        </w:rPr>
        <w:t>Although all of our properties are currently open, we cannot predict whether future closures, in full or in part, will occur. For example, in response to an increase in COVID-19 cases in Massachusetts, o</w:t>
      </w:r>
      <w:r>
        <w:rPr>
          <w:rFonts w:ascii="Times New Roman;sans-serif" w:hAnsi="Times New Roman;sans-serif"/>
          <w:b w:val="false"/>
          <w:color w:val="000000"/>
          <w:sz w:val="20"/>
          <w:highlight w:val="white"/>
        </w:rPr>
        <w:t xml:space="preserve">n November 2, 2020, the Governor of Massachusetts issued a directive limiting the operating hours of certain businesses, including restaurants and casinos, effective November 6, 2020. Encore Boston Harbor modified its hours of operation as a result of this directive, which was subsequently lifted on January 25, 2021. </w:t>
      </w:r>
    </w:p>
    <w:p>
      <w:pPr>
        <w:pStyle w:val="TextBody"/>
        <w:spacing w:lineRule="auto" w:line="276" w:before="0" w:after="120"/>
        <w:ind w:left="0" w:right="0" w:firstLine="450"/>
        <w:jc w:val="both"/>
        <w:rPr/>
      </w:pPr>
      <w:r>
        <w:rPr>
          <w:rFonts w:ascii="Times New Roman;sans-serif" w:hAnsi="Times New Roman;sans-serif"/>
          <w:b w:val="false"/>
          <w:color w:val="231F20"/>
          <w:sz w:val="20"/>
        </w:rPr>
        <w:t xml:space="preserve">Visitation to our properties and gross gaming revenues significantly decreased following the outbreak of COVID-19, driven by the strong deterrent effect of the COVID-19 pandemic on travel and social activities, broad quarantine measures, travel restrictions and advisories, including </w:t>
      </w:r>
      <w:r>
        <w:rPr>
          <w:rFonts w:ascii="Times New Roman;sans-serif" w:hAnsi="Times New Roman;sans-serif"/>
          <w:b w:val="false"/>
          <w:color w:val="000000"/>
          <w:sz w:val="20"/>
          <w:highlight w:val="white"/>
        </w:rPr>
        <w:t>recommendations by the U.S. Department of State and the Centers for Disease Control and Prevention</w:t>
      </w:r>
      <w:r>
        <w:rPr>
          <w:rFonts w:ascii="Times New Roman;sans-serif" w:hAnsi="Times New Roman;sans-serif"/>
          <w:b w:val="false"/>
          <w:color w:val="231F20"/>
          <w:sz w:val="20"/>
        </w:rPr>
        <w:t>, and in Macau, the suspension or reduced availability of the IVS, group tour scheme and other travel visas for visitors. While some of the initial protective measures and restrictions have eased since their initial implementation, certain border control, travel-related restrictions and conditions, including COVID-19 testing and other procedures remain in place in Macau. Given the evolving conditions created by and in response to the COVID-19 pandemic, we are currently unable to determine when all travel-related restrictions and conditions will be fully lifted. Measures that have been lifted or are expected to be lifted may be reintroduced if there are adverse developments in the COVID-19 situation. Moreover, once travel advisories and restrictions are fully lifted, demand for casino resorts may remain weak for a significant length of time and inbound tourism to Macau may be slow to recover. We cannot predict when, or even if, operating results at our properties in Macau will return to pre-outbreak levels.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which may adversely impact our operations or planned development projects.</w:t>
      </w:r>
    </w:p>
    <w:p>
      <w:pPr>
        <w:pStyle w:val="TextBody"/>
        <w:spacing w:lineRule="auto" w:line="288" w:before="0" w:after="0"/>
        <w:ind w:left="0" w:right="0" w:firstLine="450"/>
        <w:jc w:val="both"/>
        <w:rPr>
          <w:rFonts w:ascii="Times New Roman;sans-serif" w:hAnsi="Times New Roman;sans-serif"/>
          <w:b w:val="false"/>
          <w:color w:val="231F20"/>
          <w:sz w:val="20"/>
        </w:rPr>
      </w:pPr>
      <w:r>
        <w:rPr>
          <w:rFonts w:ascii="Times New Roman;sans-serif" w:hAnsi="Times New Roman;sans-serif"/>
          <w:b w:val="false"/>
          <w:color w:val="231F20"/>
          <w:sz w:val="20"/>
        </w:rPr>
        <w:t>Given the uncertainty around the extent and timing of the potential future spread or mitigation of COVID-19 and around the imposition or relaxation of containment measures, the impact on our results of operations, cash flows and financial condition in 2022 and potentially thereafter may be material, but cannot be reasonably estimated at this time. To the extent the COVID-19 pandemic adversely affects our business, operations, financial condition and operating results, it may also have the effect of heightening many of the other risks related to our business, including those relating to our ability to raise capital, our high level of indebtedness, our need to generate sufficient cash flows to service our indebtedness, and our ability to comply with the covenants or other restrictions contained in the agreements that govern our indebtedness. In addition, the COVID-19 pandemic has significantly increased global economic and demand uncertainty. Global recovery from the economic fallout of the COVID-19 pandemic could take many years, which could continue to adversely impact our financial condition and operations.</w:t>
      </w:r>
    </w:p>
    <w:p>
      <w:pPr>
        <w:pStyle w:val="TextBody"/>
        <w:spacing w:before="0" w:after="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Laws and regulations in the jurisdictions in which we operate can be changed or interpreted differently in the future.</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exposed to the risk of changes in laws and policies of the jurisdictions in which we operate. In addition, those laws and regulations could be interpreted differently in the future. We cannot predict the future likelihood or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val="false"/>
          <w:color w:val="000000"/>
          <w:sz w:val="20"/>
        </w:rPr>
        <w:t xml:space="preserve">outcome of legislation or referendums in jurisdictions where we operate or the impact of those changes on our business, financial condition, results of operations and cash flows. For example, on January 18, 2022, the Macau authorities published proposed </w:t>
      </w:r>
      <w:r>
        <w:rPr>
          <w:rFonts w:ascii="Times New Roman;sans-serif" w:hAnsi="Times New Roman;sans-serif"/>
          <w:b w:val="false"/>
          <w:color w:val="231F20"/>
          <w:sz w:val="20"/>
        </w:rPr>
        <w:t>amendments</w:t>
      </w:r>
      <w:r>
        <w:rPr>
          <w:color w:val="000000"/>
        </w:rPr>
        <w:t xml:space="preserve"> </w:t>
      </w:r>
      <w:r>
        <w:rPr>
          <w:rFonts w:ascii="Times New Roman;sans-serif" w:hAnsi="Times New Roman;sans-serif"/>
          <w:b w:val="false"/>
          <w:color w:val="000000"/>
          <w:sz w:val="20"/>
        </w:rPr>
        <w:t>to the Macau gaming law. These amendments contemplate, for example, the awarding of up to six gaming concessions with a term up to ten years with a maximum three-year extension possible, an increase in the minimum capital requirement applicable to concession holders to 5 billion Macau patacas (approximately $623 million), and a prohibition on revenue sharing arrangements between gaming promoters and concession holders. Until the adoption of final revisions to the Macau gaming law by the Macau authorities, we cannot predict the amendments that will ultimately be adopted and whether such amendments will have a material impact on our business, financial condition, results of operations, and cash flows.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extensive state and local regulation, and licensing and gaming authorities have significant control over our operations. The cost of compliance or failure to comply with such regulations and authorities could have a negative effect on our business, and if we fail to obtain regulatory approvals to operate in new jurisdictions, our growth prospects may be limited.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our resorts and digital sports betting and casino offerings are contingent upon our obtaining and maintaining all necessary licenses, permits, approvals, registrations, findings of suitability, orders and authorizations in the jurisdictions in which our resorts are located.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NGC may require the holder of any debt or securities that we, the registered intermediary subsidiaries, or Wynn Las Vegas, LLC issue to file applications, be investigated and be found suitable to own such debt or securities if it has reason to believe that the security ownership would be inconsistent with the declared policies of the State of Nevada.</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such unsuitable person or its affiliates are subject to redemption by Wynn Resorts. The redemption price may be paid in cash, by promissory note, or both, as required, and pursuant to the terms established by the applicable gaming authority and, if not, as Wynn Resorts elects.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gaming regulatory authorities have broad powers to request detailed financial and other information, to limit, condition, suspend or revoke a registration, gaming license or related approvals; approve changes in our operations; and levy fines or require forfeiture of assets for violations of gaming laws or regulations. Complying with gaming laws, regulations and license requirements is costly. Any change in gaming laws, regulations or licenses applicable to our business or a violation of any current or future laws or regulations applicable to our business or gaming licenses could require us to make substantial expenditures and forfeit assets, and would negatively affect our gaming operations.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adhere to the regulatory and gaming requirements in Macau could result in the revocation of our Macau Operations' concession or otherwise negatively affect its operations in Macau. Moreover, we are subject to the risk that U.S. regulators may not permit us to conduct operations in Macau in a manner consistent with the way in which we intend, or the applicable U.S. gaming authorities require us, to conduct our operations in the United States.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regulatory authorities has extensive power to license and oversee the operations of our casino resorts and digital offerings and has taken action and could take action against the Company and its related licensees, including actions that could affect the ability or terms upon which our subsidiaries hold their gaming licenses and concessions, and the suitability of the Company to continue as a stockholder of those affiliates.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our ability to grow our digital sports betting and casino business will depend on our ability to obtain and maintain regulatory approvals to offer our product offerings in a large number of jurisdictions or in heavily populated jurisdictions. If we fail to obtain and maintain regulatory approvals in large jurisdictions or in a greater number of mid-market jurisdictions, this may prevent us from expanding the footprint of our product offerings, increasing our customer base and/or generating revenues. We cannot be certain that we will be able to obtain and maintain the regulatory approvals necessary to conduct our online sports betting and online casino operations. Any failure to obtain and maintain such regulatory approvals could have a material adverse effect on Wynn Interactive’s business, financial condition, results of operations and prospects.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even if such regulatory approvals are obtained and/or maintained, certain states’ sports betting laws limit online sports betting to a finite number of retail operators, such as casinos, tribes or tracks. A “skin” is a legal authorization from a state that provides a market access opportunity for mobile operators to offer online sports betting services pursuant to a relationship with a casino, tribe or track. The entities that control those “skins,” and the numbers of “skins” available, are typically determined by a state’s sports betting law. In most of the jurisdictions in which we offer or may offer sports betting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our online casino, we currently and in the future may rely on a retail/physical casino, tribe or track to get a “skin.” These “skins” are what allows us to gain access to jurisdictions where online operators are required to have a retail relationship. We will be dependent on strategic relationships with certain retail operators in order to be able to offer our products in such states. If we cannot establish, renew or manage our relationships, our relationships could terminate and we would not be allowed to operate in those jurisdictions unless and until we enter into new relationships. As a result, Wynn Interactive’s business, financial condition and results of operations could be adversely affected.</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Ongoing investigations, litigation and other disputes could distract management and result in negative publicity and additional scrutiny from regulators.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in Item 3—"Legal Proceedings" and Item 8—"Financial Statements and Supplementary Data," Note 17, "Commitments and Contingencies," the Company is subject to various claims related to our operations. These foregoing investigations, litigation and other disputes and any additional such matters that may arise in the future, can be expensive and may divert management's attention from the operations of our businesses. The investigations, litigation and other disputes may also lead to additional scrutiny from regulators, which could lead to investigations relating to, and possibly a negative impact on, the Company's gaming licenses and the Company's ability to bid successfully for new gaming market opportunities. In addition, the actions, litigation and publicity could negatively impact our business, reputation and competitive position and could reduce demand for shares of Wynn Resorts and WML and thereby have a negative impact on the trading prices of their respective shares.</w:t>
      </w:r>
    </w:p>
    <w:p>
      <w:pPr>
        <w:pStyle w:val="TextBody"/>
        <w:spacing w:before="0" w:after="0"/>
        <w:ind w:left="0" w:right="0" w:firstLine="45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depend on the continued services of key managers and employees. If we do not retain our key personnel or attract and retain other highly skilled employees, our business will suffer.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maintain our competitive position is dependent to a large degree on the services of our senior management team. Our success depends upon our ability to attract, hire, and retain qualified operating, marketing, financial, and technical personnel in the future. Given the intense competition for qualified management personnel in our industry, we may not be able to hire or retain the required personnel. The loss of key management and operating personnel would likely have a material adverse effect on our business, prospects, financial condition, and results of operations. </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particularly sensitive to reductions in discretionary consumer spending, including as a result of economic downturns or increasing geopolitical tensions.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results have been, and are expected to continue to be, affected by the global and regional economy. Any severe or prolonged slowdown in the global or regional economy may materially and adversely affect our business, results of operations and financial condition.</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have also been heightened tensions in international relations, notably with respect to international trade, including increases in tariffs and company and industry specific restrictions. These issues, in addition to changes in national security policies and geopolitical issues, can impact the global and regional economy and impact our business in a negative fashion. Various types of restrictions have been placed by government agencies on targeted industries and companies which could potentially negatively impact the intended subject as well as other companies and persons sharing a common country of operations. These types of events have also caused significant volatility in global equity and debt capital markets which could trigger a severe contraction of liquidity in the global credit markets.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customers come from the PRC, Hong Kong and Taiwan, the economic condition of Macau and its surrounding region, in particular, affects the gaming industry in Macau and our Macau Operations. Changes in discretionary consumer spending or consumer preferences brought about by factors such as perceived or actual general economic conditions, high unemployment, perceived or actual changes in disposable consumer income and wealth, inflationary pressure, economic recession, changes in consumer confidence in the economy, fears of war and acts of terrorism could reduce customer demand for the luxury amenities and leisure activities we offer and may negatively impact our operating results.</w:t>
      </w:r>
    </w:p>
    <w:p>
      <w:pPr>
        <w:pStyle w:val="TextBody"/>
        <w:spacing w:before="0" w:after="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Demand for our products and services may be negatively impacted by strained international relations, economic disruptions, visa and travel restrictions or difficulties, anti-corruption campaigns, restrictions on international money transfers and other policies or campaigns implemented by regional governments.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amount of our gaming revenues is generated from customers arriving from the PRC, Hong Kong and Taiwan. Strained international relations, economic disruption and other similar events could negatively impact the number of visitors to our facilities and the amount they spend. In addition, policies adopted from time to time by governments, including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visa and travel restrictions or difficulties faced by our customers such as restrictions on exit visas for travelers requiring them or restrictions on visitor entry visas for the jurisdictions in which we operate, could disrupt the number of visitors to our properties from those affected places, including from the PRC, Hong Kong and Taiwan. It is not known when, or if, policies restricting visitation by PRC citizens will be put in place and such policies may be adjusted, without notice, in the future. Furthermore, anti-corruption campaigns may influence the behavior of certain of our customers and their spending patterns. Such campaigns, as well as monetary outflow policies have specifically led to tighter monetary transfer regulations in a number of areas. These policies may affect and impact the number of visitors and the amount of money they spend. The overall effect of these campaigns and monetary transfer restrictions may negatively affect our revenues and results of operations.</w:t>
      </w:r>
    </w:p>
    <w:p>
      <w:pPr>
        <w:pStyle w:val="TextBody"/>
        <w:spacing w:before="0" w:after="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is particularly sensitive to the willingness of our customers to travel to and spend time at our resorts. Acts or the threat of acts of terrorism, outbreak of infectious disease, regional political events and developments in certain countries could cause severe disruptions in air and other travel and may otherwise negatively impact tourists' willingness to visit our resorts. Such events or developments could reduce the number of visitors to our facilities, resulting in a material adverse effect on our business and financial condition, results of operations or cash flows. </w:t>
      </w:r>
    </w:p>
    <w:p>
      <w:pPr>
        <w:pStyle w:val="TextBody"/>
        <w:spacing w:lineRule="auto" w:line="276"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dependent on the willingness of our customers to travel. Only a small amount of our business is and will be generated by local residents. Most of our customers travel to reach our Las Vegas and Macau properties. Acts of terrorism or concerns over the possibility of such acts may severely disrupt domestic and international travel, which would result in a decrease in customer visits to Las Vegas and Macau, including our properties. Regional conflicts could have a similar effect on domestic and international travel. Disruptions in air or other forms of travel as a result of any terrorist act, outbreak of hostilities, escalation of war or worldwide infectious disease outbreak would have an adverse effect on our business and financial condition, results of operations and cash flows. In addition, governmental action and uncertainty resulting from global political trends and policies of major global economies, including potential barriers to travel, trade and immigration can reduce demand for hospitality products and services, including visitation to our resorts.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attack in Las Vegas on October 1, 2017 underscores the possibility that large public facilities could become the target of mass shootings or other attacks in the future. The occurrence or the possibility of attacks could cause all or portions of affected properties to be shut down for prolonged periods, resulting in a loss of income; generally reduce travel to affected areas for tourism and business or adversely affect the willingness of customers to stay in or avail themselves of the services of the affected properties; expose us to a risk of monetary claims arising from death, injury or damage to property caused by any such attack; and result in higher costs for security and insurance premiums, all of which could adversely affect our results.</w:t>
      </w:r>
    </w:p>
    <w:p>
      <w:pPr>
        <w:pStyle w:val="TextBody"/>
        <w:spacing w:before="0" w:after="0"/>
        <w:ind w:left="0" w:right="0" w:firstLine="45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Our continued success depends on our ability to maintain the reputation of our resorts.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strategy and integrated resort business model rely on positive perceptions of our resorts and the level of service we provide. Any deterioration in our reputation could have a material adverse effect on our business, results of operations and cash flows. Our reputation could be negatively impacted by our failure to deliver the superior design and customer service for which we are known or by events that are beyond our control. Our reputation may also suffer as a result of negative publicity regarding the Company or our resorts, including as a result of social media reports, regardless of the accuracy of such publicity. The continued expansion of media and social media formats has compounded the potential scope of negative publicity and has made it more difficult to control and effectively manage negative publicity.</w:t>
      </w:r>
    </w:p>
    <w:p>
      <w:pPr>
        <w:pStyle w:val="TextBody"/>
        <w:spacing w:before="0" w:after="0"/>
        <w:ind w:left="0" w:right="0" w:firstLine="45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We are entirely dependent on a limited number of resorts for all of our cash flow, which subjects us to greater risks than a gaming company with more operating properties.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entirely dependent upon our Macau Operations, Las Vegas Operations and Encore Boston Harbor for all of our operating cash flow. As a result, we are subject to a greater degree of risk than a gaming company with more operating properties or greater geographic diversification. The risks to which we have a greater degree of exposure include changes in local economic and competitive conditions; changes in local and state governmental laws and regulations, including gaming laws and regulations, and the way in which those laws and regulations are applied; natural and other disasters, including the potential effects of climate change such as severe storms, hurricanes, typhoons, rising sea levels, severe drought, or the outbreak of infectious diseases such as COVID-19; an increase in the cost of maintaining our properties; a decline in the number of visitors to Las Vegas, Macau or Boston; and a decrease in gaming and non-casino activities at our resorts. Any of these factors could negatively affect our results of operations and our ability to generate sufficient cash flow to make payments or maintain our covenants with respect to our debt.</w:t>
      </w:r>
    </w:p>
    <w:p>
      <w:pPr>
        <w:pStyle w:val="TextBody"/>
        <w:spacing w:before="0" w:after="0"/>
        <w:ind w:left="0" w:right="0" w:firstLine="270"/>
        <w:rPr/>
      </w:pPr>
      <w:r>
        <w:rPr/>
      </w:r>
    </w:p>
    <w:p>
      <w:pPr>
        <w:pStyle w:val="TextBody"/>
        <w:spacing w:before="0" w:after="0"/>
        <w:ind w:left="0" w:right="0" w:firstLine="270"/>
        <w:rPr/>
      </w:pPr>
      <w:r>
        <w:rPr/>
      </w:r>
    </w:p>
    <w:p>
      <w:pPr>
        <w:pStyle w:val="TextBody"/>
        <w:spacing w:before="0" w:after="0"/>
        <w:ind w:left="0" w:right="0" w:firstLine="27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We are a parent company and our primary source of cash is and will be distributions from our subsidiaries.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parent company with limited business operations of our own. Our main asset is the capital stock of our subsidiaries. We conduct most of our business operations through our direct and indirect subsidiaries. Accordingly, our primary sources of cash are dividends and distributions with respect to our ownership interests in our subsidiaries that are derived from the earnings and cash flow generated by our operating properties. Our subsidiaries might not generate sufficient earnings and cash flow to pay dividends or distributions in the future. For example, WML's board of directors concluded not to recommend the payment of a dividend with respect to the years ended December 31, 2021, 2020 and 2019 due to the financial impact of the COVID-19 pandemic. Currently, there is no certainty as to whether the WML board of directors will recommend a payment of dividend for 2022. If the COVID-19 pandemic continues to interrupt our gaming operations or visitation to Macau or if the outbreak escalates, it may continue to have an adverse effect on our subsidiaries' results of operations and their ability to pay dividends or distributions to us in the future.</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subsidiaries' payments to us will be contingent upon their earnings and upon other business considerations, and may be impacted by potential changes in laws and regulations. In addition, our subsidiaries' debt instruments and other agreements limit or prohibit certain payments of dividends or other distributions to us. We expect that future debt instruments for the financing of our other developments will contain similar restrictions. An inability of our subsidiaries to pay us dividends and distributions would have a significant negative effect on our liquidity.</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Our casino, hotel, convention and other facilities and offerings face intense competition, which may increase in the future.</w:t>
      </w:r>
    </w:p>
    <w:p>
      <w:pPr>
        <w:pStyle w:val="TextBody"/>
        <w:spacing w:lineRule="auto" w:line="288" w:before="0" w:after="120"/>
        <w:ind w:left="0" w:right="0" w:firstLine="450"/>
        <w:jc w:val="both"/>
        <w:rPr/>
      </w:pPr>
      <w:r>
        <w:rPr>
          <w:rFonts w:ascii="Times New Roman;sans-serif" w:hAnsi="Times New Roman;sans-serif"/>
          <w:b w:val="false"/>
          <w:i/>
          <w:color w:val="000000"/>
          <w:sz w:val="20"/>
        </w:rPr>
        <w:t xml:space="preserve">General. </w:t>
      </w:r>
      <w:r>
        <w:rPr>
          <w:rFonts w:ascii="Times New Roman;sans-serif" w:hAnsi="Times New Roman;sans-serif"/>
          <w:b w:val="false"/>
          <w:color w:val="000000"/>
          <w:sz w:val="20"/>
        </w:rPr>
        <w:t>The casino/hotel industry is highly competitive. Increased competition could result in a loss of customers which may negatively affect our cash flows and results of operations.</w:t>
      </w:r>
    </w:p>
    <w:p>
      <w:pPr>
        <w:pStyle w:val="TextBody"/>
        <w:spacing w:lineRule="auto" w:line="288" w:before="0" w:after="120"/>
        <w:ind w:left="0" w:right="0" w:firstLine="450"/>
        <w:jc w:val="both"/>
        <w:rPr/>
      </w:pPr>
      <w:r>
        <w:rPr>
          <w:rFonts w:ascii="Times New Roman;sans-serif" w:hAnsi="Times New Roman;sans-serif"/>
          <w:b w:val="false"/>
          <w:i/>
          <w:color w:val="000000"/>
          <w:sz w:val="20"/>
        </w:rPr>
        <w:t xml:space="preserve">Macau Operations. </w:t>
      </w:r>
      <w:r>
        <w:rPr>
          <w:rFonts w:ascii="Times New Roman;sans-serif" w:hAnsi="Times New Roman;sans-serif"/>
          <w:b w:val="false"/>
          <w:color w:val="000000"/>
          <w:sz w:val="20"/>
        </w:rPr>
        <w:t xml:space="preserve">There are three gaming concessions and three subconcessions authorized by the Macau government for the operation of casinos in Macau, of which we hold one of the gaming concessions. Although the Macau government has indicated that it intends to grant only six concessions when the current concessions and subconcessions terminate, if the Macau government were to allow additional competitors to operate in Macau through the grant of additional concessions or subconcessions, we would face additional competition, which could have a material adverse effect on our business, financial condition, results of operations and cash flows. Several of the current concessionaires and subconcessionaires have opened facilities in the Cotai area over the past few years, which has significantly increased gaming and non-gaming offerings in Macau, with continued development and further openings in Cotai expected in the near future.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Macau Operations face competition from casinos throughout the world, including Singapore, South Korea, the Philippines, Malaysia, Vietnam, Cambodia, Australia, Las Vegas, cruise ships in Asia that offer gaming and other casinos throughout Asia. Additionally, certain other Asian countries and regions have legalized or in the future may legalize gaming, such as Japan, Taiwan and Thailand, which could increase competition for our Macau Operations.</w:t>
      </w:r>
    </w:p>
    <w:p>
      <w:pPr>
        <w:pStyle w:val="TextBody"/>
        <w:spacing w:lineRule="auto" w:line="288" w:before="0" w:after="120"/>
        <w:ind w:left="0" w:right="0" w:firstLine="450"/>
        <w:jc w:val="both"/>
        <w:rPr/>
      </w:pPr>
      <w:r>
        <w:rPr>
          <w:rFonts w:ascii="Times New Roman;sans-serif" w:hAnsi="Times New Roman;sans-serif"/>
          <w:b w:val="false"/>
          <w:i/>
          <w:color w:val="000000"/>
          <w:sz w:val="20"/>
        </w:rPr>
        <w:t>Las Vegas Operations and Encore Boston Harbor.</w:t>
      </w:r>
      <w:r>
        <w:rPr>
          <w:color w:val="000000"/>
        </w:rPr>
        <w:t xml:space="preserve"> </w:t>
      </w:r>
      <w:r>
        <w:rPr>
          <w:rFonts w:ascii="Times New Roman;sans-serif" w:hAnsi="Times New Roman;sans-serif"/>
          <w:b w:val="false"/>
          <w:color w:val="000000"/>
          <w:sz w:val="20"/>
        </w:rPr>
        <w:t>Our Las Vegas Operations compete with other Las Vegas Strip hotels and with other hotel casinos in Las Vegas on the basis of overall atmosphere, range of amenities, level of service, price, location, entertainment, theme and size, among other factors. There are currently several large-scale integrated resort projects either recently completed or under development in the vicinity of our Las Vegas Operations, which may present increased competition in the future. 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Encore Boston Harbor competes with other casinos in the northeastern United States. Additional competition in the northeast region as a result of the upgrading or expansion of facilities by existing market participants, the entrance of new gaming participants into a market or legislative changes may harm our business. As competing properties and new markets are opened, our operating results may be negatively impacted.</w:t>
      </w:r>
    </w:p>
    <w:p>
      <w:pPr>
        <w:pStyle w:val="TextBody"/>
        <w:spacing w:lineRule="auto" w:line="288" w:before="0" w:after="0"/>
        <w:ind w:left="0" w:right="0" w:firstLine="450"/>
        <w:jc w:val="both"/>
        <w:rPr/>
      </w:pPr>
      <w:r>
        <w:rPr>
          <w:rFonts w:ascii="Times New Roman;sans-serif" w:hAnsi="Times New Roman;sans-serif"/>
          <w:b w:val="false"/>
          <w:i/>
          <w:color w:val="000000"/>
          <w:sz w:val="20"/>
        </w:rPr>
        <w:t>Wynn Interactive.</w:t>
      </w:r>
      <w:r>
        <w:rPr>
          <w:color w:val="000000"/>
        </w:rPr>
        <w:t xml:space="preserve"> </w:t>
      </w:r>
      <w:r>
        <w:rPr>
          <w:rFonts w:ascii="Times New Roman;sans-serif" w:hAnsi="Times New Roman;sans-serif"/>
          <w:b w:val="false"/>
          <w:color w:val="000000"/>
          <w:sz w:val="20"/>
        </w:rPr>
        <w:t>A number of established, well-financed companies producing online gaming and/or interactive entertainment products and services compete with our digital sports betting and casino offerings, and other well-capitalized companies may introduce competitive services. Such competitors may spend more money and time on developing and testing products and services, undertake more extensive marketing campaigns, adopt more aggressive pricing or promotional policies or otherwise develop more commercially s</w:t>
      </w:r>
      <w:r>
        <w:rPr>
          <w:rFonts w:ascii="Times New Roman;sans-serif" w:hAnsi="Times New Roman;sans-serif"/>
          <w:b w:val="false"/>
          <w:color w:val="000000"/>
          <w:sz w:val="20"/>
          <w:highlight w:val="white"/>
        </w:rPr>
        <w:t xml:space="preserve">uccessful products or services than ours, which could negatively impact our business. Our competitors may also develop products, features, or services that are similar to ours or that achieve greater market acceptance. Such competitors may also undertake more far-reaching and successful product development efforts or marketing campaigns or may adopt more aggressive pricing policies. Furthermore, new competitors, whether licensed or not, may enter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online sports betting and online casino industries. There has also been considerable consolidation among competitors in the entertainment and gaming industries and such consolidation and future consolidation could result in the formation of larger competitors with increased financial resources and altered cost structures, which may enable them to offer more competitive products, gain a larger market share, acquire our key partners or third party providers, decrease cost per user acquisition, expand offerings and broaden their geographic scope of operations. If we are not able to maintain or improve our market share, or if our offerings are not accepted by the markets in which we operate, our digital sports betting and casino business could suffer.</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business relies on premium customers. We often extend credit, and we may not be able to collect gaming receivables from our credit players or credit play may decrease. </w:t>
      </w:r>
    </w:p>
    <w:p>
      <w:pPr>
        <w:pStyle w:val="TextBody"/>
        <w:spacing w:lineRule="auto" w:line="288" w:before="0" w:after="120"/>
        <w:ind w:left="0" w:right="0" w:firstLine="45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A significant portion of our table games revenue at our resorts is attributable to the play of a limited number of premium customers. The loss or a reduction in the play of the most significant of these customers could have a material adverse effect on our business, financial condition, results of operations and cash flows. Adverse global or regional economic conditions, could reduce the frequency of visits by these customers and revenue generated from them.</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gaming activities on a credit, as well as a cash, basis. The casino credit we extend is generally unsecured and due on demand. We will extend casino credit to those customers whose level of play and financial resources, in the opinion of management, warrant such an extension. Table games players typically are extended more credit than slot players, and high-value players typically are extended more credit than customers who tend to wager lower amounts. The collectability of receivables from customers could be negatively affected by future business or economic trends or by significant events in the countries in which these customers reside. In addition, premium gaming is more volatile than other forms of gaming, and variances in win-loss results attributable to high-value gaming may have a positive or negative impact on cash flow and earnings in a particular quarter.</w:t>
      </w:r>
    </w:p>
    <w:p>
      <w:pPr>
        <w:pStyle w:val="TextBody"/>
        <w:spacing w:lineRule="auto" w:line="288" w:before="0" w:after="120"/>
        <w:ind w:left="0" w:right="0" w:firstLine="450"/>
        <w:jc w:val="both"/>
        <w:rPr/>
      </w:pPr>
      <w:r>
        <w:rPr>
          <w:rFonts w:ascii="Times New Roman;sans-serif" w:hAnsi="Times New Roman;sans-serif"/>
          <w:b w:val="false"/>
          <w:i/>
          <w:color w:val="000000"/>
          <w:sz w:val="20"/>
        </w:rPr>
        <w:t>Macau Operations.</w:t>
      </w:r>
      <w:r>
        <w:rPr>
          <w:color w:val="000000"/>
        </w:rPr>
        <w:t xml:space="preserve"> </w:t>
      </w:r>
      <w:r>
        <w:rPr>
          <w:rFonts w:ascii="Times New Roman;sans-serif" w:hAnsi="Times New Roman;sans-serif"/>
          <w:b w:val="false"/>
          <w:color w:val="000000"/>
          <w:sz w:val="20"/>
        </w:rPr>
        <w:t>Although the law in Macau permits casino operators to extend credit to gaming customers, our Macau Operations may not be able to collect all of its gaming receivables from its credit players. We expect that our Macau Operations will be able to enforce these obligations only in a limited number of jurisdictions, including Macau. To the extent our gaming customers are visitors from other jurisdictions, we may not have access to a forum in which we will be able to collect all of our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Currently, the gaming tax in Macau is calculated as a percentage of gross gaming revenue, including the face value of credit instruments issued. The gross gaming revenues calculation in Macau does not include deductions for uncollectible gaming debts. As a result, if we extend credit to our customers in Macau and are unable to collect on the related receivables from them, we remain obligated to pay taxes on our winnings from these customers regardless of whether we collect on the credit instrument.</w:t>
      </w:r>
    </w:p>
    <w:p>
      <w:pPr>
        <w:pStyle w:val="TextBody"/>
        <w:spacing w:lineRule="auto" w:line="288" w:before="0" w:after="0"/>
        <w:ind w:left="0" w:right="0" w:firstLine="450"/>
        <w:jc w:val="both"/>
        <w:rPr/>
      </w:pPr>
      <w:r>
        <w:rPr>
          <w:rFonts w:ascii="Times New Roman;sans-serif" w:hAnsi="Times New Roman;sans-serif"/>
          <w:b w:val="false"/>
          <w:i/>
          <w:color w:val="000000"/>
          <w:sz w:val="20"/>
        </w:rPr>
        <w:t>Las Vegas Operations and Encore Boston Harbor</w:t>
      </w:r>
      <w:r>
        <w:rPr>
          <w:rFonts w:ascii="Times New Roman;sans-serif" w:hAnsi="Times New Roman;sans-serif"/>
          <w:b w:val="false"/>
          <w:color w:val="000000"/>
          <w:sz w:val="20"/>
        </w:rPr>
        <w:t>. While gaming debts evidenced by a credit instrument, including what is commonly referred to as a "marker," are enforceable under the current laws of Nevada and Massachusetts,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Win rates for our gaming operations depend on a variety of factors, some of which are beyond our control.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gaming industry is characterized by an element of chance. Win rates are also affected by other factors, including players' skill and experience, the mix of games played, the financial resources of players, the spread of table limits, the volume of bets played, the amount of time played and undiscovered acts of fraud or cheating. In addition, premium gaming is more volatile than other forms of gaming, and variances in win-loss results attributable to high-end gaming may have a positive or negative impact on cash flow and earnings in a particular quarter. Our gross gaming revenues are mainly derived from the difference between our casino winnings and the casino winnings of our gaming customers. Since there is an inherent element of chance in the gaming industry, we do not have full control over our winnings or the winnings of our gaming customers.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Acts of fraud or cheating through the use of counterfeit chips, covert schemes and other tactics, possibly in collusion with our employees, may be attempted or committed by our gaming customers with the aim of increasing their winnings. Our gaming customers, visitors and employees may also commit crimes such as theft in order to obtain chips not belonging to them. We have taken measures to safeguard our interests including the implementation of systems, processes and technologies to mitigate against these risks, extensive employee training, surveillance, security and investigation operations and adoption of appropriate security features on our chips such as embedded radio frequency identification tags. Despite our efforts, we may not be successful in preventing or detecting such culpable behavior and schemes in a timely manner and the relevant insurance we have obtained may not be sufficient to cover our losses depending on the incident, which could result in losses to our gaming operations and generate negative publicity, both of which could have an adverse effect on our reputation, business, results of operations and cash flows.</w:t>
      </w:r>
    </w:p>
    <w:p>
      <w:pPr>
        <w:pStyle w:val="TextBody"/>
        <w:spacing w:before="0" w:after="0"/>
        <w:ind w:left="0" w:right="0" w:firstLine="450"/>
        <w:jc w:val="both"/>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Our new projects may not be successful. Construction projects will be subject to development and construction risks, which could have an adverse effect on our financial condition, results of operations or cash flows.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construction and regulatory risks associated with our current and future construction projects, we cannot assure you that the level of consumer demand for our casino resorts or for the type of luxury amenities that we will offer will meet our expectations. The operating results of our new projects may be materially different than the operating results of our current integrated resorts due to, among other reasons, differences in consumer and corporate spending and preferences in new geographic areas, increased competition from other markets or other developments that may be beyond our control. In addition, our new projects may be more sensitive to certain risks, including risks associated with downturns in the economy, and risks associated with disruptions of the supply chains through which we obtain construction materials and furniture, fixtures, and equipment, than the resorts we currently operate. The demands imposed by new developments on our managerial, operational and other resources may impact our operation of our existing resorts. 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our projects. If any of these issues were to occur, it could adversely affect our prospects, financial condition, or results of operations.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We could encounter higher than expected cost increases in the development of our projects.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projected development costs for our projects reflect our best estimates and the actual development costs may be higher than expected. Contingencies that have been set aside by us to cover potential cost overruns or potential delays may be insufficient to cover the full amount of such overruns or delays. If these contingencies are not sufficient to cover these costs, or if we are not able to recover damages for these delays and contingencies, we may not have the funds required to pay the excess costs and our projects may not be completed. Failure to complete our projects may negatively affect our financial condition, our results of operations and our ability to pay our debt.</w:t>
      </w:r>
    </w:p>
    <w:p>
      <w:pPr>
        <w:pStyle w:val="TextBody"/>
        <w:spacing w:before="0" w:after="0"/>
        <w:ind w:left="0" w:right="0" w:firstLine="45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Any violation of applicable Anti-Money Laundering laws, regulations or the Foreign Corrupt Practices Act or sanctions could adversely affect our business, performance, prospects, value, financial condition, and results of operations.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deal with significant amounts of cash in our operations and are subject to various jurisdictions' reporting and anti-money laundering laws and regulations. Both U.S. and Macau governmental authorities focus heavily on the gaming industry and compliance with anti-money laundering laws and regulations. From time to time, the Company receives governmental and regulatory inquiries about compliance with such laws and regulations. The Company cooperates with all such inquiries. Any violation of anti-money laundering laws or regulations could adversely affect our business, performance, prospects, value, financial condition, and results of operations.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have operations, and a significant portion of our revenue is derived outside of the United States. We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such laws and regulations. The Office of Foreign Assets Control and the Commerce Department administer and enforce economic and trade sanctions based on U.S. foreign policy and national security goals against targeted foreign states, organizations, and individuals. Failure to comply with these laws and regulations could increase our cost of operations, reduce our profits, or otherwise adversely affect our business, financial condition, and results of operations.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policies and procedures and employee training and compliance programs that we have implemented to deter prohibited practices may not be effective in prohibiting our and our affiliates' directors, employees, contractors or agents from violating or circumventing our policies and the law. If we or our affiliates, or either of our respective directors, employees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Because we own real property, we are subject to extensive environmental regulation, which creates uncertainty regarding future environmental expenditures and liabilities.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 Contamination has been identified at and in the vicinity of our site in Everett, Massachusetts. The ultimate cost of remediating contaminated sites is difficult to accurately predict and we exceeded our initial estimates. We may be required to conduct additional investigations and remediation with respect to this site. </w:t>
      </w:r>
    </w:p>
    <w:p>
      <w:pPr>
        <w:pStyle w:val="TextBody"/>
        <w:spacing w:before="0" w:after="0"/>
        <w:ind w:left="0" w:right="0" w:firstLine="45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Adverse incidents or adverse publicity concerning our resorts or our corporate responsibilities could harm our brand and reputation and negatively impact our financial results.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the value of our brand, including the perception held by our customers, business partners, other key stakeholders and the communities in which we do business, are important assets. Our business faces increasing scrutiny related to environmental, social and governance activities, and risk of damage to our reputation and the value of our brands if we fail to act responsibly in a number of areas, such as diversity and inclusion, environmental stewardship, supply chain management, sustainability, workplace conduct, human rights, philanthropy, and support for local communities. Any harm to our reputation could have a material adverse effect on our business, results of operations, and cash flows.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Compliance with changing laws and regulations may result in additional expenses and compliance risks.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Changing laws and regulations are creating uncertainty for gaming companies. These changing laws and regulations are subject to varying interpretations in many cases due to their lack of specificity, recent issuance and/or lack of guidance. As a result, their application in practice may evolve over time as new guidance is provided by regulatory and governing bodies. In addition, further regulation of casinos, financial institutions and public companies is possible. This could result in continuing uncertainty and higher costs regarding compliance matters. Due to our commitment to maintain high standards of compliance with laws and public disclosure, our efforts to comply with evolving laws, regulations and standards have resulted in and are likely to continue to result in increased general and administrative expense. In addition, we are subject to different parties' interpretation of our compliance with these new and changing laws and regulations.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We are subject to taxation by various governments and agencies. The rate of taxation could change.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taxation by various governments and agencies in the jurisdictions in which we operate. Changes in the laws and regulations related to taxation, including changes in the rates of taxation, the amount of taxes we owe and the time when income is subject to taxation, our ability to claim U.S. foreign tax credits, failure to renew our Macau dividend agreement and Macau income tax exemption on gaming profits and the imposition of foreign withholding taxes could change our overall effective rate of taxation.</w:t>
      </w:r>
    </w:p>
    <w:p>
      <w:pPr>
        <w:pStyle w:val="TextBody"/>
        <w:spacing w:before="0" w:after="0"/>
        <w:ind w:left="0" w:right="0" w:firstLine="36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System failure, information leakage and the cost of maintaining sufficient cybersecurity could adversely affect our business.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information technology and other systems (including those maintained by third 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are subject to the ever-changing risk of compromised security. These risks include cyber and physical security breaches, system failure, computer viruses, and negligent or intentional misuse by customers, company employees, or employees of third-party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Despite the security measures we currently have in place, our facilities and systems and those of our third-party service providers may be vulnerable to security breaches, acts of vandalism, phishing attacks, computer viruses, misplaced or lost data, programming or human errors and other events. Cyber-attacks are becoming increasingly more difficult to anticipate and prevent due to their rapidly evolving nature and, as a result, the technology we use to protect our systems from being breached or compromised could become outdated due to advances in computer capabilities or other technological developments.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damage our reputation and our relationships with our customers or employees, expose us to risks of litigation, significant fines and penalties and liability, result in the deterioration of our customers' and employees'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employees, customers or website visitors could harm our reputation and credibility and reduce our ability to attract and retain employees and customers. As these threats develop and grow, we may find it necessary to make significant further investments to protect data and our infrastructure, including the implementation of new computer systems or upgrades to existing systems, deployment of additional personnel and protection-related technologies, engagement of third-party consultants, and training of employees. The occurrence of any of the cyber incidents described above could have a material adverse effect on our business, results of operations and cash flows.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failure to protect the integrity and security of company employee and customer information could result in damage to reputation and/or subject us to fines, payment of damages, lawsuits or restrictions on our use or transfer of data.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uses and transmits large volumes of employee and customer data, including credit card numbers and other personal information in various information systems that we maintain in areas such as human resources outsourcing, website hosting, and various forms of electronic communications. Our customers and employees have a high expectation that we will adequately protect their personal information. Our collection and use of personal data are governed by privacy laws and regulations, and privacy law is an area that changes often and varies significantly by jurisdiction. For example, the European Union (EU)'s General Data Protection Regulation ("GDPR") requires companies to meet stringent requirements regarding the handling of personal data. The GDPR captures data processing by non-EU firms with no EU establishment as long as firms' processing relates to "offering goods or services" or the "monitoring" of individuals in the EU. In addition to governmental regulations, there are credit card industry standards or other applicable data security standards we must comply with as well.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 For example, failure to meet the GDPR requirements could result in penalties of up to four percent of worldwide revenue. Any misappropriation of confidential or personally identifiable information gathered, stored or used by us, be it intentional or accidental, could have a material impact on the operation of our business, including severely damaging our reputation and our relationships with our customers, employees and investors. Laws in the United States in this area are also developing quickly. Laws in all 50 states require businesses to provide notice to customers whose personally identifiable information has been disclosed as a result of a data breach. Some states, such as California, Virginia and Colorado, have adopted privacy laws. Such adoption may indicate a trend for further legislation across all states.</w:t>
      </w:r>
    </w:p>
    <w:p>
      <w:pPr>
        <w:pStyle w:val="TextBody"/>
        <w:spacing w:before="0" w:after="0"/>
        <w:ind w:left="0" w:right="0" w:firstLine="450"/>
        <w:jc w:val="both"/>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Our business could suffer if our computer systems and websites are disrupted or cease to operate effectively.</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dependent on our computer systems to record and process transactions and manage and operate our business, including processing payments, accounting for and reporting financial results, and managing our employees and employee benefit programs. Given the complexity of our business, it is imperative that we maintain uninterrupted operation of our computer hardware and software systems. Despite our preventative efforts, our systems are vulnerable to damage or interruption from, among other things, security breaches, computer viruses, technical malfunctions, inadequate system capacity, power outages, natural disasters, and usage errors by our employees or third-party consultants. If our information technology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systems become damaged or otherwise cease to function properly, we may have to make significant investments to repair or replace them. Additionally, confidential or sensitive data related to our customers or employees could be lost or compromised. Any material disruptions in our information technology systems could have a material adverse effect on our business, results of operations, and financial condition.</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If a third party successfully challenges our ownership of, or right to use, the Wynn-related trademarks and/or service marks, our business or results of operations could be harmed.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assets, especially the logo version of "Wynn," are among our most valuable assets. 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Some of the applications are based upon ongoing use and others are based upon a bona fide intent to use the marks in the future.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marks, in certain of the applications, based upon factors including the Company's long-term use, advertising and promotional efforts related to the marks and the level of international fame achieved by the marks, but we cannot assure you that we will be successful with the other pending applications.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There has been an increase in the international operation of fraudulent online gambling and investment websites attempting to scam and defraud members of the public. Websites offering these or similar activities and opportunities that use our names or similar names or images in likeness to ours, are doing so without our authorization and possibly unlawfully and with criminal intent. If our efforts to cause these sites to be shut down through civil action and by reporting these sites to the appropriate authorities (where applicable) are unsuccessful or not timely completed, these unauthorized activities may continue and harm our reputation and negatively affect our business. Efforts we take to acquire and protect our intellectual property rights against unauthorized use throughout the world may be costly and may not be successful in protecting and preserving the status and value of our intellectual property assets.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Labor actions and other labor problems could negatively impact our operations.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employees are represented by labor unions. From time to time, we have experienced attempts by labor organizations to organize certain of our non-union employees. These efforts have achieved some success to date. We cannot provide any assurance that we will not experience additional and successful union activity in the future. The impact of any union activity is undetermined and could have a material adverse effect on our business, financial condition, results of operations and cash flows.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Our insurance coverage may not be adequate to cover all possible losses that we could suffer, including losses resulting from terrorism, and our insurance costs may increase.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maintain a certain minimum level of insurance. Failure to satisfy these requirements could result in an event of default under these debt instruments or material agreements, which would negatively affect our business and financial condition.</w:t>
      </w:r>
    </w:p>
    <w:p>
      <w:pPr>
        <w:pStyle w:val="TextBody"/>
        <w:spacing w:before="0" w:after="0"/>
        <w:ind w:left="0" w:right="0" w:firstLine="45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Risks Associated with our Macau Operations</w:t>
      </w:r>
    </w:p>
    <w:p>
      <w:pPr>
        <w:pStyle w:val="TextBody"/>
        <w:spacing w:before="0" w:after="0"/>
        <w:ind w:left="0" w:right="0" w:firstLine="45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Our Macau Operations may be affected by adverse political and economic conditions.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Macau Operations are subject to significant political, economic and social risks inherent in doing business in an emerging market. The future success of our Macau Operations will depend on political and economic conditions in Macau and PRC. For example, fiscal decline, international relations,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laws or regulations that might impede our Macau Operations or our ability to repatriate funds.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secure an extension or renewal of our concession, or a new concession, by June 26, 2022, our business and financial condition would experience material adverse effects.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our concession agreement with the Macau government ends on June 26, 2022. Unless the term of our concession agreement is extended or renewed or we receive a new gaming concession or other right to operate gaming at our resorts in Macau, subject to any separate arrangement with the Macau government, all of our gaming operations and related equipment in Macau will be automatically transferred to the Macau government without compensation to us and we will cease to generate any revenues from these operations at the end of the term of our concession agreement. The failure to extend or renew our concession or obtain a new concession would have a material adverse effect on our results of operations.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exercise the Special Put Option, and the WM Cayman II Revolver would incur a Property Mandatory Prepayment Event. In such event, there is no certainty that we would be able to secure financing to repay the WML Senior Notes and the WM Cayman II Revolver on acceptable terms or at all. Such repayment would have a material adverse effect on our financial condition and results of operations.</w:t>
      </w:r>
    </w:p>
    <w:p>
      <w:pPr>
        <w:pStyle w:val="TextBody"/>
        <w:spacing w:before="0" w:after="0"/>
        <w:ind w:left="0" w:right="0" w:firstLine="450"/>
        <w:jc w:val="both"/>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We compete for limited labor resources in Macau and local policies may also affect our ability to employ imported labor.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operations in Macau will be affected by our success in hiring and retaining employees. We compete with a large number of casino resorts in Macau for a limited number of qualified employees. In addition, only Macau residents are eligible for the majority of positions within the casino including dealers and other gaming staff. Competition for these individuals in Macau has increased and will continue to increase as other competitors expand their operations. We seek employees from outside Macau to adequately staff our resorts where permitted and certain local policies affect our ability to import labor in certain job classifications. We coordinate with the labor and immigration authorities to ensure our labor needs are satisfied, but cannot be certain that we will be able to recruit and retain a sufficient number of qualified employees for our Macau Operations or that we will be able to obtain required work permits for those employees. If we are unable to obtain, attract, retain and train skilled employees, our ability to adequately manage and staff our existing and planned casino and resort properties in Macau could be impaired, which could have a material adverse effect on our business, financial condition, results of operations and cash flows.</w:t>
      </w:r>
    </w:p>
    <w:p>
      <w:pPr>
        <w:pStyle w:val="TextBody"/>
        <w:spacing w:before="0" w:after="0"/>
        <w:ind w:left="0" w:right="0" w:firstLine="45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smoking control legislation in Macau could have an adverse effect on our business, financial condition, results of operations and cash flows.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Macau Smoking Prevention and Tobacco Control Law, as of January 1, 2019, smoking on casino premises is only permitted in authorized segregated smoking lounges with no gaming activities and such smoking lounges are required to comply with the conditions set out in the regulations. The existing smoking legislation, and any smoking legislation intended to fully ban all smoking in casinos, may deter potential gaming customers who are smokers from frequenting casinos in Macau and disrupt the number of customers visiting or the amount of time visiting customers spend at our property, which could have a material adverse effect on our business, financial condition, results of operations and cash flows.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Transportation services, infrastructure and related facilities may need to be improved to accommodate the demand of visitors to Macau.</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services, infrastructure and related facilities within Macau and between Macau, Hong Kong and the PRC may need to be improved to accommodate the increased visitation to Macau driven by additional casino projects and attractions that are under construction and to be developed in the future as well as the opening of the Hong Kong-Zhuhai-Macau Bridge which may further strain existing transportation infrastructure. If transportation facilities to and from Macau are inadequate to meet the demands of an increased volume of gaming customers visiting Macau, the desirability of Macau as a gaming destination, as well as the results of operations of our Macau Operations, could be negatively impacted. Furthermore, construction of current and future casino and infrastructure projects, adjacent to our properties could impede access to our properties during construction and development. This may negatively impact the results of our Macau Operations.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Extreme weather conditions may have an adverse impact on our Macau Operations.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Macau's subtropical climate and location on the South China Sea are subject to extreme weather conditions including typhoons and heavy rainstorms, such as Typhoon Mangkhut in 2018 and Typhoon Hato in 2017. Unfavorable weather conditions could negatively affect the profitability of our resorts and prevent or discourage guests from traveling to Macau. Any flooding, unscheduled interruption in the technology or transportation services or interruption in the supply of public utilities may lead to a shutdown of any of our resorts in Macau. The occurrence and timing of such events cannot be predicted or controlled by us and may have a material adverse effect on our business, financial condition, results of operations, and cash flows. </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If our Macau Operations fail to comply with the concession agreement, the Macau government can terminate our concession without compensation to us, which would have a material adverse effect on our business and financial condition.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Macau government has the right to unilaterally terminate our concession in the event of our material non-compliance with the basic obligations under the concession and applicable Macau laws. The concession agreement expressly provides a non-exhaustive list of facts and circumstances under which the government of Macau may unilaterally rescind the concession agreement of our Macau Operations, including if it conducts unauthorized games or activities that are excluded from its corporate purpose; suspends gaming operations in Macau for more than seven consecutive days (or more than 14 days in a civil year) without justification; defaults in payment of taxes, premiums, contributions or other required amounts; does not comply with government inspections or supervision; systematically fails to observe its obligations under the concession system; or does not comply with directions issued by the Macau government, in particular the Macau gaming regulator; fails to maintain bank guarantees or bonds satisfactory to the government; is the subject of bankruptcy proceedings or becomes insolvent; engages in serious fraudulent activity, damaging to the public interest; or repeatedly violates applicable gaming laws.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government of Macau unilaterally rescinds the concession agreement, our Macau Operations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business and financial condition.</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Certain Nevada gaming laws apply to our gaming activities and associations outside of Nevada.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Nevada gaming laws also apply to gaming activities and associations in jurisdictions outside of Nevada. We and our subsidiaries that must be licensed to conduct gaming operations in Nevada are required to comply with certain reporting requirements concerning gaming activities and associations conducted by our subsidiaries in other jurisdictions. We and our licensed Nevada subsidiaries also will be subject to disciplinary action by the NGC if our subsidiaries operating in other jurisdictions knowingly violate any laws relating to their gaming operations; fail to conduct operations in other jurisdictions in accordance with the standards of honesty and integrity required of Nevada gaming operations; engage in any activity or enter into any association that is unsuitable for us because it poses an unreasonable threat to the control of gaming in Nevada, reflects or tends to reflect discredit or disrepute upon Nevada or gaming in Nevada, or is contrary to Nevada gaming policies; engage in any activity or enter into any association that interferes with the ability of Nevada to collect gaming taxes and fees; or employ, contract with or associate with any person in the foreign gaming operation who has been denied a license or a finding of suitability in Nevada on the ground of unsuitability, or who has been found guilty of cheating at gambling. Such disciplinary action could include suspension, conditioning, limitation or revocation of the registration, licenses or approvals held by us and our licensed Nevada subsidiaries, including Wynn Las Vegas, LLC, and the imposition of substantial fines.</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if the Nevada Gaming Control Board determines that any actual or intended activities or associations of our subsidiaries operating in other states may be prohibited pursuant to one or more of the standards described above, the Nevada Gaming Control Board can require us and our licensed Nevada subsidiaries to file an application with the NGC for a finding of suitability of the activity or association. If the NGC finds that the activity or association in the other jurisdictions unsuitable or prohibited, those subsidiaries will either be required to terminate the activity or association, or will be prohibited from undertaking the activity or association. Consequently, should the NGC find that our subsidiaries' gaming activities or associations in other jurisdictions are unsuitable, those subsidiaries may be prohibited from undertaking their planned gaming activities or associations in the other jurisdiction or be required to divest their investment in the other jurisdiction, possibly on unfavorable terms.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We have historically depended on gaming promoters to generate gaming revenue and our ability to maintain or grow our gaming revenues could be adversely affected by the termination of our agreements with gaming promoters.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gaming promoter, also known colloquially as a junket representative, is a person or entity who, for the purpose of promoting casino gaming activity, arranges customer transportation and accommodations, and provides credit in their sole discretion, food and beverage services and entertainment in exchange for commissions or other compensation from a concessionaire. As of December 31, 2021, we do not have any agreements in place with gaming promoters.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 portion of our gaming revenue in Macau that has been generated by clientele of our gaming promoters has decreased in the last several years, gaming revenue from that clientele remains important. There is intense competition among casino operators in Macau for premium customers. Our ability to maintain or grow our gaming revenues may be adversely affected by the termination of our agreements with gaming promoters and we will have to seek alternative ways of developing relationships with premium customers. Furthermore, on November 19, 2021, Macau’s Court of Final Appeal ruled that gaming concessionaires may be held jointly liable with gaming promoters for deposits made with gaming promoters. If any of our former gaming promoters violated Macau gaming laws while on our premises, the Macau government may, in its discretion, take enforcement action against us, the gaming promoter, or each concurrently, and we may be sanctioned and our reputation could be harmed. </w:t>
      </w:r>
    </w:p>
    <w:p>
      <w:pPr>
        <w:pStyle w:val="TextBody"/>
        <w:spacing w:before="0" w:after="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Unfavorable changes in currency exchange rates may increase our Macau Operations' obligations under the concession agreement and cause fluctuations in the value of our investment in Macau.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currency delineated in our Macau Operations' concession agreement with the government of Macau is the Macau pataca. The Macau pataca is linked to the Hong Kong dollar, and the two are often used interchangeably in Macau. The Hong Kong dollar is linked to the U.S. dollar and the exchange rate between these two currencies has remained relatively stable over the past several years.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Hong Kong dollar and the Macau pataca are no longer linked to the U.S. dollar, the exchange rate for these currencies may severely fluctuate. The current rate of exchange fixed by the applicable monetary authorities for these currencies may also change.</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Macau Operations' payment and expenditure obligations are in Macau patacas. We expect that most of the revenues for any casino that we operate in Macau will be in Hong Kong dollars. As a result, we are subject to foreign exchange risk with respect to the exchange rate between Macau patacas and Hong Kong dollars and the Hong Kong dollar and the U.S. dollar. Because certain debt obligations of our Macau-related entities have incurred U.S. dollar-denominated debt, fluctuations in the exchange rates of the Macau pataca or the Hong Kong dollar, in relation to the U.S. dollar, could have adverse effects on our results of operations, financial condition and ability to service our debt.</w:t>
      </w:r>
    </w:p>
    <w:p>
      <w:pPr>
        <w:pStyle w:val="TextBody"/>
        <w:spacing w:before="0" w:after="0"/>
        <w:ind w:left="0" w:right="0" w:firstLine="45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Currency exchange controls and currency export restrictions could negatively impact our Macau Operations.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Currency exchange controls and restrictions on the export of currency by certain countries may negatively impact the success of our Macau Operations. For example, there are currently existing currency exchange controls and restrictions on the export of the renminbi, the currency of the PRC. Restrictions on the export of the renminbi may impede the flow of gaming customers from the PRC to Macau, inhibit the growth of gaming in Macau and negatively impact our Macau Operations.</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Conflicts of interest may arise because certain of our directors and officers are also directors of Wynn Macau, Limited.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Limited, an indirect majority owned subsidiary of Wynn Resorts and the developer, owner and operator of Wynn Macau and Wynn Palace, listed its ordinary shares of common stock on The Stock Exchange of Hong Kong Limited in October 2009. As of December 31, 2021, Wynn Resorts owns approximately 72% of Wynn Macau, Limited's ordinary shares of common stock. As a result of Wynn Macau, Limited having stockholders who are not affiliated with us, we and certain of </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pStyle w:val="TextBody"/>
        <w:spacing w:before="0" w:after="0"/>
        <w:ind w:left="0" w:right="0" w:firstLine="450"/>
        <w:jc w:val="both"/>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Macau government has established a maximum number of gaming tables that can be operated in Macau and has limited the number of new gaming tables at new gaming areas in Macau.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a total of 323 table games at Wynn Palace and 331 at Wynn Macau approved by the Macau's DICJ. The mix of table games in operation at Wynn Palace and Wynn Macau changes from time to time as a result of marketing and operating strategies in response to changing market demand and industry competition. Failure to shift the mix of our table games in anticipation of market demands and industry trends may negatively impact our operating results. </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Share Ownership and Stockholder Matters</w:t>
      </w:r>
    </w:p>
    <w:p>
      <w:pPr>
        <w:pStyle w:val="TextBody"/>
        <w:spacing w:before="0" w:after="0"/>
        <w:ind w:left="0" w:right="0" w:firstLine="27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Certain stockholders are able to exert significant influence over our operations and future direction.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Elaine P. Wynn owned approximately 8% of our outstanding common stock. As a result, Elaine P. Wynn may be able to exert influence over all matters requiring our stockholders' approval, including the approval of significant corporate transactions. On August 3, 2018, we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date that Phil Satre no longer serves as Chair of the Board, unless earlier terminated pursuant to the circumstances described in the Cooperation Agreement.</w:t>
      </w:r>
    </w:p>
    <w:p>
      <w:pPr>
        <w:pStyle w:val="TextBody"/>
        <w:spacing w:before="0" w:after="0"/>
        <w:ind w:left="0" w:right="0" w:firstLine="450"/>
        <w:rPr/>
      </w:pPr>
      <w:r>
        <w:rPr/>
      </w:r>
    </w:p>
    <w:p>
      <w:pPr>
        <w:pStyle w:val="TextBody"/>
        <w:spacing w:lineRule="auto" w:line="288" w:before="0" w:after="120"/>
        <w:ind w:left="0" w:right="0" w:firstLine="270"/>
        <w:rPr>
          <w:rFonts w:ascii="Times New Roman;sans-serif" w:hAnsi="Times New Roman;sans-serif"/>
          <w:b/>
          <w:i/>
          <w:color w:val="000000"/>
          <w:sz w:val="20"/>
        </w:rPr>
      </w:pPr>
      <w:r>
        <w:rPr>
          <w:rFonts w:ascii="Times New Roman;sans-serif" w:hAnsi="Times New Roman;sans-serif"/>
          <w:b/>
          <w:i/>
          <w:color w:val="000000"/>
          <w:sz w:val="20"/>
        </w:rPr>
        <w:t xml:space="preserve">Our stock price may be volatile.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has been and may continue to be subject to wide fluctuations. Our stock price may fluctuate in response to a number of events and factors, such as general United States, China, and world economic and financial conditions, our own quarterly variations in operating results, increased competition, changes in financial estimates and recommendations by securities analysts, changes in applicable laws or regulations, and changes affecting the travel industry, and other events impacting our business. The stock market in general, and prices for companies in our industry in particular, has experienced extreme volatility that may be unrelated to the operating performance of a particular company. These broad market and industry fluctuations may adversely affect the price of our common stock, regardless of our operating performance.</w:t>
      </w:r>
    </w:p>
    <w:p>
      <w:pPr>
        <w:pStyle w:val="TextBody"/>
        <w:spacing w:before="0" w:after="0"/>
        <w:ind w:left="0" w:right="0" w:firstLine="27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Risks Related to our Indebtedness</w:t>
      </w:r>
    </w:p>
    <w:p>
      <w:pPr>
        <w:pStyle w:val="TextBody"/>
        <w:spacing w:before="0" w:after="0"/>
        <w:ind w:left="0" w:right="0" w:firstLine="27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We are highly leveraged and future cash flow may not be sufficient for us to meet our obligations, and we might have difficulty obtaining more financing.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a substantial amount of consolidated debt in relation to our equity. As of December 31, 2021, we had total outstanding debt of approximately $12.00 billion, which includes a portion of the funds we expect to need for the development and construction of our current projects. We may, however, incur additional indebtedness in connection with the construction of these projects. See Item 1—Business "Our Resorts." In addition, we are permitted to incur additional indebtedness if certain conditions are met, including conditions under our WM Cayman II Revolver, our WRF Credit Facilities, and our indentures in connection with other future potential development plans.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meet our payment obligations or other obligations could result in acceleration of our indebtedness, foreclosure upon our assets that serve as collateral or bankruptcy and trigger cross defaults under other agreements. Servicing our indebtedness requires a substantial portion of our cash flow from our operations and reduces the amount of available cash, if any, to fund working capital and other cash requirements or pay for other capital expenditures. We may not be able to obtain additional financing, if needed. The applicable rates with respect to a portion of the interest we pay will fluctuate with market rates and, accordingly, our interest expense will increase if market interest rates increase.</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rates of certain of our credit agreements are tied to the London Interbank Offered Rate, or LIBOR. On March 5, 2021, the United Kingdom Financial Conduct Authority announced that LIBOR would cease as a benchmark rate by June 30, 2023. Accordingly, we will need to renegotiate our credit agreements extending beyond June 30, 2023 that utilize LIBOR as a factor in determining the interest rate to replace LIBOR with a new reference rate, such as the Secured Overnight Financing Rate ("SOFR"). </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documents governing our debt facilities, subject to certain limitations, we are permitted to incur indebtedness. If we incur additional indebtedness, the risks described above will be exacerbated.</w:t>
      </w:r>
    </w:p>
    <w:p>
      <w:pPr>
        <w:pStyle w:val="TextBody"/>
        <w:spacing w:before="0" w:after="0"/>
        <w:rPr/>
      </w:pPr>
      <w:r>
        <w:rPr/>
      </w:r>
    </w:p>
    <w:p>
      <w:pPr>
        <w:pStyle w:val="TextBody"/>
        <w:spacing w:lineRule="auto" w:line="288" w:before="0" w:after="120"/>
        <w:ind w:left="0" w:right="0" w:firstLine="270"/>
        <w:jc w:val="both"/>
        <w:rPr>
          <w:rFonts w:ascii="Times New Roman;sans-serif" w:hAnsi="Times New Roman;sans-serif"/>
          <w:b/>
          <w:i/>
          <w:color w:val="000000"/>
          <w:sz w:val="20"/>
        </w:rPr>
      </w:pPr>
      <w:r>
        <w:rPr>
          <w:rFonts w:ascii="Times New Roman;sans-serif" w:hAnsi="Times New Roman;sans-serif"/>
          <w:b/>
          <w:i/>
          <w:color w:val="000000"/>
          <w:sz w:val="20"/>
        </w:rPr>
        <w:t xml:space="preserve">The agreements governing our debt facilities contain certain covenants that restrict our ability to engage in certain transactions and may impair our ability to respond to changing business and economic conditions. </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debt facilities require us to satisfy various financial covenants, which include requirements for minimum interest coverage ratios and leverage ratios pertaining to total debt to earnings before interest, tax, depreciation and amortization and a minimum earnings before interest, tax, depreciation and amortization. For more information on financial covenants we are subject to under our debt facilities, see Item 8—"Financial Statements and Supplementary Data," Note 7, "Long-Term Debt." Future indebtedness or other contracts could contain covenants more restrictive than those contained in our existing debt facilities.</w:t>
      </w:r>
    </w:p>
    <w:p>
      <w:pPr>
        <w:pStyle w:val="TextBody"/>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agreements governing our debt facilities also contain restrictions on our ability to engage in certain transactions and may limit our ability to respond to changing business and economic conditions. These restrictions include, among other things, limitations on our ability and the ability of our restricted subsidiaries to pay dividends or distributions or repurchase equity; incur additional debt; make investments; create liens on assets to secure debt; enter into transactions with affiliates; issue stock of, or member's interests in, subsidiaries; enter into sale-leaseback transactions; engage in other businesses; merge or consolidate with another company; undergo a change of control; transfer, sell or otherwise dispose of assets; issue disqualified stock; create dividend and other payment restrictions affecting subsidiaries; and designate restricted and unrestricted subsidiaries.</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comply with the terms of our outstanding facilities may be affected by general economic conditions, industry conditions and other events outside of our control. As a result, we may not be able to maintain compliance with these covenants. If our properties' operations fail to generate adequate cash flow, we may violate those covenants, causing a default under our agreements, which would materially and adversely affect our operating results and our financial condition or result in our lenders or holders of our debt taking action to enforce their security interests in our various assets or cause all outstanding amounts to be due and payable immediately.</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significant land holdings. We own or have obtained the right to use these properties. We also own or lease various other improved and unimproved properties which may be used for development projects.</w:t>
      </w:r>
    </w:p>
    <w:tbl>
      <w:tblPr>
        <w:tblW w:w="10205" w:type="dxa"/>
        <w:jc w:val="left"/>
        <w:tblInd w:w="0" w:type="dxa"/>
        <w:tblCellMar>
          <w:top w:w="28" w:type="dxa"/>
          <w:left w:w="28" w:type="dxa"/>
          <w:bottom w:w="28" w:type="dxa"/>
          <w:right w:w="28" w:type="dxa"/>
        </w:tblCellMar>
      </w:tblPr>
      <w:tblGrid>
        <w:gridCol w:w="1038"/>
        <w:gridCol w:w="904"/>
        <w:gridCol w:w="909"/>
        <w:gridCol w:w="109"/>
        <w:gridCol w:w="109"/>
        <w:gridCol w:w="109"/>
        <w:gridCol w:w="537"/>
        <w:gridCol w:w="537"/>
        <w:gridCol w:w="539"/>
        <w:gridCol w:w="109"/>
        <w:gridCol w:w="109"/>
        <w:gridCol w:w="109"/>
        <w:gridCol w:w="1524"/>
        <w:gridCol w:w="1472"/>
        <w:gridCol w:w="2091"/>
      </w:tblGrid>
      <w:tr>
        <w:trPr/>
        <w:tc>
          <w:tcPr>
            <w:tcW w:w="103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r>
      <w:tr>
        <w:trPr/>
        <w:tc>
          <w:tcPr>
            <w:tcW w:w="2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Approximate Acres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w:t>
            </w:r>
          </w:p>
        </w:tc>
      </w:tr>
      <w:tr>
        <w:trPr/>
        <w:tc>
          <w:tcPr>
            <w:tcW w:w="28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Macau Operations </w:t>
            </w:r>
            <w:r>
              <w:rPr>
                <w:rFonts w:ascii="Times New Roman;sans-serif" w:hAnsi="Times New Roman;sans-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the Cotai area of Macau. </w:t>
            </w:r>
          </w:p>
        </w:tc>
      </w:tr>
      <w:tr>
        <w:trPr/>
        <w:tc>
          <w:tcPr>
            <w:tcW w:w="2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downtown Macau's inner harbor. </w:t>
            </w:r>
          </w:p>
        </w:tc>
      </w:tr>
      <w:tr>
        <w:trPr/>
        <w:tc>
          <w:tcPr>
            <w:tcW w:w="28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Las Vegas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(main parcel)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at the intersection of Las Vegas Boulevard and Sands Avenue. </w:t>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Golf course land </w:t>
            </w:r>
            <w:r>
              <w:rPr>
                <w:rFonts w:ascii="Times New Roman;sans-serif" w:hAnsi="Times New Roman;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Wynn Las Vegas.</w:t>
            </w:r>
          </w:p>
        </w:tc>
      </w:tr>
      <w:tr>
        <w:trPr/>
        <w:tc>
          <w:tcPr>
            <w:tcW w:w="2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 and Convention Expansion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Wynn Las Vegas.</w:t>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parking lot and office building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across Sands Avenue.</w:t>
            </w:r>
          </w:p>
        </w:tc>
      </w:tr>
      <w:tr>
        <w:trPr/>
        <w:tc>
          <w:tcPr>
            <w:tcW w:w="28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building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adjacent to golf course land.</w:t>
            </w:r>
          </w:p>
        </w:tc>
      </w:tr>
      <w:tr>
        <w:trPr/>
        <w:tc>
          <w:tcPr>
            <w:tcW w:w="28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Encore Boston Harbor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Located in Everett, Massachusetts, adjacent to Boston along the Mystic River. </w:t>
            </w:r>
          </w:p>
        </w:tc>
      </w:tr>
      <w:tr>
        <w:trPr/>
        <w:tc>
          <w:tcPr>
            <w:tcW w:w="28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Other </w:t>
            </w:r>
            <w:r>
              <w:rPr>
                <w:rFonts w:ascii="Times New Roman;sans-serif" w:hAnsi="Times New Roman;sans-serif"/>
                <w:b/>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Located in Las Vegas, Nevada, and Everett, Massachusetts.</w:t>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The government of Macau owns most of the land in Macau. In most cases, private interests in real property located in Macau are obtained through long-term leases known as concessions and other grants of rights to use land from the government. Wynn Palace and Wynn Macau are built on land leased under land concession contracts each with terms of 25 years from May 2012 and August 2004, respectively, which may be renewed with government approval for successive periods.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We own approximately 834 acre-feet of permitted and certificated water rights, which we use to irrigate the golf course. We also own approximately 151.5 acre-feet of permitted and certificated water rights for commercial use. There are significant cost savings and conservation benefits associated with using water supplied pursuant to our water rights.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Includes approximately 38 acres of land on the Las Vegas Strip directly across from Wynn Las Vegas, and approximately 16 acres of land adjacent to Encore Boston Harbor in Everett, Massachusetts. This land may be used for future development.</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are occasionally party to lawsuits. As with all litigation, no assurance can be provided as to the outcome of such matters and we note that litigation inherently involves significant costs. For information regarding the Company's legal proceedings see Item 8—"Financial Statements and Supplementary Data," Note 17, "Commitments and Contingencies—Litigation" in this Annual Report on Form 10-K, which is incorporated herein by reference, and Item 1A—"Risk Factors" in this Annual Report on Form 10-K.</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spacing w:before="0" w:after="0"/>
        <w:ind w:left="0" w:right="0" w:firstLine="108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Item 5. Market for Registrant's Common Equity, Related Stockholder Matters and Issuer Purchases of Equity Securities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Information and Related Stockholder Matters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outstanding common stock trades on the Nasdaq Global Select Market under the symbol "WYNN."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6, 2020, the Company announced that its Board of Directors had suspended its quarterly dividend program due to the financial impact of the COVID-19 pandemic. Any decision to declare and pay dividends in the future will be made at the discretion of our Board and will depend on, among other things, our results of operations, financial condition, cash requirements, contractual restrictions and other factors that our Board may deem relevant.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$716.0 million of the proceeds from the equity offering to repay the then outstanding borrowings under the WRF Revolver, and used the remaining net proceeds for general corporate purposes.</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Holders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approximately 140 holders of record of our common stock as of February 16, 2022. This number does not include an estimate of the indeterminate number of beneficial holders whose shares may be held by brokerage firms and clearing agencies.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shares repurchased in satisfaction of tax withholding obligations on vested restricted stock during the quarter ended December 31, 2021: </w:t>
      </w:r>
    </w:p>
    <w:tbl>
      <w:tblPr>
        <w:tblW w:w="10205" w:type="dxa"/>
        <w:jc w:val="left"/>
        <w:tblInd w:w="0" w:type="dxa"/>
        <w:tblCellMar>
          <w:top w:w="28" w:type="dxa"/>
          <w:left w:w="28" w:type="dxa"/>
          <w:bottom w:w="28" w:type="dxa"/>
          <w:right w:w="28" w:type="dxa"/>
        </w:tblCellMar>
      </w:tblPr>
      <w:tblGrid>
        <w:gridCol w:w="610"/>
        <w:gridCol w:w="460"/>
        <w:gridCol w:w="465"/>
        <w:gridCol w:w="109"/>
        <w:gridCol w:w="109"/>
        <w:gridCol w:w="109"/>
        <w:gridCol w:w="691"/>
        <w:gridCol w:w="683"/>
        <w:gridCol w:w="685"/>
        <w:gridCol w:w="109"/>
        <w:gridCol w:w="109"/>
        <w:gridCol w:w="109"/>
        <w:gridCol w:w="564"/>
        <w:gridCol w:w="1647"/>
        <w:gridCol w:w="291"/>
        <w:gridCol w:w="109"/>
        <w:gridCol w:w="109"/>
        <w:gridCol w:w="109"/>
        <w:gridCol w:w="668"/>
        <w:gridCol w:w="1960"/>
        <w:gridCol w:w="500"/>
      </w:tblGrid>
      <w:tr>
        <w:trPr/>
        <w:tc>
          <w:tcPr>
            <w:tcW w:w="61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9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r>
      <w:tr>
        <w:trPr/>
        <w:tc>
          <w:tcPr>
            <w:tcW w:w="15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For the Month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Repurchased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Approximate Dollar Value of Repurchased Shares</w:t>
              <w:br/>
              <w:t>(in thousands)</w:t>
            </w:r>
          </w:p>
        </w:tc>
      </w:tr>
      <w:tr>
        <w:trPr/>
        <w:tc>
          <w:tcPr>
            <w:tcW w:w="15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90.58 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22,736 </w:t>
            </w:r>
          </w:p>
        </w:tc>
        <w:tc>
          <w:tcPr>
            <w:tcW w:w="6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90.33 </w:t>
            </w:r>
          </w:p>
        </w:tc>
        <w:tc>
          <w:tcPr>
            <w:tcW w:w="2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5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9,011 </w:t>
            </w:r>
          </w:p>
        </w:tc>
        <w:tc>
          <w:tcPr>
            <w:tcW w:w="6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82.48 </w:t>
            </w:r>
          </w:p>
        </w:tc>
        <w:tc>
          <w:tcPr>
            <w:tcW w:w="2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5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foregoing repurchases that occurred during the three months ended December 31, 2021 were part of the Company's publicly announced repurchase program. As of December 31, 2021, we had $800.1 million in repurchase authority under the program.</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on the Company's publicly announced repurchase program, see Item 8—"Financial Statements and Supplementary Data," Note 8, "Stockholders' Equity (Deficit)."</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Stock Performance Graph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graph below compares the five-year cumulative total return on our common stock to the cumulative total return of the Standard &amp; Poor's 500 Stock Index ("S&amp;P 500") and the Dow Jones US Gambling Index. The performance graph assumes that $100 was invested on December 31, 2016 in each of the Company's common stock, the S&amp;P 500 and the Dow Jones US Gambling Index, and that all dividends were reinvested. The stock price performance shown in this graph is neither necessarily indicative of, nor intended to suggest, future stock price performance.</w:t>
      </w:r>
    </w:p>
    <w:p>
      <w:pPr>
        <w:pStyle w:val="TextBody"/>
        <w:spacing w:before="0" w:after="0"/>
        <w:jc w:val="both"/>
        <w:rPr/>
      </w:pPr>
      <w:r>
        <w:rPr/>
      </w:r>
    </w:p>
    <w:p>
      <w:pPr>
        <w:pStyle w:val="TextBody"/>
        <w:spacing w:before="0" w:after="0"/>
        <w:rPr/>
      </w:pPr>
      <w:r>
        <w:rPr/>
        <w:drawing>
          <wp:inline distT="0" distB="63500" distL="0" distR="0">
            <wp:extent cx="6734175" cy="561022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2"/>
                    <a:stretch>
                      <a:fillRect/>
                    </a:stretch>
                  </pic:blipFill>
                  <pic:spPr bwMode="auto">
                    <a:xfrm>
                      <a:off x="0" y="0"/>
                      <a:ext cx="6734175" cy="561022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6. Reserved </w:t>
      </w:r>
    </w:p>
    <w:p>
      <w:pPr>
        <w:pStyle w:val="TextBody"/>
        <w:spacing w:before="0" w:after="0"/>
        <w:ind w:left="0" w:right="0" w:firstLine="495"/>
        <w:rPr/>
      </w:pPr>
      <w:r>
        <w:rPr/>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and is qualified in its entirety by, the consolidated financial statements and the notes thereto included elsewhere in this Annual Report on Form 10-K.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Discussion of 2019 items and year-to-year comparisons between 2020 and 2019 that are not included in this Form 10-K can be found in "Management’s Discussion and Analysis of Financial Condition and Results of Operations" in Part II, Item 7 of the Company's Annual Report on Form 10-K for the fiscal year ended December 31, 2020.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On June 23, 2019, we opened Encore Boston Harbor, an integrated resort in Everett, Massachusetts. In addition, we hold an approximately 74% interest in Wynn Interactive Ltd. ("Wynn Interactive"), which operates our digital sports betting and casino gaming business.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 Related to COVID-19</w:t>
      </w:r>
    </w:p>
    <w:p>
      <w:pPr>
        <w:pStyle w:val="TextBody"/>
        <w:spacing w:before="0" w:after="0"/>
        <w:ind w:left="0" w:right="0" w:firstLine="450"/>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some regions continue to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While total visitation from PRC to Macau increased meaningfully in 2021 compared to 2020, total visitation from PRC to Macau remained 74.8% below 2019 levels. Given the evolving conditions created by and in response to the COVID-19 pandemic, measures that have been lifted may be reintroduced if there are adverse developments in the COVID-19 situation in Macau and other regions with access to Macau,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pStyle w:val="TextBody"/>
        <w:spacing w:before="0" w:after="0"/>
        <w:ind w:left="0" w:right="0" w:firstLine="450"/>
        <w:jc w:val="both"/>
        <w:rPr/>
      </w:pPr>
      <w:r>
        <w:rPr/>
      </w:r>
    </w:p>
    <w:p>
      <w:pPr>
        <w:pStyle w:val="TextBody"/>
        <w:spacing w:lineRule="auto" w:line="276"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 and Encore Boston Harbor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outbreak, the Company’s Las Vegas Operations and Encore Boston Harbor each implemented certain COVID-19 specific protective measures, such as limiting the number of seats per table game, slot machine spacing, temperature checks, mask protection, and suspension of certain entertainment and nightlife offerings. Over the course of the twelve months ended December 31, 2021, the Company's Las Vegas Operations and Encore Boston Harbor have each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COVID-19 pandemic, measures that have been lifted may be reintroduced if there are adverse developments in the COVID-19 situation, and management cannot reasonably estimate the impact of such developments to the Company's future results of operations, cash flows, or financial condition.</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Macau government published a draft of its proposed revisions to the gaming law. 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and triggering of the Property Mandatory Prepayment Event would have a material adverse effect on the Company's business, financial condition, results of operations, and cash flows. </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Operating Measures</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key operating measures specific to the gaming industry are included in our discussion of our operational performance for the periods for which the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pStyle w:val="TextBody"/>
        <w:spacing w:before="0" w:after="0"/>
        <w:ind w:left="0" w:right="0" w:firstLine="720"/>
        <w:jc w:val="both"/>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Table drop in mass market for our Macau Operations is the amount of cash that is deposited in a gaming table's drop box plus cash chips purchased at the casino cage.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our Las Vegas Operations is the amount of cash and net markers issued that are deposited in a gaming table's drop box.</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drop for Encore Boston Harbor is the amount of cash and gross markers issued that are deposited in a gaming table's drop box.</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Rolling chips are non-negotiable identifiable chips that are used to track turnover for purposes of calculating incentives within our Macau Operations' VIP program.</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Turnover is the sum of all losing rolling chip wagers within our Macau Operations' VIP program.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Average daily rate ("ADR") is calculated by dividing total room revenues, including complimentaries (less service charges, if any), by total rooms occupied. </w:t>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Revenue per available room ("REVPAR") is calculated by dividing total room revenues, including complimentaries (less service charges, if any), by total rooms available.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lineRule="auto" w:line="288" w:before="0" w:after="0"/>
        <w:ind w:left="0" w:right="0" w:hanging="720"/>
        <w:jc w:val="both"/>
        <w:rPr/>
      </w:pPr>
      <w:r>
        <w:rPr>
          <w:color w:val="000000"/>
        </w:rPr>
        <w:t>•</w:t>
      </w:r>
      <w:r>
        <w:rPr>
          <w:rFonts w:ascii="Times New Roman;sans-serif" w:hAnsi="Times New Roman;sans-serif"/>
          <w:b w:val="false"/>
          <w:color w:val="000000"/>
          <w:sz w:val="20"/>
        </w:rPr>
        <w:t xml:space="preserve">Occupancy is calculated by dividing total occupied rooms, including complimentary rooms, by the total rooms available. </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Below is a discussion of the methodologies used to calculate win percentages at our resorts.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before="0" w:after="0"/>
        <w:jc w:val="center"/>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ind w:left="0" w:right="0" w:firstLine="495"/>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Summary annual results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financial results for the periods presented (in thousands, except per share data):</w:t>
      </w:r>
    </w:p>
    <w:tbl>
      <w:tblPr>
        <w:tblW w:w="10205" w:type="dxa"/>
        <w:jc w:val="center"/>
        <w:tblInd w:w="0" w:type="dxa"/>
        <w:tblCellMar>
          <w:top w:w="28" w:type="dxa"/>
          <w:left w:w="28" w:type="dxa"/>
          <w:bottom w:w="28" w:type="dxa"/>
          <w:right w:w="28" w:type="dxa"/>
        </w:tblCellMar>
      </w:tblPr>
      <w:tblGrid>
        <w:gridCol w:w="1375"/>
        <w:gridCol w:w="1204"/>
        <w:gridCol w:w="1211"/>
        <w:gridCol w:w="211"/>
        <w:gridCol w:w="976"/>
        <w:gridCol w:w="109"/>
        <w:gridCol w:w="109"/>
        <w:gridCol w:w="109"/>
        <w:gridCol w:w="109"/>
        <w:gridCol w:w="211"/>
        <w:gridCol w:w="976"/>
        <w:gridCol w:w="109"/>
        <w:gridCol w:w="109"/>
        <w:gridCol w:w="109"/>
        <w:gridCol w:w="109"/>
        <w:gridCol w:w="252"/>
        <w:gridCol w:w="1168"/>
        <w:gridCol w:w="130"/>
        <w:gridCol w:w="109"/>
        <w:gridCol w:w="109"/>
        <w:gridCol w:w="109"/>
        <w:gridCol w:w="378"/>
        <w:gridCol w:w="375"/>
        <w:gridCol w:w="539"/>
      </w:tblGrid>
      <w:tr>
        <w:trPr/>
        <w:tc>
          <w:tcPr>
            <w:tcW w:w="1375"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r>
      <w:tr>
        <w:trPr/>
        <w:tc>
          <w:tcPr>
            <w:tcW w:w="3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1,667,803 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Wynn Resorts, Limited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(1,311,459)</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w:t>
            </w:r>
          </w:p>
        </w:tc>
        <w:tc>
          <w:tcPr>
            <w:tcW w:w="5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w:t>
            </w:r>
          </w:p>
        </w:tc>
        <w:tc>
          <w:tcPr>
            <w:tcW w:w="5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Adjusted Property EBITDA</w:t>
            </w:r>
            <w:r>
              <w:rPr>
                <w:color w:val="000000"/>
              </w:rPr>
              <w:t xml:space="preserve"> </w:t>
            </w:r>
            <w:r>
              <w:rPr>
                <w:rFonts w:ascii="Times New Roman;sans-serif" w:hAnsi="Times New Roman;sans-serif"/>
                <w:b w:val="false"/>
                <w:color w:val="000000"/>
                <w:sz w:val="16"/>
              </w:rPr>
              <w:t>(1)</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893,746 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NM - not meaningful.</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See Item 8—"Financial Statements and Supplemental Data," Note 20, "Segment Information," for a reconciliation of Adjusted Property EBITDA to net loss attributable to Wynn Resorts, Limited.</w:t>
      </w:r>
    </w:p>
    <w:p>
      <w:pPr>
        <w:pStyle w:val="TextBody"/>
        <w:spacing w:before="0" w:after="0"/>
        <w:ind w:left="0" w:right="0" w:hanging="36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operating revenues for the year ended December 31, 2021 was primarily driven by increases of $377.6 million, $151.4 million, $755.7 million, and $329.9 million from Wynn Palace, Wynn Macau, our Las Vegas Operations, and Encore Boston Harbor, respectively, as a result of increased mass market gaming volumes at Wynn Palace and Wynn Macau, and increased gaming volumes at our Las Vegas Operations and Encore Boston Harbor, respectively, as well as increases in hotel occupancy, nightlife offerings, and covers at restaurants at our Las Vegas Operations. In addition, each of the Company's properties was subject to partial or full closure for varying lengths of time during 2020.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loss attributable to Wynn Resorts, Limited for the year ended December 31, 2021 was primarily related to increased operating revenues at our integrated resort properties, partially offset by increased operating expenses primarily due to increased gaming tax expense driven by the increase in casino revenues at each property, increased marketing and promotional expenses at Wynn Interactive, and higher operating costs associated with higher business volumes at our resort properties in general.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Adjusted Property EBITDA for the year ended December 31, 2021 was primarily driven by increased operating revenues at our integrated resort properties, partially offset by an increase in operating expenses. Adjusted Property EBITDA increased $241.3 million, $91.4 million, $587.2 million, and $233.8 million at Wynn Palace, Wynn Macau, our Las Vegas Operations, and Encore Boston Harbor, respectively, and decreased $260.0 million at Wynn Interactive.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Financial results for the year ended December 31, 2021 compared to the year ended December 31, 2020.</w:t>
      </w:r>
    </w:p>
    <w:p>
      <w:pPr>
        <w:pStyle w:val="TextBody"/>
        <w:spacing w:before="0" w:after="0"/>
        <w:ind w:left="0" w:right="0" w:firstLine="27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Operating revenues</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operating revenues (in thousands):</w:t>
      </w:r>
    </w:p>
    <w:tbl>
      <w:tblPr>
        <w:tblW w:w="8672" w:type="dxa"/>
        <w:jc w:val="left"/>
        <w:tblInd w:w="0" w:type="dxa"/>
        <w:tblCellMar>
          <w:top w:w="28" w:type="dxa"/>
          <w:left w:w="28" w:type="dxa"/>
          <w:bottom w:w="28" w:type="dxa"/>
          <w:right w:w="28" w:type="dxa"/>
        </w:tblCellMar>
      </w:tblPr>
      <w:tblGrid>
        <w:gridCol w:w="798"/>
        <w:gridCol w:w="701"/>
        <w:gridCol w:w="706"/>
        <w:gridCol w:w="211"/>
        <w:gridCol w:w="991"/>
        <w:gridCol w:w="109"/>
        <w:gridCol w:w="109"/>
        <w:gridCol w:w="109"/>
        <w:gridCol w:w="109"/>
        <w:gridCol w:w="211"/>
        <w:gridCol w:w="991"/>
        <w:gridCol w:w="109"/>
        <w:gridCol w:w="109"/>
        <w:gridCol w:w="109"/>
        <w:gridCol w:w="109"/>
        <w:gridCol w:w="251"/>
        <w:gridCol w:w="1179"/>
        <w:gridCol w:w="129"/>
        <w:gridCol w:w="109"/>
        <w:gridCol w:w="109"/>
        <w:gridCol w:w="109"/>
        <w:gridCol w:w="381"/>
        <w:gridCol w:w="381"/>
        <w:gridCol w:w="543"/>
      </w:tblGrid>
      <w:tr>
        <w:trPr/>
        <w:tc>
          <w:tcPr>
            <w:tcW w:w="798"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377,587 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626,015 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474,657 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151,358 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1,509,022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980,077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528,945</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1,503,681 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755,734 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691,523 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329,857 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863.2 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3,763,664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2,095,861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1,667,803</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casino and non-casino operating revenues (in thousands):</w:t>
      </w:r>
    </w:p>
    <w:tbl>
      <w:tblPr>
        <w:tblW w:w="9062" w:type="dxa"/>
        <w:jc w:val="left"/>
        <w:tblInd w:w="0" w:type="dxa"/>
        <w:tblCellMar>
          <w:top w:w="28" w:type="dxa"/>
          <w:left w:w="28" w:type="dxa"/>
          <w:bottom w:w="28" w:type="dxa"/>
          <w:right w:w="28" w:type="dxa"/>
        </w:tblCellMar>
      </w:tblPr>
      <w:tblGrid>
        <w:gridCol w:w="940"/>
        <w:gridCol w:w="825"/>
        <w:gridCol w:w="830"/>
        <w:gridCol w:w="211"/>
        <w:gridCol w:w="991"/>
        <w:gridCol w:w="109"/>
        <w:gridCol w:w="109"/>
        <w:gridCol w:w="109"/>
        <w:gridCol w:w="109"/>
        <w:gridCol w:w="211"/>
        <w:gridCol w:w="991"/>
        <w:gridCol w:w="109"/>
        <w:gridCol w:w="109"/>
        <w:gridCol w:w="109"/>
        <w:gridCol w:w="109"/>
        <w:gridCol w:w="251"/>
        <w:gridCol w:w="1179"/>
        <w:gridCol w:w="129"/>
        <w:gridCol w:w="109"/>
        <w:gridCol w:w="109"/>
        <w:gridCol w:w="109"/>
        <w:gridCol w:w="381"/>
        <w:gridCol w:w="381"/>
        <w:gridCol w:w="543"/>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2,133,420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1,237,230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896,190</w:t>
            </w: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Non-casino revenues:</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284,598 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182,688 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non-casino revenues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1,630,244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858,631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771,613</w:t>
            </w: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3,763,664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2,095,861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1,667,803</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for the year ended December 31, 2021 were 56.7% of operating revenues, compared to 59.0% for the same period of 2020. Non-casino revenues for the year ended December 31, 2021 were 43.3% of operating revenues, compared to 41.0% for the same period of 2020.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Casino revenues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revenues increased primarily due to increased table drop, table games win and slot machine win at our Las Vegas Operations and Encore Boston Harbor, and increased mass market table drop and table games win at our Macau Operations. Our Las Vegas Operations were closed to the public from March 17, 2020 until June 4, 2020. Encore Boston Harbor was closed to the public from March 15, 2020 until July 10, 2020. Our casino operations in Macau were closed for a 15-day period in February 2020. The table below sets forth our casino revenues and associated key operating measures (dollars in thousands, except for win per unit per day):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9611" w:type="dxa"/>
        <w:jc w:val="left"/>
        <w:tblInd w:w="0" w:type="dxa"/>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40"/>
        <w:gridCol w:w="1196"/>
        <w:gridCol w:w="124"/>
        <w:gridCol w:w="109"/>
        <w:gridCol w:w="109"/>
        <w:gridCol w:w="109"/>
        <w:gridCol w:w="381"/>
        <w:gridCol w:w="381"/>
        <w:gridCol w:w="543"/>
      </w:tblGrid>
      <w:tr>
        <w:trPr/>
        <w:tc>
          <w:tcPr>
            <w:tcW w:w="10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Macau Operations </w:t>
            </w:r>
            <w:r>
              <w:rPr>
                <w:rFonts w:ascii="Times New Roman;sans-serif" w:hAnsi="Times New Roman;sans-serif"/>
                <w:b/>
                <w:color w:val="000000"/>
                <w:sz w:val="16"/>
              </w:rPr>
              <w:t>(1)</w:t>
            </w:r>
            <w:r>
              <w:rPr>
                <w:rFonts w:ascii="Times New Roman;sans-serif" w:hAnsi="Times New Roman;sans-serif"/>
                <w:b/>
                <w:color w:val="000000"/>
                <w:sz w:val="20"/>
              </w:rPr>
              <w:t>:</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309,633 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6,435,947 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9,631,018 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(3,195,071)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253,767 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drop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2,415,841 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1,173,741 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540,234 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241,053 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games win %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1,454,577 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999,942 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454,635 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132,404 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VIP: </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turnover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5,488,118 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5,841,627 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(353,509)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 win as a % of turnover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Mass market: </w:t>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drop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2,230,348 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1,384,537 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845,811 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412,753 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Table games win %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1,057,303 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830,785 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226,518 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31,153 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9611" w:type="dxa"/>
        <w:jc w:val="center"/>
        <w:tblInd w:w="0" w:type="dxa"/>
        <w:tblCellMar>
          <w:top w:w="28" w:type="dxa"/>
          <w:left w:w="28" w:type="dxa"/>
          <w:bottom w:w="28" w:type="dxa"/>
          <w:right w:w="28" w:type="dxa"/>
        </w:tblCellMar>
      </w:tblPr>
      <w:tblGrid>
        <w:gridCol w:w="1032"/>
        <w:gridCol w:w="906"/>
        <w:gridCol w:w="911"/>
        <w:gridCol w:w="211"/>
        <w:gridCol w:w="976"/>
        <w:gridCol w:w="271"/>
        <w:gridCol w:w="109"/>
        <w:gridCol w:w="109"/>
        <w:gridCol w:w="109"/>
        <w:gridCol w:w="211"/>
        <w:gridCol w:w="976"/>
        <w:gridCol w:w="271"/>
        <w:gridCol w:w="109"/>
        <w:gridCol w:w="109"/>
        <w:gridCol w:w="109"/>
        <w:gridCol w:w="254"/>
        <w:gridCol w:w="1175"/>
        <w:gridCol w:w="131"/>
        <w:gridCol w:w="109"/>
        <w:gridCol w:w="109"/>
        <w:gridCol w:w="109"/>
        <w:gridCol w:w="381"/>
        <w:gridCol w:w="381"/>
        <w:gridCol w:w="543"/>
      </w:tblGrid>
      <w:tr>
        <w:trPr/>
        <w:tc>
          <w:tcPr>
            <w:tcW w:w="10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Las Vegas Operations </w:t>
            </w:r>
            <w:r>
              <w:rPr>
                <w:rFonts w:ascii="Times New Roman;sans-serif" w:hAnsi="Times New Roman;sans-serif"/>
                <w:b/>
                <w:color w:val="000000"/>
                <w:sz w:val="16"/>
              </w:rPr>
              <w:t>(2)</w:t>
            </w:r>
            <w:r>
              <w:rPr>
                <w:rFonts w:ascii="Times New Roman;sans-serif" w:hAnsi="Times New Roman;sans-serif"/>
                <w:b/>
                <w:color w:val="000000"/>
                <w:sz w:val="20"/>
              </w:rPr>
              <w:t>:</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426,440 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189,614 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1,127,309 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715,483 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407,195 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238,490 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168,705 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4,379,421 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2,452,811 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1,926,610 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297,548 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138,161 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Encore Boston Harbor </w:t>
            </w:r>
            <w:r>
              <w:rPr>
                <w:rFonts w:ascii="Times New Roman;sans-serif" w:hAnsi="Times New Roman;sans-serif"/>
                <w:b/>
                <w:color w:val="000000"/>
                <w:sz w:val="16"/>
              </w:rPr>
              <w:t>(3)</w:t>
            </w:r>
            <w:r>
              <w:rPr>
                <w:rFonts w:ascii="Times New Roman;sans-serif" w:hAnsi="Times New Roman;sans-serif"/>
                <w:b/>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casino revenues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552,064 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287,525 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264,539 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table games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drop</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1,267,908 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697,873 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570,035 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273,174 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 games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number of slot machines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handle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4,377,181 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2,303,582 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2,073,599 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358,827 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178,620 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Slot machine win per unit per day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Poker rake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(5,105)</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 response to the initial outbreak of COVID-19 in early 2020, each of our properties was subject to partial or full closure for varying lengths of time during 2020, and each has since reopened with certain COVID-19 specific protective measures in place.</w:t>
      </w:r>
    </w:p>
    <w:p>
      <w:pPr>
        <w:pStyle w:val="TextBody"/>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(1) Our casino operations in Macau were closed for a 15-day period in February 2020 and resumed operations on a reduced basis on February 20, 2020.</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Our Las Vegas Operations closed on March 17, 2020 and reopened on June 4, 2020.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Encore Boston Harbor closed on March 15, 2020 and reopened on July 10, 2020. In addition, on November 6, 2020, Encore Boston Harbor temporarily suspended hotel operations and overnight casino operations pursuant to a state directive limiting the operating hours of certain businesses, including restaurants and casinos. On January 25, 2021, the limitations on operating hours were lifted, and Encore Boston Harbor restored 24-hour casino operations and reopened its hotel tower on a Thursday through Sunday weekly schedule. The property reopened its hotel tower to seven days per week as of September 1, 2021. </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Non-casino revenues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sets forth our room revenues and associated key operating measures:</w:t>
      </w:r>
    </w:p>
    <w:tbl>
      <w:tblPr>
        <w:tblW w:w="10046" w:type="dxa"/>
        <w:jc w:val="left"/>
        <w:tblInd w:w="0" w:type="dxa"/>
        <w:tblCellMar>
          <w:top w:w="28" w:type="dxa"/>
          <w:left w:w="28" w:type="dxa"/>
          <w:bottom w:w="28" w:type="dxa"/>
          <w:right w:w="28" w:type="dxa"/>
        </w:tblCellMar>
      </w:tblPr>
      <w:tblGrid>
        <w:gridCol w:w="1298"/>
        <w:gridCol w:w="1140"/>
        <w:gridCol w:w="1146"/>
        <w:gridCol w:w="211"/>
        <w:gridCol w:w="826"/>
        <w:gridCol w:w="271"/>
        <w:gridCol w:w="109"/>
        <w:gridCol w:w="109"/>
        <w:gridCol w:w="109"/>
        <w:gridCol w:w="211"/>
        <w:gridCol w:w="826"/>
        <w:gridCol w:w="271"/>
        <w:gridCol w:w="109"/>
        <w:gridCol w:w="109"/>
        <w:gridCol w:w="109"/>
        <w:gridCol w:w="287"/>
        <w:gridCol w:w="1125"/>
        <w:gridCol w:w="148"/>
        <w:gridCol w:w="109"/>
        <w:gridCol w:w="109"/>
        <w:gridCol w:w="109"/>
        <w:gridCol w:w="381"/>
        <w:gridCol w:w="381"/>
        <w:gridCol w:w="543"/>
      </w:tblGrid>
      <w:tr>
        <w:trPr/>
        <w:tc>
          <w:tcPr>
            <w:tcW w:w="129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Macau Operations: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Palace:</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22,912 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Macau:</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Las Vegas Operations </w:t>
            </w:r>
            <w:r>
              <w:rPr>
                <w:rFonts w:ascii="Times New Roman;sans-serif" w:hAnsi="Times New Roman;sans-serif"/>
                <w:b/>
                <w:color w:val="000000"/>
                <w:sz w:val="16"/>
              </w:rPr>
              <w:t>(1)</w:t>
            </w:r>
            <w:r>
              <w:rPr>
                <w:rFonts w:ascii="Times New Roman;sans-serif" w:hAnsi="Times New Roman;sans-serif"/>
                <w:b/>
                <w:color w:val="000000"/>
                <w:sz w:val="20"/>
              </w:rPr>
              <w:t>:</w:t>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202,073 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223,704 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 xml:space="preserve">Encore Boston Harbor </w:t>
            </w:r>
            <w:r>
              <w:rPr>
                <w:rFonts w:ascii="Times New Roman;sans-serif" w:hAnsi="Times New Roman;sans-serif"/>
                <w:b/>
                <w:color w:val="000000"/>
                <w:sz w:val="16"/>
              </w:rPr>
              <w:t>(2) (3)</w:t>
            </w:r>
            <w:r>
              <w:rPr>
                <w:rFonts w:ascii="Times New Roman;sans-serif" w:hAnsi="Times New Roman;sans-serif"/>
                <w:b/>
                <w:color w:val="000000"/>
                <w:sz w:val="20"/>
              </w:rPr>
              <w:t>:</w:t>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room revenues (dollars in thousands)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26,601 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REVPAR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Wynn Las Vegas closed on March 17, 2020 and reopened on June 4, 2020. </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Encore Boston Harbor closed on March 15, 2020 and reopened on July 10, 2020.</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Encore Boston Harbor room statistics have been computed based on 250 days and 141 days of operation in the years ended December 31, 2021 and 2020, respectively, representing the number of nights hotel rooms were offered for sale to the public. The property reopened its hotel tower to seven days per week as of September 1, 2021.</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revenues increased $284.6 million, primarily due to higher occupancy at each of our properties and higher ADR at our Las Vegas Operations and Encore Boston Harbor, and the closures of our Las Vegas Operations from March 17, 2020 until June 4, 2020 and Encore Boston Harbor from March 15, 2020 until July 10, 2020, resulting from the adverse effects of the COVID-19 pandemic.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Food and beverage revenues increased $304.3 million, primarily due to increased covers at our restaurants and an increase in nightlife offerings at our Las Vegas Operations as a result of ongoing recovery from the effects of COVID-19.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revenues increased $182.7 million, primarily due to an increase in visitation to our Macau Operations, our Las Vegas Operations and Encore Boston Harbor as a result of ongoing recovery from the effects of COVID-19. </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expenses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operating expenses (in thousands):</w:t>
      </w:r>
    </w:p>
    <w:tbl>
      <w:tblPr>
        <w:tblW w:w="9061" w:type="dxa"/>
        <w:jc w:val="left"/>
        <w:tblInd w:w="0" w:type="dxa"/>
        <w:tblCellMar>
          <w:top w:w="28" w:type="dxa"/>
          <w:left w:w="28" w:type="dxa"/>
          <w:bottom w:w="28" w:type="dxa"/>
          <w:right w:w="28" w:type="dxa"/>
        </w:tblCellMar>
      </w:tblPr>
      <w:tblGrid>
        <w:gridCol w:w="940"/>
        <w:gridCol w:w="825"/>
        <w:gridCol w:w="829"/>
        <w:gridCol w:w="211"/>
        <w:gridCol w:w="991"/>
        <w:gridCol w:w="109"/>
        <w:gridCol w:w="109"/>
        <w:gridCol w:w="109"/>
        <w:gridCol w:w="109"/>
        <w:gridCol w:w="211"/>
        <w:gridCol w:w="991"/>
        <w:gridCol w:w="109"/>
        <w:gridCol w:w="109"/>
        <w:gridCol w:w="109"/>
        <w:gridCol w:w="109"/>
        <w:gridCol w:w="283"/>
        <w:gridCol w:w="1130"/>
        <w:gridCol w:w="146"/>
        <w:gridCol w:w="109"/>
        <w:gridCol w:w="109"/>
        <w:gridCol w:w="109"/>
        <w:gridCol w:w="381"/>
        <w:gridCol w:w="381"/>
        <w:gridCol w:w="543"/>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329,122 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117,599 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343,130 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75,743 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(34,888)</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5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4,158,205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3,327,906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830,299</w:t>
            </w: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5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increased $830.3 million compared to the year ended December 31, 2020, primarily due to increased casino, room, food and beverage, entertainment, retail and other, and general and administrative expenses, partially offset by decreased provision for credit losses, depreciation and amortization, and property charges and other expenses.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Casino expenses increased $142.9 million, $59.1 million, $42.8 million, and $84.3 million at Wynn Palace, Wynn Macau, our Las Vegas Operations, and Encore Boston Harbor, respectively. These increases were primarily due to increased gaming tax expense driven by the increase in casino revenues at each property.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Room expenses increased $23.7 million at our Las Vegas Operations. The increase was primarily a result of higher operating costs related to the increase in occupancy.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Food and beverage expenses increased $121.0 million at our Las Vegas Operations. The increase was primarily a result of higher operating costs related to the increase in food and beverage revenues as well as higher nightlife entertainment costs.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Entertainment, retail and other expenses increased primarily due to marketing expenses incurred by Wynn Interactive in connection with the launch of its operations in various states.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increased primarily due to an increase in corporate and other general and administrative expenses of $54.8 million, primarily due to a credit of $30.2 million for the net proceeds of a derivative action settlement recognized during the year ended December 31, 2020. In addition, general and administrative expenses increased $11.7 million at Encore Boston Harbor primarily due to the closure of our operations from March 15, 2020 until July 10,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credit losses decreased $24.1 million, $8.5 million, and $3.9 million at our Las Vegas Operations, Wynn Palace, and Encore Boston Harbor, respectively. The decreases were primarily due to the impact of historical collection patterns and expectations of current and future collection trends, as well as the specific review of customer accounts, on our estimated credit loss for the respective periods.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2021 and 2020, pre-opening expenses totaled $6.8 million and $6.5 million, which primarily related to restaurant remodels at our Las Vegas Operations.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property charges and other expenses for the year ended December 31, 2021 consisted primarily of advocacy-related expenses of $12.5 million and impairment of goodwill of $10.3 million at Wynn Interactive, asset abandonments of $9.7 million, $4.2 million, $2.3 million, and $1.8 million at our Las Vegas Operations, Wynn Palace, Encore Boston Harbor, and Wynn Macau, respectively, and other contingency expenses of $8.7 million at Wynn Macau. Our property charges and other expenses for the year ended December 31, 2020 consisted primarily of asset disposals and abandonments of $24.4 million, $12.8 million, and $21.5 million at Wynn Palace, Encore Boston Harbor and Corporate and other, respectively.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Interest expense, net of capitalized interest</w:t>
      </w:r>
    </w:p>
    <w:p>
      <w:pPr>
        <w:pStyle w:val="TextBody"/>
        <w:spacing w:before="0" w:after="0"/>
        <w:ind w:left="0" w:right="0" w:firstLine="27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related to interest expense (dollars in thousands):</w:t>
      </w:r>
    </w:p>
    <w:tbl>
      <w:tblPr>
        <w:tblW w:w="10205" w:type="dxa"/>
        <w:jc w:val="left"/>
        <w:tblInd w:w="0" w:type="dxa"/>
        <w:tblCellMar>
          <w:top w:w="28" w:type="dxa"/>
          <w:left w:w="28" w:type="dxa"/>
          <w:bottom w:w="28" w:type="dxa"/>
          <w:right w:w="28" w:type="dxa"/>
        </w:tblCellMar>
      </w:tblPr>
      <w:tblGrid>
        <w:gridCol w:w="1444"/>
        <w:gridCol w:w="1206"/>
        <w:gridCol w:w="1135"/>
        <w:gridCol w:w="211"/>
        <w:gridCol w:w="1081"/>
        <w:gridCol w:w="271"/>
        <w:gridCol w:w="109"/>
        <w:gridCol w:w="109"/>
        <w:gridCol w:w="109"/>
        <w:gridCol w:w="211"/>
        <w:gridCol w:w="1081"/>
        <w:gridCol w:w="271"/>
        <w:gridCol w:w="109"/>
        <w:gridCol w:w="109"/>
        <w:gridCol w:w="109"/>
        <w:gridCol w:w="248"/>
        <w:gridCol w:w="867"/>
        <w:gridCol w:w="128"/>
        <w:gridCol w:w="109"/>
        <w:gridCol w:w="109"/>
        <w:gridCol w:w="109"/>
        <w:gridCol w:w="381"/>
        <w:gridCol w:w="298"/>
        <w:gridCol w:w="391"/>
      </w:tblGrid>
      <w:tr>
        <w:trPr/>
        <w:tc>
          <w:tcPr>
            <w:tcW w:w="1444"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4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 Change</w:t>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 including amortization of debt issuance costs and original issue discount and premium</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605,562 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557,726 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605,562</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556,474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49,088</w:t>
            </w:r>
            <w:r>
              <w:rPr>
                <w:color w:val="000000"/>
              </w:rPr>
              <w:t>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total debt balance</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12,195,881 </w:t>
            </w:r>
          </w:p>
        </w:tc>
        <w:tc>
          <w:tcPr>
            <w:tcW w:w="27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12,284,646 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Interest costs increased primarily due to an increase in the weighted average debt balance and the weighted average interest rate. Capitalized interest decreased due to the completion of the meeting and convention expansion in February 2020.</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non-operating income and expenses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a foreign currency remeasurement loss of $23.9 million and a gain of $12.8 million for the years ended December 31, 2021 and 2020, respectively. The impact of the exchange rate fluctuation of the Macau pataca, in relation to the U.S. dollar, on the remeasurements of U.S. dollar denominated debt and other obligations from our Macau-related entities drove the variability between periods.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$15.7 million for the year ended December 31, 2020 to reflect the fair value of our cost method investment at the date we acquired a controlling interest in BetBull Limited.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recorded a gain of $11.4 million and a loss of $13.1 million for the years ended December 31, 2021 and 2020, respectively, from changes in the fair value of an interest rate collar.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$2.1 million loss on extinguishment of debt for the year ended December 31, 2021 related to full prepayments of the Wynn Macau Credit Facilities. We recorded a $4.6 million loss on extinguishment of debt for the year ended December 31, 2020 primarily related to the partial prepayment of the Wynn Macau Term Loan.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For the years ended December 31, 2021 and 2020, we recorded an income tax expense of $0.5 million and $564.7 million, respectively. The 2021 income tax expense primarily relates to the Macau dividend tax agreement that provides for an annual payment of MOP 12.8 million (approximately $1.6 million) as complementary tax otherwise due by stockholders of Wynn Macau SA partially offset by a decrease in foreign deferred tax liabilities related to intangibles.</w:t>
      </w:r>
      <w:r>
        <w:rPr>
          <w:color w:val="000000"/>
        </w:rPr>
        <w:t xml:space="preserve"> </w:t>
      </w:r>
      <w:r>
        <w:rPr>
          <w:rFonts w:ascii="Times New Roman;sans-serif" w:hAnsi="Times New Roman;sans-serif"/>
          <w:b w:val="false"/>
          <w:color w:val="000000"/>
          <w:sz w:val="20"/>
        </w:rPr>
        <w:t>The 2020 income tax expense primarily related to the increase in the valuation allowances for U.S foreign tax credits.</w:t>
      </w:r>
    </w:p>
    <w:p>
      <w:pPr>
        <w:pStyle w:val="TextBody"/>
        <w:spacing w:before="0" w:after="0"/>
        <w:ind w:left="0" w:right="0" w:firstLine="495"/>
        <w:jc w:val="both"/>
        <w:rPr/>
      </w:pPr>
      <w:r>
        <w:rPr/>
      </w:r>
    </w:p>
    <w:p>
      <w:pPr>
        <w:pStyle w:val="TextBody"/>
        <w:spacing w:lineRule="auto" w:line="26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the Company received an extension of its Macau dividend tax agreement, providing for a payment of MOP 12.8 million (approximately $1.6 million) for 2021 and MOP 6.3 million (approximately $0.8 million) for the period ending June 26, 2022, the expiration date of the gaming concession agreement.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Wynn Macau SA received an extension of the exemption from Macau's 12% Complementary Tax on casino gaming profits earned from January 1, 2021 to June 26, 2022, the expiration date of the gaming concession agreement. For the years ended December 31, 2021 and 2020, we did not have any casino gaming profits exempt from the Macau Complementary Tax. Our non-gaming profits remain subject to the Macau Complementary Tax and casino winnings remain subject to the Macau special gaming tax and other levies together totaling 39% in accordance with our concession agreement. </w:t>
      </w:r>
    </w:p>
    <w:p>
      <w:pPr>
        <w:pStyle w:val="TextBody"/>
        <w:spacing w:before="0" w:after="0"/>
        <w:ind w:left="0" w:right="0" w:firstLine="450"/>
        <w:jc w:val="both"/>
        <w:rPr/>
      </w:pPr>
      <w:r>
        <w:rPr/>
      </w:r>
    </w:p>
    <w:p>
      <w:pPr>
        <w:pStyle w:val="TextBody"/>
        <w:spacing w:lineRule="auto" w:line="268" w:before="0" w:after="0"/>
        <w:ind w:left="0" w:right="0" w:firstLine="450"/>
        <w:jc w:val="both"/>
        <w:rPr/>
      </w:pPr>
      <w:r>
        <w:rPr>
          <w:rFonts w:ascii="Times New Roman;sans-serif" w:hAnsi="Times New Roman;sans-serif"/>
          <w:b w:val="false"/>
          <w:color w:val="000000"/>
          <w:sz w:val="20"/>
        </w:rPr>
        <w:t>In March 2021, the Financial Services Bureau concluded its review of the 2017 and 2018 Macau income tax returns of Palo with no changes.</w:t>
      </w:r>
      <w:r>
        <w:rPr>
          <w:color w:val="000000"/>
        </w:rPr>
        <w:t xml:space="preserve">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the Financial Services Bureau issued final tax assessments for the Company’s Macau income tax returns of Wynn Macau SA for the years 2017 and 2018, while no additional tax was due, adjustments were made to the Company’s tax loss carryforwards.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participated in the Internal Revenue Service ("IRS") Compliance Assurance Program ("CAP") for the 2012 through 2021 tax years and will continue to participate in the IRS CAP for the 2022 tax year.</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Net loss attributable to noncontrolling interests</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noncontrolling interests was $256.2 million for the year ended December 31, 2021, compared to net loss of $259.7 million for the year ended December 31, 2020. These amounts are primarily related to the noncontrolling interests' share of net loss from WML. </w:t>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Adjusted Property EBITDA</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Property EBITDA to manage the operating results of our segments. Adjusted Property EBITDA is net income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Adjusted Property EBITDA (in thousands) for Wynn Palace, Wynn Macau, Las Vegas Operations, and Encore Boston Harbor as reviewed by management and summarized in Item 8—"Financial Statements and Supplementary Data," Note 20, "Segment Information." That footnote also presents a reconciliation of Adjusted Property EBITDA to net income (loss) attributable to Wynn Resorts, Limited.</w:t>
      </w:r>
    </w:p>
    <w:tbl>
      <w:tblPr>
        <w:tblW w:w="6440" w:type="dxa"/>
        <w:jc w:val="center"/>
        <w:tblInd w:w="0" w:type="dxa"/>
        <w:tblCellMar>
          <w:top w:w="28" w:type="dxa"/>
          <w:left w:w="28" w:type="dxa"/>
          <w:bottom w:w="28" w:type="dxa"/>
          <w:right w:w="28" w:type="dxa"/>
        </w:tblCellMar>
      </w:tblPr>
      <w:tblGrid>
        <w:gridCol w:w="696"/>
        <w:gridCol w:w="608"/>
        <w:gridCol w:w="616"/>
        <w:gridCol w:w="211"/>
        <w:gridCol w:w="721"/>
        <w:gridCol w:w="109"/>
        <w:gridCol w:w="109"/>
        <w:gridCol w:w="109"/>
        <w:gridCol w:w="109"/>
        <w:gridCol w:w="211"/>
        <w:gridCol w:w="901"/>
        <w:gridCol w:w="109"/>
        <w:gridCol w:w="109"/>
        <w:gridCol w:w="109"/>
        <w:gridCol w:w="109"/>
        <w:gridCol w:w="284"/>
        <w:gridCol w:w="1113"/>
        <w:gridCol w:w="207"/>
      </w:tblGrid>
      <w:tr>
        <w:trPr/>
        <w:tc>
          <w:tcPr>
            <w:tcW w:w="696" w:type="dxa"/>
            <w:tcBorders/>
            <w:shd w:fill="auto" w:val="clear"/>
            <w:vAlign w:val="center"/>
          </w:tcPr>
          <w:p>
            <w:pPr>
              <w:pStyle w:val="TableContents"/>
              <w:spacing w:before="0" w:after="283"/>
              <w:rPr>
                <w:sz w:val="4"/>
                <w:szCs w:val="4"/>
              </w:rPr>
            </w:pPr>
            <w:r>
              <w:rPr>
                <w:sz w:val="4"/>
                <w:szCs w:val="4"/>
              </w:rPr>
            </w:r>
          </w:p>
        </w:tc>
        <w:tc>
          <w:tcPr>
            <w:tcW w:w="608"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241,293 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91,398 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587,234 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233,830 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(260,009)</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 at Wynn Palace and Wynn Macau increased $241.3 million and $91.4 million for the year ended December 31, 2021, respectively, primarily due to an increase in operating revenues, partially offset by an increase in operating expenses. Our casino operations at both Wynn Palace and Wynn Macau were closed for a 15-day period in February 2020.</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 at our Las Vegas Operations increased $587.2 million for the year ended December 31, 2021, primarily due to an increase in operating revenues, partially offset by an increase in operating expenses. Our Las Vegas Operations closed to the public on March 17, 2020, and reopened on June 4, 2020 on a reduced basis.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 at Encore Boston Harbor increased $233.8 million for the year ended December 31, 2021, primarily due to an increase in operating revenues, partially offset by an increase in operating expenses. Encore Boston Harbor closed to the public on March 15, 2020 and reopened on July 10, 2020 on a reduced basis.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Adjusted Property EBITDA at Wynn Interactive was $(267.4) million and $(7.4) million for the years ended December 31, 2021 and 2020, respectively, primarily due to increased marketing and promotional expenses incurred in connection with the launch of its operations in various states.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the discussions above regarding the specific details of our results of operations.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Liquidity and Capital Resources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cash flows were as follows (in thousands):</w:t>
      </w:r>
    </w:p>
    <w:tbl>
      <w:tblPr>
        <w:tblW w:w="8844" w:type="dxa"/>
        <w:jc w:val="left"/>
        <w:tblInd w:w="0" w:type="dxa"/>
        <w:tblCellMar>
          <w:top w:w="28" w:type="dxa"/>
          <w:left w:w="28" w:type="dxa"/>
          <w:bottom w:w="28" w:type="dxa"/>
          <w:right w:w="28" w:type="dxa"/>
        </w:tblCellMar>
      </w:tblPr>
      <w:tblGrid>
        <w:gridCol w:w="2129"/>
        <w:gridCol w:w="1870"/>
        <w:gridCol w:w="1881"/>
        <w:gridCol w:w="211"/>
        <w:gridCol w:w="901"/>
        <w:gridCol w:w="109"/>
        <w:gridCol w:w="109"/>
        <w:gridCol w:w="109"/>
        <w:gridCol w:w="109"/>
        <w:gridCol w:w="211"/>
        <w:gridCol w:w="1051"/>
        <w:gridCol w:w="154"/>
      </w:tblGrid>
      <w:tr>
        <w:trPr/>
        <w:tc>
          <w:tcPr>
            <w:tcW w:w="2129" w:type="dxa"/>
            <w:tcBorders/>
            <w:shd w:fill="auto" w:val="clear"/>
            <w:vAlign w:val="center"/>
          </w:tcPr>
          <w:p>
            <w:pPr>
              <w:pStyle w:val="TableContents"/>
              <w:spacing w:before="0" w:after="283"/>
              <w:rPr>
                <w:sz w:val="4"/>
                <w:szCs w:val="4"/>
              </w:rPr>
            </w:pPr>
            <w:r>
              <w:rPr>
                <w:sz w:val="4"/>
                <w:szCs w:val="4"/>
              </w:rPr>
            </w:r>
          </w:p>
        </w:tc>
        <w:tc>
          <w:tcPr>
            <w:tcW w:w="1870"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 Summary </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(1,072,425)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investing activities: </w:t>
            </w:r>
          </w:p>
        </w:tc>
        <w:tc>
          <w:tcPr>
            <w:tcW w:w="12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net of construction payables and retention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intangible and other assets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acquired from business combination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 and other</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(342,423)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(265,759)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cash (used in) provided by financing activities: </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long-term debt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4,691,953 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(2,035,354)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Wynn Resorts, Limited common stock</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subsidiary common stock</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payments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acquire ownership interest in subsidiary</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financing costs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(used in)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(388,002)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2,463,245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Effect of exchange rate on cash, cash equivalents and restricted cash </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3,031</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(Decrease) increase in cash, cash equivalents and restricted cash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(955,317)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1,128,092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pStyle w:val="TextBody"/>
        <w:spacing w:before="0" w:after="0"/>
        <w:ind w:left="0" w:right="0" w:firstLine="45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the decrease in net cash used in operating activities was primarily due to increased operating revenues, partially offset by an increase in operating expenses and changes in working capital accounts, including a decrease in customer deposits primarily due to withdrawals by gaming promoters. As of December 31, 2021, the Company did not have any agreements in place with gaming promoters.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the decrease in net cash provided by operations was primarily due to the adverse effects of the COVID-19 pandemic on the results of our operations.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primarily consist of project capital expenditures and maintenance capital expenditures associated with maintaining and continually refining our world-class integrated resort properties.</w:t>
      </w:r>
    </w:p>
    <w:p>
      <w:pPr>
        <w:pStyle w:val="TextBody"/>
        <w:spacing w:before="0" w:after="0"/>
        <w:ind w:left="0" w:right="0" w:firstLine="45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incurred capital expenditures of $168.8 million at our Las Vegas Operations primarily related to the Wynn Las Vegas room remodel, and $38.7 million at Encore Boston Harbor, $37.2 million at Wynn Palace, and $25.2 million at Wynn Macau primarily related to maintenance capital expenditures.</w:t>
      </w:r>
    </w:p>
    <w:p>
      <w:pPr>
        <w:pStyle w:val="TextBody"/>
        <w:spacing w:before="0" w:after="0"/>
        <w:ind w:left="0" w:right="0" w:firstLine="45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incurred capital expenditures of $61.3 million at Encore Boston Harbor primarily for the payment of construction retention and other payables related to its construction, $85.9 million at our Las Vegas Operations for restaurant remodels and maintenance capital expenditures, $45.3 million for the construction of the additional meeting and convention space at Wynn Las Vegas, and $46.7 million and $49.8 million at Wynn Palace and Wynn Macau, respectively, primarily related to maintenance capital expenditures.</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we received proceeds of $841.9 million from our February 2021 equity offering and used $716.0 million of the proceeds from the equity offering to repay the outstanding borrowings under the WRF Revolver. We also paid $464.7 million of outstanding principal owed under the Wynn Macau Term Loan and prepaid the outstanding $1.26 billion of borrowings under the Wynn Macau Credit Facilities along with related financing costs, using proceeds from the borrowing of $1.09 billion under the WM Cayman II Revolver along with $200.0 million of cash. In addition, we borrowed $200.4 million under the WM Cayman II Revolver, and made quarterly amortization payments under the WRF Term Loan totaling $50.0 million.</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we issued $1.0 billion aggregate principal amount of WML 5 1/2% Senior Notes due 2026, issued $1.35 billion aggregate principal amount of WML 5 5/8% Senior Notes due 2028, issued $600.0 million aggregate principal amount of WRF 7 3/4% Senior Notes due 2025, borrowed $56.5 million, net of amounts repaid, under the Wynn Macau Revolver, borrowed $716.0 million, net of amounts repaid, under the WRF Revolver, paid $1.04 billion of outstanding principal owed under the Wynn Macau Term Loan, and made quarterly amortization payments under the WRF Term Loan totaling $50.0 million.</w:t>
      </w:r>
    </w:p>
    <w:p>
      <w:pPr>
        <w:pStyle w:val="TextBody"/>
        <w:spacing w:before="0" w:after="0"/>
        <w:ind w:left="0" w:right="0" w:firstLine="495"/>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impacted and is likely to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likely continue to have a negative impact on our operating income and could have a negative impact on our ability to access capital in the future. We continue to monitor the rapidly evolving situation and guidance from international and domestic authorities.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unrestricted cash and cash equivalents and available revolver borrowing capacity. Refer to Item 8—"Financial Statements and Supplementary Data," Note 7, "Long-Term Debt" in the accompanying consolidated financial statements for more information regarding each of the Company's debt agreements. The following table is presented by significant financing entity as of December 31, 2021 (in thousands):</w:t>
      </w:r>
    </w:p>
    <w:tbl>
      <w:tblPr>
        <w:tblW w:w="9191" w:type="dxa"/>
        <w:jc w:val="left"/>
        <w:tblInd w:w="0" w:type="dxa"/>
        <w:tblCellMar>
          <w:top w:w="28" w:type="dxa"/>
          <w:left w:w="28" w:type="dxa"/>
          <w:bottom w:w="28" w:type="dxa"/>
          <w:right w:w="28" w:type="dxa"/>
        </w:tblCellMar>
      </w:tblPr>
      <w:tblGrid>
        <w:gridCol w:w="1454"/>
        <w:gridCol w:w="1279"/>
        <w:gridCol w:w="1287"/>
        <w:gridCol w:w="403"/>
        <w:gridCol w:w="1894"/>
        <w:gridCol w:w="208"/>
        <w:gridCol w:w="109"/>
        <w:gridCol w:w="109"/>
        <w:gridCol w:w="109"/>
        <w:gridCol w:w="364"/>
        <w:gridCol w:w="1710"/>
        <w:gridCol w:w="265"/>
      </w:tblGrid>
      <w:tr>
        <w:trPr/>
        <w:tc>
          <w:tcPr>
            <w:tcW w:w="145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189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71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and Cash Equivalents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Revolver Borrowing Capacity</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 Limited and subsidiaries</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1,495,727 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212,538 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Wynn Resorts Finance, LLC and subsidiaries </w:t>
            </w:r>
            <w:r>
              <w:rPr>
                <w:rFonts w:ascii="Times New Roman;sans-serif" w:hAnsi="Times New Roman;sans-serif"/>
                <w:b w:val="false"/>
                <w:color w:val="000000"/>
                <w:sz w:val="16"/>
              </w:rPr>
              <w:t>(1)</w:t>
            </w:r>
          </w:p>
        </w:tc>
        <w:tc>
          <w:tcPr>
            <w:tcW w:w="22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380,649 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835,600 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Resorts, Limited and other</w:t>
            </w:r>
          </w:p>
        </w:tc>
        <w:tc>
          <w:tcPr>
            <w:tcW w:w="22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646,154 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4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2,522,530</w:t>
            </w: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1,048,138</w:t>
            </w:r>
            <w:r>
              <w:rPr>
                <w:color w:val="000000"/>
              </w:rPr>
              <w:t>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 Excluding Wynn Macau, Limited and subsidiaries. </w:t>
      </w:r>
    </w:p>
    <w:p>
      <w:pPr>
        <w:pStyle w:val="TextBody"/>
        <w:spacing w:before="0" w:after="0"/>
        <w:ind w:left="0" w:right="0" w:hanging="360"/>
        <w:jc w:val="both"/>
        <w:rPr/>
      </w:pPr>
      <w:r>
        <w:rPr/>
      </w:r>
    </w:p>
    <w:p>
      <w:pPr>
        <w:pStyle w:val="TextBody"/>
        <w:spacing w:lineRule="auto" w:line="276" w:before="0" w:after="0"/>
        <w:ind w:left="0" w:right="0" w:firstLine="450"/>
        <w:jc w:val="both"/>
        <w:rPr/>
      </w:pPr>
      <w:r>
        <w:rPr>
          <w:rFonts w:ascii="Times New Roman;sans-serif" w:hAnsi="Times New Roman;sans-serif"/>
          <w:b w:val="false"/>
          <w:i/>
          <w:color w:val="000000"/>
          <w:sz w:val="20"/>
        </w:rPr>
        <w:t>Wynn Macau, Limited and subsidiaries</w:t>
      </w:r>
      <w:r>
        <w:rPr>
          <w:rFonts w:ascii="Times New Roman;sans-serif" w:hAnsi="Times New Roman;sans-serif"/>
          <w:b w:val="false"/>
          <w:color w:val="000000"/>
          <w:sz w:val="20"/>
        </w:rPr>
        <w:t xml:space="preserve">. Wynn Macau, Limited generates cash from our Macau Operations and may utilize proceeds from the WM Cayman II Revolver (discussed further below) to fund short term working capital requirements as needed. We expect to use this cash to fund working capital and capital expenditure requirements at WML and our Macau Operations, and to service our existing WML Senior Notes. WML paid no dividends during 2021 or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2021, WM Cayman Holdings Limited II ("WM Cayman II"), an indirect wholly owned subsidiary of WML, entered into an unsecured revolving credit facility agreement (the "Facility Agreement") in an aggregate principal amount of $1.50 billion consisting of one tranche in an amount of $312.5 million and one tranche in an amount of HK$9.26 billion (approximately $1.19 billion). WM Cayman II has the ability to upsize the total revolving credit facility by an additional $1.00 billion equivalent under the Facility Agreement and related agreements upon the satisfaction of various conditions.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Wynn Macau SA prepaid approximately $412.5 million of the term loan outstanding under the Wynn Macau Credit Facilities using proceeds from WML senior notes issuances.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borrowings of $1.09 billion under the WM Cayman II Revolver, along with $200.0 million of cash, were used to facilitate the prepayment of the outstanding $1.26 billion of borrowings under the Wynn Macau Credit Facilities and to pay related fees and expenses.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WM Cayman II Revolver bear interest at LIBOR or HIBOR plus a margin of 1.875% to 2.875% per annum based on WM Cayman II’s leverage ratio on a consolidated basis. The final maturity of all outstanding loans under the Revolving Facility is September 16, 2025.</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our portion of our cash and cash equivalents were repatriated to the U.S. on December 31, 2021, it would be subject to minimal U.S. taxes in the year of repatriation.</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rPr>
        <w:t>Wynn Resorts Finance, LLC and subsidiaries.</w:t>
      </w:r>
      <w:r>
        <w:rPr>
          <w:color w:val="000000"/>
        </w:rPr>
        <w:t xml:space="preserve"> </w:t>
      </w:r>
      <w:r>
        <w:rPr>
          <w:rFonts w:ascii="Times New Roman;sans-serif" w:hAnsi="Times New Roman;sans-serif"/>
          <w:b w:val="false"/>
          <w:color w:val="000000"/>
          <w:sz w:val="20"/>
        </w:rPr>
        <w:t>Wynn Resorts Finance, LLC ("WRF" or "Wynn Resorts Finance") generates cash from distributions 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2029 WRF Notes, and WLV Notes, and to fund working capital and capital expenditure requirements as needed.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is currently undergoing its planned room remodel, which we temporarily postponed during 2020. We expect to incur between $90 million and $100 million of remaining project costs related to this remodel, which we expect to complete during the second quarter of 2022.</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currently reconfiguring the former Le Reve theater space at Wynn Las Vegas. The specially redesigned theater will host an all-new, exclusive theatrical production. We expect to incur between $70 million and $80 million of remaining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project costs related to the reconfigured theater and theatrical production, which we anticipate will open during the third quarter of 2022.</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repaid $716.0 million of the outstanding borrowings under the WRF Revolver in February 2021, using proceeds from the February 2021 equity offering described below.</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2022, we announced our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we expect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$100.0 million for an initial term of 30 years, subject to certain annual rent escalations and renewal provisions. We expect to use the cash proceeds from the sale of the real estate assets for general corporate purposes, which may include the repayment of certain debt obligations.</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i/>
          <w:color w:val="000000"/>
          <w:sz w:val="20"/>
        </w:rPr>
        <w:t>Wynn Resorts, Limited and other subsidiaries.</w:t>
      </w:r>
      <w:r>
        <w:rPr>
          <w:color w:val="000000"/>
        </w:rPr>
        <w:t xml:space="preserve"> </w:t>
      </w:r>
      <w:r>
        <w:rPr>
          <w:rFonts w:ascii="Times New Roman;sans-serif" w:hAnsi="Times New Roman;sans-serif"/>
          <w:b w:val="false"/>
          <w:color w:val="000000"/>
          <w:sz w:val="20"/>
        </w:rPr>
        <w:t>Wynn Resorts, Limited is a holding company and, as a result, our ability to pay dividends is dependent 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to fund working capital needs of Wynn Interactive, and for general corporate purposes.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net proceeds from this equity offering to repay the outstanding borrowings under the WRF revolver in February 2021, and used the remaining net proceeds for general corporate purposes.</w:t>
      </w:r>
    </w:p>
    <w:p>
      <w:pPr>
        <w:pStyle w:val="TextBody"/>
        <w:spacing w:before="0" w:after="0"/>
        <w:ind w:left="0" w:right="0" w:firstLine="450"/>
        <w:jc w:val="both"/>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Other Factors Affecting Liquidity</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may refinance all or a portion of our indebtedness on or before maturity. We cannot assure you that we will be able to refinance any of the indebtedness on acceptable terms or at all.</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Legal proceedings in which we are involved also may impact our liquidity. No assurance can be provided as to the outcome of such proceedings. In addition, litigation inherently involves significant costs. For information regarding legal proceedings, see Item 8—"Financial Statements and Supplementary Data," Note 17, "Commitments and Contingencies."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December 31, 2021, we had $800.1 million in repurchase authority remaining under the program.</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Contractual Commitments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scheduled contractual commitments as of December 31, 2021 (in thousands): </w:t>
      </w:r>
    </w:p>
    <w:tbl>
      <w:tblPr>
        <w:tblW w:w="10205" w:type="dxa"/>
        <w:jc w:val="left"/>
        <w:tblInd w:w="0" w:type="dxa"/>
        <w:tblCellMar>
          <w:top w:w="28" w:type="dxa"/>
          <w:left w:w="28" w:type="dxa"/>
          <w:bottom w:w="28" w:type="dxa"/>
          <w:right w:w="28" w:type="dxa"/>
        </w:tblCellMar>
      </w:tblPr>
      <w:tblGrid>
        <w:gridCol w:w="903"/>
        <w:gridCol w:w="642"/>
        <w:gridCol w:w="646"/>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1096"/>
        <w:gridCol w:w="155"/>
      </w:tblGrid>
      <w:tr>
        <w:trPr/>
        <w:tc>
          <w:tcPr>
            <w:tcW w:w="903"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2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to 3</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 to 5</w:t>
              <w:br/>
              <w:t>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w:t>
              <w:br/>
              <w:t>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12,000,266 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interest payments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964,991 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Estimated variable interest payments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contracts and commitments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Employment agreements </w:t>
            </w:r>
            <w:r>
              <w:rPr>
                <w:rFonts w:ascii="Times New Roman;sans-serif" w:hAnsi="Times New Roman;sans-serif"/>
                <w:b w:val="false"/>
                <w:color w:val="000000"/>
                <w:sz w:val="16"/>
              </w:rPr>
              <w:t>(2)</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Massachusetts surrounding community payments </w:t>
            </w:r>
            <w:r>
              <w:rPr>
                <w:rFonts w:ascii="Times New Roman;sans-serif" w:hAnsi="Times New Roman;sans-serif"/>
                <w:b w:val="false"/>
                <w:color w:val="000000"/>
                <w:sz w:val="16"/>
              </w:rPr>
              <w:t>(3)</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175,620 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6"/>
              </w:rPr>
              <w:t>(4)</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484,630 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contractual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1,100,861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3,356,251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6,003,443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5,840,221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16,300,776</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 Amounts for all periods represent our estimated future interest payments on our debt facilities based upon amounts outstanding and LIBOR or HIBOR rates as of December 31, 2021. Actual rates will vary.</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(2) Represents payments to executive officers, other members of management and certain key employees. Employment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 Represents payments to certain communities surrounding Encore Boston Harbor, required as a condition of the gaming license awarded to Wynn MA, LLC.</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(4) Other includes open purchase orders, future charitable contributions, fixed gaming tax payments in Macau, performance contracts and other contracts. As further discussed in Item 8—"Financial Statements and Supplementary Data," Note 13, "Income Taxes," we had $141.5 million of unrecognized tax benefits as of December 31, 2021. Due to the inherent uncertainty of the underlying tax positions, it is not practicable to assign this liability to any particular year and therefore it is not included in the table above as of December 31, 2021. </w:t>
      </w:r>
    </w:p>
    <w:p>
      <w:pPr>
        <w:pStyle w:val="TextBody"/>
        <w:spacing w:before="0" w:after="0"/>
        <w:ind w:left="0" w:right="0" w:hanging="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our consolidated financial statements in conformity with GAAP involves the use of estimates and assumptions that affect the amounts reported in the consolidated financial statements. Certain of our accounting policies require management to apply significant judgment in defining the appropriate assumptions integral to financial estimates and on an ongoing basis, management evaluates those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pStyle w:val="TextBody"/>
        <w:spacing w:before="0" w:after="0"/>
        <w:ind w:left="0" w:right="0" w:firstLine="27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outstanding receivables relates to casino credit play. Credit play, through the issuance of markers, represents a significant portion of the table games volume.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and Encore Boston Harbor are generally legally enforceable instruments in the United States, and United States assets of foreign customers may be used to satisfy judgments entered in the United States.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we have a network of legal, accounting and collection professionals to assist us in our determinations regarding enforceability and our overall collection efforts.</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our reserve for credit losses based on a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 </w:t>
      </w:r>
    </w:p>
    <w:p>
      <w:pPr>
        <w:pStyle w:val="TextBody"/>
        <w:spacing w:before="0" w:after="0"/>
        <w:ind w:left="0" w:right="0" w:firstLine="450"/>
        <w:jc w:val="both"/>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key statistics related to our casino accounts receivable (dollars in thousands):</w:t>
      </w:r>
    </w:p>
    <w:tbl>
      <w:tblPr>
        <w:tblW w:w="7682" w:type="dxa"/>
        <w:jc w:val="left"/>
        <w:tblInd w:w="0" w:type="dxa"/>
        <w:tblCellMar>
          <w:top w:w="28" w:type="dxa"/>
          <w:left w:w="28" w:type="dxa"/>
          <w:bottom w:w="28" w:type="dxa"/>
          <w:right w:w="28" w:type="dxa"/>
        </w:tblCellMar>
      </w:tblPr>
      <w:tblGrid>
        <w:gridCol w:w="1700"/>
        <w:gridCol w:w="1495"/>
        <w:gridCol w:w="1499"/>
        <w:gridCol w:w="211"/>
        <w:gridCol w:w="826"/>
        <w:gridCol w:w="271"/>
        <w:gridCol w:w="109"/>
        <w:gridCol w:w="109"/>
        <w:gridCol w:w="109"/>
        <w:gridCol w:w="211"/>
        <w:gridCol w:w="826"/>
        <w:gridCol w:w="316"/>
      </w:tblGrid>
      <w:tr>
        <w:trPr/>
        <w:tc>
          <w:tcPr>
            <w:tcW w:w="1700" w:type="dxa"/>
            <w:tcBorders/>
            <w:shd w:fill="auto" w:val="clear"/>
            <w:vAlign w:val="center"/>
          </w:tcPr>
          <w:p>
            <w:pPr>
              <w:pStyle w:val="TableContents"/>
              <w:spacing w:before="0" w:after="283"/>
              <w:rPr>
                <w:sz w:val="4"/>
                <w:szCs w:val="4"/>
              </w:rPr>
            </w:pPr>
            <w:r>
              <w:rPr>
                <w:sz w:val="4"/>
                <w:szCs w:val="4"/>
              </w:rPr>
            </w:r>
          </w:p>
        </w:tc>
        <w:tc>
          <w:tcPr>
            <w:tcW w:w="1495" w:type="dxa"/>
            <w:tcBorders/>
            <w:shd w:fill="auto" w:val="clear"/>
            <w:vAlign w:val="center"/>
          </w:tcPr>
          <w:p>
            <w:pPr>
              <w:pStyle w:val="TableContents"/>
              <w:spacing w:before="0" w:after="283"/>
              <w:rPr>
                <w:sz w:val="4"/>
                <w:szCs w:val="4"/>
              </w:rPr>
            </w:pPr>
            <w:r>
              <w:rPr>
                <w:sz w:val="4"/>
                <w:szCs w:val="4"/>
              </w:rPr>
            </w:r>
          </w:p>
        </w:tc>
        <w:tc>
          <w:tcPr>
            <w:tcW w:w="149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 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casino credit losses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98,035 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as a percentage of casino 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allowance for casino credit losses as shown in the table above is primarily due to the impact of historical collection patterns and expectations of current and future collection trends in light of the COVID-19 pandemic, as well as the specific review of customer accounts. Although the Company believes that its allowance is adequate, it is possible the estimated amounts of cash collections with respect to receivables could change. Our allowance for credit losses is based on our estimates of amounts collectible and depends on the risk assessments and judgments by management regarding realizability, the current and expected future state of the economy and our credit policy. Our reserve methodology is applied similarly to credit extended at each of our resorts. As of December 31, 2021 and 2020, 42.9% and 50.0%, respectively, of our outstanding casino accounts receivable balance originated at our Macau Operations, which include advances to gaming promoters.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 100 basis point change in the allowance for credit losses as a percentage of casino accounts receivable would change the provision for credit losses by approximately $2.0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our customer payment experience evolves, we will continue to refine our estimated allowance for credit losses. Accordingly, the associated provision for credit losses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Development, Construction and Property, and Equipment Estimates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construction and development of a resort or other projects,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is provided over the estimated useful lives of the assets using the straight-line method. We determine the estimated useful lives based on our experience with similar assets, estimates of the usage of the asset and other factors specific to the asset. Depreciation expense related to capitalized construction costs and fixed assets commences when the related assets are placed in service. The remaining estimated useful lives of assets are periodically reviewed and adjusted as necessary.</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of repairs and maintenance are charged to expense when incurred. The cost and accumulated depreciation of property and equipment retired or otherwise disposed of are eliminated from the respective accounts and any resulting gain or loss is included in property charges and other.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Impairment of Long-lived Assets, Intangible assets, and Goodwill</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2021, Wynn Palace and Wynn Macau continued to experience disruptions to their respective businesses as a result of the COVID-19 pandemic as noted in Note 1, "Organization and Business." As a result, we concluded that a triggering event occurred at each of these asset groups. We tested our asset groups for recoverability as of December 31, 2021, and concluded no impairment existed at that date as the estimated undiscounted future cash flows exceeded the net carrying amount for each of the asset groups. The tests for recoverability include estimates of future cash flows and the useful lives of our primary assets. These estimates are subjective and may change should the COVID-19 pandemic, including travel restrictions and operating capacity limitations, persist longer than expected. Unfavorable changes in the Company's estimates could require an impairment charge in the future.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value,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 Most of the Company’s goodwill recorded as of December 31, 2021 and 2020 was the result of an acquisition during the fourth quarter of 2020.</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12,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 value of the reporting units comprising Wynn Interactive based on a combination of the income and market approaches, recognized impairment of $10.3 million during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Litigation and Contingency Estimates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claims, legal actions and other contingencies, and we accrue for these matters when they are both probable and estimable. For matters that arose on or prior to the balance sheet date, we estimate any accruals based on the relevant facts and circumstances available through the date of issuance of the financial statements. We include the accruals associated with any contingent matters in other accrued liabilities on the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we had deferred tax assets of $2.5 billion including a foreign tax credit ("FTC") carryforward of $2.0 billion and a deferred tax asset related to interest expense carryforwards of $154.5 million. As of December 31, 2021, we have recorded a valuation allowance of $2.5 billion against the FTC carryforward, disallowed interest expense carryforward and the other deferred tax assets based on our estimate of future realization. In assessing the need for a valuation allowance, the Company considers whether it is more likely than not that the deferred tax assets will be realized. In this assessment, appropriate consideration was given to all positive and negative evidence including recent operating profitability, forecasts of future earnings, ability to carryback, the reversal of net taxable temporary differences, the duration of statutory carryforward periods, and tax planning strategies. As of December 31, 2021 and 2020, the Company no longer relies on forecast of future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taxable income due to tax legislation that reduces future sources of taxable income as well as the uncertainty caused by the COVID-19 pandemic and relies solely on the reversal of net taxable temporary differences.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income tax returns are subject to examination by the IRS and other tax authorities in the locations where we operate. We assess potentially unfavorable outcomes of such examinations based on accounting standards for uncertain income taxes. The accounting standards prescribe a minimum recognition threshold that a tax position is required to meet before being recognized in the financial statements.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Uncertain tax position accounting standards apply to all tax positions related to income taxes. These accounting standards utilize a two-step approach for evaluating tax positions. The tax benefit is measured as the largest amount of benefit that is more likely than not to be realized upon settlement.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applicable, we recognize accrued penalties and interest related to unrecognized tax benefits in the provision for income taxes.</w:t>
      </w:r>
    </w:p>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Recently Adopted Accounting Standards and Accounting Standards Issued But Not Yet Adopted</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See Item 8—"Financial Statements and Supplementary Data," Note 2, "Basis of Presentation and Significant Accounting Policies."</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7A. Quantitative and Qualitative Disclosures About Market Risk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loss arising from adverse changes in market rates and prices, such as interest rates, foreign currency exchange rates and commodity prices.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Interest Rate Risks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 </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following table provides estimated future cash flow information derived from our best estimates of repayments as of December 31, 2021, of our expected long-term indebtedness and related weighted average interest rates by expected maturity dates. However, we cannot predict the LIBOR or HIBOR rates that will be in effect in the future. Actual rates will vary. Additionally, the potential effect that the proposed LIBOR phaseout could have on our business and financial condition cannot yet be determined (see Item 1A—"Risk Factors," </w:t>
      </w:r>
      <w:r>
        <w:rPr>
          <w:rFonts w:ascii="Times New Roman;sans-serif" w:hAnsi="Times New Roman;sans-serif"/>
          <w:b w:val="false"/>
          <w:i/>
          <w:color w:val="000000"/>
          <w:sz w:val="20"/>
        </w:rPr>
        <w:t>Risks Related to our Indebtedness</w:t>
      </w:r>
      <w:r>
        <w:rPr>
          <w:color w:val="000000"/>
        </w:rPr>
        <w:t xml:space="preserve"> </w:t>
      </w:r>
      <w:r>
        <w:rPr>
          <w:rFonts w:ascii="Times New Roman;sans-serif" w:hAnsi="Times New Roman;sans-serif"/>
          <w:b w:val="false"/>
          <w:color w:val="000000"/>
          <w:sz w:val="20"/>
        </w:rPr>
        <w:t>for further discussion). The one-month LIBOR and HIBOR rates as of December 31, 2021 of 0.10% and 0.15%, respectively, were used for all variable rate calculations in the table below.</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information is presented in U.S. dollar equivalents as applicable.</w:t>
      </w:r>
    </w:p>
    <w:tbl>
      <w:tblPr>
        <w:tblW w:w="11551" w:type="dxa"/>
        <w:jc w:val="left"/>
        <w:tblInd w:w="0" w:type="dxa"/>
        <w:tblCellMar>
          <w:top w:w="28" w:type="dxa"/>
          <w:left w:w="28" w:type="dxa"/>
          <w:bottom w:w="28" w:type="dxa"/>
          <w:right w:w="28" w:type="dxa"/>
        </w:tblCellMar>
      </w:tblPr>
      <w:tblGrid>
        <w:gridCol w:w="375"/>
        <w:gridCol w:w="330"/>
        <w:gridCol w:w="331"/>
        <w:gridCol w:w="109"/>
        <w:gridCol w:w="109"/>
        <w:gridCol w:w="109"/>
        <w:gridCol w:w="211"/>
        <w:gridCol w:w="511"/>
        <w:gridCol w:w="271"/>
        <w:gridCol w:w="109"/>
        <w:gridCol w:w="109"/>
        <w:gridCol w:w="109"/>
        <w:gridCol w:w="211"/>
        <w:gridCol w:w="616"/>
        <w:gridCol w:w="271"/>
        <w:gridCol w:w="109"/>
        <w:gridCol w:w="109"/>
        <w:gridCol w:w="109"/>
        <w:gridCol w:w="211"/>
        <w:gridCol w:w="61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271"/>
        <w:gridCol w:w="109"/>
        <w:gridCol w:w="109"/>
        <w:gridCol w:w="109"/>
        <w:gridCol w:w="211"/>
        <w:gridCol w:w="766"/>
        <w:gridCol w:w="316"/>
      </w:tblGrid>
      <w:tr>
        <w:trPr/>
        <w:tc>
          <w:tcPr>
            <w:tcW w:w="375"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8" w:type="dxa"/>
            <w:gridSpan w:val="3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Ending December 31,</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8"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Expected Maturity Date</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8" w:type="dxa"/>
            <w:gridSpan w:val="3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9,210.0 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2,790.3 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54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Sensitivity</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approximately 77.0% of our long-term debt was based on fixed rates. Based on our borrowings as of December 31, 2021, an assumed 100 basis point change in the variable rates would cause our annual interest expense to change by $22.4 million.</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Foreign Currency Risks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expect most of the revenues and expenses for any casino that we operate in Macau will be denominated in Hong Kong dollars or Macau patacas; however, a significant portion of our Wynn Macau, Limited and Wynn Macau SA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December 31, 2021, an assumed 1% change in the U.S. dollar/Hong Kong dollar exchange rate would cause a foreign currency transaction gain/loss of $38.7 million.</w:t>
      </w:r>
    </w:p>
    <w:p>
      <w:pPr>
        <w:pStyle w:val="TextBody"/>
        <w:spacing w:before="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 xml:space="preserve">Item 8. Financial Statements and Supplementary Data </w:t>
      </w:r>
    </w:p>
    <w:p>
      <w:pPr>
        <w:pStyle w:val="TextBody"/>
        <w:spacing w:lineRule="auto" w:line="288" w:before="180" w:after="283"/>
        <w:jc w:val="center"/>
        <w:rPr>
          <w:rFonts w:ascii="Times New Roman;sans-serif" w:hAnsi="Times New Roman;sans-serif"/>
          <w:b/>
          <w:i/>
          <w:color w:val="000000"/>
          <w:sz w:val="20"/>
        </w:rPr>
      </w:pPr>
      <w:r>
        <w:rPr>
          <w:rFonts w:ascii="Times New Roman;sans-serif" w:hAnsi="Times New Roman;sans-serif"/>
          <w:b/>
          <w:i/>
          <w:color w:val="000000"/>
          <w:sz w:val="20"/>
        </w:rPr>
        <w:t>INDEX TO CONSOLIDATED FINANCIAL STATEMENTS</w:t>
      </w:r>
    </w:p>
    <w:tbl>
      <w:tblPr>
        <w:tblW w:w="6826" w:type="dxa"/>
        <w:jc w:val="center"/>
        <w:tblInd w:w="0" w:type="dxa"/>
        <w:tblCellMar>
          <w:top w:w="28" w:type="dxa"/>
          <w:left w:w="28" w:type="dxa"/>
          <w:bottom w:w="28" w:type="dxa"/>
          <w:right w:w="28" w:type="dxa"/>
        </w:tblCellMar>
      </w:tblPr>
      <w:tblGrid>
        <w:gridCol w:w="2286"/>
        <w:gridCol w:w="2009"/>
        <w:gridCol w:w="2020"/>
        <w:gridCol w:w="149"/>
        <w:gridCol w:w="149"/>
        <w:gridCol w:w="213"/>
      </w:tblGrid>
      <w:tr>
        <w:trPr/>
        <w:tc>
          <w:tcPr>
            <w:tcW w:w="2286" w:type="dxa"/>
            <w:tcBorders/>
            <w:shd w:fill="auto" w:val="clear"/>
            <w:vAlign w:val="center"/>
          </w:tcPr>
          <w:p>
            <w:pPr>
              <w:pStyle w:val="TableContents"/>
              <w:spacing w:before="0" w:after="283"/>
              <w:rPr>
                <w:sz w:val="4"/>
                <w:szCs w:val="4"/>
              </w:rPr>
            </w:pPr>
            <w:r>
              <w:rPr>
                <w:sz w:val="4"/>
                <w:szCs w:val="4"/>
              </w:rPr>
            </w:r>
          </w:p>
        </w:tc>
        <w:tc>
          <w:tcPr>
            <w:tcW w:w="2009" w:type="dxa"/>
            <w:tcBorders/>
            <w:shd w:fill="auto" w:val="clear"/>
            <w:vAlign w:val="center"/>
          </w:tcPr>
          <w:p>
            <w:pPr>
              <w:pStyle w:val="TableContents"/>
              <w:spacing w:before="0" w:after="283"/>
              <w:rPr>
                <w:sz w:val="4"/>
                <w:szCs w:val="4"/>
              </w:rPr>
            </w:pPr>
            <w:r>
              <w:rPr>
                <w:sz w:val="4"/>
                <w:szCs w:val="4"/>
              </w:rPr>
            </w:r>
          </w:p>
        </w:tc>
        <w:tc>
          <w:tcPr>
            <w:tcW w:w="20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6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73">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 42)</w:t>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73">
              <w:r>
                <w:rPr>
                  <w:rStyle w:val="InternetLink"/>
                  <w:rFonts w:ascii="Times New Roman;sans-serif" w:hAnsi="Times New Roman;sans-serif"/>
                  <w:b w:val="false"/>
                  <w:color w:val="0000FF"/>
                  <w:sz w:val="20"/>
                  <w:u w:val="single"/>
                </w:rPr>
                <w:t>58</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82">
              <w:r>
                <w:rPr>
                  <w:rStyle w:val="InternetLink"/>
                  <w:rFonts w:ascii="Times New Roman;sans-serif" w:hAnsi="Times New Roman;sans-serif"/>
                  <w:b w:val="false"/>
                  <w:color w:val="0000FF"/>
                  <w:sz w:val="20"/>
                  <w:u w:val="single"/>
                </w:rPr>
                <w:t>Consolidated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82">
              <w:r>
                <w:rPr>
                  <w:rStyle w:val="InternetLink"/>
                  <w:rFonts w:ascii="Times New Roman;sans-serif" w:hAnsi="Times New Roman;sans-serif"/>
                  <w:b w:val="false"/>
                  <w:color w:val="0000FF"/>
                  <w:sz w:val="20"/>
                  <w:u w:val="single"/>
                </w:rPr>
                <w:t>61</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85">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85">
              <w:r>
                <w:rPr>
                  <w:rStyle w:val="InternetLink"/>
                  <w:rFonts w:ascii="Times New Roman;sans-serif" w:hAnsi="Times New Roman;sans-serif"/>
                  <w:b w:val="false"/>
                  <w:color w:val="0000FF"/>
                  <w:sz w:val="20"/>
                  <w:u w:val="single"/>
                </w:rPr>
                <w:t>62</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88">
              <w:r>
                <w:rPr>
                  <w:rStyle w:val="InternetLink"/>
                  <w:rFonts w:ascii="Times New Roman;sans-serif" w:hAnsi="Times New Roman;sans-serif"/>
                  <w:b w:val="false"/>
                  <w:color w:val="0000FF"/>
                  <w:sz w:val="20"/>
                  <w:u w:val="single"/>
                </w:rPr>
                <w:t>Consolidated Statements of Comprehensive Income (Loss)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88">
              <w:r>
                <w:rPr>
                  <w:rStyle w:val="InternetLink"/>
                  <w:rFonts w:ascii="Times New Roman;sans-serif" w:hAnsi="Times New Roman;sans-serif"/>
                  <w:b w:val="false"/>
                  <w:color w:val="0000FF"/>
                  <w:sz w:val="20"/>
                  <w:u w:val="single"/>
                </w:rPr>
                <w:t>63</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91">
              <w:r>
                <w:rPr>
                  <w:rStyle w:val="InternetLink"/>
                  <w:rFonts w:ascii="Times New Roman;sans-serif" w:hAnsi="Times New Roman;sans-serif"/>
                  <w:b w:val="false"/>
                  <w:color w:val="0000FF"/>
                  <w:sz w:val="20"/>
                  <w:u w:val="single"/>
                </w:rPr>
                <w:t>Consolidated Statements of Stockholders’ Equity (Deficit)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91">
              <w:r>
                <w:rPr>
                  <w:rStyle w:val="InternetLink"/>
                  <w:rFonts w:ascii="Times New Roman;sans-serif" w:hAnsi="Times New Roman;sans-serif"/>
                  <w:b w:val="false"/>
                  <w:color w:val="0000FF"/>
                  <w:sz w:val="20"/>
                  <w:u w:val="single"/>
                </w:rPr>
                <w:t>64</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94">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94">
              <w:r>
                <w:rPr>
                  <w:rStyle w:val="InternetLink"/>
                  <w:rFonts w:ascii="Times New Roman;sans-serif" w:hAnsi="Times New Roman;sans-serif"/>
                  <w:b w:val="false"/>
                  <w:color w:val="0000FF"/>
                  <w:sz w:val="20"/>
                  <w:u w:val="single"/>
                </w:rPr>
                <w:t>65</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97">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97">
              <w:r>
                <w:rPr>
                  <w:rStyle w:val="InternetLink"/>
                  <w:rFonts w:ascii="Times New Roman;sans-serif" w:hAnsi="Times New Roman;sans-serif"/>
                  <w:b w:val="false"/>
                  <w:color w:val="0000FF"/>
                  <w:sz w:val="20"/>
                  <w:u w:val="single"/>
                </w:rPr>
                <w:t>66</w:t>
              </w:r>
            </w:hyperlink>
          </w:p>
        </w:tc>
      </w:tr>
      <w:tr>
        <w:trPr/>
        <w:tc>
          <w:tcPr>
            <w:tcW w:w="631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e4db90b58bb24c7b8cb599f2282c310d_166">
              <w:r>
                <w:rPr>
                  <w:rStyle w:val="InternetLink"/>
                  <w:rFonts w:ascii="Times New Roman;sans-serif" w:hAnsi="Times New Roman;sans-serif"/>
                  <w:b w:val="false"/>
                  <w:color w:val="0000FF"/>
                  <w:sz w:val="20"/>
                  <w:u w:val="single"/>
                </w:rPr>
                <w:t>Quarterly Consolidated Financial Information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e4db90b58bb24c7b8cb599f2282c310d_166">
              <w:r>
                <w:rPr>
                  <w:rStyle w:val="InternetLink"/>
                  <w:rFonts w:ascii="Times New Roman;sans-serif" w:hAnsi="Times New Roman;sans-serif"/>
                  <w:b w:val="false"/>
                  <w:color w:val="0000FF"/>
                  <w:sz w:val="20"/>
                  <w:u w:val="single"/>
                </w:rPr>
                <w:t>108</w:t>
              </w:r>
            </w:hyperlink>
          </w:p>
        </w:tc>
      </w:tr>
    </w:tbl>
    <w:p>
      <w:pPr>
        <w:pStyle w:val="TextBody"/>
        <w:spacing w:before="18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Wynn Resorts, Limited and subsidiaries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Internal Control Over Financial Reporting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Wynn Resorts, Limited and subsidiaries’ internal control over financial reporting as of December 31, 2021, based on criteria established in Internal Control—Integrated Framework issued by the Committee of Sponsoring Organizations of the Treadway Commission (2013 framework) (the COSO criteria). In our opinion, Wynn Resorts, Limited and subsidiaries (the Company) maintained, in all material respects, effective internal control over financial reporting as of December 31, 2021, based on the COSO criteria.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have audited, in accordance with the standards of the Public Company Accounting Oversight Board (United States) (PCAOB), the consolidated balance sheets of the Company as of December 31, 2021 and 2020, the related consolidated statements of operations, comprehensive income (loss), stockholders' equity (deficit) and cash flows for each of the three years in the period ended December 31, 2021, and the related notes and financial statement schedule listed in the Index at Item 15(a)2 and our report dated February 28, 2022 expressed an unqualified opinion thereon. </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Definition and Limitations of Internal Control Over Financial Reporting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0" w:after="0"/>
        <w:rPr/>
      </w:pPr>
      <w:r>
        <w:rPr/>
      </w:r>
    </w:p>
    <w:p>
      <w:pPr>
        <w:pStyle w:val="TextBody"/>
        <w:spacing w:before="0" w:after="0"/>
        <w:rPr/>
      </w:pPr>
      <w:r>
        <w:rPr/>
      </w:r>
    </w:p>
    <w:p>
      <w:pPr>
        <w:pStyle w:val="TextBody"/>
        <w:spacing w:lineRule="auto" w:line="276" w:before="0" w:after="0"/>
        <w:ind w:left="0" w:right="0" w:firstLine="576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jc w:val="both"/>
        <w:rPr/>
      </w:pPr>
      <w:r>
        <w:rPr/>
      </w:r>
    </w:p>
    <w:p>
      <w:pPr>
        <w:pStyle w:val="TextBody"/>
        <w:spacing w:before="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Stockholders of Wynn Resorts, Limited and subsidiaries</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Wynn Resorts, Limited and subsidiaries (the Company) as of December 31, 2021 and 2020, the related consolidated statements of operations, comprehensive income (loss), stockholders' equity (deficit) and cash flows for each of the three years in the period ended December 31, 2021,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February 28, 2022 expressed an unqualified opinion thereon.</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spacing w:before="0" w:after="0"/>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783"/>
        <w:gridCol w:w="267"/>
        <w:gridCol w:w="267"/>
        <w:gridCol w:w="2925"/>
        <w:gridCol w:w="2569"/>
        <w:gridCol w:w="3394"/>
      </w:tblGrid>
      <w:tr>
        <w:trPr/>
        <w:tc>
          <w:tcPr>
            <w:tcW w:w="783"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925"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339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i/>
                <w:color w:val="000000"/>
                <w:sz w:val="20"/>
              </w:rPr>
            </w:pPr>
            <w:r>
              <w:rPr>
                <w:rFonts w:ascii="Times New Roman;sans-serif" w:hAnsi="Times New Roman;sans-serif"/>
                <w:b/>
                <w:i/>
                <w:color w:val="000000"/>
                <w:sz w:val="20"/>
              </w:rPr>
              <w:t>Allowance for Credit Losses on Casino Receivables</w:t>
            </w:r>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888"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pPr>
            <w:r>
              <w:rPr>
                <w:rFonts w:ascii="Times New Roman;sans-serif" w:hAnsi="Times New Roman;sans-serif"/>
                <w:b w:val="false"/>
                <w:color w:val="000000"/>
                <w:sz w:val="20"/>
              </w:rPr>
              <w:t>At December 31, 2021, the Company’s allowance for credit losses on accounts receivable was $111.3 million, primarily consisting of casino receivables. As discussed in Note 2 to the consolidated financial statements, casino receivables primarily consist of credit issued to patrons in the form of markers and advances paid to gaming promoters. The Company records an estimated allowance for credit losses to reduce the Company’s receivables to their carrying amount, which reflects the net amount the Company expects to collect. The Company estimates the allowance based on specific review of customer and outstanding gaming promoter accounts taking into consideration the amount due from the patron and gaming promoters, the age of the account, the customer’s financial condition, as well as management’s experience with historical and current collection trends, current economic and business conditions, and management’s expectations of future economic and business conditions and forecasts.</w:t>
              <w:br/>
            </w:r>
            <w:r>
              <w:rPr>
                <w:rFonts w:ascii="Times New Roman;sans-serif" w:hAnsi="Times New Roman;sans-serif"/>
                <w:b w:val="false"/>
                <w:sz w:val="20"/>
              </w:rPr>
              <w:br/>
            </w:r>
            <w:r>
              <w:rPr>
                <w:rFonts w:ascii="Times New Roman;sans-serif" w:hAnsi="Times New Roman;sans-serif"/>
                <w:b w:val="false"/>
                <w:color w:val="000000"/>
                <w:sz w:val="20"/>
              </w:rPr>
              <w:t>Auditing management’s estimate of the allowance for credit losses on casino receivables is complex due to the highly judgmental nature of the qualitative factors used to estimate the collectability of casino receivables and high degree of subjectivity in evaluating management’s judgments related to the collectability of patron accounts receivable.</w:t>
            </w:r>
          </w:p>
        </w:tc>
      </w:tr>
      <w:tr>
        <w:trPr/>
        <w:tc>
          <w:tcPr>
            <w:tcW w:w="1317"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888"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pPr>
            <w:r>
              <w:rPr>
                <w:rFonts w:ascii="Times New Roman;sans-serif" w:hAnsi="Times New Roman;sans-serif"/>
                <w:b w:val="false"/>
                <w:color w:val="000000"/>
                <w:sz w:val="20"/>
              </w:rPr>
              <w:t>We obtained an understanding, evaluated the design and tested the operating effectiveness of controls over the Company’s allowance for credit losses process. For example, we tested controls over the issuance of markers to patrons, the collection processes and management’s review controls over the assessment of the expected collection of casino receivables and evaluation of the allowance for credit losses, including the information used by management in those controls.</w:t>
              <w:br/>
            </w:r>
            <w:r>
              <w:rPr>
                <w:rFonts w:ascii="Times New Roman;sans-serif" w:hAnsi="Times New Roman;sans-serif"/>
                <w:b w:val="false"/>
                <w:sz w:val="20"/>
              </w:rPr>
              <w:br/>
            </w:r>
            <w:r>
              <w:rPr>
                <w:rFonts w:ascii="Times New Roman;sans-serif" w:hAnsi="Times New Roman;sans-serif"/>
                <w:b w:val="false"/>
                <w:color w:val="000000"/>
                <w:sz w:val="20"/>
              </w:rPr>
              <w:t>To test the allowance for credit losses, our audit procedures included, among others: testing management’s historical collections analysis by obtaining evidence related to the original issuance of the credit to patrons on a sample of casino accounts receivable and examining support for subsequent settlement, if any; corroborating management’s representations for specific provisions made for certain individual casino patrons with internal data and examination of publicly available information of the customers’ financial condition; evaluating management’s assumptions regarding future collectability in comparison to current business trends, third-party macroeconomic data and peer data; and evaluating management’s use of this information in establishing the allowance for credit losses as of December 31, 2021.</w:t>
              <w:br/>
            </w:r>
            <w:r>
              <w:rPr>
                <w:rFonts w:ascii="Times New Roman;sans-serif" w:hAnsi="Times New Roman;sans-serif"/>
                <w:b w:val="false"/>
                <w:sz w:val="20"/>
              </w:rPr>
              <w:br/>
            </w:r>
            <w:r>
              <w:rPr>
                <w:rFonts w:ascii="Times New Roman;sans-serif" w:hAnsi="Times New Roman;sans-serif"/>
                <w:b w:val="false"/>
                <w:color w:val="000000"/>
                <w:sz w:val="20"/>
              </w:rPr>
              <w:t>In addition, we performed sensitivity analyses over the Company's significant assumptions and evaluated the overall allowance for credit losses by performing a retrospective analysis of the Company’s historical estimates, which consisted of comparing the Company’s estimates to subsequent settlements and write-offs.</w:t>
            </w:r>
          </w:p>
        </w:tc>
      </w:tr>
    </w:tbl>
    <w:p>
      <w:pPr>
        <w:pStyle w:val="TextBody"/>
        <w:spacing w:before="0" w:after="0"/>
        <w:rPr/>
      </w:pPr>
      <w:r>
        <w:rPr/>
      </w:r>
    </w:p>
    <w:p>
      <w:pPr>
        <w:pStyle w:val="TextBody"/>
        <w:spacing w:lineRule="auto" w:line="276" w:before="0" w:after="0"/>
        <w:ind w:left="0" w:right="0" w:firstLine="5760"/>
        <w:rPr>
          <w:rFonts w:ascii="Times New Roman;sans-serif" w:hAnsi="Times New Roman;sans-serif"/>
          <w:b w:val="false"/>
          <w:color w:val="000000"/>
          <w:sz w:val="20"/>
        </w:rPr>
      </w:pPr>
      <w:r>
        <w:rPr>
          <w:rFonts w:ascii="Times New Roman;sans-serif" w:hAnsi="Times New Roman;sans-serif"/>
          <w:b w:val="false"/>
          <w:color w:val="000000"/>
          <w:sz w:val="20"/>
        </w:rPr>
        <w:t xml:space="preserve">/s/ Ernst &amp; Young LLP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2006.</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BALANCE SHEETS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0205" w:type="dxa"/>
        <w:jc w:val="center"/>
        <w:tblInd w:w="0" w:type="dxa"/>
        <w:tblCellMar>
          <w:top w:w="28" w:type="dxa"/>
          <w:left w:w="28" w:type="dxa"/>
          <w:bottom w:w="28" w:type="dxa"/>
          <w:right w:w="28" w:type="dxa"/>
        </w:tblCellMar>
      </w:tblPr>
      <w:tblGrid>
        <w:gridCol w:w="2920"/>
        <w:gridCol w:w="2168"/>
        <w:gridCol w:w="2182"/>
        <w:gridCol w:w="196"/>
        <w:gridCol w:w="976"/>
        <w:gridCol w:w="109"/>
        <w:gridCol w:w="109"/>
        <w:gridCol w:w="109"/>
        <w:gridCol w:w="109"/>
        <w:gridCol w:w="196"/>
        <w:gridCol w:w="976"/>
        <w:gridCol w:w="155"/>
      </w:tblGrid>
      <w:tr>
        <w:trPr/>
        <w:tc>
          <w:tcPr>
            <w:tcW w:w="2920" w:type="dxa"/>
            <w:tcBorders/>
            <w:shd w:fill="auto" w:val="clear"/>
            <w:vAlign w:val="center"/>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21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2020</w:t>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3,482,032 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of allowance for credit losses of $111,319 and $100,329 </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200,158 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2,875,917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3,813,147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8,765,308 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9,196,644 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intangible assets, net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398,594 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178,615 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12,530,826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13,869,547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DEFICIT</w:t>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and construction payables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170,542 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148,478 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deposits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646,856 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Gaming taxes payable</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66,346 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126,846 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interest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136,421 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159,533 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1,287,880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1,880,888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11,884,546 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12,469,362 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13,367,041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14,606,864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17)</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deficit:</w:t>
            </w:r>
          </w:p>
        </w:tc>
        <w:tc>
          <w:tcPr>
            <w:tcW w:w="12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40,000,000 shares authorized; zero shares issued and outstanding</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400,000,000 shares authorized; 131,449,806 and 123,482,836 shares issued; 115,714,943 and 107,888,336 shares outstanding, respectively</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15,734,863 and 15,594,500 shares, respectively</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(1,436,373)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(1,422,531)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3,502,715 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2,598,115 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(2,288,078)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(1,532,420)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Wynn Resorts, Limited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(214,418)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(351,997)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Noncontrolling interests</w:t>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(621,797)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(385,320)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(836,215)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(737,317)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deficit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12,530,826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13,869,547</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OPERATIONS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data)</w:t>
      </w:r>
    </w:p>
    <w:tbl>
      <w:tblPr>
        <w:tblW w:w="9821" w:type="dxa"/>
        <w:jc w:val="center"/>
        <w:tblInd w:w="0" w:type="dxa"/>
        <w:tblCellMar>
          <w:top w:w="28" w:type="dxa"/>
          <w:left w:w="28" w:type="dxa"/>
          <w:bottom w:w="28" w:type="dxa"/>
          <w:right w:w="28" w:type="dxa"/>
        </w:tblCellMar>
      </w:tblPr>
      <w:tblGrid>
        <w:gridCol w:w="1870"/>
        <w:gridCol w:w="1638"/>
        <w:gridCol w:w="1651"/>
        <w:gridCol w:w="211"/>
        <w:gridCol w:w="976"/>
        <w:gridCol w:w="109"/>
        <w:gridCol w:w="109"/>
        <w:gridCol w:w="109"/>
        <w:gridCol w:w="109"/>
        <w:gridCol w:w="211"/>
        <w:gridCol w:w="1051"/>
        <w:gridCol w:w="109"/>
        <w:gridCol w:w="109"/>
        <w:gridCol w:w="109"/>
        <w:gridCol w:w="109"/>
        <w:gridCol w:w="211"/>
        <w:gridCol w:w="976"/>
        <w:gridCol w:w="154"/>
      </w:tblGrid>
      <w:tr>
        <w:trPr/>
        <w:tc>
          <w:tcPr>
            <w:tcW w:w="1870"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4,573,924 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818,822 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414,191 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3,763,664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2,095,861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6,611,099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2,924,254 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4,158,205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3,327,906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5,732,794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(394,541)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878,305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amounts capitalized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(616,975)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(530,230)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(390,087)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(1,011,516)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(1,762,275)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488,218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(2,326,946)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311,378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attributable to noncontrolling interests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(755,786)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(2,067,245)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122,985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(loss) per common share:</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COMPREHENSIVE INCOME (LOSS)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038"/>
        <w:gridCol w:w="1789"/>
        <w:gridCol w:w="1787"/>
        <w:gridCol w:w="211"/>
        <w:gridCol w:w="1044"/>
        <w:gridCol w:w="109"/>
        <w:gridCol w:w="109"/>
        <w:gridCol w:w="109"/>
        <w:gridCol w:w="109"/>
        <w:gridCol w:w="211"/>
        <w:gridCol w:w="1044"/>
        <w:gridCol w:w="109"/>
        <w:gridCol w:w="109"/>
        <w:gridCol w:w="109"/>
        <w:gridCol w:w="109"/>
        <w:gridCol w:w="211"/>
        <w:gridCol w:w="841"/>
        <w:gridCol w:w="157"/>
      </w:tblGrid>
      <w:tr>
        <w:trPr/>
        <w:tc>
          <w:tcPr>
            <w:tcW w:w="2038" w:type="dxa"/>
            <w:tcBorders/>
            <w:shd w:fill="auto" w:val="clear"/>
            <w:vAlign w:val="center"/>
          </w:tcPr>
          <w:p>
            <w:pPr>
              <w:pStyle w:val="TableContents"/>
              <w:spacing w:before="0" w:after="283"/>
              <w:rPr>
                <w:sz w:val="4"/>
                <w:szCs w:val="4"/>
              </w:rPr>
            </w:pPr>
            <w:r>
              <w:rPr>
                <w:sz w:val="4"/>
                <w:szCs w:val="4"/>
              </w:rPr>
            </w:r>
          </w:p>
        </w:tc>
        <w:tc>
          <w:tcPr>
            <w:tcW w:w="1789" w:type="dxa"/>
            <w:tcBorders/>
            <w:shd w:fill="auto" w:val="clear"/>
            <w:vAlign w:val="center"/>
          </w:tcPr>
          <w:p>
            <w:pPr>
              <w:pStyle w:val="TableContents"/>
              <w:spacing w:before="0" w:after="283"/>
              <w:rPr>
                <w:sz w:val="4"/>
                <w:szCs w:val="4"/>
              </w:rPr>
            </w:pPr>
            <w:r>
              <w:rPr>
                <w:sz w:val="4"/>
                <w:szCs w:val="4"/>
              </w:rPr>
            </w:r>
          </w:p>
        </w:tc>
        <w:tc>
          <w:tcPr>
            <w:tcW w:w="17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5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311,378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w:t>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before and after tax</w:t>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(1,008,513)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(2,319,579)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311,754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(188,498)</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Wynn Resorts, Limited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(753,386)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(2,061,962)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123,256</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STOCKHOLDERS' EQUITY (DEFICIT)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data)</w:t>
      </w:r>
    </w:p>
    <w:tbl>
      <w:tblPr>
        <w:tblW w:w="12817" w:type="dxa"/>
        <w:jc w:val="center"/>
        <w:tblInd w:w="0" w:type="dxa"/>
        <w:tblCellMar>
          <w:top w:w="28" w:type="dxa"/>
          <w:left w:w="28" w:type="dxa"/>
          <w:bottom w:w="28" w:type="dxa"/>
          <w:right w:w="28" w:type="dxa"/>
        </w:tblCellMar>
      </w:tblPr>
      <w:tblGrid>
        <w:gridCol w:w="565"/>
        <w:gridCol w:w="220"/>
        <w:gridCol w:w="221"/>
        <w:gridCol w:w="450"/>
        <w:gridCol w:w="451"/>
        <w:gridCol w:w="276"/>
        <w:gridCol w:w="109"/>
        <w:gridCol w:w="109"/>
        <w:gridCol w:w="109"/>
        <w:gridCol w:w="181"/>
        <w:gridCol w:w="496"/>
        <w:gridCol w:w="109"/>
        <w:gridCol w:w="109"/>
        <w:gridCol w:w="109"/>
        <w:gridCol w:w="109"/>
        <w:gridCol w:w="181"/>
        <w:gridCol w:w="736"/>
        <w:gridCol w:w="109"/>
        <w:gridCol w:w="109"/>
        <w:gridCol w:w="109"/>
        <w:gridCol w:w="109"/>
        <w:gridCol w:w="181"/>
        <w:gridCol w:w="751"/>
        <w:gridCol w:w="109"/>
        <w:gridCol w:w="109"/>
        <w:gridCol w:w="109"/>
        <w:gridCol w:w="109"/>
        <w:gridCol w:w="228"/>
        <w:gridCol w:w="625"/>
        <w:gridCol w:w="138"/>
        <w:gridCol w:w="109"/>
        <w:gridCol w:w="109"/>
        <w:gridCol w:w="109"/>
        <w:gridCol w:w="181"/>
        <w:gridCol w:w="736"/>
        <w:gridCol w:w="109"/>
        <w:gridCol w:w="109"/>
        <w:gridCol w:w="109"/>
        <w:gridCol w:w="109"/>
        <w:gridCol w:w="181"/>
        <w:gridCol w:w="751"/>
        <w:gridCol w:w="109"/>
        <w:gridCol w:w="109"/>
        <w:gridCol w:w="109"/>
        <w:gridCol w:w="109"/>
        <w:gridCol w:w="200"/>
        <w:gridCol w:w="699"/>
        <w:gridCol w:w="122"/>
        <w:gridCol w:w="109"/>
        <w:gridCol w:w="109"/>
        <w:gridCol w:w="109"/>
        <w:gridCol w:w="181"/>
        <w:gridCol w:w="751"/>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Par</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Treasury</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other</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comprehensive</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Retained</w:t>
              <w:br/>
              <w:t>earnings (accumulated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Wynn Resorts,  Limited</w:t>
              <w:br/>
              <w:t>stockholders'</w:t>
              <w:br/>
              <w:t>equity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Noncontrolling</w:t>
            </w:r>
          </w:p>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w:t>
              <w:br/>
              <w:t>equity (deficit)</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January 1, 2019</w:t>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107,232,026</w:t>
            </w: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(1,344,012)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2,457,079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(1,950)</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921,785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2,034,123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(219,334)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1,814,789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188,393 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311,378 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293,690 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14,696 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472,480 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(43,825)</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(590,428)</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(66,986)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of subsidiary repurchased for share award plan</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(5,384)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(402,952)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(165,835)</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(568,787)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30,445 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3,557 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34,002 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2019</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107,363,943</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(1,410,998)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2,512,676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(1,679)</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641,818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1,743,045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(201,573)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1,541,472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(2,067,245)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(2,067,245)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(259,701)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(2,326,946)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2,084 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886,014 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(241,108)</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(120,513)</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(106,949)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 Interactive transactions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73,768 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(6,238)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52,464 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5,473 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57,937 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2020</w:t>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107,888,336</w:t>
            </w:r>
            <w:r>
              <w:rPr>
                <w:color w:val="000000"/>
              </w:rPr>
              <w:t>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1,235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(1,422,531)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2,598,115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3,604</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(1,532,420)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(351,997)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(385,320)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(737,317)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(755,786)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(755,786)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(256,204)</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(1,011,990)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Currency translation adjustment</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common stock, net of $17.7 million underwriter discounts, commissions and other expenses</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7,475,000 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841,896 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Issuance of restricted stock</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518,191 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Cancellation of restricted stock</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(26,221)</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Shares repurchased by the Company and held as treasury shares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(140,363)</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(13,842)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dividends declared</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 Interactive transactions</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25,372 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 to noncontrolling interest</w:t>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(18,761)</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77,093 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11,648 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Balances, December 31, 2021</w:t>
            </w:r>
          </w:p>
        </w:tc>
        <w:tc>
          <w:tcPr>
            <w:tcW w:w="9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115,714,943</w:t>
            </w:r>
            <w:r>
              <w:rPr>
                <w:color w:val="000000"/>
              </w:rPr>
              <w:t>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1,314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(1,436,373)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3,502,715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4"/>
              </w:rPr>
              <w:t>6,004</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(2,288,078)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(214,418)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(621,797)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(836,215)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WYNN RESORTS, LIMITED AND SUBSIDIARIES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center"/>
        <w:tblInd w:w="0" w:type="dxa"/>
        <w:tblCellMar>
          <w:top w:w="28" w:type="dxa"/>
          <w:left w:w="28" w:type="dxa"/>
          <w:bottom w:w="28" w:type="dxa"/>
          <w:right w:w="28" w:type="dxa"/>
        </w:tblCellMar>
      </w:tblPr>
      <w:tblGrid>
        <w:gridCol w:w="2151"/>
        <w:gridCol w:w="1838"/>
        <w:gridCol w:w="1844"/>
        <w:gridCol w:w="196"/>
        <w:gridCol w:w="935"/>
        <w:gridCol w:w="109"/>
        <w:gridCol w:w="109"/>
        <w:gridCol w:w="109"/>
        <w:gridCol w:w="109"/>
        <w:gridCol w:w="196"/>
        <w:gridCol w:w="935"/>
        <w:gridCol w:w="109"/>
        <w:gridCol w:w="109"/>
        <w:gridCol w:w="109"/>
        <w:gridCol w:w="109"/>
        <w:gridCol w:w="196"/>
        <w:gridCol w:w="886"/>
        <w:gridCol w:w="156"/>
      </w:tblGrid>
      <w:tr>
        <w:trPr/>
        <w:tc>
          <w:tcPr>
            <w:tcW w:w="2151" w:type="dxa"/>
            <w:tcBorders/>
            <w:shd w:fill="auto" w:val="clear"/>
            <w:vAlign w:val="center"/>
          </w:tcPr>
          <w:p>
            <w:pPr>
              <w:pStyle w:val="TableContents"/>
              <w:spacing w:before="0" w:after="283"/>
              <w:rPr>
                <w:sz w:val="4"/>
                <w:szCs w:val="4"/>
              </w:rPr>
            </w:pPr>
            <w:r>
              <w:rPr>
                <w:sz w:val="4"/>
                <w:szCs w:val="4"/>
              </w:rPr>
            </w:r>
          </w:p>
        </w:tc>
        <w:tc>
          <w:tcPr>
            <w:tcW w:w="1838" w:type="dxa"/>
            <w:tcBorders/>
            <w:shd w:fill="auto" w:val="clear"/>
            <w:vAlign w:val="center"/>
          </w:tcPr>
          <w:p>
            <w:pPr>
              <w:pStyle w:val="TableContents"/>
              <w:spacing w:before="0" w:after="283"/>
              <w:rPr>
                <w:sz w:val="4"/>
                <w:szCs w:val="4"/>
              </w:rPr>
            </w:pPr>
            <w:r>
              <w:rPr>
                <w:sz w:val="4"/>
                <w:szCs w:val="4"/>
              </w:rPr>
            </w:r>
          </w:p>
        </w:tc>
        <w:tc>
          <w:tcPr>
            <w:tcW w:w="184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(1,011,990)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(2,326,946)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311,378 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(loss) to net cash (used in) provided by operating activities:</w:t>
            </w:r>
          </w:p>
        </w:tc>
        <w:tc>
          <w:tcPr>
            <w:tcW w:w="1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715,962 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624,878 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174,190 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95,238 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40,372 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21,898 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 in derivatives fair value </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charges and other</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74,688 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(decrease) in cash from changes in:</w:t>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Receivables, net</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(29,441)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(86,712)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 prepaid expenses and other</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27,660 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deposits</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(207,878)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(134,858)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(162,475)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(61,910)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operating activities</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(222,591)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(1,072,425)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901,070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 net of construction payables and retention</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(290,657)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(1,063,293)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intangible and other assets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acquired from business combination</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 and other</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investing activities</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(342,423)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(265,759)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(1,068,598)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long-term debt</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1,340,281 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4,691,953 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3,893,778 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long-term debt</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(2,488,401)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(2,035,354)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(2,930,015)</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Wynn Resorts, Limited common stock</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subsidiary common stock</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common stock</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(66,986)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payments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stock options</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of subsidiary repurchased for share award plan</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(108,777)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(566,521)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to acquire ownership interest in subsidiary</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 to noncontrolling interest</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(7,745)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financing costs</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(32,738)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cash (used in) provided by financing activities</w:t>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(388,002)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2,463,245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299,012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Effect of exchange rate on cash, cash equivalents and restricted cash </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(2,301)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3,031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7,485</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cash equivalents and restricted cash:</w:t>
            </w:r>
          </w:p>
        </w:tc>
        <w:tc>
          <w:tcPr>
            <w:tcW w:w="1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(Decrease) increase in cash, cash equivalents and restricted cash </w:t>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(955,317)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1,128,092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138,969</w:t>
            </w: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beginning of period</w:t>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3,486,384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2,358,292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2,219,323</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2,531,067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3,486,384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2,358,292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cash flow disclosures</w:t>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 net of amounts capitalized</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581,650 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463,458 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373,052 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Capitalized stock-based compensation</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paid for income taxes (income tax refunds received)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liabilities arising from obtaining finance lease assets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Liability settled with shares of common stock</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and construction payables related to property and equipment</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163,471 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liabilities related to intangible assets </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13,945 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Financing costs included in accounts payable and other liabilities </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payable on unvested restricted stock included in other accrued liabilities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6,690 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hyperlink w:anchor="ie4db90b58bb24c7b8cb599f2282c310d_7">
        <w:r>
          <w:rPr>
            <w:rStyle w:val="InternetLink"/>
          </w:rPr>
          <w:t>    </w:t>
        </w:r>
      </w:hyperlink>
      <w:hyperlink w:anchor="ie4db90b58bb24c7b8cb599f2282c310d_7">
        <w:r>
          <w:rPr>
            <w:rStyle w:val="InternetLink"/>
          </w:rPr>
          <w:t>    </w:t>
        </w:r>
      </w:hyperlink>
      <w:hyperlink w:anchor="ie4db90b58bb24c7b8cb599f2282c310d_7">
        <w:r>
          <w:rPr>
            <w:rStyle w:val="InternetLink"/>
          </w:rPr>
          <w:t>    </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Organization and Business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Organization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On June 23, 2019, the Company opened Encore Boston Harbor, an integrated resort in Everett, Massachusetts, that is owned 100% by the Company. In October 2020, Wynn Interactive Ltd. ("Wynn Interactive") was formed through the merger of our U.S. online sports betting and gaming business, social casino business, and our strategic partner, BetBull Limited ("BetBull"). Wynn Resorts holds an approximately 74% interest in, and consolidates, Wynn Interactive. For more information on the BetBull Acquisition, see Note 19, "Business Combination."</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Operations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Palace, which opened in August 2016, features a luxury hotel tower with 1,706 guest rooms, suites and villas, approximately 424,000 square feet of casino space, 14 food and beverage outlets, approximately 37,000 square feet of meeting and convention space, approximately 107,000 square feet of retail space, public attractions including a performance lake and floral art displays, and recreation and leisure facilities.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features two luxury hotel towers with a total of 1,010 guest rooms and suites, approximately 252,000 square feet of casino space, 14 food and beverage outlets, approximately 31,000 square feet of meeting and convention space, approximately 59,000 square feet of retail space, a performance lake, a rotunda show and recreation and leisure facilities.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features two luxury hotel towers with a total of 4,748 guest rooms, suites and villas, approximately 194,000 square feet of casino space, 32 food and beverage outlets, approximately 513,000 square feet of meeting and convention space, approximately 155,000 square feet of retail space (the majority of which is owned and operated under a joint venture of which the Company owns 50.1%), as well as two theaters, three nightclubs and a beach club and recreation and leisure facilities.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23, 2019, the Company opened Encore Boston Harbor, an integrated resort in Everett, Massachusetts, adjacent to Boston along the Mystic River. The property features a luxury hotel tower with a total of 671 guest rooms and suites, approximately 211,000 square feet of casino space, 15 food and beverage outlets, one nightclub, approximately 71,000 square feet of meeting and convention space, and approximately 10,000 square feet of retail space. Public attractions include a waterfront park, floral displays, and water shuttle service to downtown Boston.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Interactive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Interactive's subsidiary operates the digital and interactive sports betting app, WynnBET, which is operational in New Jersey, Colorado, Michigan, Virginia, Indiana, Arizona, Tennessee, Louisiana, and New York. In addition, subject to all necessary legislative authorizations and regulatory approvals, Wynn Interactive’s subsidiary has secured market access in Iowa and Ohio. BetBull, a wholly owned subsidiary of Wynn Interactive, operates a digital and interactive sports betting app in the United Kingdom.</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Developments Related to COVID-19</w:t>
      </w:r>
    </w:p>
    <w:p>
      <w:pPr>
        <w:pStyle w:val="TextBody"/>
        <w:spacing w:before="0" w:after="0"/>
        <w:rPr/>
      </w:pPr>
      <w:r>
        <w:rPr/>
      </w:r>
    </w:p>
    <w:p>
      <w:pPr>
        <w:pStyle w:val="TextBody"/>
        <w:spacing w:lineRule="auto" w:line="276"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Operations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some regions continue to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Given the evolving conditions created by and in response to the COVID-19 pandemic, measures that have been lifted may be reintroduced if there are adverse developments in the COVID-19 situation in Macau and other regions with access to Macau,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pStyle w:val="TextBody"/>
        <w:spacing w:before="0" w:after="0"/>
        <w:rPr/>
      </w:pPr>
      <w:r>
        <w:rPr/>
      </w:r>
    </w:p>
    <w:p>
      <w:pPr>
        <w:pStyle w:val="TextBody"/>
        <w:spacing w:lineRule="auto" w:line="276"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Las Vegas Operations and Encore Boston Harbor</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response to the COVID-19 outbreak, the Company’s Las Vegas Operations and Encore Boston Harbor each implemented certain COVID-19 specific protective measures, such as limiting the number of seats per table game, slot machine spacing, temperature checks, mask protection, and suspension of certain entertainment and nightlife offerings. Over the course of the twelve months ended December 31, 2021, the Company's Las Vegas Operations and Encore Boston Harbor have each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COVID-19 pandemic, measures that have been lifted may be reintroduced if there are adverse developments in the COVID-19 situation, and management cannot reasonably estimate the impact of such developments to the Company's future results of operations, cash flows, or financial condition.</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Liquidity</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total cash and cash equivalents, excluding restricted cash, of $2.52 billion, and had access to $835.6 million of available borrowing capacity from the WRF Revolver and $212.5 million of available borrowing capacity from the WM Cayman II Revolver (as defined and discussed further in Note 7, "Long Term Debt"). The Company has suspended its dividend program. Given the Company's liquidity position at December 31, 2021 and the steps the Company has taken as further described in Note 7, "Long-Term Debt," the Company believes it is able to support continuing operations and respond to the COVID-19 pandemic challenges.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Gaming Concession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2022, the Macau government published a draft of its proposed revisions to the gaming law. 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and triggering of the Property Mandatory Prepayment Event would have a material adverse effect on the Company's business, financial condition, results of operations, and cash flows.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Basis of Presentation and Significant Accounting Policies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 and Principles of Consolidation</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in accordance with U.S. generally accepted accounting principles ("GAAP") and include the accounts of the Company, its majority-owned subsidiaries, and entities the Company identifies as variable interest entities ("VIEs") of which the Company is determined to be the primary beneficiary. For information on the Company's VIEs, see Note 18, "Retail Joint Venture." All significant intercompany accounts and transactions have been eliminated. Certain amounts in the consolidated financial statements for the previous years have been reclassified to be consistent with the current year presentation of the Company's reportable segments. These reclassifications had no effect on the previously reported net income.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Cash, Cash Equivalents and Restricted Cash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cash and highly liquid investments with original maturities of three months or less and include both U.S. dollar-denominated and foreign currency-denominated securities. Cash equivalents are carried at cost, which approximates fair value. Restricted cash consists of cash collateral associated with obligations and cash held in a trust in accordance with WML's share award plan.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and Credit Risk</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casino accounts receivable. The Company issues credit in the form of "markers" to approved casino customers following investigations of creditworthiness.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 As of December 31, 2021, the Company had no agreements in place with gaming promoters.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taking into consideration the amount owed, the age of the account, the customer's financial condition,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consist of retail merchandise and food and beverage items, which are stated at the lower of cost or net realizable value, and certain operating supplies. Cost is determined by the first-in, first-out, weighted average and specific identification methods.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Property and Equipment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property and equipment are stated at cost, and when placed into service, are depreciated over the estimated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useful lives of the assets using the straight-line method as follows:</w:t>
      </w:r>
    </w:p>
    <w:tbl>
      <w:tblPr>
        <w:tblW w:w="5219" w:type="dxa"/>
        <w:jc w:val="left"/>
        <w:tblInd w:w="0" w:type="dxa"/>
        <w:tblCellMar>
          <w:top w:w="28" w:type="dxa"/>
          <w:left w:w="28" w:type="dxa"/>
          <w:bottom w:w="28" w:type="dxa"/>
          <w:right w:w="28" w:type="dxa"/>
        </w:tblCellMar>
      </w:tblPr>
      <w:tblGrid>
        <w:gridCol w:w="1027"/>
        <w:gridCol w:w="902"/>
        <w:gridCol w:w="906"/>
        <w:gridCol w:w="698"/>
        <w:gridCol w:w="698"/>
        <w:gridCol w:w="988"/>
      </w:tblGrid>
      <w:tr>
        <w:trPr/>
        <w:tc>
          <w:tcPr>
            <w:tcW w:w="102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Estimated Useful Life in Years </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3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w:t>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improvements</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10 - 45</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3 - 20</w:t>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interest in land</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property charges and other.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Capitalized Interest</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using the weighted average cost of the Company's outstanding borrowings. For the year ended December 31, 2021, the Company did not capitalize any interest. Interest of $1.3 million and $53.9 million was capitalized for the years ended December 31, 2020 and 2019,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Business Combinations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allocates the fair value of purchase consideration to the tangible assets acquired, liabilities assumed, and intangible assets acquired based on their estimated fair values in accordance with the applicable accounting standards. The excess of the fair value of purchase consideration over the fair values of these identifiable assets and liabilities is recorded as goodwill. When determining the fair values of assets acquired and liabilities assumed, management makes estimates and assumptions to determine the fair value of intangible assets.</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Estimates in valuing certain intangible assets include, but are not limited to future expected cash flows from acquired technology and acquired trademarks from a market participant perspective, useful lives, and discount rates. Management’s estimates of fair value are based upon assumptions believed to be reasonable, but which are inherently uncertain and unpredictable and, as a result, actual results may differ from estimates.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Acquisition-related costs are recognized separately from the acquisition and are expensed as incurred.</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measurement period, which is not to exceed one year from the acquisition date, the Company may record adjustments to the assets acquired and liabilities assumed, with the corresponding offset to goodwill. Upon the conclusion of the measurement period, any subsequent adjustments are recorded to the Consolidated Statements of Operations.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the tangible and intangible assets acquired and the liabilities assumed. Goodwill is not amortized, but rather is subject to an annual impairment test.</w:t>
      </w:r>
    </w:p>
    <w:p>
      <w:pPr>
        <w:pStyle w:val="TextBody"/>
        <w:spacing w:before="0" w:after="0"/>
        <w:ind w:left="0" w:right="0" w:firstLine="450"/>
        <w:rPr/>
      </w:pPr>
      <w:r>
        <w:rPr/>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tests goodwill for impairment annually, or more frequently if events or changes in circumstances indicate that this asset may be impaired. The Company’s test of goodwill impairment starts with a qualitative assessment to determine whether it is necessary to perform a quantitative goodwill impairment test. If qualitative factors indicate that the fair value of the reporting unit is more likely than not less than its carrying amount, then a quantitative goodwill impairment test is performed. For the quantitative analysis, the Company compares the fair value of its reporting unit to its carrying value. If the estimated fair value exceeds its carrying amount, goodwill is considered not to be impaired and no additional steps are necessary. However, if the fair value of the reporting unit is less than its carrying amount, goodwill impairment is recorded equal to the difference between the carrying amount of the reporting unit and its fair value, not to exceed the carrying amount of goodwill.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Intangible Assets other than goodwill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assets other than goodwill consist primarily of finite-lived intangible assets, including its Macau gaming concession and Massachusetts gaming license. Finite-lived intangible assets are amortized over the shorter of their contractual terms or estimated useful lives. The Company's indefinite-lived intangible assets are not amortized, but are reviewed for impairment annually.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Long-Lived Assets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which are to be held and used, including finite-lived intangible assets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spacing w:before="0" w:after="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the lessee under non-cancelable real estate and equipment leases. Finance and operating lease assets and liabilities are measured and recorded upon lease commencement at the present value of the future minimum lease payments. The Company combines lease and nonlease components in its determination of minimum lease payments, except for certain asset classes that have significant nonlease components. As the interest rate implicit in its leases is not readily determinable, the Company uses its incremental borrowing rate to determine the present value of lease payments. The Company does not record an asset or liability for leases with a term of less than one year. Variable lease costs generally arise from changes in an index, such as the consumer price index. Variable lease costs are expensed as incurred and are not included in the determination of lease assets or liabilities.</w:t>
      </w:r>
    </w:p>
    <w:p>
      <w:pPr>
        <w:pStyle w:val="TextBody"/>
        <w:spacing w:before="0" w:after="0"/>
        <w:ind w:left="0" w:right="0" w:firstLine="18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the lessor under non-cancelable operating leases for retail and food and beverage outlet space at its integrated resorts, which represents approximately 105,000, 59,000, 155,000, and 39,500 square feet of space at Wynn Palace, Wynn Macau, Wynn Las Vegas, and Encore Boston Harbor, respectively. The lease arrangements generally include minimum base rent and contingent rental clauses based on a percentage of net sales. Generally, the terms of the leases range between five and 10 years. The Company records revenue on a straight-line basis over the term of the lease, and recognizes revenue for contingent rentals when the contingency has been resolved. The Company has elected to combine lease and nonlease components for the purpose of measuring lease revenue. </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Debt Issuance Costs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 and incremental costs and original issue discounts and premiums incurred in connection with the issuance of long-term debt are deferred and amortized to interest expense using the effective interest method or, if the amounts approximate the effective interest method, on a straight-line basis. Debt issuance costs incurred in connection with the issuance of the Company's revolving credit facilities are presented in noncurrent assets on the Consolidated Balance Sheets. All other debt issuance costs are presented as a direct reduction of long-term debt on the Consolidated Balance Sheets. Approximately $27.0 million, $28.9 million, and $29.0 million was amortized to interest expense during the years ended December 31, 2021, 2020, and 2019, respectively.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spacing w:before="0" w:after="0"/>
        <w:ind w:left="0" w:right="0" w:firstLine="495"/>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interest rate collar to manage interest rate exposure on its Retail Term Loan (as defined in Note 7, "Long-Term Debt"). The Company measures the fair value of the interest rate collar at each balance sheet date based on a Black-Scholes option pricing model, which incorporates observable market inputs such as market volatility and interest rates. The fair value of the interest rate collar is recognized as an asset or liability at each balance sheet date, with changes in fair value recorded in earnings as the Company's interest rate collar does not qualify for hedge accounting. The fair value approximates the amount the Company would pay if the interest rate collar was settled at the respective valuation date.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Revenue Recognition </w:t>
      </w:r>
    </w:p>
    <w:p>
      <w:pPr>
        <w:pStyle w:val="TextBody"/>
        <w:spacing w:before="0" w:after="0"/>
        <w:jc w:val="both"/>
        <w:rPr/>
      </w:pPr>
      <w:r>
        <w:rPr/>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 from contracts with customers primarily consists of casino wagers and sales of rooms, food and beverage, entertainment, retail and other goods and services.</w:t>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 </w:t>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offers loyalty programs at each of its resorts. Customers earn points based on their level of table games and slots play, which can be redeemed for slots free play, gifts and complimentary goods or services provided by the Company. For casino transactions that include points earned under the Company's loyalty programs, the Company defers a portion of the revenue by recording the estimated standalone selling price of the earned points that are expected to be redeemed as a liability. </w:t>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redemption of the points for Company-owned goods or services, the standalone selling price of each good or service is allocated to the appropriate revenue type based on the good or service provided. Upon the redemption of points with third parties, the redemption amount is deducted from the liability and paid directly to the third party with any difference between the amount paid and the stand-alone selling price recorded as Entertainment, retail and other revenue in the accompanying Consolidated Statements of Operations. </w:t>
      </w:r>
    </w:p>
    <w:p>
      <w:pPr>
        <w:pStyle w:val="TextBody"/>
        <w:spacing w:before="0" w:after="0"/>
        <w:ind w:left="0" w:right="0" w:firstLine="450"/>
        <w:jc w:val="both"/>
        <w:rPr/>
      </w:pPr>
      <w:r>
        <w:rPr/>
      </w:r>
    </w:p>
    <w:p>
      <w:pPr>
        <w:pStyle w:val="TextBody"/>
        <w:spacing w:lineRule="auto" w:line="288" w:before="0" w:after="1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After allocating amounts to the complimentary goods or services provided and to the points earned under the Company's loyalty programs, the residual amount is recorded as casino revenue when the wager is settled.</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As previously noted, Entertainment, retail and other revenue also includes lease revenue, which is recognized in accordance with the relevant accounting principles. </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Gaming Taxes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taxes based on gross gaming revenues in the jurisdictions in which it operates, subject to applicable jurisdictional adjustments. These gaming taxes are recorded as casino expenses in the accompanying Consolidated Statements of Operations. These taxes totaled $830.4 million, $527.5 million, and $2.24 billion for the years ended December 31, 2021, 2020, and 2019, respectively.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Advertising Costs </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advertising is expensed as incurred, and totaled $250.6 million, $28.3 million, and $61.3 million for the years ended December 31, 2021, 2020, and 2019,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Pre-opening Expenses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Pre-opening expenses represent personnel, advertising, and other costs incurred prior to the opening of new ventures and are expensed as incurred. During the year ended December 31, 2021, the Company incurred pre-opening expenses primarily in connection with restaurant remodels at our Las Vegas Operations. During the year ended December 31, 2020, the Company incurred pre-opening expenses primarily in connection with restaurant remodels at our Las Vegas Operations and the meeting and convention expansion at Wynn Las Vegas, which opened in February 2020. During the year ended December 31, 2019, the Company incurred pre-opening expenses primarily in connection with the development of Encore Boston Harbor.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in the U.S. and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generally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 tax position accounting standards apply to all tax positions related to income taxes. These accounting standards utilize a two-step approach for evaluating tax positions. If a tax position, based on its technical merits, is deemed more likely than not to be sustained, then the tax benefit is measured as the largest amount of benefit that is more likely than not to be realized upon settlement. </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applicable, the Company will recognize accrued penalties and interest related to unrecognized tax benefits in the provision for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Gains or losses from foreign currency remeasurements are included in Other income (expense) in the accompanying Consolidated Statements of Operations. Balance sheet accounts are translated at the exchange rate in effect at each balance sheet date and income statement accounts are translated at the average rate of exchange prevailing during the year. Translation adjustments resulting from this process are charged or credited to other comprehensive income (loss).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Comprehensive Income (Loss) and Accumulated Other Comprehensive Income (Loss)</w:t>
      </w:r>
    </w:p>
    <w:p>
      <w:pPr>
        <w:pStyle w:val="TextBody"/>
        <w:spacing w:before="0" w:after="0"/>
        <w:ind w:left="0" w:right="0" w:firstLine="495"/>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includes net income (loss) and all other non-stockholder changes in equity or other comprehensive income (loss). Components of the Company's comprehensive income (loss) are reported in the accompanying Consolidated Statements of Stockholders' Equity (Deficit) and Consolidated Statements of Comprehensive Income (Loss).</w:t>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spacing w:before="0" w:after="0"/>
        <w:jc w:val="both"/>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 </w:t>
      </w:r>
    </w:p>
    <w:p>
      <w:pPr>
        <w:pStyle w:val="TextBody"/>
        <w:spacing w:before="0" w:after="0"/>
        <w:ind w:left="0" w:right="0" w:firstLine="495"/>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1</w:t>
      </w:r>
      <w:r>
        <w:rPr>
          <w:color w:val="000000"/>
        </w:rPr>
        <w:t xml:space="preserve"> </w:t>
      </w:r>
      <w:r>
        <w:rPr>
          <w:rFonts w:ascii="Times New Roman;sans-serif" w:hAnsi="Times New Roman;sans-serif"/>
          <w:b w:val="false"/>
          <w:color w:val="000000"/>
          <w:sz w:val="20"/>
        </w:rPr>
        <w:t xml:space="preserve">- Observable inputs such as quoted prices in active markets. </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2</w:t>
      </w:r>
      <w:r>
        <w:rPr>
          <w:color w:val="000000"/>
        </w:rPr>
        <w:t xml:space="preserve"> </w:t>
      </w:r>
      <w:r>
        <w:rPr>
          <w:rFonts w:ascii="Times New Roman;sans-serif" w:hAnsi="Times New Roman;sans-serif"/>
          <w:b w:val="false"/>
          <w:color w:val="000000"/>
          <w:sz w:val="20"/>
        </w:rPr>
        <w:t>- Inputs other than quoted prices in active markets that are either directly or indirectly observable.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Level 3</w:t>
      </w:r>
      <w:r>
        <w:rPr>
          <w:color w:val="000000"/>
        </w:rPr>
        <w:t xml:space="preserve"> </w:t>
      </w:r>
      <w:r>
        <w:rPr>
          <w:rFonts w:ascii="Times New Roman;sans-serif" w:hAnsi="Times New Roman;sans-serif"/>
          <w:b w:val="false"/>
          <w:color w:val="000000"/>
          <w:sz w:val="20"/>
        </w:rPr>
        <w:t xml:space="preserve">- Unobservable inputs in which little or no market data exists, therefore requiring an entity to develop its own assumptions. </w:t>
      </w:r>
    </w:p>
    <w:p>
      <w:pPr>
        <w:pStyle w:val="TextBody"/>
        <w:spacing w:before="0" w:after="0"/>
        <w:ind w:left="0" w:right="0" w:firstLine="495"/>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spacing w:before="0" w:after="0"/>
        <w:ind w:left="0" w:right="0" w:firstLine="495"/>
        <w:rPr/>
      </w:pPr>
      <w:r>
        <w:rPr/>
      </w:r>
    </w:p>
    <w:p>
      <w:pPr>
        <w:pStyle w:val="TextBody"/>
        <w:spacing w:lineRule="auto" w:line="288" w:before="0" w:after="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in accordance with accounting standards, which require the compensation cost relating to share-based payment transactions be recognized in the Company's Consolidated Statements of Operations. The cost is measured at the grant date, based on the estimated fair value of the award using the Black-Scholes option pricing model for stock options, and based on the closing share price of the Company's stock on the grant date for nonvested share awards. Dividend yield is based on the estimate of annual dividends expected to be paid at the time of the grant. Expected volatility is based on implied and historical factors related to the Company's common stock. The risk-free interest rate used for each period presented is based on the U.S. Treasury yield curve for stock options issued under the Wynn Resorts Omnibus Plan and Wynn Interactive Omnibus Plan (as defined and discussed in Note 12, "Stock-Based Compensation") and the Hong Kong Exchange Fund rates for stock options issued under the Share Option Plan (as defined in Note 12, "Stock-Based Compensation"), both at the time of grant for the period equal to the expected term. Expected term represents the weighted average time between the option's grant date and its exercise date. The Company uses historical award exercise activity and termination activity in estimating the expected term for the Omnibus Plan and Share Option Plan. The cost is recognized as an expense on a straight-line basis over the employee's requisite service period (the vesting period of the award), and forfeitures are recognized as they occur. The Company's stock-based employee compensation arrangements are more fully discussed in Note 12, "Stock-Based Compensation." </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spacing w:before="0" w:after="0"/>
        <w:ind w:left="0" w:right="0" w:firstLine="27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Company is currently assessing the impact the adoption of the new guidance will have on its consolidated financial statements. </w:t>
      </w:r>
    </w:p>
    <w:p>
      <w:pPr>
        <w:pStyle w:val="TextBody"/>
        <w:spacing w:before="0" w:after="0"/>
        <w:ind w:left="0" w:right="0" w:firstLine="270"/>
        <w:jc w:val="both"/>
        <w:rPr/>
      </w:pPr>
      <w:r>
        <w:rPr/>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3 - Cash, Cash Equivalents and Restricted Cash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(in thousands):</w:t>
      </w:r>
    </w:p>
    <w:tbl>
      <w:tblPr>
        <w:tblW w:w="7149" w:type="dxa"/>
        <w:jc w:val="left"/>
        <w:tblInd w:w="0" w:type="dxa"/>
        <w:tblCellMar>
          <w:top w:w="28" w:type="dxa"/>
          <w:left w:w="28" w:type="dxa"/>
          <w:bottom w:w="28" w:type="dxa"/>
          <w:right w:w="28" w:type="dxa"/>
        </w:tblCellMar>
      </w:tblPr>
      <w:tblGrid>
        <w:gridCol w:w="1503"/>
        <w:gridCol w:w="1323"/>
        <w:gridCol w:w="1329"/>
        <w:gridCol w:w="211"/>
        <w:gridCol w:w="991"/>
        <w:gridCol w:w="109"/>
        <w:gridCol w:w="109"/>
        <w:gridCol w:w="109"/>
        <w:gridCol w:w="109"/>
        <w:gridCol w:w="211"/>
        <w:gridCol w:w="991"/>
        <w:gridCol w:w="154"/>
      </w:tblGrid>
      <w:tr>
        <w:trPr/>
        <w:tc>
          <w:tcPr>
            <w:tcW w:w="1503" w:type="dxa"/>
            <w:tcBorders/>
            <w:shd w:fill="auto" w:val="clear"/>
            <w:vAlign w:val="center"/>
          </w:tcPr>
          <w:p>
            <w:pPr>
              <w:pStyle w:val="TableContents"/>
              <w:spacing w:before="0" w:after="283"/>
              <w:rPr>
                <w:sz w:val="4"/>
                <w:szCs w:val="4"/>
              </w:rPr>
            </w:pPr>
            <w:r>
              <w:rPr>
                <w:sz w:val="4"/>
                <w:szCs w:val="4"/>
              </w:rPr>
            </w:r>
          </w:p>
        </w:tc>
        <w:tc>
          <w:tcPr>
            <w:tcW w:w="1323"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2,021,553 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equivalents </w:t>
            </w:r>
            <w:r>
              <w:rPr>
                <w:rFonts w:ascii="Times New Roman;sans-serif" w:hAnsi="Times New Roman;sans-serif"/>
                <w:b w:val="false"/>
                <w:color w:val="000000"/>
                <w:sz w:val="16"/>
              </w:rPr>
              <w:t>(2)</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980,580 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and cash equivalents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2,522,530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3,482,032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6"/>
              </w:rPr>
              <w:t>(3)</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cash, cash equivalents and restricted cash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2,531,067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3,486,384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jc w:val="both"/>
        <w:rPr>
          <w:rFonts w:ascii="Times New Roman;sans-serif" w:hAnsi="Times New Roman;sans-serif"/>
          <w:b w:val="false"/>
          <w:color w:val="000000"/>
          <w:sz w:val="16"/>
        </w:rPr>
      </w:pPr>
      <w:r>
        <w:rPr>
          <w:rFonts w:ascii="Times New Roman;sans-serif" w:hAnsi="Times New Roman;sans-serif"/>
          <w:b w:val="false"/>
          <w:color w:val="000000"/>
          <w:sz w:val="16"/>
        </w:rPr>
        <w:t>(1) Cash consists of cash on hand and bank deposits.</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(2) Cash equivalents consist of bank time deposits and money market funds. </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 xml:space="preserve">(3) Restricted cash consists of cash subject to certain contractual restrictions, cash collateral associated with obligations and cash held in a trust in accordance with WML's share award plan.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 Receivables, net </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Receivables, net consisted of the following (in thousands):</w:t>
      </w:r>
    </w:p>
    <w:tbl>
      <w:tblPr>
        <w:tblW w:w="5454" w:type="dxa"/>
        <w:jc w:val="left"/>
        <w:tblInd w:w="0" w:type="dxa"/>
        <w:tblCellMar>
          <w:top w:w="28" w:type="dxa"/>
          <w:left w:w="28" w:type="dxa"/>
          <w:bottom w:w="28" w:type="dxa"/>
          <w:right w:w="28" w:type="dxa"/>
        </w:tblCellMar>
      </w:tblPr>
      <w:tblGrid>
        <w:gridCol w:w="998"/>
        <w:gridCol w:w="879"/>
        <w:gridCol w:w="883"/>
        <w:gridCol w:w="211"/>
        <w:gridCol w:w="841"/>
        <w:gridCol w:w="109"/>
        <w:gridCol w:w="109"/>
        <w:gridCol w:w="109"/>
        <w:gridCol w:w="109"/>
        <w:gridCol w:w="211"/>
        <w:gridCol w:w="841"/>
        <w:gridCol w:w="154"/>
      </w:tblGrid>
      <w:tr>
        <w:trPr/>
        <w:tc>
          <w:tcPr>
            <w:tcW w:w="998"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Hotel</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310,782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300,487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allowance for credit losses </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199,463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200,158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As of December 31, 2021 and 2020, approximately 70.3% and 77.3%,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r>
        <w:rPr>
          <w:color w:val="000000"/>
        </w:rPr>
        <w:t xml:space="preserv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casino credit losses was 53.7% and 47.2% of gross casino receivables as of December 31, 2021 and 2020,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the Company's allowance for credit losses recognized for receivables that occurred during the period (in thousands):</w:t>
      </w:r>
    </w:p>
    <w:tbl>
      <w:tblPr>
        <w:tblW w:w="6878" w:type="dxa"/>
        <w:jc w:val="left"/>
        <w:tblInd w:w="0" w:type="dxa"/>
        <w:tblCellMar>
          <w:top w:w="28" w:type="dxa"/>
          <w:left w:w="28" w:type="dxa"/>
          <w:bottom w:w="28" w:type="dxa"/>
          <w:right w:w="28" w:type="dxa"/>
        </w:tblCellMar>
      </w:tblPr>
      <w:tblGrid>
        <w:gridCol w:w="1515"/>
        <w:gridCol w:w="1333"/>
        <w:gridCol w:w="1336"/>
        <w:gridCol w:w="211"/>
        <w:gridCol w:w="841"/>
        <w:gridCol w:w="109"/>
        <w:gridCol w:w="109"/>
        <w:gridCol w:w="109"/>
        <w:gridCol w:w="109"/>
        <w:gridCol w:w="211"/>
        <w:gridCol w:w="841"/>
        <w:gridCol w:w="154"/>
      </w:tblGrid>
      <w:tr>
        <w:trPr/>
        <w:tc>
          <w:tcPr>
            <w:tcW w:w="1515"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credit losses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Write-offs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Recoveries of receivables previously written-off</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Effect of exchange rate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111,319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100,329</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spacing w:before="0" w:after="0"/>
        <w:ind w:left="0" w:right="0" w:firstLine="108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5829" w:type="dxa"/>
        <w:jc w:val="left"/>
        <w:tblInd w:w="0" w:type="dxa"/>
        <w:tblCellMar>
          <w:top w:w="28" w:type="dxa"/>
          <w:left w:w="28" w:type="dxa"/>
          <w:bottom w:w="28" w:type="dxa"/>
          <w:right w:w="28" w:type="dxa"/>
        </w:tblCellMar>
      </w:tblPr>
      <w:tblGrid>
        <w:gridCol w:w="1027"/>
        <w:gridCol w:w="902"/>
        <w:gridCol w:w="906"/>
        <w:gridCol w:w="211"/>
        <w:gridCol w:w="991"/>
        <w:gridCol w:w="109"/>
        <w:gridCol w:w="109"/>
        <w:gridCol w:w="109"/>
        <w:gridCol w:w="109"/>
        <w:gridCol w:w="211"/>
        <w:gridCol w:w="991"/>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December 31,</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9,785,514 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9,758,846 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improvements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1,265,510 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equipment</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3,067,793 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3,093,481 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Airplanes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14,492,318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14,364,850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(5,727,010)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(5,168,206)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8,765,308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9,196,644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and 2020, construction in progress consisted primarily of costs capitalized for various capital enhancements at the Company's properties, including the Wynn Las Vegas room remodel.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years ended December 31, 2021, 2020 and 2019 was $685.7 million, $699.6 million, and $602.9 million, respectively.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Encore Boston Harbor Real Estate Sale and Leaseback</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2022, the Company announced its entry into a sale-leaseback arrangement with respect to certain real estate assets related to Encore Boston Harbor. Upon closing of the related transactions, currently expected to take place in the fourth quarter of 2022 subject to regulatory approvals and customary closing conditions, the Company expects to receive cash consideration of approximately $1.7 billion in exchange for the sale of such real estate assets to an unrelated third party, and to concurrently enter into a lease agreement whereby the Company will lease such real estate assets for the purpose of continuing to operate the Encore Boston Harbor property. The lease agreement provides for an initial annual minimum rent of $100.0 million for an initial term of 30 years, subject to certain annual rent escalations and renewal provisions. The Company expects to use the cash proceeds from the sale of the real estate assets for general corporate purposes, which may include the repayment of certain debt obligations.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spacing w:before="0" w:after="0"/>
        <w:ind w:left="0" w:right="0" w:firstLine="108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net consisted of the following (in thousands):</w:t>
      </w:r>
    </w:p>
    <w:tbl>
      <w:tblPr>
        <w:tblW w:w="6324" w:type="dxa"/>
        <w:jc w:val="left"/>
        <w:tblInd w:w="0" w:type="dxa"/>
        <w:tblCellMar>
          <w:top w:w="28" w:type="dxa"/>
          <w:left w:w="28" w:type="dxa"/>
          <w:bottom w:w="28" w:type="dxa"/>
          <w:right w:w="28" w:type="dxa"/>
        </w:tblCellMar>
      </w:tblPr>
      <w:tblGrid>
        <w:gridCol w:w="1315"/>
        <w:gridCol w:w="1156"/>
        <w:gridCol w:w="1159"/>
        <w:gridCol w:w="211"/>
        <w:gridCol w:w="841"/>
        <w:gridCol w:w="109"/>
        <w:gridCol w:w="109"/>
        <w:gridCol w:w="109"/>
        <w:gridCol w:w="109"/>
        <w:gridCol w:w="211"/>
        <w:gridCol w:w="841"/>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6"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December 31,</w:t>
            </w:r>
          </w:p>
        </w:tc>
      </w:tr>
      <w:tr>
        <w:trPr/>
        <w:tc>
          <w:tcPr>
            <w:tcW w:w="3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Finite-lived intangible assets: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Macau gaming concession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3,569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Massachusetts gaming license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97,909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105,756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finite-lived intangible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accumulated amortization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70,348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16,378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169,443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125,703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rights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indefinite-lived intangible assets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8,397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Goodwill:</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year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Acquisitions </w:t>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end of period </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color w:val="000000"/>
                <w:sz w:val="20"/>
              </w:rPr>
            </w:pPr>
            <w:r>
              <w:rPr>
                <w:rFonts w:ascii="Times New Roman;sans-serif" w:hAnsi="Times New Roman;sans-serif"/>
                <w:b/>
                <w:color w:val="000000"/>
                <w:sz w:val="20"/>
              </w:rPr>
              <w:t>Total goodwill and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307,578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278,195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Macau gaming concession is a finite-lived intangible asset that is being amortized over the 20 year life of the concession. The Company expects that amortization of the Macau gaming concession will be $1.2 million in 2022.</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Massachusetts gaming license is a finite-lived intangible asset that is being amortized over the 15 year life of the license. The Company expects that amortization of the Massachusetts gaming license will be $7.8 million each year from 2022 through 2033, and $3.7 million in 2034.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Other finite-lived intangible assets consist of trademarks and customer lists acquired in connection with the BetBull Acquisition and are being amortized over ten and three years, respectively. For more information on the BetBull Acquisition, see Note 19, "Business Combination." The Company expects that amortization of Other intangible assets will be $3.4 million in 2022, $2.9 million for 2023, $1.0 million each year from 2024 through 2029, and $0.8 million in 2030.</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goodwill of $121.0 million in 2020 in connection with the BetBull Acquisition. Goodwill is recorded within Wynn Interactive as of December 31, 2021 and 2020.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12, 2021, Wynn Resorts announced the termination of a previously announced agreement and plan of merger which contemplated the combination of Wynn Interactive and a special purpose acquisition company. The Company concluded that the termination of the agreement constituted a potential indicator of impairment, and as a result of revisiting its estimated fair value of the reporting units comprising Wynn Interactive based on a combination of the income and market approaches, the Company recognized impairment of $10.3 million. Impairment of goodwill is recorded in Property charges and other in the accompanying Consolidated Statements of Operations during the year ended December 31, 2021. </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debt consisted of the following (in thousands): </w:t>
      </w:r>
    </w:p>
    <w:tbl>
      <w:tblPr>
        <w:tblW w:w="10194" w:type="dxa"/>
        <w:jc w:val="left"/>
        <w:tblInd w:w="0" w:type="dxa"/>
        <w:tblCellMar>
          <w:top w:w="28" w:type="dxa"/>
          <w:left w:w="28" w:type="dxa"/>
          <w:bottom w:w="28" w:type="dxa"/>
          <w:right w:w="28" w:type="dxa"/>
        </w:tblCellMar>
      </w:tblPr>
      <w:tblGrid>
        <w:gridCol w:w="2529"/>
        <w:gridCol w:w="2225"/>
        <w:gridCol w:w="2236"/>
        <w:gridCol w:w="211"/>
        <w:gridCol w:w="1096"/>
        <w:gridCol w:w="109"/>
        <w:gridCol w:w="109"/>
        <w:gridCol w:w="109"/>
        <w:gridCol w:w="109"/>
        <w:gridCol w:w="211"/>
        <w:gridCol w:w="1096"/>
        <w:gridCol w:w="154"/>
      </w:tblGrid>
      <w:tr>
        <w:trPr/>
        <w:tc>
          <w:tcPr>
            <w:tcW w:w="2529" w:type="dxa"/>
            <w:tcBorders/>
            <w:shd w:fill="auto" w:val="clear"/>
            <w:vAlign w:val="center"/>
          </w:tcPr>
          <w:p>
            <w:pPr>
              <w:pStyle w:val="TableContents"/>
              <w:spacing w:before="0" w:after="283"/>
              <w:rPr>
                <w:sz w:val="4"/>
                <w:szCs w:val="4"/>
              </w:rPr>
            </w:pPr>
            <w:r>
              <w:rPr>
                <w:sz w:val="4"/>
                <w:szCs w:val="4"/>
              </w:rPr>
            </w:r>
          </w:p>
        </w:tc>
        <w:tc>
          <w:tcPr>
            <w:tcW w:w="2225" w:type="dxa"/>
            <w:tcBorders/>
            <w:shd w:fill="auto" w:val="clear"/>
            <w:vAlign w:val="center"/>
          </w:tcPr>
          <w:p>
            <w:pPr>
              <w:pStyle w:val="TableContents"/>
              <w:spacing w:before="0" w:after="283"/>
              <w:rPr>
                <w:sz w:val="4"/>
                <w:szCs w:val="4"/>
              </w:rPr>
            </w:pPr>
            <w:r>
              <w:rPr>
                <w:sz w:val="4"/>
                <w:szCs w:val="4"/>
              </w:rPr>
            </w:r>
          </w:p>
        </w:tc>
        <w:tc>
          <w:tcPr>
            <w:tcW w:w="22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Macau Related:</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WM Cayman II Revolver, due 2025 </w:t>
            </w:r>
            <w:r>
              <w:rPr>
                <w:rFonts w:ascii="Times New Roman;sans-serif" w:hAnsi="Times New Roman;sans-serif"/>
                <w:b w:val="false"/>
                <w:color w:val="000000"/>
                <w:sz w:val="16"/>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1,287,766 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Wynn Macau Credit Facilities</w:t>
            </w:r>
            <w:r>
              <w:rPr>
                <w:color w:val="000000"/>
              </w:rPr>
              <w:t xml:space="preserve"> </w:t>
            </w:r>
            <w:r>
              <w:rPr>
                <w:rFonts w:ascii="Times New Roman;sans-serif" w:hAnsi="Times New Roman;sans-serif"/>
                <w:b w:val="false"/>
                <w:color w:val="000000"/>
                <w:sz w:val="16"/>
              </w:rPr>
              <w:t>(2)</w:t>
            </w:r>
            <w:r>
              <w:rPr>
                <w:rFonts w:ascii="Times New Roman;sans-serif" w:hAnsi="Times New Roman;sans-serif"/>
                <w:b w:val="false"/>
                <w:color w:val="000000"/>
                <w:sz w:val="20"/>
              </w:rPr>
              <w:t>:</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Macau Term Loan, due 2022</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Wynn Macau Revolver, due 2022</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4 7/8% Senior Notes, due 2024</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2026</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1/2% Senior Notes, due 2027</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5/8% Senior Notes, due 2028</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WML 5 1/8% Senior Notes, due 2029</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U.S. and Corporate Related:</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WRF Credit Facilities </w:t>
            </w:r>
            <w:r>
              <w:rPr>
                <w:rFonts w:ascii="Times New Roman;sans-serif" w:hAnsi="Times New Roman;sans-serif"/>
                <w:b w:val="false"/>
                <w:color w:val="000000"/>
                <w:sz w:val="16"/>
              </w:rPr>
              <w:t>(3)</w:t>
            </w:r>
            <w:r>
              <w:rPr>
                <w:rFonts w:ascii="Times New Roman;sans-serif" w:hAnsi="Times New Roman;sans-serif"/>
                <w:b w:val="false"/>
                <w:color w:val="000000"/>
                <w:sz w:val="20"/>
              </w:rPr>
              <w:t>:</w:t>
            </w:r>
          </w:p>
        </w:tc>
        <w:tc>
          <w:tcPr>
            <w:tcW w:w="14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WRF Term Loan, due 2024</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WRF Revolver, due 2024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4 1/4% Senior Notes, due 2023</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1/2% Senior Notes, due 2025</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WLV 5 1/4% Senior Notes, due 2027</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7 3/4% Senior Notes, due 2025</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WRF 5 1/8% Senior Notes, due 2029</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Retail Term Loan, due 2025</w:t>
            </w:r>
            <w:r>
              <w:rPr>
                <w:color w:val="000000"/>
              </w:rPr>
              <w:t xml:space="preserve"> </w:t>
            </w:r>
            <w:r>
              <w:rPr>
                <w:rFonts w:ascii="Times New Roman;sans-serif" w:hAnsi="Times New Roman;sans-serif"/>
                <w:b w:val="false"/>
                <w:color w:val="000000"/>
                <w:sz w:val="16"/>
              </w:rPr>
              <w:t>(4)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12,000,266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13,154,049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 and original issue discounts and premium, net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11,934,546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13,065,770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11,884,546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12,469,362</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The borrowings under the WM Cayman II Revolver bear interest at LIBOR or HIBOR plus a margin of 1.875% to 2.875% per annum based on WM Cayman II’s leverage ratio on a consolidated basis. Approximately $268.2 million and $1.02 billion of the WM Cayman II Revolver bears interest at a rate of LIBOR plus 2.625% per year and HIBOR plus 2.625% per year, respectively. As of December 31, 2021, the weighted average interest rate was approximately 2.80%. As of December 31, 2021, the available borrowing capacity under the WM Cayman II Revolver was $212.5 million.</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In September 2021, the Company repaid in full the then-outstanding principal amount of $1.26 billion owed under Wynn Macau Credit Facilities.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(3) The WRF Credit Facilities bear interest at a rate of LIBOR plus 1.75% per year. As of December 31, 2021 and 2020, the weighted average interest rate was 1.86% and 1.90%, respectively. Additionally, as of December 31, 2021, the available borrowing capacity under the WRF Revolver was $835.6 million, net of $14.4 million in outstanding letters of credit. The Company repaid $716.0 million of the outstanding borrowings under the WRF Revolver in February 2021. </w:t>
      </w:r>
    </w:p>
    <w:p>
      <w:pPr>
        <w:pStyle w:val="TextBody"/>
        <w:spacing w:lineRule="auto" w:line="288" w:before="0" w:after="0"/>
        <w:ind w:left="0" w:right="0" w:hanging="270"/>
        <w:rPr>
          <w:rFonts w:ascii="Times New Roman;sans-serif" w:hAnsi="Times New Roman;sans-serif"/>
          <w:b w:val="false"/>
          <w:color w:val="000000"/>
          <w:sz w:val="16"/>
        </w:rPr>
      </w:pPr>
      <w:r>
        <w:rPr>
          <w:rFonts w:ascii="Times New Roman;sans-serif" w:hAnsi="Times New Roman;sans-serif"/>
          <w:b w:val="false"/>
          <w:color w:val="000000"/>
          <w:sz w:val="16"/>
        </w:rPr>
        <w:t>(4) The Retail Term Loan bears interest at a rate of LIBOR plus 1.70% per year. As of December 31, 2021 and 2020, the effective interest rate was 2.70% for both years.</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 xml:space="preserve">Macau Related Debt </w:t>
      </w:r>
    </w:p>
    <w:p>
      <w:pPr>
        <w:pStyle w:val="TextBody"/>
        <w:spacing w:before="0" w:after="0"/>
        <w:ind w:left="0" w:right="0" w:firstLine="27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WM Cayman II Revolver</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one tranche in an amount of $312.5 million and one tranche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final maturity of all outstanding loans under the WM Cayman II Revolver is September 16, 2025 (or if September 16, 2025 is not a business day, the next business day in the relevant calendar month), by which time any outstanding borrowings from the WM Cayman II Revolver must be repaid.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Borrowings of $1.09 billion under the WM Cayman II Revolver, along with $200.0 million of cash, were used to facilitate the prepayment of the outstanding $1.26 billion of borrowings under the Wynn Macau Credit Facilities, and to pay related fees and expenses totaling $30.3 million, of which $29.2 million was recorded as debt issuance costs within the Consolidated Balance Sheet. The Company recognized this transaction primarily as a modification of existing debt with the related unamortized debt issuance costs reallocated to the WM Cayman II Revolver. For those components of debt that were deemed extinguished, the Company recognized a loss on extinguishment of debt of $0.7 million.</w:t>
      </w:r>
    </w:p>
    <w:p>
      <w:pPr>
        <w:pStyle w:val="TextBody"/>
        <w:spacing w:before="0" w:after="0"/>
        <w:ind w:left="0" w:right="0" w:firstLine="45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 Credit Facilities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Wynn Macau credit facilities consisted of an approximately $1.27 billion equivalent senior secured term loan facility (the "Wynn Macau Term Loan") and an approximately $751 million equivalent senior secured revolving credit facility (the "Wynn Macau Revolver" and together with the Wynn Macau Term Loan, the "Wynn Macau Credit Facilities"). The borrower was Wynn Resorts (Macau) S.A. ("Wynn Macau SA"), an indirect subsidiary of WML.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prepaid $938.2 million, excluding contractual amortization payments of $100.7 million, on the Wynn Macau Term Loan using the proceeds from issuances of WML Senior Notes and operating cash. In January 2021, the Company prepaid $412.5 million of the Wynn Macau Term Loan, and accordingly, has presented that amount as a current liability on the accompany Consolidated Balance Sheet as of December 31,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discussed above, in September 2021, the Wynn Macau Credit Facilities were repaid in full along with related financing costs.</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WML Senior Notes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WML issued $1.0 billion of 5 1/2% Senior Notes due 2026 and $1.35 billion of 5 5/8% Senior Notes due 2028 (the “2026 and 2028 WML Senior Notes” and collectively with the WML 4 7/8% Senior Notes, due 2024, the WML 5 1/2% Senior Notes, due 2027, and the WML 5 1/8% Senior Notes, due 2029, the “WML Senior Notes”). The Company used the proceeds from the 2026 and 2028 WML Senior Notes to facilitate repayments on the Wynn Macau Credit Facilities and for general corporate purposes. The WML Senior Notes bear interest at each of their respective interest rates and interest is payable semi-annually. In connection with the issuance of the 2026 and 2028 WML Senior Notes, the Company paid fees and expenses totaling $20.7 million, which were recorded as debt issuance costs within the Consolidated Balance Sheets.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Senior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the WM Cayman II Revolver. The WML Senior Notes are not registered under the Securities Act of 1933, as amended (the "Securities Act") and the WML Notes are subject to restrictions on transferability and resale.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WML Senior Notes were issued pursuant to indentures between WML and Deutsche Bank Trust Company Americas, as trustee (the “WML Senior Notes Indentures”). The WML Senior Notes Indentures contain covenants limiting WML’s (and certain of its subsidiaries’) ability to, among other things: merge or consolidate with another company; transfer or sell all or substantially all of its properties or assets; and lease all or substantially all of its properties or assets. The WML Senior Notes Indentures also contain customary events of default. In the case of an event of default arising from certain events of bankruptcy or insolvency, all WML Senior Notes then outstanding will become due and payable immediately without further action or notice.</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highlight w:val="white"/>
        </w:rPr>
        <w:t xml:space="preserve">Upon the occurrence of (a) any event after which none of WML or any subsidiary of WML has the applicable gaming concessions or authorizations in Macau in substantially the same manner and scope as WML and its subsidiaries are entitled to at the date on which each of the WML Senior Notes are issued, for a period of 10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WML Senior Notes will have the right to require WML to repurchase all or any part of such holder’s WML Senior Notes at a purchase price in cash equal to 100% of the principal amount thereof, plus accrued and unpaid interest. </w:t>
      </w:r>
      <w:r>
        <w:rPr>
          <w:rFonts w:ascii="Times New Roman;sans-serif" w:hAnsi="Times New Roman;sans-serif"/>
          <w:b w:val="false"/>
          <w:color w:val="000000"/>
          <w:sz w:val="20"/>
        </w:rPr>
        <w:t>If WML undergoes a Change of Control (as defined in the WML Senior Notes Indentures), it must offer to repurchase the WML Senior Notes at a price equal to 101% of the aggregate principal amount thereof, plus accrued and unpaid interest.</w:t>
      </w:r>
    </w:p>
    <w:p>
      <w:pPr>
        <w:pStyle w:val="TextBody"/>
        <w:spacing w:before="0" w:after="0"/>
        <w:jc w:val="both"/>
        <w:rPr/>
      </w:pPr>
      <w:r>
        <w:rPr/>
      </w:r>
    </w:p>
    <w:p>
      <w:pPr>
        <w:pStyle w:val="TextBody"/>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U.S. and Corporate Related Debt</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Refinancing Transactions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20, 2019, WRF and its subsidiary Wynn Resorts Capital Corp. (collectively with WRF, the "WRF Issuers"), each an indirect wholly owned subsidiary of the Company, issued $750.0 million aggregate principal amount of 5 1/8% Senior Notes due 2029 (the "2029 WRF Senior Notes") pursuant to an indenture (the "2029 Indenture") among the WRF Issuers, the guarantors party thereto, and U.S. Bank National Association, as trustee (the "Trustee").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issuance of the 2029 WRF Senior Notes, WRF entered into a credit agreement (the "WRF Credit Agreement") providing for a new first lien term loan facility in an aggregate principal amount of $1.0 billion (the "WRF Term Loan") and a new first lien revolving credit facility in an aggregate principal amount of $850.0 million (the "WRF Revolver" and together with the WRF Term Loan, the "WRF Credit Facilities") (the WRF Credit Facilities and 2029 WRF Notes are collectively referred to as the "Refinancing Transactions").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WRF used the net proceeds from the Refinancing Transactions to refinance the existing Wynn America credit facilities and the Wynn Resorts term loan and to pay related fees and expenses totaling $19.3 million, of which $15.1 million was recorded as debt issuance costs within the Consolidated Balance Sheet. The Company recognized the Refinancing Transactions primarily as a modification of existing debt with the related unamortized debt issuance costs reallocated to the new debt instruments. For those components of debt that were deemed extinguished, the Company recognized a loss on extinguishment of debt of $12.4 million.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WRF Credit Facilities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certain exceptions, the WRF Credit Facilities bear interest at LIBOR plus 1.75% per annum. The annual fee required to pay for unborrowed amounts under the WRF Revolver, if any, is 0.25% per annum. The Company is required to make quarterly repayments on the WRF Term Loan of $12.5 million beginning in the fourth quarter of 2019, with any remaining principal amount outstanding repayable in full on September 20, 2024.</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Credit Agreement contains customary representations and warranties, events of default and negative and affirmative covenants, including, but not limited to, covenants that restrict our ability to pay dividends or distributions to any direct or indirect subsidiaries, to incur and/or repay indebtedness, to make certain restricted payments, and to enter into mergers and acquisitions, negative pledges, liens, transactions with affiliates, and sales of assets. In addition, WRF is subject to financial covenants, including maintaining a Consolidated First Lien Net Leverage Ratio, as defined in the WRF Credit Agreement. Commencing with the fourth quarter of 2019, the Consolidated Senior Secured Net Leverage Ratio is not to exceed 3.75 to 1.00.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Credit Facilities are guaranteed by each of WRF's existing and future wholly owned domestic restricted subsidiaries (the "Guarantors"), subject to certain exceptions, and are secured by a first priority lien on substantially all of </w:t>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WRF's and each of the guarantors' existing and future property and assets, subject to certain exceptions, including a limitation on the amount of collateral granted by Wynn Las Vegas, LLC ("WLV") and its subsidiaries so as to not violate the indenture governing WLV's outstanding senior notes.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10, 2020 and November 27, 2020, the WRF Credit Agreement was collectively amended to, among other things, implement a financial covenant relief period (the "Financial Covenant Relief Period") through April 1, 2022 (unless earlier terminated by WRF),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amend the definition of "Consolidated EBITDA" in the WRF Credit Agreement during the Financial Covenant Increase Period, amend WRF's financial reporting obligations (including extensions to certain deadlines), add certain restrictions on restricted payments (including restrictions on a portion of dividends received from WRF's subsidiaries) during the Financial Covenant Relief Period and the Financial Covenant Increase Period, and amend the definition of "Material Adverse Effect" in the WRF Credit Agreement to take into consideration COVID-19.</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Financial Covenant Relief Period, the existing consolidated first lien net leverage ratio financial covenant was replaced with a minimum liquidity financial covenant that requires WRF and its restricted subsidiaries to maintain liquidity of at least $325.0 million at all times (with liquidity being the sum of unrestricted operating cash, as defined in the WRF Credit Agreement, and the available borrowing capacity under the WRF Revolver). Following the Financial Covenant Relief Period and for as long as the Financial Covenant Increase Period is in effect, WRF may not permit the consolidated first lien net leverage ratio as of the last day of any fiscal quarter to exceed for the first fiscal quarter of the Financial Covenant Increase Period, 4.50 to 1.00, for the second fiscal quarter of the Financial Covenant Increase Period, 4.25 to 1.00, for the third fiscal quarter of the Financial Covenant Increase Period, 4.00 to 1.00, and for each subsequent fiscal quarter thereafter (including from and including the first fiscal quarter during which the Financial Covenant Increase Period has been terminated by WRF), 3.75 to 1.00.</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WRF Senior Notes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April 14, 2020, the WRF Issuers issued $600.0 million aggregate principal amount of 7 3/4% Senior Notes due 2025 (the "2025 WRF Senior Notes" and collectively with the 2029 WRF Senior Notes, the “WRF Senior Notes”) pursuant to an indenture (the "2025 Indenture" and collectively with the 2029 Indenture, the “WRF Indentures”) among the WRF Issuers, the guarantors party thereto, and the Trustee. The Company intends to use the proceeds from the 2025 Senior Notes for general corporate purposes. The WRF Senior Notes bear interest at each of their respective interest rates and interest is payable semi-annually. In connection with the issuance of the 2025 WRF Senior Notes and the 2029 WRF Senior Notes, the Company paid fees and expenses totaling $13.5 million, which were recorded as debt issuance costs within the Consolidated Balance Sheets.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are the WRF Issuers' senior unsecured obligations and rank pari passu in right of payment with the WLV Senior Notes (as defined below), and rank equally in right of payment with Wynn Las Vegas' guarantee of the WRF Credit Facilities, and rank senior in right of payment to all of the WRF Issuers' existing and future subordinated debt. The WRF Senior Notes are effectively subordinated in right of payment to all of the WRF Issuers' existing and future secured debt (to the extent of the value of the collateral securing such debt), and structurally subordinated to all of the liabilities of any of the WRF Issuers' subsidiaries that do not guarantee the WRF Senior Notes, including WML and its subsidiaries.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are jointly and severally guaranteed by each of WRF's existing domestic restricted subsidiaries that guarantee indebtedness under the WRF Credit Agreement, including Wynn Las Vegas, LLC and each of its subsidiaries that guarantees the WLV Senior Notes. The guarantees are senior unsecured obligations of the Guarantors and rank senior in right of payment to all of their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WRF Indentures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WRF Indentures. The WRF Indentures also contain customary events of default, including, but not limited to, failure to make required payments, failure to comply with certain covenants, certain events of bankruptcy and insolvency, and failure to pay certain judgments.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WRF Senior Notes were offered pursuant to an exemption under the Securities Act of 1933, as amended (the "Securities Act"). The WRF Senior Notes were offered only to qualified institutional buyers in reliance on Rule 144A under the Securities Act. The WRF Senior Notes have not been and will not be registered under the Securities Act or under any state securities laws. Therefore, the WRF Senior Notes may not be offered or sold within the United States to, or for the account or benefit of, any United States person unless the offer or sale would qualify for a registration exemption from the Securities Act and applicable state securities laws.</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WLV Senior Notes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LLC and Wynn Las Vegas Capital Corp. ("Capital Corp." and together with Wynn Las Vegas, LLC, the "Issuers") issued $500.0 million 4 1/4% Senior Notes due 2023 (the "2023 WLV Senior Notes"), $1.8 billion 5 1/2% Senior Notes due 2025 (the “2025 WLV Senior Notes”), and $900.0 million 5 1/4% Senior Notes due 2027 (the 2027 WLV Senior Notes) pursuant to indentures, dated as of May 22, 2013 (the "2023 Indenture"), February 18, 2015 (the “2025 Indenture”), and May 11, 2017 (the "2027 Indenture"), respectively, among the Issuers, the Guarantors (as defined below) and the Trustee. The 2023 WLV Senior Notes, 2025 WLV Senior Notes, and 2027 WLV Senior Notes are collectively referred to as the “WLV Senior Notes.” The 2023 Indenture, 2025 Indenture, and 2027 Indenture are collectively referred to as the “WLV Indentures.”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WLV Senior Notes are the WLV Issuers' senior unsecured obligations and each rank pari passu in right of payment. The WLV Senior Notes are unsecured, except by the first priority pledge by Wynn Las Vegas Holdings, LLC ("WLVH"), a direct wholly owned subsidiary of Wynn Resorts Finance, LLC, of its equity interests in Wynn Las Vegas, LLC. If Wynn Resorts receives an investment grade rating from one or more ratings agencies, the first priority pledge securing the WLV Senior Notes will be released.</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WLV Senior Notes are jointly and severally guaranteed by all of the Issuers' subsidiaries, other than Capital Corp., which was a co-issuer.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WLV Indentures contain covenants limiting the WLV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Events of default under the WLV Indentures include, among others, the following: default for 30 days in the payment of interest when due on the WLV Senior Notes; default in payment of the principal or premium, if any, when due on the WLV Senior Notes; failure to comply with certain covenants in the WLV Indentures; and certain events of bankruptcy or insolvency. In the case of an event of default arising from certain events of bankruptcy or insolvency with respect to the WLV Issuers or any guarantor, all WLV Senior Notes then outstanding will become due and payable immediately without further action or notice.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2018, Wynn Resorts purchased $20.0 million principal amount of the 2025 WLV Senior Notes and 2027 WLV Senior Notes, respectively through open market purchases. As of December 31, 2021, Wynn Resorts holds this debt and has not contributed it to its wholly owned subsidiary, Wynn Las Vegas, LLC.</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WLV Issuers and certain of their subsidiaries will guarantee and secure their obligation under the WRF Credit Facilities with liens on substantially all of their assets, with such liens limiting the amount of such obligations secured to 15% of their total assets.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WLV Senior Notes were offered pursuant to an exemption under the Securities Act only to qualified institutional buyers in reliance on Rule 144A under the Securities Act. The WLV Senior Notes have not been and will not be registered under the Securities Act or under any state securities laws. Therefore, the WLV Senior Notes may not be offered or sold within the United States to, or for the account or benefit of, any United States person unless the offer or sale would qualify for a registration exemption from the Securities Act and applicable state securities laws.</w:t>
      </w:r>
    </w:p>
    <w:p>
      <w:pPr>
        <w:pStyle w:val="TextBody"/>
        <w:spacing w:before="0" w:after="0"/>
        <w:ind w:left="0" w:right="0" w:firstLine="495"/>
        <w:jc w:val="both"/>
        <w:rPr/>
      </w:pPr>
      <w:r>
        <w:rPr/>
      </w:r>
    </w:p>
    <w:p>
      <w:pPr>
        <w:pStyle w:val="TextBody"/>
        <w:spacing w:before="0" w:after="0"/>
        <w:ind w:left="0" w:right="0" w:firstLine="495"/>
        <w:jc w:val="both"/>
        <w:rPr/>
      </w:pPr>
      <w:r>
        <w:rPr/>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Retail Term Loan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2018, Wynn/CA Plaza Property Owner, LLC and Wynn/CA Property Owner, LLC (collectively, the "Retail Borrowers"), subsidiaries of the Retail Joint Venture, entered into a term loan agreement (the "Retail Term Loan Agreement").</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Retail Term Loan Agreement provides for a term loan facility to the Retail Borrowers of $615.0 million (the "Retail Term Loan"). The Retail Term Loan is secured by substantially all of the assets of the Retail Borrowers. The Retail Term Loan matures on July 24, 2025 and bears interest at a rate of LIBOR plus 1.70% per annum. In accordance with the Retail Term Loan Agreement, the Retail Borrowers entered into an interest rate collar agreement with a LIBOR floor of 1.00% and a ceiling of 3.75%. The Retail Borrowers distributed approximately $589 million of the net proceeds of the Retail Term Loan to their members on a proportionate basis to each member's ownership percentage. At any time subsequent to July 25, 2019, the Retail Borrowers may prepay the Retail Term Loan, in whole or in part, with no premium above the principal amount. </w:t>
      </w:r>
    </w:p>
    <w:p>
      <w:pPr>
        <w:pStyle w:val="TextBody"/>
        <w:spacing w:before="0" w:after="0"/>
        <w:ind w:left="0" w:right="0" w:firstLine="72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Retail Term Loan Agreement, the Retail Borrowers entered into a five year interest rate collar with a notional value of $615.0 million for a cash payment of $3.9 million in July 2018. The interest rate collar establishes a range whereby the Retail Borrowers will pay the counterparty if one-month LIBOR falls below the established floor rate of 1.00%, and the counterparty will pay the Retail Borrowers if one-month LIBOR exceeds the ceiling rate of 3.75%. The interest rate collar settles monthly commencing in August 2019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December 31, 2021, the fair value of the interest rate collar was a liability of $5.5 million, of which $3.9 million was recorded in Other accrued liabilities and $1.6 million was recorded in Other long-term liabilities in the accompanying Consolidated Balance Sheets.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2020, the Retail Borrowers entered into an amendment (the "Retail Term Loan Agreement Amendment") to its existing retail term loan agreement (the "Retail Term Loan Agreement"). The Retail Term Loan Agreement Amendment amended the Retail Term Loan Agreement to, among other things, temporarily suspend the requirement to maintain certain financial ratios to avoid triggering excess cash sweep provisions from the first quarter of 2020 through the fourth quarter of 2021.</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Debt Covenant Compliance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management believes the Company was in compliance with all debt covenants.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Scheduled Maturities of Long-Term Debt</w:t>
      </w:r>
    </w:p>
    <w:p>
      <w:pPr>
        <w:pStyle w:val="TextBody"/>
        <w:spacing w:before="0" w:after="0"/>
        <w:ind w:left="0" w:right="0" w:firstLine="27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Scheduled maturities of long-term debt as of December 31, 2021 were as follows (in thousands):</w:t>
      </w:r>
    </w:p>
    <w:tbl>
      <w:tblPr>
        <w:tblW w:w="7986" w:type="dxa"/>
        <w:jc w:val="left"/>
        <w:tblInd w:w="0" w:type="dxa"/>
        <w:tblCellMar>
          <w:top w:w="28" w:type="dxa"/>
          <w:left w:w="28" w:type="dxa"/>
          <w:bottom w:w="28" w:type="dxa"/>
          <w:right w:w="28" w:type="dxa"/>
        </w:tblCellMar>
      </w:tblPr>
      <w:tblGrid>
        <w:gridCol w:w="2363"/>
        <w:gridCol w:w="2075"/>
        <w:gridCol w:w="2087"/>
        <w:gridCol w:w="211"/>
        <w:gridCol w:w="1096"/>
        <w:gridCol w:w="154"/>
      </w:tblGrid>
      <w:tr>
        <w:trPr/>
        <w:tc>
          <w:tcPr>
            <w:tcW w:w="2363"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20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4,282,766 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12,000,266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original issue discounts and premium, net</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11,934,546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Fair Value of Long-Term Debt</w:t>
      </w:r>
    </w:p>
    <w:p>
      <w:pPr>
        <w:pStyle w:val="TextBody"/>
        <w:spacing w:before="0" w:after="0"/>
        <w:ind w:left="0" w:right="0" w:firstLine="27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long-term debt as of December 31, 2021 and 2020, was approximately $11.72 billion and $13.35 billion, respectively, compared to its carrying value, excluding debt issuance costs and original issue discount and premium, of $12.00 billion, and $13.15 billion, respectively. The estimated fair value of the Company's long-term debt is based on recent trades, if available, and indicative pricing from market information (Level 2 inputs).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Stockholders' Equity (Deficit)</w:t>
      </w:r>
    </w:p>
    <w:p>
      <w:pPr>
        <w:pStyle w:val="TextBody"/>
        <w:spacing w:before="0" w:after="0"/>
        <w:ind w:left="0" w:right="0" w:firstLine="27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11, 2021, the Company completed a registered public offering of 7,475,000 newly issued shares of its common stock, par value $0.01 per share, at a price of $115.00 per share for proceeds of $841.9 million, net of $17.7 million in underwriting discounts and commissions. The Company used the net proceeds from this equity offering for general corporate purposes, including the repayment of debt.</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an equity repurchase program of up to $1.0 billion, which may include repurchases from time to time through open market purchases or negotiated transactions, depending on market conditions. During the years ended December 31, 2021 and 2020, the Company did not repurchase any of its shares under the program. During the year ended December 31, 2019, the Company repurchased 413,439 shares at a net cost of $43.2 million under the equity repurchase program. As of December 31, 2021, the Company had $800.1 million in repurchase authority under the program.</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the Company withheld a total of 140,363 shares, 120,513 shares, and 176,989 shares, respectively, in satisfaction of tax withholding obligations on vested restricted stock and stock option exercises.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Dividends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2020, the Company paid a cash dividend of $1.00 per share. On May 6, 2020, the Company announced that it had suspended its quarterly dividend program due to the financial impact of the COVID-19 pandemic.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2019, the Company paid a cash dividend of $0.75 per share and $1.00 per share for each of the the three subsequent quarters, for annual cash dividends of $3.75 per share.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2020 and 2019, the Company recorded $107.5 million and $403.0 million, respectively, as a reduction of retained earnings from cash dividends declared.</w:t>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Noncontrolling Interests </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Wynn Interactive Ltd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April 16, 2021, Wynn Interactive issued a pre-emptive rights notice to its shareholders in connection with the proposed creation and issuance of new Class A shares. Upon the consummation of the share issuance in May 2021, Wynn Interactive issued 3,229 new Class A shares to noncontrolling interest holders in exchange for aggregate proceeds of $4.7 million.</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highlight w:val="white"/>
        </w:rPr>
      </w:pPr>
      <w:r>
        <w:rPr>
          <w:rFonts w:ascii="Times New Roman;sans-serif" w:hAnsi="Times New Roman;sans-serif"/>
          <w:b w:val="false"/>
          <w:i/>
          <w:color w:val="000000"/>
          <w:sz w:val="20"/>
          <w:highlight w:val="white"/>
        </w:rPr>
        <w:t>Wynn Macau, Limited</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2009, WML, the developer, owner and operator of Wynn Macau and Wynn Palace, listed its ordinary shares of common stock on The Stock Exchange of Hong Kong Limited through an initial public offering. The Company currently owns approximately 72% of this subsidiary's common stock. The shares of WML were not and will not be registered under the Securities Act and may not be offered or sold in the United States absent a registration under the Securities Act, or an applicable exception from such registration requirements.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WML board of directors concluded not to recommend the payment of a dividend with respect to the years ended December 31, 2021, 2020 and 2019 due to the financial impact of the COVID-19 pandemic. As such, WML paid no dividends during 2021 and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16, 2019, WML paid a cash dividend of HK$0.45 per share for a total of $298.0 million. The Company's share of this dividend was $215.1 million with a reduction of $82.9 million to noncontrolling interest in the accompanying Consolidated Balance Sheet.</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June 19, 2019, WML paid a cash dividend of HK$0.45 per share for a total of $298.0 million. The Company's share of this dividend was $215.0 million with a reduction of $83.0 million to noncontrolling interest in the accompanying Consolidated Balance Sheet.</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Retail Joint Venture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2020 and 2019, the Retail Joint Venture made aggregate distributions of $18.8 million, $6.2 million and $7.7 million, respectively, to its non-controlling interest holder. For more information on the Retail Joint Venture, see Note 18, "Retail Joint Venture". </w:t>
      </w:r>
    </w:p>
    <w:p>
      <w:pPr>
        <w:pStyle w:val="TextBody"/>
        <w:spacing w:before="0" w:after="0"/>
        <w:ind w:left="0" w:right="0" w:firstLine="495"/>
        <w:jc w:val="both"/>
        <w:rPr/>
      </w:pPr>
      <w:r>
        <w:rPr/>
      </w:r>
    </w:p>
    <w:p>
      <w:pPr>
        <w:pStyle w:val="TextBody"/>
        <w:spacing w:before="0" w:after="0"/>
        <w:ind w:left="0" w:right="0" w:firstLine="495"/>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assets and liabilities carried at fair value (in thousands):</w:t>
      </w:r>
    </w:p>
    <w:tbl>
      <w:tblPr>
        <w:tblW w:w="7489" w:type="dxa"/>
        <w:jc w:val="left"/>
        <w:tblInd w:w="0" w:type="dxa"/>
        <w:tblCellMar>
          <w:top w:w="28" w:type="dxa"/>
          <w:left w:w="28" w:type="dxa"/>
          <w:bottom w:w="28" w:type="dxa"/>
          <w:right w:w="28" w:type="dxa"/>
        </w:tblCellMar>
      </w:tblPr>
      <w:tblGrid>
        <w:gridCol w:w="569"/>
        <w:gridCol w:w="501"/>
        <w:gridCol w:w="505"/>
        <w:gridCol w:w="272"/>
        <w:gridCol w:w="1088"/>
        <w:gridCol w:w="140"/>
        <w:gridCol w:w="109"/>
        <w:gridCol w:w="109"/>
        <w:gridCol w:w="109"/>
        <w:gridCol w:w="211"/>
        <w:gridCol w:w="826"/>
        <w:gridCol w:w="109"/>
        <w:gridCol w:w="109"/>
        <w:gridCol w:w="109"/>
        <w:gridCol w:w="109"/>
        <w:gridCol w:w="211"/>
        <w:gridCol w:w="826"/>
        <w:gridCol w:w="109"/>
        <w:gridCol w:w="109"/>
        <w:gridCol w:w="109"/>
        <w:gridCol w:w="109"/>
        <w:gridCol w:w="312"/>
        <w:gridCol w:w="600"/>
        <w:gridCol w:w="229"/>
      </w:tblGrid>
      <w:tr>
        <w:trPr/>
        <w:tc>
          <w:tcPr>
            <w:tcW w:w="56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w:t>
              <w:br/>
              <w:t>Markets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500,977</w:t>
            </w: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500,977 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8,537</w:t>
            </w: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5,548</w:t>
            </w: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7"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1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w:t>
              <w:br/>
              <w:t>Market</w:t>
              <w:br/>
              <w:t>Prices in</w:t>
              <w:br/>
              <w:t>Active</w:t>
              <w:br/>
              <w:t>Markets</w:t>
              <w:b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br/>
              <w:t>Observable</w:t>
              <w:br/>
              <w:t>Inputs</w:t>
              <w:b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Unobservable</w:t>
              <w:br/>
              <w:t>Inputs</w:t>
              <w:br/>
              <w:t>(Level 3)</w:t>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980,580</w:t>
            </w: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7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4,352</w:t>
            </w: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collar</w:t>
            </w:r>
          </w:p>
        </w:tc>
        <w:tc>
          <w:tcPr>
            <w:tcW w:w="27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16,908</w:t>
            </w: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10 - Benefit Plans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Defined Contribution Plans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established a retirement savings plan under Section 401(k) of the Internal Revenue Code covering its U.S. non-union employees in July 2000. The plan allows employees to defer, within prescribed limits, a percentage of their income on a pre-tax basis through contributions to this plan. The Company matches 50% of employee contributions, up to 6% of employees' eligible compensation. During the year ended December 31, 2021, the Company recorded matching contribution expenses of $8.0 million. During the year ended December 31, 2020, the Company did not match employee contributions. During the year ended December 31, 2019, the Company recorded matching contribution expenses of $6.9 million.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SA also operates a defined contribution retirement benefit plan (the "Wynn Macau Plan"). Eligible employees are allowed to contribute 5% of their base salary to the Wynn Macau Plan and the Company matches any contributions. On July 1 2019, the Company offered the option for the eligible Macau resident employees to join the non-mandatory central provident fund (the "CPF") system. Eligible Macau resident employees joining the Company from July 1, 2019 onwards have the option of enrolling in the CPF system while the Company's existing Macau resident employees who are currently members of the Wynn Macau Plan will be provided with the option of joining the CPF system or staying in the existing Wynn Macau Plan, which will continue to be in effect in parallel. The CPF system allows eligible employees to contribute 5% or more of their base salary to the CPF while the Company matches with a 5% of such salary as employer's contribution to the CPF. The Company's matching contributions vest to the employee at 10% per year with full vesting in ten years. The assets of the Wynn Macau Plan and the CPF are held separately from those of the Company in independently administered funds and overseen by the Macau government. Forfeitures of unvested contributions are used to reduce the Company's liability for its contributions payable. During the years ended December 31, 2021, 2020 and 2019, the Company recorded matching contribution expenses of $17.2 million, $19.5 million, and $17.8 million, respectively.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Multi-Employer Pension Plan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Las Vegas, LLC contributes to a multi-employer defined benefit pension plan for certain of its union employees under the terms of the Southern Nevada Culinary and Bartenders Union collective-bargaining agreement, which expires in July 2023. The term of the collective bargaining agreement was extended through Memoranda of Agreement ("MOA") that the Company and the Culinary and Bartenders’ Unions entered into in April 2020 and January 2021, respectively. The MOA further provided for a partial deferral of the 2020 and 2021 contractual wage increases until 2023, and allowed the Company additional flexibility in scheduling during the pandemic. The legal name of the multi-employer pension plan is the Southern Nevada Culinary and Bartenders Pension Plan (the "Plan") (EIN: 88-6016617 Plan Number: 1). The Company recorded expenses of $9.8 million, $7.0 million, and $11.9 million for contributions to the Plan for the years ended December 31, 2021, 2020 and 2019, respectively. For the 2020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2020 plan year. Risks of participating in a multi-employer plan differ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(3) if a participating employer stops participating, it may be required to pay those plans an amount based on the underfunded status of the plan, referred to as a withdrawal liability; and (4) if the plan is terminated by withdrawal of all employers and if the value of the nonforfeitable benefits exceeds plan assets and withdrawal liability payments, employers are required by law to make up the insufficient difference.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Customer Contract Liabilities</w:t>
      </w:r>
    </w:p>
    <w:p>
      <w:pPr>
        <w:pStyle w:val="TextBody"/>
        <w:spacing w:before="0" w:after="0"/>
        <w:rPr/>
      </w:pPr>
      <w:r>
        <w:rPr/>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providing goods and services to its customers, there is often a timing difference between the Company receiving cash and the Company recording revenue for providing services or holding events. </w:t>
      </w:r>
    </w:p>
    <w:p>
      <w:pPr>
        <w:pStyle w:val="TextBody"/>
        <w:spacing w:lineRule="auto" w:line="288" w:before="0" w:after="16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primary liabilities associated with customer contracts are as follows (in thousands):</w:t>
      </w:r>
    </w:p>
    <w:tbl>
      <w:tblPr>
        <w:tblW w:w="10205" w:type="dxa"/>
        <w:jc w:val="left"/>
        <w:tblInd w:w="0" w:type="dxa"/>
        <w:tblCellMar>
          <w:top w:w="28" w:type="dxa"/>
          <w:left w:w="28" w:type="dxa"/>
          <w:bottom w:w="28" w:type="dxa"/>
          <w:right w:w="28" w:type="dxa"/>
        </w:tblCellMar>
      </w:tblPr>
      <w:tblGrid>
        <w:gridCol w:w="690"/>
        <w:gridCol w:w="391"/>
        <w:gridCol w:w="392"/>
        <w:gridCol w:w="213"/>
        <w:gridCol w:w="850"/>
        <w:gridCol w:w="110"/>
        <w:gridCol w:w="109"/>
        <w:gridCol w:w="109"/>
        <w:gridCol w:w="109"/>
        <w:gridCol w:w="213"/>
        <w:gridCol w:w="850"/>
        <w:gridCol w:w="110"/>
        <w:gridCol w:w="109"/>
        <w:gridCol w:w="109"/>
        <w:gridCol w:w="109"/>
        <w:gridCol w:w="213"/>
        <w:gridCol w:w="853"/>
        <w:gridCol w:w="110"/>
        <w:gridCol w:w="109"/>
        <w:gridCol w:w="109"/>
        <w:gridCol w:w="109"/>
        <w:gridCol w:w="213"/>
        <w:gridCol w:w="850"/>
        <w:gridCol w:w="110"/>
        <w:gridCol w:w="109"/>
        <w:gridCol w:w="109"/>
        <w:gridCol w:w="109"/>
        <w:gridCol w:w="213"/>
        <w:gridCol w:w="850"/>
        <w:gridCol w:w="110"/>
        <w:gridCol w:w="109"/>
        <w:gridCol w:w="109"/>
        <w:gridCol w:w="109"/>
        <w:gridCol w:w="213"/>
        <w:gridCol w:w="852"/>
        <w:gridCol w:w="164"/>
      </w:tblGrid>
      <w:tr>
        <w:trPr/>
        <w:tc>
          <w:tcPr>
            <w:tcW w:w="690"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Casino outstanding chips and front money deposits </w:t>
            </w:r>
            <w:r>
              <w:rPr>
                <w:rFonts w:ascii="Times New Roman;sans-serif" w:hAnsi="Times New Roman;sans-serif"/>
                <w:b w:val="false"/>
                <w:color w:val="000000"/>
                <w:sz w:val="16"/>
              </w:rPr>
              <w:t>(1)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352,830 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(243,633)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769,053 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(172,590)</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Advance room deposits and ticket sales </w:t>
            </w:r>
            <w:r>
              <w:rPr>
                <w:rFonts w:ascii="Times New Roman;sans-serif" w:hAnsi="Times New Roman;sans-serif"/>
                <w:b w:val="false"/>
                <w:color w:val="000000"/>
                <w:sz w:val="16"/>
              </w:rPr>
              <w:t>(2)</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26,214 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49,834 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(20,610)</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Other gaming-related liabilities </w:t>
            </w:r>
            <w:r>
              <w:rPr>
                <w:rFonts w:ascii="Times New Roman;sans-serif" w:hAnsi="Times New Roman;sans-serif"/>
                <w:b w:val="false"/>
                <w:color w:val="000000"/>
                <w:sz w:val="16"/>
              </w:rPr>
              <w:t>(3)</w:t>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7,882 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Loyalty program and related liabilities </w:t>
            </w:r>
            <w:r>
              <w:rPr>
                <w:rFonts w:ascii="Times New Roman;sans-serif" w:hAnsi="Times New Roman;sans-serif"/>
                <w:b w:val="false"/>
                <w:color w:val="000000"/>
                <w:sz w:val="16"/>
              </w:rPr>
              <w:t>(4)</w:t>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469,478</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656,305</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(186,827)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656,305</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854,005</w:t>
            </w: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(197,700)</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Casino outstanding chips generally represent amounts owed to gaming promoters and customers for chips in their possession, and casino front money deposits represent funds deposited by customers before gaming play occurs. These amounts are included in customer deposits on the Consolidated Balance Sheets and may be recognized as revenue or redeemed for cash in the future. As of December 31, 2021, the Company had no agreements in place with gaming promoters.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Advance room deposits and ticket sales represent cash received in advance for goods or services to be provided in the future. These amounts are included in customer deposits on the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Other gaming-related liabilities generally represent unpaid wagers primarily in the form of unredeemed slot, race and sportsbook tickets or wagers for future sporting events. The amounts are included in other accrued liabilities on the Consolidated Balance Sheets.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(4) Loyalty program and related liabilities represent the deferral of revenue until the loyalty points or other complimentaries are redeemed. The amounts are included in other accrued liabilities on the Consolidated Balance Sheets and are expected to be recognized as revenue within one year of being earned by customers.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12 - Stock-Based Compensation </w:t>
      </w:r>
    </w:p>
    <w:p>
      <w:pPr>
        <w:pStyle w:val="TextBody"/>
        <w:spacing w:before="0" w:after="0"/>
        <w:ind w:left="0" w:right="0" w:firstLine="27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adopted equity plans that allow for grants of stock-based compensation awards. The following sections describe each of these plans.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Wynn Resorts, Limited 2014 Omnibus Incentive Plan (the "WRL Omnibus Plan")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May 16, 2014, the Company adopted the WRL Omnibus Plan after approval from its stockholders, which was adopted for a period of 10 years. The WRL Omnibus Plan allows for the grant of stock options, restricted stock, restricted stock units, stock appreciation rights, performance awards, and other share-based awards to eligible participants. The Company reserved 4,409,390 shares of its common stock for issuance under the WRL Omnibus Plan. On June 25, 2020, the Company's shareholders approved an amendment to the WRL Omnibus Plan that increases the shares authorized for issuance by 1,500,000 shares, for an aggregate number of shares authorized for issuance to 5,909,390 shares.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 Company had an aggregate of 3,003,920 shares of its common stock available for grant as share-based awards under the WRL Omnibus Plan. </w:t>
      </w:r>
    </w:p>
    <w:p>
      <w:pPr>
        <w:pStyle w:val="TextBody"/>
        <w:spacing w:before="0" w:after="0"/>
        <w:ind w:left="0" w:right="0" w:firstLine="45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Macau, Limited Share Option and Share Award Plans</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majority-owned subsidiary, WML, has two stock-based compensation plans that provide awards based on shares of WML's common stock. The shares available for issuance under these plans are separate and distinct from the common stock of Wynn Resorts' share plan and are not available for issuance for any awards under the Wynn Resorts share plan.</w:t>
      </w:r>
    </w:p>
    <w:p>
      <w:pPr>
        <w:pStyle w:val="TextBody"/>
        <w:spacing w:before="0" w:after="0"/>
        <w:ind w:left="0" w:right="0" w:firstLine="450"/>
        <w:jc w:val="both"/>
        <w:rPr/>
      </w:pPr>
      <w:r>
        <w:rPr/>
      </w:r>
    </w:p>
    <w:p>
      <w:pPr>
        <w:pStyle w:val="TextBody"/>
        <w:spacing w:lineRule="auto" w:line="276" w:before="0" w:after="0"/>
        <w:ind w:left="0" w:right="0" w:firstLine="180"/>
        <w:jc w:val="both"/>
        <w:rPr/>
      </w:pPr>
      <w:r>
        <w:rPr>
          <w:rFonts w:ascii="Times New Roman;sans-serif" w:hAnsi="Times New Roman;sans-serif"/>
          <w:b w:val="false"/>
          <w:i/>
          <w:color w:val="000000"/>
          <w:sz w:val="20"/>
        </w:rPr>
        <w:t>WML Share Option Plan</w:t>
      </w:r>
      <w:r>
        <w:rPr>
          <w:color w:val="000000"/>
        </w:rPr>
        <w:t xml:space="preserve"> </w:t>
      </w:r>
      <w:r>
        <w:rPr>
          <w:rFonts w:ascii="Times New Roman;sans-serif" w:hAnsi="Times New Roman;sans-serif"/>
          <w:b w:val="false"/>
          <w:i/>
          <w:color w:val="000000"/>
          <w:sz w:val="20"/>
        </w:rPr>
        <w:t xml:space="preserve">("WML Share Option Plan") </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231E1F"/>
          <w:sz w:val="20"/>
        </w:rPr>
        <w:t xml:space="preserve">WML </w:t>
      </w:r>
      <w:r>
        <w:rPr>
          <w:rFonts w:ascii="Times New Roman;sans-serif" w:hAnsi="Times New Roman;sans-serif"/>
          <w:b w:val="false"/>
          <w:color w:val="000000"/>
          <w:sz w:val="20"/>
        </w:rPr>
        <w:t>adopted</w:t>
      </w:r>
      <w:r>
        <w:rPr>
          <w:color w:val="231E1F"/>
        </w:rPr>
        <w:t xml:space="preserve"> </w:t>
      </w:r>
      <w:r>
        <w:rPr>
          <w:rFonts w:ascii="Times New Roman;sans-serif" w:hAnsi="Times New Roman;sans-serif"/>
          <w:b w:val="false"/>
          <w:color w:val="231E1F"/>
          <w:sz w:val="20"/>
        </w:rPr>
        <w:t>the WML Share Option Plan for the grant of stock options</w:t>
      </w:r>
      <w:r>
        <w:rPr>
          <w:color w:val="000000"/>
        </w:rPr>
        <w:t xml:space="preserve"> </w:t>
      </w:r>
      <w:r>
        <w:rPr>
          <w:rFonts w:ascii="Times New Roman;sans-serif" w:hAnsi="Times New Roman;sans-serif"/>
          <w:b w:val="false"/>
          <w:color w:val="000000"/>
          <w:sz w:val="20"/>
        </w:rPr>
        <w:t xml:space="preserve">to purchase shares of WML to eligible directors and employees of WML and its subsidiaries. </w:t>
      </w:r>
      <w:r>
        <w:rPr>
          <w:rFonts w:ascii="Times New Roman;sans-serif" w:hAnsi="Times New Roman;sans-serif"/>
          <w:b w:val="false"/>
          <w:color w:val="231E1F"/>
          <w:sz w:val="20"/>
        </w:rPr>
        <w:t>The WML Share Option Plan is administered by WML's Board of Directors, which has the discretion on the vesting and service requirements, exercise price, performance targets to exercise if applicable and other conditions, subject to certain limits</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The WML S</w:t>
      </w:r>
      <w:r>
        <w:rPr>
          <w:rFonts w:ascii="Times New Roman;sans-serif" w:hAnsi="Times New Roman;sans-serif"/>
          <w:b w:val="false"/>
          <w:color w:val="231E1F"/>
          <w:sz w:val="20"/>
        </w:rPr>
        <w:t xml:space="preserve">hare </w:t>
      </w:r>
      <w:r>
        <w:rPr>
          <w:rFonts w:ascii="Times New Roman;sans-serif" w:hAnsi="Times New Roman;sans-serif"/>
          <w:b w:val="false"/>
          <w:color w:val="000000"/>
          <w:sz w:val="20"/>
        </w:rPr>
        <w:t>O</w:t>
      </w:r>
      <w:r>
        <w:rPr>
          <w:rFonts w:ascii="Times New Roman;sans-serif" w:hAnsi="Times New Roman;sans-serif"/>
          <w:b w:val="false"/>
          <w:color w:val="231E1F"/>
          <w:sz w:val="20"/>
        </w:rPr>
        <w:t xml:space="preserve">ption </w:t>
      </w:r>
      <w:r>
        <w:rPr>
          <w:rFonts w:ascii="Times New Roman;sans-serif" w:hAnsi="Times New Roman;sans-serif"/>
          <w:b w:val="false"/>
          <w:color w:val="000000"/>
          <w:sz w:val="20"/>
        </w:rPr>
        <w:t>P</w:t>
      </w:r>
      <w:r>
        <w:rPr>
          <w:rFonts w:ascii="Times New Roman;sans-serif" w:hAnsi="Times New Roman;sans-serif"/>
          <w:b w:val="false"/>
          <w:color w:val="231E1F"/>
          <w:sz w:val="20"/>
        </w:rPr>
        <w:t>lan</w:t>
      </w:r>
      <w:r>
        <w:rPr>
          <w:color w:val="000000"/>
        </w:rPr>
        <w:t xml:space="preserve"> </w:t>
      </w:r>
      <w:r>
        <w:rPr>
          <w:rFonts w:ascii="Times New Roman;sans-serif" w:hAnsi="Times New Roman;sans-serif"/>
          <w:b w:val="false"/>
          <w:color w:val="000000"/>
          <w:sz w:val="20"/>
        </w:rPr>
        <w:t>was adopted for a period of 10 years commencing from May 30, 2019. The maximum number of shares which may be issued pursuant to the WML Share Option Plan is 519,695,860 shares. As of December 31, 2021, there were 501,735,860 shares available for issuance under the WML Share Option Plan.</w:t>
      </w:r>
    </w:p>
    <w:p>
      <w:pPr>
        <w:pStyle w:val="TextBody"/>
        <w:spacing w:before="0" w:after="0"/>
        <w:ind w:left="0" w:right="0" w:firstLine="450"/>
        <w:jc w:val="both"/>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WML Employee Share Ownership Scheme (the "WML Share Award Plan")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2014, WML adopted the WML Share Award Plan. The Share Award Plan allows for the grant of nonvested shares of WML's common stock to eligible employees. The WML Share Award Plan has been mandated under the plan to allot, issue and process the transfer of a maximum of 75,000,000 shares. As of December 31, 2021, there were 45,094,570 shares available for issuance under the WML Share Award Plan. </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Wynn Interactive Ltd. 2020 Omnibus Incentive Plan (the "WIL Omnibus Plan")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23, 2020, the Wynn Interactive board of directors adopted the WIL Omnibus Plan. The WIL Omnibus Plan, which is administered by the Wynn Interactive board of directors, allows for an aggregate number of shares totaling 101,419 for the grant of stock options, restricted stock, restricted stock units, stock appreciation rights, performance awards, and other share-based awards to eligible participants. As of December 31, 2021, there were 14,660 shares available to grant under the WIL Omnibus Plan.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18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of stock option activity for the year ended December 31, 2021 is presented below: </w:t>
      </w:r>
    </w:p>
    <w:tbl>
      <w:tblPr>
        <w:tblW w:w="10205" w:type="dxa"/>
        <w:jc w:val="left"/>
        <w:tblInd w:w="0" w:type="dxa"/>
        <w:tblCellMar>
          <w:top w:w="28" w:type="dxa"/>
          <w:left w:w="28" w:type="dxa"/>
          <w:bottom w:w="28" w:type="dxa"/>
          <w:right w:w="28" w:type="dxa"/>
        </w:tblCellMar>
      </w:tblPr>
      <w:tblGrid>
        <w:gridCol w:w="1658"/>
        <w:gridCol w:w="1415"/>
        <w:gridCol w:w="1425"/>
        <w:gridCol w:w="546"/>
        <w:gridCol w:w="550"/>
        <w:gridCol w:w="226"/>
        <w:gridCol w:w="109"/>
        <w:gridCol w:w="109"/>
        <w:gridCol w:w="109"/>
        <w:gridCol w:w="211"/>
        <w:gridCol w:w="886"/>
        <w:gridCol w:w="109"/>
        <w:gridCol w:w="109"/>
        <w:gridCol w:w="109"/>
        <w:gridCol w:w="109"/>
        <w:gridCol w:w="330"/>
        <w:gridCol w:w="330"/>
        <w:gridCol w:w="331"/>
        <w:gridCol w:w="109"/>
        <w:gridCol w:w="109"/>
        <w:gridCol w:w="109"/>
        <w:gridCol w:w="211"/>
        <w:gridCol w:w="841"/>
        <w:gridCol w:w="155"/>
      </w:tblGrid>
      <w:tr>
        <w:trPr/>
        <w:tc>
          <w:tcPr>
            <w:tcW w:w="1658"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Contractual</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2021</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23,700</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80.42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230,023</w:t>
            </w: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and expected to vest as of December 31, 2021</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2021</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Option Plan</w:t>
            </w:r>
          </w:p>
        </w:tc>
        <w:tc>
          <w:tcPr>
            <w:tcW w:w="13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2021</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19,858,400 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9,065,000 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28,523,400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and expected to vest as of December 31, 2021</w:t>
            </w:r>
          </w:p>
        </w:tc>
        <w:tc>
          <w:tcPr>
            <w:tcW w:w="109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28,523,400 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2021</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10,030,200 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WIL Omnibus Plan</w:t>
            </w:r>
          </w:p>
        </w:tc>
        <w:tc>
          <w:tcPr>
            <w:tcW w:w="13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January 1, 2021</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90,298 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Outstanding as of December 31, 2021</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90,634</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1,143.48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1,185</w:t>
            </w: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Fully vested and expected to vest as of December 31, 2021</w:t>
            </w:r>
          </w:p>
        </w:tc>
        <w:tc>
          <w:tcPr>
            <w:tcW w:w="109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90,634 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9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2021</w:t>
            </w:r>
          </w:p>
        </w:tc>
        <w:tc>
          <w:tcPr>
            <w:tcW w:w="109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provided for stock options under the Company's stock-based compensation plans (in thousands, except weighted average grant date fair value):</w:t>
      </w:r>
    </w:p>
    <w:tbl>
      <w:tblPr>
        <w:tblW w:w="7856" w:type="dxa"/>
        <w:jc w:val="left"/>
        <w:tblInd w:w="0" w:type="dxa"/>
        <w:tblCellMar>
          <w:top w:w="28" w:type="dxa"/>
          <w:left w:w="28" w:type="dxa"/>
          <w:bottom w:w="28" w:type="dxa"/>
          <w:right w:w="28" w:type="dxa"/>
        </w:tblCellMar>
      </w:tblPr>
      <w:tblGrid>
        <w:gridCol w:w="1461"/>
        <w:gridCol w:w="1282"/>
        <w:gridCol w:w="1291"/>
        <w:gridCol w:w="211"/>
        <w:gridCol w:w="721"/>
        <w:gridCol w:w="109"/>
        <w:gridCol w:w="109"/>
        <w:gridCol w:w="109"/>
        <w:gridCol w:w="109"/>
        <w:gridCol w:w="211"/>
        <w:gridCol w:w="721"/>
        <w:gridCol w:w="109"/>
        <w:gridCol w:w="109"/>
        <w:gridCol w:w="109"/>
        <w:gridCol w:w="109"/>
        <w:gridCol w:w="211"/>
        <w:gridCol w:w="721"/>
        <w:gridCol w:w="154"/>
      </w:tblGrid>
      <w:tr>
        <w:trPr/>
        <w:tc>
          <w:tcPr>
            <w:tcW w:w="1461"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20"/>
              </w:rPr>
              <w:t xml:space="preserve">WRL Omnibus Plan </w:t>
            </w:r>
            <w:r>
              <w:rPr>
                <w:rFonts w:ascii="Times New Roman;sans-serif" w:hAnsi="Times New Roman;sans-serif"/>
                <w:b/>
                <w:color w:val="000000"/>
                <w:sz w:val="16"/>
              </w:rPr>
              <w:t>(1)</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stock options exercised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20"/>
              </w:rPr>
              <w:t xml:space="preserve">WML Share Option Plan </w:t>
            </w:r>
            <w:r>
              <w:rPr>
                <w:rFonts w:ascii="Times New Roman;sans-serif" w:hAnsi="Times New Roman;sans-serif"/>
                <w:b/>
                <w:color w:val="000000"/>
                <w:sz w:val="16"/>
              </w:rPr>
              <w:t>(2)</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stock options exercised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the exercise of stock options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i/>
                <w:color w:val="000000"/>
                <w:sz w:val="20"/>
              </w:rPr>
              <w:t>WIL Omnibus Plan</w:t>
            </w:r>
            <w:r>
              <w:rPr>
                <w:color w:val="000000"/>
              </w:rPr>
              <w:t xml:space="preserve"> </w:t>
            </w:r>
            <w:r>
              <w:rPr>
                <w:rFonts w:ascii="Times New Roman;sans-serif" w:hAnsi="Times New Roman;sans-serif"/>
                <w:b/>
                <w:i/>
                <w:color w:val="000000"/>
                <w:sz w:val="16"/>
              </w:rPr>
              <w:t>(3)</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As of December 31, 2021, there was no unamortized compensation expense related to stock options.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As of December 31, 2021, there was $6.8 million of unamortized compensation expense related to stock options, which is expected to be recognized over a weighted average period of 3.8 years.</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(3) As of December 31, 2021, there was $6.4 million of unamortized compensation expense related to stock options, which is expected to be recognized over a weighted average period of 2.7 years.</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Option Valuation Inputs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stock options granted under the WRL Omnibus Plan during the years ended December 31, 2021, 2020, and 2019.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under WML's Share Option Plan was estimated on the date of grant using the following weighted average assumptions:</w:t>
      </w:r>
    </w:p>
    <w:tbl>
      <w:tblPr>
        <w:tblW w:w="5175" w:type="dxa"/>
        <w:jc w:val="left"/>
        <w:tblInd w:w="0" w:type="dxa"/>
        <w:tblCellMar>
          <w:top w:w="28" w:type="dxa"/>
          <w:left w:w="28" w:type="dxa"/>
          <w:bottom w:w="28" w:type="dxa"/>
          <w:right w:w="28" w:type="dxa"/>
        </w:tblCellMar>
      </w:tblPr>
      <w:tblGrid>
        <w:gridCol w:w="772"/>
        <w:gridCol w:w="678"/>
        <w:gridCol w:w="680"/>
        <w:gridCol w:w="255"/>
        <w:gridCol w:w="256"/>
        <w:gridCol w:w="271"/>
        <w:gridCol w:w="109"/>
        <w:gridCol w:w="109"/>
        <w:gridCol w:w="109"/>
        <w:gridCol w:w="255"/>
        <w:gridCol w:w="256"/>
        <w:gridCol w:w="271"/>
        <w:gridCol w:w="109"/>
        <w:gridCol w:w="109"/>
        <w:gridCol w:w="109"/>
        <w:gridCol w:w="255"/>
        <w:gridCol w:w="256"/>
        <w:gridCol w:w="316"/>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under the WIL Omnibus Plan was estimated on the date of grant using the following weighted average assumptions:</w:t>
      </w:r>
    </w:p>
    <w:tbl>
      <w:tblPr>
        <w:tblW w:w="4572" w:type="dxa"/>
        <w:jc w:val="left"/>
        <w:tblInd w:w="0" w:type="dxa"/>
        <w:tblCellMar>
          <w:top w:w="28" w:type="dxa"/>
          <w:left w:w="28" w:type="dxa"/>
          <w:bottom w:w="28" w:type="dxa"/>
          <w:right w:w="28" w:type="dxa"/>
        </w:tblCellMar>
      </w:tblPr>
      <w:tblGrid>
        <w:gridCol w:w="772"/>
        <w:gridCol w:w="678"/>
        <w:gridCol w:w="680"/>
        <w:gridCol w:w="255"/>
        <w:gridCol w:w="256"/>
        <w:gridCol w:w="421"/>
        <w:gridCol w:w="169"/>
        <w:gridCol w:w="169"/>
        <w:gridCol w:w="169"/>
        <w:gridCol w:w="255"/>
        <w:gridCol w:w="256"/>
        <w:gridCol w:w="492"/>
      </w:tblGrid>
      <w:tr>
        <w:trPr/>
        <w:tc>
          <w:tcPr>
            <w:tcW w:w="77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4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4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4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9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bl>
    <w:p>
      <w:pPr>
        <w:pStyle w:val="TextBody"/>
        <w:spacing w:before="0" w:after="0"/>
        <w:ind w:left="0" w:right="0" w:firstLine="495"/>
        <w:jc w:val="both"/>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Nonvested and performance nonvested shares</w:t>
      </w:r>
    </w:p>
    <w:p>
      <w:pPr>
        <w:pStyle w:val="TextBody"/>
        <w:spacing w:before="0" w:after="0"/>
        <w:ind w:left="0" w:right="0" w:firstLine="1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summary of nonvested and performance nonvested share activity under the Company's stock-based compensation plans for the year ended December 31, 2021 is presented below: </w:t>
      </w:r>
    </w:p>
    <w:tbl>
      <w:tblPr>
        <w:tblW w:w="5959" w:type="dxa"/>
        <w:jc w:val="left"/>
        <w:tblInd w:w="0" w:type="dxa"/>
        <w:tblCellMar>
          <w:top w:w="28" w:type="dxa"/>
          <w:left w:w="28" w:type="dxa"/>
          <w:bottom w:w="28" w:type="dxa"/>
          <w:right w:w="28" w:type="dxa"/>
        </w:tblCellMar>
      </w:tblPr>
      <w:tblGrid>
        <w:gridCol w:w="1120"/>
        <w:gridCol w:w="981"/>
        <w:gridCol w:w="988"/>
        <w:gridCol w:w="546"/>
        <w:gridCol w:w="550"/>
        <w:gridCol w:w="196"/>
        <w:gridCol w:w="109"/>
        <w:gridCol w:w="109"/>
        <w:gridCol w:w="109"/>
        <w:gridCol w:w="211"/>
        <w:gridCol w:w="886"/>
        <w:gridCol w:w="154"/>
      </w:tblGrid>
      <w:tr>
        <w:trPr/>
        <w:tc>
          <w:tcPr>
            <w:tcW w:w="1120"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Grant Date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2021</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929,635 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415,360 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(417,146)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2021</w:t>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901,628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118.09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Award Plan</w:t>
            </w:r>
          </w:p>
        </w:tc>
        <w:tc>
          <w:tcPr>
            <w:tcW w:w="12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2021</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10,878,778 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5,319,814 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(4,934,549)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(1,239,306)</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2021</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10,024,737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WIL Omnibus Plan</w:t>
            </w:r>
          </w:p>
        </w:tc>
        <w:tc>
          <w:tcPr>
            <w:tcW w:w="12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as of January 1, 2021</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Nonvested as of December 31, 2021</w:t>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4,040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3,150.00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the executive management team receive grants of nonvested share awards that are subject to service and performance conditions. Generally, these awards vest if certain revenue and Adjusted Property EBITDA fair share metrics (as approved by the Company's Compensation Committee of the Board of Directors) are attained over a one-, two-, or three-year performance period. The Company records expense for these awards if it determines that vesting is probable. At December 31, 2021, all performance nonvested awards were deemed to be probable of vesting; however, none of the performance criteria contingencies have been resolved. The activity for these performance nonvested shares is included in the table above.</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provided for the share awards under the Company's stock-based compensation plans (in thousands, except weighted average grant date fair value):</w:t>
      </w:r>
    </w:p>
    <w:tbl>
      <w:tblPr>
        <w:tblW w:w="7076" w:type="dxa"/>
        <w:jc w:val="left"/>
        <w:tblInd w:w="0" w:type="dxa"/>
        <w:tblCellMar>
          <w:top w:w="28" w:type="dxa"/>
          <w:left w:w="28" w:type="dxa"/>
          <w:bottom w:w="28" w:type="dxa"/>
          <w:right w:w="28" w:type="dxa"/>
        </w:tblCellMar>
      </w:tblPr>
      <w:tblGrid>
        <w:gridCol w:w="1179"/>
        <w:gridCol w:w="1034"/>
        <w:gridCol w:w="1041"/>
        <w:gridCol w:w="211"/>
        <w:gridCol w:w="721"/>
        <w:gridCol w:w="109"/>
        <w:gridCol w:w="109"/>
        <w:gridCol w:w="109"/>
        <w:gridCol w:w="109"/>
        <w:gridCol w:w="211"/>
        <w:gridCol w:w="721"/>
        <w:gridCol w:w="109"/>
        <w:gridCol w:w="109"/>
        <w:gridCol w:w="109"/>
        <w:gridCol w:w="109"/>
        <w:gridCol w:w="211"/>
        <w:gridCol w:w="721"/>
        <w:gridCol w:w="154"/>
      </w:tblGrid>
      <w:tr>
        <w:trPr/>
        <w:tc>
          <w:tcPr>
            <w:tcW w:w="1179"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WRL Omnibus Plan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shares vested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WML Share Award Plan</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shares vested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there was $49.4 million of unamortized compensation expense related to nonvested shares, which is expected to be recognized over a weighted average period of 1.88 years under the WRL Omnibus Plan. As of December 31, 2021, there was $8.5 million of unamortized compensation expense, which is expected to be recognized over a weighted average period of 2.14 years under the WML Share Award Plan.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Annual Incentive Bonus</w:t>
      </w:r>
    </w:p>
    <w:p>
      <w:pPr>
        <w:pStyle w:val="TextBody"/>
        <w:spacing w:before="0" w:after="0"/>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members of the Company's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$9.3 million, $5.7 million and $6.7 million for each of the years ended December 31, 2021, 2020 and 2019, respectively. The Company settled its obligations for the 2021, 2020, and 2019 annual incentive bonuses by issuing 108,224, 58,058, 44,788 of vested shares with a weighted-average grant date fair value of $85.80, $108.03, and $150.03, in January of the respective following year.</w:t>
      </w:r>
    </w:p>
    <w:p>
      <w:pPr>
        <w:pStyle w:val="TextBody"/>
        <w:spacing w:before="0" w:after="0"/>
        <w:ind w:left="0" w:right="0" w:firstLine="27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Compensation Cost</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total compensation cost for stock-based compensation plans was recorded as follows (in thousands):</w:t>
      </w:r>
    </w:p>
    <w:tbl>
      <w:tblPr>
        <w:tblW w:w="7662" w:type="dxa"/>
        <w:jc w:val="left"/>
        <w:tblInd w:w="0" w:type="dxa"/>
        <w:tblCellMar>
          <w:top w:w="28" w:type="dxa"/>
          <w:left w:w="28" w:type="dxa"/>
          <w:bottom w:w="28" w:type="dxa"/>
          <w:right w:w="28" w:type="dxa"/>
        </w:tblCellMar>
      </w:tblPr>
      <w:tblGrid>
        <w:gridCol w:w="1335"/>
        <w:gridCol w:w="1175"/>
        <w:gridCol w:w="1180"/>
        <w:gridCol w:w="211"/>
        <w:gridCol w:w="841"/>
        <w:gridCol w:w="109"/>
        <w:gridCol w:w="109"/>
        <w:gridCol w:w="109"/>
        <w:gridCol w:w="109"/>
        <w:gridCol w:w="211"/>
        <w:gridCol w:w="736"/>
        <w:gridCol w:w="109"/>
        <w:gridCol w:w="109"/>
        <w:gridCol w:w="109"/>
        <w:gridCol w:w="109"/>
        <w:gridCol w:w="211"/>
        <w:gridCol w:w="736"/>
        <w:gridCol w:w="154"/>
      </w:tblGrid>
      <w:tr>
        <w:trPr/>
        <w:tc>
          <w:tcPr>
            <w:tcW w:w="1335"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6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Casino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(2)</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expense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95,238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62,254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40,372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capitalized</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stock-based compensation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100,296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64,466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40,722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(1) In 2020, reflects the reversal of $3.3 million of compensation cost previously recognized for awards forfeited in connection with the departure of an employee.</w:t>
      </w:r>
    </w:p>
    <w:p>
      <w:pPr>
        <w:pStyle w:val="TextBody"/>
        <w:spacing w:lineRule="auto" w:line="288" w:before="0" w:after="0"/>
        <w:ind w:left="0" w:right="0" w:hanging="270"/>
        <w:jc w:val="both"/>
        <w:rPr>
          <w:rFonts w:ascii="Times New Roman;sans-serif" w:hAnsi="Times New Roman;sans-serif"/>
          <w:b w:val="false"/>
          <w:color w:val="000000"/>
          <w:sz w:val="16"/>
        </w:rPr>
      </w:pPr>
      <w:r>
        <w:rPr>
          <w:rFonts w:ascii="Times New Roman;sans-serif" w:hAnsi="Times New Roman;sans-serif"/>
          <w:b w:val="false"/>
          <w:color w:val="000000"/>
          <w:sz w:val="16"/>
        </w:rPr>
        <w:t>(2) In 2021, reflects compensation cost of $2.7 million recognized in connection with the vesting of restricted stock performance awards.</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2021, 2020 and 2019, the Company recognized income tax benefits in the Consolidated Statements of Operations of $14.9 million, $9.3 million, and $5.8 million, respectively, related to stock-based compensation expense. Additionally, during the years ended December 31, 2021, 2020, and 2019, the Company realized tax benefits of $8.0 million, $3.7 million, and $8.4 million, respectively, related to stock option exercises and restricted stock vesting that occurred in those years.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13 - Income Taxes </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income (loss) before taxes for United States ("U.S.") and foreign operations consisted of the following (in thousands):</w:t>
      </w:r>
    </w:p>
    <w:tbl>
      <w:tblPr>
        <w:tblW w:w="5907" w:type="dxa"/>
        <w:jc w:val="left"/>
        <w:tblInd w:w="0" w:type="dxa"/>
        <w:tblCellMar>
          <w:top w:w="28" w:type="dxa"/>
          <w:left w:w="28" w:type="dxa"/>
          <w:bottom w:w="28" w:type="dxa"/>
          <w:right w:w="28" w:type="dxa"/>
        </w:tblCellMar>
      </w:tblPr>
      <w:tblGrid>
        <w:gridCol w:w="451"/>
        <w:gridCol w:w="396"/>
        <w:gridCol w:w="398"/>
        <w:gridCol w:w="211"/>
        <w:gridCol w:w="1051"/>
        <w:gridCol w:w="109"/>
        <w:gridCol w:w="109"/>
        <w:gridCol w:w="109"/>
        <w:gridCol w:w="109"/>
        <w:gridCol w:w="211"/>
        <w:gridCol w:w="1051"/>
        <w:gridCol w:w="109"/>
        <w:gridCol w:w="109"/>
        <w:gridCol w:w="109"/>
        <w:gridCol w:w="109"/>
        <w:gridCol w:w="211"/>
        <w:gridCol w:w="901"/>
        <w:gridCol w:w="154"/>
      </w:tblGrid>
      <w:tr>
        <w:trPr/>
        <w:tc>
          <w:tcPr>
            <w:tcW w:w="45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United States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(821,012)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(747,193)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(941,263)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647,155 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(1,011,516)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(1,762,275)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488,218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income tax provision (benefit) attributable to income before income taxes is as follows (in thousands):</w:t>
      </w:r>
    </w:p>
    <w:tbl>
      <w:tblPr>
        <w:tblW w:w="6972" w:type="dxa"/>
        <w:jc w:val="left"/>
        <w:tblInd w:w="0" w:type="dxa"/>
        <w:tblCellMar>
          <w:top w:w="28" w:type="dxa"/>
          <w:left w:w="28" w:type="dxa"/>
          <w:bottom w:w="28" w:type="dxa"/>
          <w:right w:w="28" w:type="dxa"/>
        </w:tblCellMar>
      </w:tblPr>
      <w:tblGrid>
        <w:gridCol w:w="1139"/>
        <w:gridCol w:w="1001"/>
        <w:gridCol w:w="1010"/>
        <w:gridCol w:w="211"/>
        <w:gridCol w:w="481"/>
        <w:gridCol w:w="109"/>
        <w:gridCol w:w="109"/>
        <w:gridCol w:w="109"/>
        <w:gridCol w:w="109"/>
        <w:gridCol w:w="211"/>
        <w:gridCol w:w="841"/>
        <w:gridCol w:w="109"/>
        <w:gridCol w:w="109"/>
        <w:gridCol w:w="109"/>
        <w:gridCol w:w="109"/>
        <w:gridCol w:w="211"/>
        <w:gridCol w:w="841"/>
        <w:gridCol w:w="154"/>
      </w:tblGrid>
      <w:tr>
        <w:trPr/>
        <w:tc>
          <w:tcPr>
            <w:tcW w:w="1139"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2,746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2,186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2,650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562,485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174,190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income tax provision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564,671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176,840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U.S. federal statutory tax rate to the actual tax rate is as follows:</w:t>
      </w:r>
    </w:p>
    <w:tbl>
      <w:tblPr>
        <w:tblW w:w="7168" w:type="dxa"/>
        <w:jc w:val="left"/>
        <w:tblInd w:w="0" w:type="dxa"/>
        <w:tblCellMar>
          <w:top w:w="28" w:type="dxa"/>
          <w:left w:w="28" w:type="dxa"/>
          <w:bottom w:w="28" w:type="dxa"/>
          <w:right w:w="28" w:type="dxa"/>
        </w:tblCellMar>
      </w:tblPr>
      <w:tblGrid>
        <w:gridCol w:w="1405"/>
        <w:gridCol w:w="1237"/>
        <w:gridCol w:w="1243"/>
        <w:gridCol w:w="255"/>
        <w:gridCol w:w="256"/>
        <w:gridCol w:w="301"/>
        <w:gridCol w:w="109"/>
        <w:gridCol w:w="109"/>
        <w:gridCol w:w="109"/>
        <w:gridCol w:w="291"/>
        <w:gridCol w:w="294"/>
        <w:gridCol w:w="301"/>
        <w:gridCol w:w="109"/>
        <w:gridCol w:w="109"/>
        <w:gridCol w:w="109"/>
        <w:gridCol w:w="291"/>
        <w:gridCol w:w="294"/>
        <w:gridCol w:w="346"/>
      </w:tblGrid>
      <w:tr>
        <w:trPr/>
        <w:tc>
          <w:tcPr>
            <w:tcW w:w="140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 net of valuation allowance</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Non-taxable foreign income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rate differential</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other</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income tax rate</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(32.0)</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36.2</w:t>
            </w:r>
            <w:r>
              <w:rPr>
                <w:color w:val="000000"/>
              </w:rPr>
              <w:t>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SA received a five year exemption from Macau's 12% Complementary Tax on casino gaming profits through December 31, 2020. In April 2020, Wynn Macau SA received an extension of the exemption from Macau's 12% Complementary Tax on casino gaming profits earned from January 1, 2021 to June 26, 2022, the expiration date of the gaming concession agreement.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years ended December 31, 2021 and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SA also entered into an agreement with the Macau government that provides for an annual payment of MOP 12.8 million (approximately $1.6 million) as complementary tax otherwise due by stockholders of Wynn Macau SA on dividend distributions through 2020. In March 2021, the Company received an extension of its Macau dividend tax agreement, providing for a payment of MOP 12.8 million (approximately $1.6 million) for 2021 and MOP 6.3 million (approximately $0.8 million) for the period ending June 26, 2022, the expiration date of the gaming concession agreement. As a result of the stockholder dividend tax agreements, income tax expense includes $1.6 million for each of the years ended December 31, 2021, 2020, and 2019.</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Macau special gaming tax is 35% of gross gaming revenue. U.S. tax laws only allow a foreign tax credit ("FTC") up to 21% of foreign source income. In February 2010, the Company and the IRS entered into a Pre-Filing Agreement ("PFA") providing that the Macau special gaming tax qualifies as a tax paid in lieu of an income tax and could be claimed as a U.S. FTC.</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years ended December 31, 2021 and 2020, the Company did not recognize any tax benefits for FTCs generated by the earnings of Wynn Macau SA. During the year ended December 31, 2019, the Company recognized tax benefits of $32.9 million (net of valuation allowance and uncertain tax positions) for FTCs generated from the earnings of Wynn Macau SA.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Accounting standards require recognition of a future tax benefit to the extent that realization of such benefit is more likely than not; otherwise, a valuation allowance is applied. During the years ended December 31, 2021 and 2020, the aggregate valuation allowance for deferred tax assets decreased $485.4 million and increased $227.3 million, respectively. The 2021 decrease is primarily related to the expiration of FTCs. The 2020 increase is primarily related to the realizability of FTCs, intangible assets, U.S. loss carryforwards and other deferred tax assets.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tax benefits resulting from the exercise of nonqualified stock options and the value of vested restricted stock and accrued dividends of $1.9 million, $1.2 million, and $5.7 million for the years ended December 31, 2021, 2020, and 2019, respectively, in excess of the amounts reported for such items as compensation costs under accounting standards related to stock-based compensation.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tax effects of significant temporary differences representing net deferred tax assets and liabilities consisted of the following (in thousands):</w:t>
      </w:r>
    </w:p>
    <w:tbl>
      <w:tblPr>
        <w:tblW w:w="7434" w:type="dxa"/>
        <w:jc w:val="left"/>
        <w:tblInd w:w="0" w:type="dxa"/>
        <w:tblCellMar>
          <w:top w:w="28" w:type="dxa"/>
          <w:left w:w="28" w:type="dxa"/>
          <w:bottom w:w="28" w:type="dxa"/>
          <w:right w:w="28" w:type="dxa"/>
        </w:tblCellMar>
      </w:tblPr>
      <w:tblGrid>
        <w:gridCol w:w="1616"/>
        <w:gridCol w:w="1422"/>
        <w:gridCol w:w="1432"/>
        <w:gridCol w:w="211"/>
        <w:gridCol w:w="976"/>
        <w:gridCol w:w="109"/>
        <w:gridCol w:w="109"/>
        <w:gridCol w:w="109"/>
        <w:gridCol w:w="109"/>
        <w:gridCol w:w="211"/>
        <w:gridCol w:w="976"/>
        <w:gridCol w:w="154"/>
      </w:tblGrid>
      <w:tr>
        <w:trPr/>
        <w:tc>
          <w:tcPr>
            <w:tcW w:w="1616"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4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assets—U.S.: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 carryforwards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expense carryforward</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inventories, accrued liabilities and 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tax credit carryforwards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 and related other</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2,368,648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2,849,339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valuation allowance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(2,329,495)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(2,812,808)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39,153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36,531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liabilities—U.S.: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 maintenance and taxes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(36,832)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assets—Foreign: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176,635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179,442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valuation allowance </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5,566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liabilities—Foreign:</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(6,636)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deferred tax asset (liability)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1,333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(1,371)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FTC carryforwards of $533.6 million expired on December 31, 2021. As of December 31, 2021, the Company had FTC carryforwards (net of uncertain tax positions) of $2.0 billion. Of this amount,$756.0 million will expire in 2023, $710.7 million in 2024, $47.2 million in 2025 and $486.2 million in 2027. The Company has a disallowed interest carryforward of $674.9 million which does not expire. The Company has U.S. federal tax loss carryforwards of $343.1 million and state tax loss carryforwards of $74.4 million. U.S. federal tax loss carryforwards do not expire. The majority of state tax loss carryforwards expire in 2040. The Company incurred foreign tax losses of $394.1 million, $378.6 million and $376.8 million during the tax years ended December 31, 2021, 2020 and 2019, respectively. The majority of foreign tax loss carryforwards expire in 2024, 2023 and 2022, respectively. </w:t>
      </w:r>
    </w:p>
    <w:p>
      <w:pPr>
        <w:pStyle w:val="TextBody"/>
        <w:spacing w:before="0" w:after="0"/>
        <w:ind w:left="0" w:right="0" w:firstLine="495"/>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valuation allowances on certain of its U.S. and foreign deferred tax assets. In assessing the need for a valuation allowance, the Company considers whether it is more likely than not that the deferred tax assets will be realized.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ability to carryback, the reversal of net taxable temporary differences, the duration of statutory carryforward periods and tax planning strategies. For the year ended December 31, 2019, the Company relied on the forecast of future taxable income and tax planning strategies in assessing the need for a valuations allowance. Due to tax legislation that reduces future sources of taxable income as well as the uncertainty caused by the COVID-19 pandemic, the Company relied solely on the reversal of net taxable temporary differences in assessing the need for a valuation allowance in the years ended December 31, 2021 and 2020.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and 2020, the Company had valuation allowances provided on its deferred tax assets as follows (in thousands): </w:t>
      </w:r>
    </w:p>
    <w:tbl>
      <w:tblPr>
        <w:tblW w:w="6519" w:type="dxa"/>
        <w:jc w:val="left"/>
        <w:tblInd w:w="0" w:type="dxa"/>
        <w:tblCellMar>
          <w:top w:w="28" w:type="dxa"/>
          <w:left w:w="28" w:type="dxa"/>
          <w:bottom w:w="28" w:type="dxa"/>
          <w:right w:w="28" w:type="dxa"/>
        </w:tblCellMar>
      </w:tblPr>
      <w:tblGrid>
        <w:gridCol w:w="1277"/>
        <w:gridCol w:w="1122"/>
        <w:gridCol w:w="1126"/>
        <w:gridCol w:w="211"/>
        <w:gridCol w:w="991"/>
        <w:gridCol w:w="109"/>
        <w:gridCol w:w="109"/>
        <w:gridCol w:w="109"/>
        <w:gridCol w:w="109"/>
        <w:gridCol w:w="211"/>
        <w:gridCol w:w="991"/>
        <w:gridCol w:w="154"/>
      </w:tblGrid>
      <w:tr>
        <w:trPr/>
        <w:tc>
          <w:tcPr>
            <w:tcW w:w="1277"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 credits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Disallowed interest expense carryforwards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loss carryforwards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U.S. deferred tax assets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loss carryforwards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foreign deferred tax assets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2,501,263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2,986,684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both"/>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activity for unrecognized tax benefits as follows (in thousands):</w:t>
      </w:r>
    </w:p>
    <w:tbl>
      <w:tblPr>
        <w:tblW w:w="8411" w:type="dxa"/>
        <w:jc w:val="left"/>
        <w:tblInd w:w="0" w:type="dxa"/>
        <w:tblCellMar>
          <w:top w:w="28" w:type="dxa"/>
          <w:left w:w="28" w:type="dxa"/>
          <w:bottom w:w="28" w:type="dxa"/>
          <w:right w:w="28" w:type="dxa"/>
        </w:tblCellMar>
      </w:tblPr>
      <w:tblGrid>
        <w:gridCol w:w="1532"/>
        <w:gridCol w:w="1346"/>
        <w:gridCol w:w="1351"/>
        <w:gridCol w:w="211"/>
        <w:gridCol w:w="841"/>
        <w:gridCol w:w="109"/>
        <w:gridCol w:w="109"/>
        <w:gridCol w:w="109"/>
        <w:gridCol w:w="109"/>
        <w:gridCol w:w="211"/>
        <w:gridCol w:w="841"/>
        <w:gridCol w:w="109"/>
        <w:gridCol w:w="109"/>
        <w:gridCol w:w="109"/>
        <w:gridCol w:w="109"/>
        <w:gridCol w:w="211"/>
        <w:gridCol w:w="841"/>
        <w:gridCol w:w="154"/>
      </w:tblGrid>
      <w:tr>
        <w:trPr/>
        <w:tc>
          <w:tcPr>
            <w:tcW w:w="1532"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2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based on tax positions of the current year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based on tax positions of prior years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based on tax positions of prior years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Reductions due to lapse in statutes of limitations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141,515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107,661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104,295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2021, 2020 and 2019, unrecognized tax benefits of $141.5 million, $107.7 million and $104.3 million, respectively, were recorded as reductions in deferred income taxes, net. The Company had no unrecognized tax benefits recorded in other long-term liabilities as of December 31, 2021, 2020 and 2019.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2020 and 2019, $74.3 million, $40.2 million and $36.6 million, respectively, of unrecognized tax benefits would, if recognized, impact the effective tax rate.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penalties and interest related to unrecognized tax benefits in the provision for income taxes. During each of the years ended December 31, 2021, 2020 and 2019, the Company recognized no interest and penalties.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anticipates that the 2017 statute of limitations will expire in the next 12 months for certain foreign tax jurisdictions. Also, the Company's unrecognized tax benefits include certain income tax accounting methods, which govern the timing and deductibility of income tax deductions. As a result, the Company's unrecognized tax benefits could decrease up to $0.9 million over the next 12 months.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files income tax returns in the U.S. federal jurisdiction, various states and foreign jurisdictions. The Company's income tax returns are subject to examination by the IRS and other tax authorities in the locations where it operates. The Company's 2002 to 2017 domestic income tax returns remain subject to examination by the IRS to the extent tax attributes carryforward to future years. The Company's 2018 to 2020 domestic income tax returns also remain subject to examination by the IRS. The Company's 2017 to 2020 Macau income tax returns remain subject to examination by the Financial Services Bureau.</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participated in the IRS Compliance Assurance Program ("CAP") for the 2012 through 2021 tax years and will continue to participate in the IRS CAP for the 2022 tax year. </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2019, July 2020, and February 2021, the Company received notification that the IRS completed its examination of the Company's 2017, 2018, and 2019 U.S. income tax returns, respectively.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31, 2019, 2020 and 2021, the statute of limitations for the 2014, 2015, and 2016 Macau Complementary tax return expired, respectively. As a result of the expiration of the statute of limitations for the Macau Complementary Tax return, the total amount of unrecognized tax benefits decreased by $4.2 million, $3.7 million, and $10.6 million, respectively.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of 2020, the Financial Services Bureau commenced an examination of the 2015 and 2016 Macau income tax returns of Palo. In July 2020, the Financial Services Bureau issued final tax assessments for Palo for the years 2015 and 2016 and the examination resulted in no change to the tax returns.</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the Financial Services Bureau issued final tax assessments for the Company's Macau income tax returns of Wynn Macau SA for the years 2015 and 2016, while no additional tax was due, adjustments were made to the Company's tax loss carryforwards.</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In March 2021, the Financial Services Bureau concluded its review of the 2017 and 2018 Macau income tax returns of Palo with no changes.</w:t>
      </w:r>
      <w:r>
        <w:rPr>
          <w:color w:val="000000"/>
        </w:rPr>
        <w:t xml:space="preserv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the Financial Services Bureau issued final tax assessments for the Company’s Macau income tax returns of Wynn Macau SA for the years 2017 and 2018, while no additional tax was due, adjustments were made to the Company’s tax loss carryforwards.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14 - Earnings Per Share</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("EPS") is computed by dividing net income (loss) attributable to Wynn Resorts by the weighted average number of common shares outstanding during the year. Diluted EPS is computed by dividing net income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 </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weighted average number of common and common equivalent shares used in the calculation of basic and diluted EPS consisted of the following (in thousands, except per share amounts):</w:t>
      </w:r>
    </w:p>
    <w:tbl>
      <w:tblPr>
        <w:tblW w:w="10205" w:type="dxa"/>
        <w:jc w:val="left"/>
        <w:tblInd w:w="0" w:type="dxa"/>
        <w:tblCellMar>
          <w:top w:w="28" w:type="dxa"/>
          <w:left w:w="28" w:type="dxa"/>
          <w:bottom w:w="28" w:type="dxa"/>
          <w:right w:w="28" w:type="dxa"/>
        </w:tblCellMar>
      </w:tblPr>
      <w:tblGrid>
        <w:gridCol w:w="2174"/>
        <w:gridCol w:w="1818"/>
        <w:gridCol w:w="1823"/>
        <w:gridCol w:w="211"/>
        <w:gridCol w:w="868"/>
        <w:gridCol w:w="109"/>
        <w:gridCol w:w="109"/>
        <w:gridCol w:w="109"/>
        <w:gridCol w:w="109"/>
        <w:gridCol w:w="211"/>
        <w:gridCol w:w="1018"/>
        <w:gridCol w:w="109"/>
        <w:gridCol w:w="109"/>
        <w:gridCol w:w="109"/>
        <w:gridCol w:w="109"/>
        <w:gridCol w:w="211"/>
        <w:gridCol w:w="841"/>
        <w:gridCol w:w="158"/>
      </w:tblGrid>
      <w:tr>
        <w:trPr/>
        <w:tc>
          <w:tcPr>
            <w:tcW w:w="2174" w:type="dxa"/>
            <w:tcBorders/>
            <w:shd w:fill="auto" w:val="clear"/>
            <w:vAlign w:val="center"/>
          </w:tcPr>
          <w:p>
            <w:pPr>
              <w:pStyle w:val="TableContents"/>
              <w:spacing w:before="0" w:after="283"/>
              <w:rPr>
                <w:sz w:val="4"/>
                <w:szCs w:val="4"/>
              </w:rPr>
            </w:pPr>
            <w:r>
              <w:rPr>
                <w:sz w:val="4"/>
                <w:szCs w:val="4"/>
              </w:rPr>
            </w:r>
          </w:p>
        </w:tc>
        <w:tc>
          <w:tcPr>
            <w:tcW w:w="1818" w:type="dxa"/>
            <w:tcBorders/>
            <w:shd w:fill="auto" w:val="clear"/>
            <w:vAlign w:val="center"/>
          </w:tcPr>
          <w:p>
            <w:pPr>
              <w:pStyle w:val="TableContents"/>
              <w:spacing w:before="0" w:after="283"/>
              <w:rPr>
                <w:sz w:val="4"/>
                <w:szCs w:val="4"/>
              </w:rPr>
            </w:pPr>
            <w:r>
              <w:rPr>
                <w:sz w:val="4"/>
                <w:szCs w:val="4"/>
              </w:rPr>
            </w:r>
          </w:p>
        </w:tc>
        <w:tc>
          <w:tcPr>
            <w:tcW w:w="18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income (loss) attributable to Wynn Resorts, Limited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(755,786)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(2,067,245)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122,985</w:t>
            </w: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1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Potential dilutive effect of stock options, nonvested, and performance nonvested shares</w:t>
            </w:r>
          </w:p>
        </w:tc>
        <w:tc>
          <w:tcPr>
            <w:tcW w:w="10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and common equivalent shares outstanding</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113,760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106,985</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Wynn Resorts, Limited per common share,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stock options, nonvested, and performance nonvested shares excluded from the calculation of diluted net income per share</w:t>
            </w:r>
          </w:p>
        </w:tc>
        <w:tc>
          <w:tcPr>
            <w:tcW w:w="1079" w:type="dxa"/>
            <w:gridSpan w:val="2"/>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15 - Leases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Lessee Arrangements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sheet classification of the Company's lease assets and liabilities (in thousands):</w:t>
      </w:r>
    </w:p>
    <w:tbl>
      <w:tblPr>
        <w:tblW w:w="8045" w:type="dxa"/>
        <w:jc w:val="left"/>
        <w:tblInd w:w="0" w:type="dxa"/>
        <w:tblCellMar>
          <w:top w:w="28" w:type="dxa"/>
          <w:left w:w="28" w:type="dxa"/>
          <w:bottom w:w="28" w:type="dxa"/>
          <w:right w:w="28" w:type="dxa"/>
        </w:tblCellMar>
      </w:tblPr>
      <w:tblGrid>
        <w:gridCol w:w="720"/>
        <w:gridCol w:w="633"/>
        <w:gridCol w:w="641"/>
        <w:gridCol w:w="1019"/>
        <w:gridCol w:w="1019"/>
        <w:gridCol w:w="1022"/>
        <w:gridCol w:w="109"/>
        <w:gridCol w:w="109"/>
        <w:gridCol w:w="109"/>
        <w:gridCol w:w="211"/>
        <w:gridCol w:w="826"/>
        <w:gridCol w:w="109"/>
        <w:gridCol w:w="109"/>
        <w:gridCol w:w="109"/>
        <w:gridCol w:w="109"/>
        <w:gridCol w:w="211"/>
        <w:gridCol w:w="826"/>
        <w:gridCol w:w="154"/>
      </w:tblGrid>
      <w:tr>
        <w:trPr/>
        <w:tc>
          <w:tcPr>
            <w:tcW w:w="720"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0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assets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liabilities</w:t>
            </w:r>
          </w:p>
        </w:tc>
        <w:tc>
          <w:tcPr>
            <w:tcW w:w="3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disclose the components of the Company's lease cost, supplemental cash flow disclosures, and other information regarding the Company's lease arrangements (in thousands):</w:t>
      </w:r>
    </w:p>
    <w:tbl>
      <w:tblPr>
        <w:tblW w:w="7482" w:type="dxa"/>
        <w:jc w:val="left"/>
        <w:tblInd w:w="0" w:type="dxa"/>
        <w:tblCellMar>
          <w:top w:w="28" w:type="dxa"/>
          <w:left w:w="28" w:type="dxa"/>
          <w:bottom w:w="28" w:type="dxa"/>
          <w:right w:w="28" w:type="dxa"/>
        </w:tblCellMar>
      </w:tblPr>
      <w:tblGrid>
        <w:gridCol w:w="1309"/>
        <w:gridCol w:w="1149"/>
        <w:gridCol w:w="1157"/>
        <w:gridCol w:w="211"/>
        <w:gridCol w:w="736"/>
        <w:gridCol w:w="109"/>
        <w:gridCol w:w="109"/>
        <w:gridCol w:w="109"/>
        <w:gridCol w:w="109"/>
        <w:gridCol w:w="211"/>
        <w:gridCol w:w="736"/>
        <w:gridCol w:w="109"/>
        <w:gridCol w:w="109"/>
        <w:gridCol w:w="109"/>
        <w:gridCol w:w="109"/>
        <w:gridCol w:w="211"/>
        <w:gridCol w:w="736"/>
        <w:gridCol w:w="154"/>
      </w:tblGrid>
      <w:tr>
        <w:trPr/>
        <w:tc>
          <w:tcPr>
            <w:tcW w:w="130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6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Lease cost: </w:t>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leasehold interests in land </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interest cost</w:t>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56,091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56,620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73,678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731" w:type="dxa"/>
        <w:jc w:val="left"/>
        <w:tblInd w:w="0" w:type="dxa"/>
        <w:tblCellMar>
          <w:top w:w="28" w:type="dxa"/>
          <w:left w:w="28" w:type="dxa"/>
          <w:bottom w:w="28" w:type="dxa"/>
          <w:right w:w="28" w:type="dxa"/>
        </w:tblCellMar>
      </w:tblPr>
      <w:tblGrid>
        <w:gridCol w:w="2140"/>
        <w:gridCol w:w="1880"/>
        <w:gridCol w:w="1889"/>
        <w:gridCol w:w="211"/>
        <w:gridCol w:w="721"/>
        <w:gridCol w:w="109"/>
        <w:gridCol w:w="109"/>
        <w:gridCol w:w="109"/>
        <w:gridCol w:w="109"/>
        <w:gridCol w:w="211"/>
        <w:gridCol w:w="721"/>
        <w:gridCol w:w="109"/>
        <w:gridCol w:w="109"/>
        <w:gridCol w:w="109"/>
        <w:gridCol w:w="109"/>
        <w:gridCol w:w="211"/>
        <w:gridCol w:w="721"/>
        <w:gridCol w:w="154"/>
      </w:tblGrid>
      <w:tr>
        <w:trPr/>
        <w:tc>
          <w:tcPr>
            <w:tcW w:w="2140"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c>
          <w:tcPr>
            <w:tcW w:w="18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9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disclosures:</w:t>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arising from obtaining operating lease assets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arising from obtaining finance lease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amounts included in the measurement of lease liabilities: </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operating activities - Operating leases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 Finance leases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tbl>
      <w:tblPr>
        <w:tblW w:w="8313" w:type="dxa"/>
        <w:jc w:val="left"/>
        <w:tblInd w:w="0" w:type="dxa"/>
        <w:tblCellMar>
          <w:top w:w="28" w:type="dxa"/>
          <w:left w:w="28" w:type="dxa"/>
          <w:bottom w:w="28" w:type="dxa"/>
          <w:right w:w="28" w:type="dxa"/>
        </w:tblCellMar>
      </w:tblPr>
      <w:tblGrid>
        <w:gridCol w:w="1742"/>
        <w:gridCol w:w="1532"/>
        <w:gridCol w:w="1540"/>
        <w:gridCol w:w="207"/>
        <w:gridCol w:w="207"/>
        <w:gridCol w:w="516"/>
        <w:gridCol w:w="109"/>
        <w:gridCol w:w="109"/>
        <w:gridCol w:w="109"/>
        <w:gridCol w:w="207"/>
        <w:gridCol w:w="207"/>
        <w:gridCol w:w="516"/>
        <w:gridCol w:w="109"/>
        <w:gridCol w:w="109"/>
        <w:gridCol w:w="109"/>
        <w:gridCol w:w="203"/>
        <w:gridCol w:w="203"/>
        <w:gridCol w:w="579"/>
      </w:tblGrid>
      <w:tr>
        <w:trPr/>
        <w:tc>
          <w:tcPr>
            <w:tcW w:w="1742"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54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48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years</w:t>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years</w:t>
            </w:r>
          </w:p>
        </w:tc>
      </w:tr>
      <w:tr>
        <w:trPr/>
        <w:tc>
          <w:tcPr>
            <w:tcW w:w="4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5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an analysis of lease liability maturities as of December 31, 2021 (in thousands):</w:t>
      </w:r>
    </w:p>
    <w:p>
      <w:pPr>
        <w:pStyle w:val="TextBody"/>
        <w:spacing w:before="0" w:after="0"/>
        <w:ind w:left="0" w:right="0" w:firstLine="450"/>
        <w:jc w:val="both"/>
        <w:rPr/>
      </w:pPr>
      <w:r>
        <w:rPr/>
      </w:r>
    </w:p>
    <w:tbl>
      <w:tblPr>
        <w:tblW w:w="5888" w:type="dxa"/>
        <w:jc w:val="left"/>
        <w:tblInd w:w="0" w:type="dxa"/>
        <w:tblCellMar>
          <w:top w:w="28" w:type="dxa"/>
          <w:left w:w="28" w:type="dxa"/>
          <w:bottom w:w="28" w:type="dxa"/>
          <w:right w:w="28" w:type="dxa"/>
        </w:tblCellMar>
      </w:tblPr>
      <w:tblGrid>
        <w:gridCol w:w="954"/>
        <w:gridCol w:w="841"/>
        <w:gridCol w:w="844"/>
        <w:gridCol w:w="109"/>
        <w:gridCol w:w="109"/>
        <w:gridCol w:w="109"/>
        <w:gridCol w:w="248"/>
        <w:gridCol w:w="989"/>
        <w:gridCol w:w="128"/>
        <w:gridCol w:w="109"/>
        <w:gridCol w:w="109"/>
        <w:gridCol w:w="109"/>
        <w:gridCol w:w="215"/>
        <w:gridCol w:w="858"/>
        <w:gridCol w:w="157"/>
      </w:tblGrid>
      <w:tr>
        <w:trPr/>
        <w:tc>
          <w:tcPr>
            <w:tcW w:w="95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441,640 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undiscounted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504,998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113,524</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Short-term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115,187 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44,018 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126,068</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60,059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378,930</w:t>
            </w:r>
            <w:r>
              <w:rPr>
                <w:color w:val="000000"/>
              </w:rPr>
              <w:t>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53,465</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 Leases</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Undeveloped Land - Las Vegas</w:t>
      </w:r>
    </w:p>
    <w:p>
      <w:pPr>
        <w:pStyle w:val="TextBody"/>
        <w:spacing w:lineRule="auto" w:line="288" w:before="0" w:after="0"/>
        <w:rPr>
          <w:color w:val="000000"/>
        </w:rPr>
      </w:pPr>
      <w:r>
        <w:rPr>
          <w:color w:val="000000"/>
        </w:rPr>
        <w:t>    </w:t>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approximately 16 acres of undeveloped land on Las Vegas Boulevard directly across from Wynn Las Vegas in Las Vegas, Nevada, pursuant to a lease agreement which expires in 2097. The ground lease payments, which increase at a fixed rate over the term of the lease, are $3.8 million in 2022, $3.9 million in 2023, $4.0 million per year from 2024 to 2026 and total payments of $355.8 million thereafter. As of December 31, 2021 and 2020, the liability associated with this lease was $63.7 million and $63.2 million, respectively.</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2021 and 2020, operating lease assets included approximately $84.7 million and $85.8 million, respectively, related to an amount allocated to the leasehold interest in land upon the acquisition of a group of assets in 2018. The Company expects that the amortization of this amount will be $1.1 million each year from 2022 through 2096 and $0.7 million in 2097.</w:t>
      </w:r>
    </w:p>
    <w:p>
      <w:pPr>
        <w:pStyle w:val="TextBody"/>
        <w:spacing w:before="0" w:after="0"/>
        <w:rPr/>
      </w:pPr>
      <w:r>
        <w:rPr/>
      </w:r>
    </w:p>
    <w:p>
      <w:pPr>
        <w:pStyle w:val="TextBody"/>
        <w:spacing w:lineRule="auto" w:line="288" w:before="0" w:after="0"/>
        <w:ind w:left="0" w:right="0" w:firstLine="180"/>
        <w:rPr>
          <w:rFonts w:ascii="Times New Roman;sans-serif" w:hAnsi="Times New Roman;sans-serif"/>
          <w:b w:val="false"/>
          <w:i/>
          <w:color w:val="000000"/>
          <w:sz w:val="20"/>
        </w:rPr>
      </w:pPr>
      <w:r>
        <w:rPr>
          <w:rFonts w:ascii="Times New Roman;sans-serif" w:hAnsi="Times New Roman;sans-serif"/>
          <w:b w:val="false"/>
          <w:i/>
          <w:color w:val="000000"/>
          <w:sz w:val="20"/>
        </w:rPr>
        <w:t>Macau Land Concessions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Palace and Wynn Macau were built on land that is leased under Macau land concession contracts each with terms of 25 years from May 2012 and August 2004, respectively, which may be renewed with government approval for successive 10-year periods in accordance with Macau legislation. The land concession payments are expected to be $1.6 million per year through 2026 and total payments of $12.3 million thereafter through 2037. At December 31, 2021 and 2020, the total liability associated with these leases was $14.5 million and $15.4 million, respectively. </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2021 and 2020, operating lease assets included $166.7 million and $180.3 million of leasehold interests in land related to the Wynn Palace and Wynn Macau land concessions. The Company expects that the amortization associated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these leasehold interests will be approximately $12.6 million per year from 2022 through 2028 and approximately $9.3 million per year thereafter through 2037.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Lessor Arrangements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minimum and contingent operating lease income for the periods presented (in thousands):</w:t>
      </w:r>
    </w:p>
    <w:tbl>
      <w:tblPr>
        <w:tblW w:w="6522" w:type="dxa"/>
        <w:jc w:val="left"/>
        <w:tblInd w:w="0" w:type="dxa"/>
        <w:tblCellMar>
          <w:top w:w="28" w:type="dxa"/>
          <w:left w:w="28" w:type="dxa"/>
          <w:bottom w:w="28" w:type="dxa"/>
          <w:right w:w="28" w:type="dxa"/>
        </w:tblCellMar>
      </w:tblPr>
      <w:tblGrid>
        <w:gridCol w:w="847"/>
        <w:gridCol w:w="744"/>
        <w:gridCol w:w="749"/>
        <w:gridCol w:w="211"/>
        <w:gridCol w:w="841"/>
        <w:gridCol w:w="109"/>
        <w:gridCol w:w="109"/>
        <w:gridCol w:w="109"/>
        <w:gridCol w:w="109"/>
        <w:gridCol w:w="211"/>
        <w:gridCol w:w="841"/>
        <w:gridCol w:w="109"/>
        <w:gridCol w:w="109"/>
        <w:gridCol w:w="109"/>
        <w:gridCol w:w="109"/>
        <w:gridCol w:w="211"/>
        <w:gridCol w:w="841"/>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8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Years Ended December 31, </w:t>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Minimum rental income </w:t>
            </w:r>
            <w:r>
              <w:rPr>
                <w:rFonts w:ascii="Times New Roman;sans-serif" w:hAnsi="Times New Roman;sans-serif"/>
                <w:b w:val="false"/>
                <w:color w:val="000000"/>
                <w:sz w:val="16"/>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rental income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202,381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134,835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194,419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(1) For the year ended December 31, 2020, reflects the impact of rent concessions provided to tenants.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future minimum rentals to be received under operating leases (in thousands): </w:t>
      </w:r>
    </w:p>
    <w:p>
      <w:pPr>
        <w:pStyle w:val="TextBody"/>
        <w:spacing w:before="0" w:after="0"/>
        <w:ind w:left="0" w:right="0" w:firstLine="450"/>
        <w:jc w:val="both"/>
        <w:rPr/>
      </w:pPr>
      <w:r>
        <w:rPr/>
      </w:r>
    </w:p>
    <w:tbl>
      <w:tblPr>
        <w:tblW w:w="4048" w:type="dxa"/>
        <w:jc w:val="left"/>
        <w:tblInd w:w="0" w:type="dxa"/>
        <w:tblCellMar>
          <w:top w:w="28" w:type="dxa"/>
          <w:left w:w="28" w:type="dxa"/>
          <w:bottom w:w="28" w:type="dxa"/>
          <w:right w:w="28" w:type="dxa"/>
        </w:tblCellMar>
      </w:tblPr>
      <w:tblGrid>
        <w:gridCol w:w="954"/>
        <w:gridCol w:w="841"/>
        <w:gridCol w:w="844"/>
        <w:gridCol w:w="246"/>
        <w:gridCol w:w="983"/>
        <w:gridCol w:w="180"/>
      </w:tblGrid>
      <w:tr>
        <w:trPr/>
        <w:tc>
          <w:tcPr>
            <w:tcW w:w="95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109,838 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100,002 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83,095 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48,870 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75,599 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future minimum rentals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541,120</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16 - Related Party Transactions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Home Purchase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May 2010, the Company entered into an employment agreement with Linda Chen ("Ms. Chen"), who is the President and Executive Director of Wynn Macau SA. Under the terms of the employment agreement, the Company purchased a home in Macau for use by Ms. Chen and has made renovations to the home with a total cost of $11.0 million. In addition, Ms. Chen has an option to purchase the home for no further consideration at any time before the expiration of this option arrangement.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Cooperation Agreement</w:t>
      </w:r>
    </w:p>
    <w:p>
      <w:pPr>
        <w:pStyle w:val="TextBody"/>
        <w:spacing w:before="0" w:after="0"/>
        <w:jc w:val="both"/>
        <w:rPr/>
      </w:pPr>
      <w:r>
        <w:rPr/>
      </w:r>
    </w:p>
    <w:p>
      <w:pPr>
        <w:pStyle w:val="TextBody"/>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reimbursement of expenses and the grant of certain complimentary privileges. The term of the Cooperation Agreement expires on the date that Mr. Satre no longer serves as Chair of the Board, unless earlier terminated pursuant to the circumstances described in the Cooperation Agreement.</w:t>
      </w:r>
    </w:p>
    <w:p>
      <w:pPr>
        <w:pStyle w:val="TextBody"/>
        <w:spacing w:before="0" w:after="0"/>
        <w:ind w:left="0" w:right="0" w:firstLine="450"/>
        <w:jc w:val="both"/>
        <w:rPr/>
      </w:pPr>
      <w:r>
        <w:rPr/>
      </w:r>
    </w:p>
    <w:p>
      <w:pPr>
        <w:pStyle w:val="TextBody"/>
        <w:spacing w:lineRule="auto" w:line="27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Amounts Due to Officers, Directors and Former Directors</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provides services to certain executive officers, directors or former directors of the 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2021 and 2020, these net deposit balances with the Company were immaterial, as were the services provided.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17 - Commitments and Contingencies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Employment Agreements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with several executive officers, other members of management and certain key employees. These agreements generally have three to five 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 As of December 31, 2021, the Company was obligated to make future payments of $62.2 million, $41.5 million, $15.0 million, $0.9 million, and $0.2 million during the years ending December 31, 2022, 2023, 2024, 2025 and 2026, respectively. There are no employment agreement obligations after December 31, 2026.</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Commitments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additional commitments for gaming tax payments in Macau, open purchase orders, construction contracts, payment obligations to communities surrounding Encore Boston Harbor, and performance and other miscellaneous contracts. As of December 31, 2021, the Company was obligated under these arrangements to make future minimum payments as follows (in thousands):</w:t>
      </w:r>
    </w:p>
    <w:p>
      <w:pPr>
        <w:pStyle w:val="TextBody"/>
        <w:spacing w:before="0" w:after="0"/>
        <w:ind w:left="0" w:right="0" w:firstLine="450"/>
        <w:jc w:val="both"/>
        <w:rPr/>
      </w:pPr>
      <w:r>
        <w:rPr/>
      </w:r>
    </w:p>
    <w:tbl>
      <w:tblPr>
        <w:tblW w:w="3515" w:type="dxa"/>
        <w:jc w:val="left"/>
        <w:tblInd w:w="0" w:type="dxa"/>
        <w:tblCellMar>
          <w:top w:w="28" w:type="dxa"/>
          <w:left w:w="28" w:type="dxa"/>
          <w:bottom w:w="28" w:type="dxa"/>
          <w:right w:w="28" w:type="dxa"/>
        </w:tblCellMar>
      </w:tblPr>
      <w:tblGrid>
        <w:gridCol w:w="836"/>
        <w:gridCol w:w="734"/>
        <w:gridCol w:w="739"/>
        <w:gridCol w:w="211"/>
        <w:gridCol w:w="841"/>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Years Ending December 31,</w:t>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minimum payments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819,343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Letters of Credit</w:t>
      </w:r>
    </w:p>
    <w:p>
      <w:pPr>
        <w:pStyle w:val="TextBody"/>
        <w:spacing w:before="0" w:after="0"/>
        <w:ind w:left="0" w:right="0" w:firstLine="495"/>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December 31, 2021, the Company had outstanding letters of credit of $14.4 million.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Macau Litigation Related to Dore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Macau SA has been named as a defendant in lawsuits filed in the Macau Court of First Instance by individuals who claim to be investors in or persons with credit in accounts maintained by Dore Entertainment Company Limited (“Dore”), an independent, Macau registered and licensed company that operated a gaming promoter business at Wynn Macau. In connection with the alleged theft, embezzlement, fraud and/or other crime(s) perpetrated by a former employee of Dore (the “Dore Incident”), the plaintiffs of the lawsuits allege that Dore failed to honor withdrawal of funds deposited with Dore as investments or gaming deposits that allegedly resulted in certain losses for these individuals. The principal allegations common to the lawsuits are that Wynn Macau SA, as a gaming concessionaire, should be held responsible for Dore’s conduct on the basis that Wynn Macau SA is responsible for the supervision of Dore’s activities at Wynn Macau that resulted in the purported losses.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19, 2021, the Macau Court of Final Appeal issued a final ruling (the “Ruling”) with respect to one such lawsuit that Wynn Macau SA was held jointly liable to a plaintiff. Pursuant to the Ruling, Wynn Macau SA was required to pay approximately $1.2 million, inclusive of accumulated interest, to such plaintiff.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most remaining cases are without merit and unfounded and intends to vigorously defend against the remaining claims pleaded against Wynn Macau SA in these lawsuits. The Company has made estimates for potential litigation costs based upon its assessment of the likely outcome and has recorded provisions for such amounts in the accompanying consolidated financial statements for the year ended December 31, 2021. No assurances can be provided as to the outcome of the pending Dore cases, and actual results may differ from these estimates.</w:t>
      </w:r>
    </w:p>
    <w:p>
      <w:pPr>
        <w:pStyle w:val="TextBody"/>
        <w:spacing w:before="0" w:after="0"/>
        <w:ind w:left="0" w:right="0" w:firstLine="495"/>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Massachusetts Gaming License Related Actions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17, 2014, the Massachusetts Gaming Commission ("MGC") designated Wynn MA the award winner of the Greater Boston (Region A) gaming license (the "Boston area license"). On November 7, 2014, the gaming license became effective.</w:t>
      </w:r>
    </w:p>
    <w:p>
      <w:pPr>
        <w:pStyle w:val="TextBody"/>
        <w:spacing w:before="0" w:after="0"/>
        <w:ind w:left="0" w:right="0" w:firstLine="45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Revere Action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 for procedural error.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2019, Mohegan filed a motion to file a second amended complaint, to add new claims related to the MGC's allegedly inadequate 2013 investigation. On October 15, 2019, the court granted Mohegan's motion to amend and allowed it to file a second amended intervenor's complaint. Mohegan and the MGC engaged in supplemental briefing on Mohegan’s still-pending Motion for Judgment Against the MGC and Individual Commissioners, which concluded in April 2021. On February 16, 2022, the court denied Mohegan’s motion, and ordered that judgment shall enter for the MGC and Individual Commissioners on all remaining claims asserted in the action.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Wynn MA was not a party to and was not named in the Revere Action.</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Litigation</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number of stockholder derivative actions were filed in state and federal court located in Clark County, Nevada against certain current and former members of the Company's Board of Directors and, in some cases, the Company's current and former officers. Each of the complaints alleged, among other things, breach of fiduciary duties in failing to detect, prevent and remedy alleged inappropriate personal conduct by Stephen A. Wynn in the workplace. </w:t>
      </w:r>
    </w:p>
    <w:p>
      <w:pPr>
        <w:pStyle w:val="TextBody"/>
        <w:spacing w:before="0" w:after="0"/>
        <w:ind w:left="0" w:right="0" w:firstLine="450"/>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The actions filed in the Eighth Judicial District Court of Clark County, Nevada were consolidated as </w:t>
      </w:r>
      <w:r>
        <w:rPr>
          <w:rFonts w:ascii="Times New Roman;sans-serif" w:hAnsi="Times New Roman;sans-serif"/>
          <w:b w:val="false"/>
          <w:i/>
          <w:color w:val="000000"/>
          <w:sz w:val="20"/>
        </w:rPr>
        <w:t>In re Wynn Resorts, Ltd. Derivative Litigation</w:t>
      </w:r>
      <w:r>
        <w:rPr>
          <w:color w:val="000000"/>
        </w:rPr>
        <w:t xml:space="preserve"> </w:t>
      </w:r>
      <w:r>
        <w:rPr>
          <w:rFonts w:ascii="Times New Roman;sans-serif" w:hAnsi="Times New Roman;sans-serif"/>
          <w:b w:val="false"/>
          <w:color w:val="000000"/>
          <w:sz w:val="20"/>
        </w:rPr>
        <w:t xml:space="preserve">("State Derivative Case").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This case was consolidated in September 2019 into the State Derivative Case.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27, 2019, the State Derivative Case parties agreed to terms of a settlement agreement. The court approved the settlement agreement on February 12, 2020, and entered a written order approving the settlement on March 10, 2020. Following the Nevada Supreme Court’s dismissal of the only appeal, the settlement agreement became effective and final. Following the dismissal, the Company received net proceeds of $30.2 million, which has been recognized as a reduction of general and administrative expense within the Consolidated Statements of Operations for the year ended December 31, 2020.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In 2018, several actions filed in the United States District Court, District of Nevada were consolidated as </w:t>
      </w:r>
      <w:r>
        <w:rPr>
          <w:rFonts w:ascii="Times New Roman;sans-serif" w:hAnsi="Times New Roman;sans-serif"/>
          <w:b w:val="false"/>
          <w:i/>
          <w:color w:val="000000"/>
          <w:sz w:val="20"/>
        </w:rPr>
        <w:t>In re Wynn Resorts, Ltd. Derivative Litigation</w:t>
      </w:r>
      <w:r>
        <w:rPr>
          <w:color w:val="000000"/>
        </w:rPr>
        <w:t xml:space="preserve"> </w:t>
      </w:r>
      <w:r>
        <w:rPr>
          <w:rFonts w:ascii="Times New Roman;sans-serif" w:hAnsi="Times New Roman;sans-serif"/>
          <w:b w:val="false"/>
          <w:color w:val="000000"/>
          <w:sz w:val="20"/>
        </w:rPr>
        <w:t xml:space="preserve">("Federal Derivative Case"), which also claim corporate waste and violation of Section 14(a) of the Exchange Act. In June 2018, the Company 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March 25, 2019, a separate stockholder derivative action was filed in the United States District Court, District of Nevada alleging similar causes of action as the Federal Derivative Case with the additional allegation that the Board of Directors improperly refused the stockholder's demand to commence litigation against the officers and directors of the Company. On April 30, 2020, the Company filed a motion for summary judgment, seeking dismissal of the claims given the approved settlement in the State Derivative Case. On January 12, 2021, the court granted the Company’s motion for summary judgment of this action and denied the stockholder’s request to vacate the parties' stipulation to dismiss the Federal Derivative Case. On February 11, 2021, the stockholder filed a notice of appeal to the United States Court of Appeals for the Ninth Circuit. On May 12, 2021, the parties stipulated to dismiss the appeal.</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actions sought to recover for the Company unspecified damages, including restitution and disgorgement of profits, and also sought to recover attorneys' fees, costs and related expenses for the plaintiff.</w:t>
      </w:r>
    </w:p>
    <w:p>
      <w:pPr>
        <w:pStyle w:val="TextBody"/>
        <w:spacing w:before="0" w:after="0"/>
        <w:ind w:left="0" w:right="0" w:firstLine="45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Securities Action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former executive officers, including Mr. Maddox, Stephen A. Wynn, Kimmarie Sinatra, and Steven Cootey.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pStyle w:val="TextBody"/>
        <w:spacing w:before="0" w:after="0"/>
        <w:ind w:left="0" w:right="0" w:firstLine="45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Federal Investigation</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beginning in 2020 received several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18 - Retail Joint Venture</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2016, the Company entered into the Retail Joint Venture with Crown Acquisitions Inc. ("Crown") to own and operate approximately 88,000 square feet of existing retail space at Wynn Las Vegas. In November 2017, the Company contributed approximately 74,000 square feet of additional retail space to the Retail Joint Venture. The Company opened the additional retail space during the fourth quarter of 2018.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2021 and 2020, the Retail Joint Venture had total assets of $98.0 million and $96.3 million, respectively, and total liabilities of $624.4 million and $633.5 million, respectively. The Retail Joint Venture's total liabilities as of December 31, 2021 included long-term debt of $612.9 million, net of debt issuance costs, related to the outstanding borrowings under the Retail Term Loan.</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19 - Business Combination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23, 2020, the Company acquired a controlling interest in Wynn Interactive, which was formed in stages through the merger of Wynn Resorts' digital gaming businesses and BetBull (the “BetBull Acquisition”). As part of the BetBull Acquisition, BetBull shareholders, which included Wynn Resorts, exchanged their shares in BetBull for shares of Wynn Interactive, and Wynn Resorts exchanged its membership interests in its subsidiaries that operated its existing digital and social casino businesses ("WSI" and "WSG", respectively) for a controlling interest in Wynn Interactive. Prior to the BetBull Acquisition, the Company held a 22.5% interest in BetBull, which was accounted for as a cost method investment. </w:t>
      </w:r>
    </w:p>
    <w:p>
      <w:pPr>
        <w:pStyle w:val="TextBody"/>
        <w:spacing w:before="0" w:after="0"/>
        <w:ind w:left="0" w:right="0" w:firstLine="450"/>
        <w:jc w:val="both"/>
        <w:rPr/>
      </w:pPr>
      <w:r>
        <w:rPr/>
      </w:r>
    </w:p>
    <w:p>
      <w:pPr>
        <w:pStyle w:val="TextBody"/>
        <w:spacing w:lineRule="auto" w:line="288" w:before="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consideration (including the fair value of noncontrolling interest) in order to compute goodwill related to the business combination was $164.7 million, which included the following: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acquisition date fair value of Wynn Resorts' previously held minority equity interest in BetBull of $37.3 million. Immediately prior to the BetBull Acquisition, the book value of this cost method investment was $21.5 million. The Company recorded a gain of $15.7 million to reflect the fair value of its interest at the date of acquisition, which was recorded in Other non-operating income (expense) on the Consolidated Statement of Operations for the year ended December 31, 2020.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acquisition date fair value of the non-controlling interests in WSI and WSG that Wynn Resorts transferred to legacy BetBull shareholders in exchange for a controlling interest in BetBull, totaling $49.5 million.</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settlement of transactions from Wynn Resorts' pre-existing relationship with BetBull and the fair value of vested replacement stock options, all of which totaled $5.9 million.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fair value of BetBull’s noncontrolling interest totaling $72.0 million.</w:t>
      </w:r>
    </w:p>
    <w:p>
      <w:pPr>
        <w:pStyle w:val="TextBody"/>
        <w:spacing w:before="0" w:after="0"/>
        <w:ind w:left="0" w:right="0" w:firstLine="45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WSI, WSG, and BetBull were all determined using the market approach given the early stages of each of the businesses. The settlement of pre-existing transactions was valued based on the contractual amounts owed to either party. Wynn Resorts' contribution of its remaining, controlling membership interests in WSI and WSG were accounted for as a transfer of businesses between entities under the common control of Wynn Resorts and therefore transferred at Wynn Resorts' carrying value. </w:t>
      </w:r>
    </w:p>
    <w:p>
      <w:pPr>
        <w:pStyle w:val="TextBody"/>
        <w:spacing w:before="0" w:after="0"/>
        <w:ind w:left="0" w:right="0" w:firstLine="450"/>
        <w:jc w:val="both"/>
        <w:rPr/>
      </w:pPr>
      <w:r>
        <w:rPr/>
      </w:r>
    </w:p>
    <w:p>
      <w:pPr>
        <w:pStyle w:val="TextBody"/>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BetBull is licensed to operate online sports and casino wagering in the United Kingdom and develops mobile applications for that purpose. This acquisition provides the Company with access to the online market in the United Kingdom, synergies in mobile application development, and digital gaming operations expertise.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BetBull Acquisition was accounted for as a business combination. The assets acquired and liabilities assumed were recognized at their fair values at the acquisition date, which was estimated using both level 2 (observable) and level 3 (unobservable) inputs. </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final purchase price allocation (in thousands):</w:t>
      </w:r>
    </w:p>
    <w:tbl>
      <w:tblPr>
        <w:tblW w:w="7340" w:type="dxa"/>
        <w:jc w:val="left"/>
        <w:tblInd w:w="0" w:type="dxa"/>
        <w:tblCellMar>
          <w:top w:w="28" w:type="dxa"/>
          <w:left w:w="28" w:type="dxa"/>
          <w:bottom w:w="28" w:type="dxa"/>
          <w:right w:w="28" w:type="dxa"/>
        </w:tblCellMar>
      </w:tblPr>
      <w:tblGrid>
        <w:gridCol w:w="2222"/>
        <w:gridCol w:w="1954"/>
        <w:gridCol w:w="1958"/>
        <w:gridCol w:w="211"/>
        <w:gridCol w:w="841"/>
        <w:gridCol w:w="154"/>
      </w:tblGrid>
      <w:tr>
        <w:trPr/>
        <w:tc>
          <w:tcPr>
            <w:tcW w:w="2222" w:type="dxa"/>
            <w:tcBorders/>
            <w:shd w:fill="auto" w:val="clear"/>
            <w:vAlign w:val="center"/>
          </w:tcPr>
          <w:p>
            <w:pPr>
              <w:pStyle w:val="TableContents"/>
              <w:spacing w:before="0" w:after="283"/>
              <w:rPr>
                <w:sz w:val="4"/>
                <w:szCs w:val="4"/>
              </w:rPr>
            </w:pPr>
            <w:r>
              <w:rPr>
                <w:sz w:val="4"/>
                <w:szCs w:val="4"/>
              </w:rPr>
            </w:r>
          </w:p>
        </w:tc>
        <w:tc>
          <w:tcPr>
            <w:tcW w:w="1954" w:type="dxa"/>
            <w:tcBorders/>
            <w:shd w:fill="auto" w:val="clear"/>
            <w:vAlign w:val="center"/>
          </w:tcPr>
          <w:p>
            <w:pPr>
              <w:pStyle w:val="TableContents"/>
              <w:spacing w:before="0" w:after="283"/>
              <w:rPr>
                <w:sz w:val="4"/>
                <w:szCs w:val="4"/>
              </w:rPr>
            </w:pPr>
            <w:r>
              <w:rPr>
                <w:sz w:val="4"/>
                <w:szCs w:val="4"/>
              </w:rPr>
            </w:r>
          </w:p>
        </w:tc>
        <w:tc>
          <w:tcPr>
            <w:tcW w:w="19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w:t>
            </w:r>
          </w:p>
        </w:tc>
        <w:tc>
          <w:tcPr>
            <w:tcW w:w="12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consideration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Less: Cash acquired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consideration, net of cash acquired</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160,068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Identifiable assets acquired and liabilities assumed</w:t>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Other current assets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Property and equipment</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Intangible assets other than goodwill</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Goodwill</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Deferred tax liabilities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Liabilities assumed</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identifiable assets acquired and liabilities assumed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160,068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Acquired intangible assets included in the above table are being amortized on a straight-line basis over their estimated useful life of ten years for trademarks and three years for customer lists. In addition, the Company acquired software totaling $31.5 million, which is included in Property and equipment in the table above and is being amortized over an estimated useful life of three years. The estimated useful lives approximate the pattern in which the economic benefits of the intangible assets and software are expected to be realized.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Immediately after the BetBull Acquisition, the Company contributed $78.0 million to Wynn Interactive and purchased approximately $33.6 million of Wynn Interactive shares from non-controlling shareholders (the "Secondary Transaction"). Immediately after the BetBull Acquisition and the Secondary Transaction, the Company held an approximately 72% interest in Wynn Interactive, which owns 100% of BetBull, WSI, and WSG. </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Secondary Transaction was recorded as an adjustment to Stockholders’ equity (deficit) on the Consolidated Balance Sheet as the Company had a controlling interest in BetBull at the time of the transaction.</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Pro forma results of operations for this acquisition have not been presented because they are not material to the consolidated statements of operations.</w:t>
      </w:r>
    </w:p>
    <w:p>
      <w:pPr>
        <w:pStyle w:val="TextBody"/>
        <w:spacing w:before="0" w:after="0"/>
        <w:ind w:left="0" w:right="0" w:firstLine="45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20 - Segment Information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its reportable segments based on factors such as geography, regulatory environment, the information reviewed by its chief operating decision maker, and the Company's organizational and management reporting structure.</w:t>
      </w:r>
    </w:p>
    <w:p>
      <w:pPr>
        <w:pStyle w:val="TextBody"/>
        <w:spacing w:before="0" w:after="0"/>
        <w:ind w:left="0" w:right="0" w:firstLine="45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reportable segments: (i) Wynn Macau, representing the aggregate of Wynn Macau and Encore, an expansion at Wynn Macau, which are managed as a single integrated resort; (ii) Wynn Palace; (iii) Las Vegas Operations, representing the aggregate of Wynn Las Vegas, Encore, an expansion at Wynn Las Vegas, and the Retail Joint Venture, which are managed as a single integrated resort; (iv) Encore Boston Harbor; and (v) Wynn Interactive. For geographical reporting purposes, Wynn Macau, Wynn Palace, and Other Macau (which represents the assets of the Company's Macau holding company and other ancillary entities) have been aggregated into Macau Operations.</w:t>
      </w:r>
    </w:p>
    <w:p>
      <w:pPr>
        <w:pStyle w:val="TextBody"/>
        <w:spacing w:before="0" w:after="0"/>
        <w:ind w:left="0" w:right="0" w:firstLine="450"/>
        <w:jc w:val="both"/>
        <w:rPr/>
      </w:pPr>
      <w:r>
        <w:rPr/>
      </w:r>
    </w:p>
    <w:p>
      <w:pPr>
        <w:pStyle w:val="HorizontalLine"/>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segment information (in thousands):</w:t>
      </w:r>
    </w:p>
    <w:tbl>
      <w:tblPr>
        <w:tblW w:w="7482" w:type="dxa"/>
        <w:jc w:val="left"/>
        <w:tblInd w:w="0" w:type="dxa"/>
        <w:tblCellMar>
          <w:top w:w="28" w:type="dxa"/>
          <w:left w:w="28" w:type="dxa"/>
          <w:bottom w:w="28" w:type="dxa"/>
          <w:right w:w="28" w:type="dxa"/>
        </w:tblCellMar>
      </w:tblPr>
      <w:tblGrid>
        <w:gridCol w:w="1032"/>
        <w:gridCol w:w="906"/>
        <w:gridCol w:w="912"/>
        <w:gridCol w:w="211"/>
        <w:gridCol w:w="991"/>
        <w:gridCol w:w="109"/>
        <w:gridCol w:w="109"/>
        <w:gridCol w:w="109"/>
        <w:gridCol w:w="109"/>
        <w:gridCol w:w="211"/>
        <w:gridCol w:w="991"/>
        <w:gridCol w:w="109"/>
        <w:gridCol w:w="109"/>
        <w:gridCol w:w="109"/>
        <w:gridCol w:w="109"/>
        <w:gridCol w:w="211"/>
        <w:gridCol w:w="991"/>
        <w:gridCol w:w="154"/>
      </w:tblGrid>
      <w:tr>
        <w:trPr/>
        <w:tc>
          <w:tcPr>
            <w:tcW w:w="1032"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8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Macau Operations: </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2,139,756 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883,007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505,420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2,543,694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476,999 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1,796,209 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626,015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474,657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2,070,029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1,509,022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980,077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4,613,723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Operations: </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425,777 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558,782 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Las Vegas Operations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1,503,681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747,947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1,633,457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Encore Boston Harbor: </w:t>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Casino</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Rooms</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and beverage</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Entertainment, retail and other </w:t>
            </w:r>
            <w:r>
              <w:rPr>
                <w:rFonts w:ascii="Times New Roman;sans-serif" w:hAnsi="Times New Roman;sans-serif"/>
                <w:b w:val="false"/>
                <w:color w:val="000000"/>
                <w:sz w:val="16"/>
              </w:rPr>
              <w:t>(1)</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Encore Boston Harbor </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691,523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361,666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363,919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Entertainment, retail and other</w:t>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Wynn Interactive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59,438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3,763,664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2,095,861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6,611,099</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tbl>
      <w:tblPr>
        <w:tblW w:w="9597" w:type="dxa"/>
        <w:jc w:val="left"/>
        <w:tblInd w:w="0" w:type="dxa"/>
        <w:tblCellMar>
          <w:top w:w="28" w:type="dxa"/>
          <w:left w:w="28" w:type="dxa"/>
          <w:bottom w:w="28" w:type="dxa"/>
          <w:right w:w="28" w:type="dxa"/>
        </w:tblCellMar>
      </w:tblPr>
      <w:tblGrid>
        <w:gridCol w:w="1864"/>
        <w:gridCol w:w="1638"/>
        <w:gridCol w:w="1643"/>
        <w:gridCol w:w="211"/>
        <w:gridCol w:w="901"/>
        <w:gridCol w:w="109"/>
        <w:gridCol w:w="109"/>
        <w:gridCol w:w="109"/>
        <w:gridCol w:w="109"/>
        <w:gridCol w:w="211"/>
        <w:gridCol w:w="1051"/>
        <w:gridCol w:w="109"/>
        <w:gridCol w:w="109"/>
        <w:gridCol w:w="109"/>
        <w:gridCol w:w="109"/>
        <w:gridCol w:w="211"/>
        <w:gridCol w:w="841"/>
        <w:gridCol w:w="154"/>
      </w:tblGrid>
      <w:tr>
        <w:trPr/>
        <w:tc>
          <w:tcPr>
            <w:tcW w:w="1864" w:type="dxa"/>
            <w:tcBorders/>
            <w:shd w:fill="auto" w:val="clear"/>
            <w:vAlign w:val="center"/>
          </w:tcPr>
          <w:p>
            <w:pPr>
              <w:pStyle w:val="TableContents"/>
              <w:spacing w:before="0" w:after="283"/>
              <w:rPr>
                <w:sz w:val="4"/>
                <w:szCs w:val="4"/>
              </w:rPr>
            </w:pPr>
            <w:r>
              <w:rPr>
                <w:sz w:val="4"/>
                <w:szCs w:val="4"/>
              </w:rPr>
            </w:r>
          </w:p>
        </w:tc>
        <w:tc>
          <w:tcPr>
            <w:tcW w:w="1638"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5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Adjusted Property EBITDA</w:t>
            </w:r>
            <w:r>
              <w:rPr>
                <w:color w:val="000000"/>
              </w:rPr>
              <w:t xml:space="preserve"> </w:t>
            </w:r>
            <w:r>
              <w:rPr>
                <w:rFonts w:ascii="Times New Roman;sans-serif" w:hAnsi="Times New Roman;sans-serif"/>
                <w:b/>
                <w:color w:val="000000"/>
                <w:sz w:val="16"/>
              </w:rPr>
              <w:t>(2)</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Macau Operations: </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color w:val="000000"/>
                <w:sz w:val="20"/>
              </w:rPr>
              <w:t>Total Macau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95,855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(236,836)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1,378,372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530,878 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569,441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(324,305)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1,815,408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operating expenses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Pre-opening</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725,502 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charges and other</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Corporate expenses and other </w:t>
            </w:r>
            <w:r>
              <w:rPr>
                <w:rFonts w:ascii="Times New Roman;sans-serif" w:hAnsi="Times New Roman;sans-serif"/>
                <w:b w:val="false"/>
                <w:color w:val="000000"/>
                <w:sz w:val="16"/>
              </w:rPr>
              <w:t>(3)</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6"/>
              </w:rPr>
              <w:t>(4)</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963,982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907,740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937,103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(394,541)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(1,232,045)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878,305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non-operating income and expenses</w:t>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of amounts capitalized </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(414,030)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derivatives fair value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extinguishment of debt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non-operating income and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(616,975)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(530,230)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(390,087)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(1,762,275)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488,218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(564,671)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(1,011,990)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(2,326,946)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311,378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 attributable to noncontrolling interests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259,701 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(188,393)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Wynn Resorts, Limited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(755,786)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(2,067,245)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122,985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lease revenue accounted for under lease accounting guidance. For more information on leases, see Note 15, "Leases". </w:t>
      </w:r>
    </w:p>
    <w:p>
      <w:pPr>
        <w:pStyle w:val="TextBody"/>
        <w:spacing w:lineRule="auto" w:line="288" w:before="0" w:after="0"/>
        <w:ind w:left="0" w:right="0" w:hanging="360"/>
        <w:jc w:val="both"/>
        <w:rPr/>
      </w:pPr>
      <w:r>
        <w:rPr>
          <w:rFonts w:ascii="Times New Roman;sans-serif" w:hAnsi="Times New Roman;sans-serif"/>
          <w:b w:val="false"/>
          <w:color w:val="000000"/>
          <w:sz w:val="16"/>
        </w:rPr>
        <w:t xml:space="preserve">(2)"Adjusted Property EBITDA" is net income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w:t>
      </w:r>
      <w:r>
        <w:rPr>
          <w:rFonts w:ascii="Times New Roman;sans-serif" w:hAnsi="Times New Roman;sans-serif"/>
          <w:b w:val="false"/>
          <w:color w:val="000000"/>
          <w:sz w:val="16"/>
          <w:highlight w:val="white"/>
        </w:rPr>
        <w:t xml:space="preserve">We use Adjusted Property EBITDA to manage the operating results of our segments. </w:t>
      </w:r>
      <w:r>
        <w:rPr>
          <w:rFonts w:ascii="Times New Roman;sans-serif" w:hAnsi="Times New Roman;sans-serif"/>
          <w:b w:val="false"/>
          <w:color w:val="000000"/>
          <w:sz w:val="16"/>
        </w:rPr>
        <w:t>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The Company also presents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income taxes and other non-recurring charges, which are not reflected in Adjusted Property EBITDA. Also, the Company's calculation of Adjusted Property EBITDA may be different from the calculation methods used by other companies and, therefore, comparability may be limited.</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(3)For the year ended December 31, 2020, includes a $30.2 million net gain recorded in relation to a derivative litigation settlement. For the year ended December 31, 2019, includes a $35.0 million nonrecurring regulatory expense.</w:t>
      </w:r>
    </w:p>
    <w:p>
      <w:pPr>
        <w:pStyle w:val="TextBody"/>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(4)Excludes $0.7 million included in pre-opening expenses for the year ended December 31, 2019.</w:t>
      </w:r>
    </w:p>
    <w:p>
      <w:pPr>
        <w:pStyle w:val="HorizontalLine"/>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tbl>
      <w:tblPr>
        <w:tblW w:w="6537" w:type="dxa"/>
        <w:jc w:val="left"/>
        <w:tblInd w:w="0" w:type="dxa"/>
        <w:tblCellMar>
          <w:top w:w="28" w:type="dxa"/>
          <w:left w:w="28" w:type="dxa"/>
          <w:bottom w:w="28" w:type="dxa"/>
          <w:right w:w="28" w:type="dxa"/>
        </w:tblCellMar>
      </w:tblPr>
      <w:tblGrid>
        <w:gridCol w:w="799"/>
        <w:gridCol w:w="701"/>
        <w:gridCol w:w="705"/>
        <w:gridCol w:w="211"/>
        <w:gridCol w:w="841"/>
        <w:gridCol w:w="109"/>
        <w:gridCol w:w="109"/>
        <w:gridCol w:w="109"/>
        <w:gridCol w:w="109"/>
        <w:gridCol w:w="211"/>
        <w:gridCol w:w="841"/>
        <w:gridCol w:w="109"/>
        <w:gridCol w:w="109"/>
        <w:gridCol w:w="109"/>
        <w:gridCol w:w="109"/>
        <w:gridCol w:w="211"/>
        <w:gridCol w:w="991"/>
        <w:gridCol w:w="154"/>
      </w:tblGrid>
      <w:tr>
        <w:trPr/>
        <w:tc>
          <w:tcPr>
            <w:tcW w:w="7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 expenditures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62,418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96,562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208,657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290,657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290,115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1,063,293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5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7151" w:type="dxa"/>
        <w:jc w:val="left"/>
        <w:tblInd w:w="0" w:type="dxa"/>
        <w:tblCellMar>
          <w:top w:w="28" w:type="dxa"/>
          <w:left w:w="28" w:type="dxa"/>
          <w:bottom w:w="28" w:type="dxa"/>
          <w:right w:w="28" w:type="dxa"/>
        </w:tblCellMar>
      </w:tblPr>
      <w:tblGrid>
        <w:gridCol w:w="796"/>
        <w:gridCol w:w="701"/>
        <w:gridCol w:w="707"/>
        <w:gridCol w:w="211"/>
        <w:gridCol w:w="1096"/>
        <w:gridCol w:w="109"/>
        <w:gridCol w:w="109"/>
        <w:gridCol w:w="109"/>
        <w:gridCol w:w="109"/>
        <w:gridCol w:w="211"/>
        <w:gridCol w:w="1096"/>
        <w:gridCol w:w="109"/>
        <w:gridCol w:w="109"/>
        <w:gridCol w:w="109"/>
        <w:gridCol w:w="109"/>
        <w:gridCol w:w="211"/>
        <w:gridCol w:w="1096"/>
        <w:gridCol w:w="154"/>
      </w:tblGrid>
      <w:tr>
        <w:trPr/>
        <w:tc>
          <w:tcPr>
            <w:tcW w:w="796"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 Operations:</w:t>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Palace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3,122,424 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3,393,790 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Macau</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1,202,709 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1,656,625 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Macau</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2,026,098 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Macau Operations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5,328,858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6,622,597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6,414,246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 Vegas Operations</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3,063,897 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2,806,972 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Encore Boston Harbor</w:t>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2,193,117 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2,300,016 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2,456,667 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Wynn Interactive</w:t>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1,657,149 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2,193,396 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12,530,826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13,869,547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13,871,281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311" w:type="dxa"/>
        <w:jc w:val="left"/>
        <w:tblInd w:w="0" w:type="dxa"/>
        <w:tblCellMar>
          <w:top w:w="28" w:type="dxa"/>
          <w:left w:w="28" w:type="dxa"/>
          <w:bottom w:w="28" w:type="dxa"/>
          <w:right w:w="28" w:type="dxa"/>
        </w:tblCellMar>
      </w:tblPr>
      <w:tblGrid>
        <w:gridCol w:w="571"/>
        <w:gridCol w:w="500"/>
        <w:gridCol w:w="503"/>
        <w:gridCol w:w="211"/>
        <w:gridCol w:w="991"/>
        <w:gridCol w:w="109"/>
        <w:gridCol w:w="109"/>
        <w:gridCol w:w="109"/>
        <w:gridCol w:w="109"/>
        <w:gridCol w:w="211"/>
        <w:gridCol w:w="991"/>
        <w:gridCol w:w="109"/>
        <w:gridCol w:w="109"/>
        <w:gridCol w:w="109"/>
        <w:gridCol w:w="109"/>
        <w:gridCol w:w="211"/>
        <w:gridCol w:w="1096"/>
        <w:gridCol w:w="154"/>
      </w:tblGrid>
      <w:tr>
        <w:trPr/>
        <w:tc>
          <w:tcPr>
            <w:tcW w:w="57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15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Long-lived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Macau</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3,678,236 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4,321,970 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5,604,531 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5,909,847 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9,282,767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9,728,140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10,231,817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(continued)</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Quarterly Consolidated Financial Information (Unaudited)</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(in thousands, except per share data) present selected quarterly financial information for 2021 and 2020, as previously reported. Because income (loss) per share amounts are calculated using the weighted average number of common and dilutive common equivalent shares outstanding during each quarter, the sum of the per share amounts for the four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quarters may not equal the total income per share amounts for the year.</w:t>
      </w:r>
    </w:p>
    <w:tbl>
      <w:tblPr>
        <w:tblW w:w="10205" w:type="dxa"/>
        <w:jc w:val="left"/>
        <w:tblInd w:w="0" w:type="dxa"/>
        <w:tblCellMar>
          <w:top w:w="28" w:type="dxa"/>
          <w:left w:w="28" w:type="dxa"/>
          <w:bottom w:w="28" w:type="dxa"/>
          <w:right w:w="28" w:type="dxa"/>
        </w:tblCellMar>
      </w:tblPr>
      <w:tblGrid>
        <w:gridCol w:w="990"/>
        <w:gridCol w:w="816"/>
        <w:gridCol w:w="821"/>
        <w:gridCol w:w="211"/>
        <w:gridCol w:w="874"/>
        <w:gridCol w:w="109"/>
        <w:gridCol w:w="109"/>
        <w:gridCol w:w="109"/>
        <w:gridCol w:w="109"/>
        <w:gridCol w:w="211"/>
        <w:gridCol w:w="874"/>
        <w:gridCol w:w="109"/>
        <w:gridCol w:w="109"/>
        <w:gridCol w:w="109"/>
        <w:gridCol w:w="109"/>
        <w:gridCol w:w="211"/>
        <w:gridCol w:w="874"/>
        <w:gridCol w:w="109"/>
        <w:gridCol w:w="109"/>
        <w:gridCol w:w="109"/>
        <w:gridCol w:w="109"/>
        <w:gridCol w:w="211"/>
        <w:gridCol w:w="976"/>
        <w:gridCol w:w="109"/>
        <w:gridCol w:w="109"/>
        <w:gridCol w:w="109"/>
        <w:gridCol w:w="109"/>
        <w:gridCol w:w="211"/>
        <w:gridCol w:w="1024"/>
        <w:gridCol w:w="157"/>
      </w:tblGrid>
      <w:tr>
        <w:trPr/>
        <w:tc>
          <w:tcPr>
            <w:tcW w:w="99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2021</w:t>
            </w:r>
          </w:p>
        </w:tc>
      </w:tr>
      <w:tr>
        <w:trPr/>
        <w:tc>
          <w:tcPr>
            <w:tcW w:w="26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2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revenues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3,763,664 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(394,541)</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(245,983)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(256,431)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(1,011,990)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Wynn Resorts, Limited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(755,786)</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020"/>
        <w:gridCol w:w="847"/>
        <w:gridCol w:w="852"/>
        <w:gridCol w:w="211"/>
        <w:gridCol w:w="876"/>
        <w:gridCol w:w="109"/>
        <w:gridCol w:w="109"/>
        <w:gridCol w:w="109"/>
        <w:gridCol w:w="109"/>
        <w:gridCol w:w="211"/>
        <w:gridCol w:w="876"/>
        <w:gridCol w:w="109"/>
        <w:gridCol w:w="109"/>
        <w:gridCol w:w="109"/>
        <w:gridCol w:w="109"/>
        <w:gridCol w:w="211"/>
        <w:gridCol w:w="876"/>
        <w:gridCol w:w="109"/>
        <w:gridCol w:w="109"/>
        <w:gridCol w:w="109"/>
        <w:gridCol w:w="109"/>
        <w:gridCol w:w="211"/>
        <w:gridCol w:w="876"/>
        <w:gridCol w:w="109"/>
        <w:gridCol w:w="109"/>
        <w:gridCol w:w="109"/>
        <w:gridCol w:w="109"/>
        <w:gridCol w:w="211"/>
        <w:gridCol w:w="1026"/>
        <w:gridCol w:w="157"/>
      </w:tblGrid>
      <w:tr>
        <w:trPr/>
        <w:tc>
          <w:tcPr>
            <w:tcW w:w="102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2020</w:t>
            </w:r>
          </w:p>
        </w:tc>
      </w:tr>
      <w:tr>
        <w:trPr/>
        <w:tc>
          <w:tcPr>
            <w:tcW w:w="2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First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Second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Third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Fourth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2,095,861 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(283,007)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(1,232,045)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(734,869)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(2,326,946)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Wynn Resorts, Limited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(402,037)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(758,142)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(2,067,245)</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ind w:left="0" w:right="0" w:hanging="27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108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spacing w:before="0" w:after="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the Company's Chief Executive Officer ("CEO") (Principal Executive and Financial Officer), has evaluated the effectiveness of the Company's disclosure controls and procedures (as such term is defined in Rules 13a-15(e) and 15d-15(e) under the Securities Exchange Act of 1934, as amended (the "Exchange Act")) as of the end of the period covered by this annual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(Principal Executive and Financial Officer) has concluded that, as of the period covered by this annual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and Financial Officer, as appropriate to allow timely decisions regarding required disclosure.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of the Company is responsible for establishing and maintaining adequate internal control over financial reporting, as defined in Rule 13a-15(f) and 15d-15(f) under the Exchange Act.</w:t>
      </w:r>
    </w:p>
    <w:p>
      <w:pPr>
        <w:pStyle w:val="TextBody"/>
        <w:spacing w:before="0" w:after="0"/>
        <w:ind w:left="0" w:right="0" w:firstLine="495"/>
        <w:jc w:val="both"/>
        <w:rPr/>
      </w:pPr>
      <w:r>
        <w:rPr/>
      </w:r>
    </w:p>
    <w:p>
      <w:pPr>
        <w:pStyle w:val="TextBody"/>
        <w:spacing w:lineRule="auto" w:line="288" w:before="0" w:after="0"/>
        <w:ind w:left="0" w:right="0" w:firstLine="450"/>
        <w:jc w:val="both"/>
        <w:rPr/>
      </w:pPr>
      <w:r>
        <w:rPr>
          <w:rFonts w:ascii="Times New Roman;sans-serif" w:hAnsi="Times New Roman;sans-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Management assessed the effectiveness of the Company's internal control over financial reporting as of December 31, 2021. In making this assessment, management used the criteria set forth by the Committee of Sponsoring Organizations of the Treadway Commission ("COSO") in </w:t>
      </w:r>
      <w:r>
        <w:rPr>
          <w:rFonts w:ascii="Times New Roman;sans-serif" w:hAnsi="Times New Roman;sans-serif"/>
          <w:b w:val="false"/>
          <w:i/>
          <w:color w:val="000000"/>
          <w:sz w:val="20"/>
        </w:rPr>
        <w:t xml:space="preserve">Internal Control-Integrated Framework </w:t>
      </w:r>
      <w:r>
        <w:rPr>
          <w:rFonts w:ascii="Times New Roman;sans-serif" w:hAnsi="Times New Roman;sans-serif"/>
          <w:b w:val="false"/>
          <w:color w:val="000000"/>
          <w:sz w:val="20"/>
        </w:rPr>
        <w:t>(2013). Based on our assessment, management believes that, as of December 31, 2021, our internal control over financial reporting was effective based on those criteria.</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our internal control over financial reporting as of December 31, 2021 has been audited by Ernst &amp; Young, LLP, an independent registered public accounting firm. Their report appears under "Report of Independent Registered Public Accounting Firm on Internal Control Over Financial Reporting."</w:t>
      </w:r>
    </w:p>
    <w:p>
      <w:pPr>
        <w:pStyle w:val="TextBody"/>
        <w:spacing w:before="0" w:after="0"/>
        <w:ind w:left="0" w:right="0" w:firstLine="495"/>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under the Exchange Act) during the quarter ended December 31, 2021 that materially affected, or are reasonably likely to materially affect, our internal control over financial reporting.</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spacing w:before="0" w:after="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109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contained in the Registrant's definitive Proxy Statement for its 2022 Annual Stockholder Meeting to be filed with the Securities and Exchange Commission within 120 days after December 31, 2021 (the "2022 Proxy Statement") under the captions "Election of Directors," "Executive Officers," "Board Governance" and "Section 16(a) Beneficial Ownership Reporting Compliance," and is incorporated herein by reference.</w:t>
      </w:r>
    </w:p>
    <w:p>
      <w:pPr>
        <w:pStyle w:val="TextBody"/>
        <w:spacing w:before="0" w:after="0"/>
        <w:ind w:left="0" w:right="0" w:firstLine="495"/>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Company's commitment to integrity, the Board of Directors has adopted a Code of Business Conduct and Ethics applicable to all directors, officers and employees of the Company and its subsidiaries. This Code is periodically reviewed by the Board of Directors. In the event we determine to amend or waive certain provisions of this code of ethics, we intend to disclose such amendments or waivers on our website at https://wynnresortslimited.gcs-web.com/corporate-governance/code-business-conduct-and-ethics within four business days following such amendment or waiver or as otherwise required by the Nasdaq listing standards.</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called for by this item is incorporated herein by reference to our definitive 2022 Proxy Statement under the captions "Board Compensation," "Compensation Discussion and Analysis" and "Executive Compensation Tables", which will be filed with the SEC.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Securities Authorized for Issuance Under Equity Compensation Plans</w:t>
      </w:r>
    </w:p>
    <w:p>
      <w:pPr>
        <w:pStyle w:val="TextBody"/>
        <w:spacing w:before="0" w:after="0"/>
        <w:ind w:left="0" w:right="0" w:firstLine="108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8—"Financial Statements and Supplementary Data" of Part II (see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Notes to Consolidated Financial Statements).</w:t>
      </w:r>
    </w:p>
    <w:tbl>
      <w:tblPr>
        <w:tblW w:w="9240" w:type="dxa"/>
        <w:jc w:val="left"/>
        <w:tblInd w:w="0" w:type="dxa"/>
        <w:tblCellMar>
          <w:top w:w="28" w:type="dxa"/>
          <w:left w:w="28" w:type="dxa"/>
          <w:bottom w:w="28" w:type="dxa"/>
          <w:right w:w="28" w:type="dxa"/>
        </w:tblCellMar>
      </w:tblPr>
      <w:tblGrid>
        <w:gridCol w:w="1832"/>
        <w:gridCol w:w="1607"/>
        <w:gridCol w:w="1616"/>
        <w:gridCol w:w="360"/>
        <w:gridCol w:w="361"/>
        <w:gridCol w:w="336"/>
        <w:gridCol w:w="109"/>
        <w:gridCol w:w="109"/>
        <w:gridCol w:w="109"/>
        <w:gridCol w:w="226"/>
        <w:gridCol w:w="662"/>
        <w:gridCol w:w="118"/>
        <w:gridCol w:w="109"/>
        <w:gridCol w:w="109"/>
        <w:gridCol w:w="109"/>
        <w:gridCol w:w="488"/>
        <w:gridCol w:w="488"/>
        <w:gridCol w:w="492"/>
      </w:tblGrid>
      <w:tr>
        <w:trPr/>
        <w:tc>
          <w:tcPr>
            <w:tcW w:w="1832"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Plan Category</w:t>
            </w:r>
          </w:p>
        </w:tc>
        <w:tc>
          <w:tcPr>
            <w:tcW w:w="105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 to</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 Issued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Upon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Warrants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Rights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Weighted-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Exercise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Outstanding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Warrants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and Rights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Available for</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Future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Issuance</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Under Equity</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Compensation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Plans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(excluding</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securities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reflected in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column (a))</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3,003,920 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3,003,920 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Certain information required by this item will be contained in the 2022 Proxy Statement under the caption "Certain Beneficial Ownership and Management," and is incorporated herein by reference.</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called for by this item is incorporated herein by reference to our definitive 2022 Proxy Statement under the caption "Certain Relationships and Related Transactions," and "Board Governance," which will be filed with the SEC.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spacing w:before="0" w:after="0"/>
        <w:ind w:left="0" w:right="0" w:firstLine="495"/>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called for by this item is incorporated herein by reference to our definitive 2022 Proxy Statement under the caption "Ratification of Appointment of Independent Auditors," which will be filed with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110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15. Exhibits, Financial Statement Schedules</w:t>
      </w:r>
    </w:p>
    <w:p>
      <w:pPr>
        <w:pStyle w:val="TextBody"/>
        <w:spacing w:before="0" w:after="0"/>
        <w:ind w:left="0" w:right="0" w:firstLine="540"/>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(a)1. The following consolidated financial statements of the Company are filed as part of this report under Item 8—"Financial Statements and Supplementary Data."</w:t>
      </w:r>
    </w:p>
    <w:p>
      <w:pPr>
        <w:pStyle w:val="TextBody"/>
        <w:spacing w:before="0" w:after="0"/>
        <w:ind w:left="0" w:right="0" w:firstLine="540"/>
        <w:jc w:val="both"/>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Reports of Independent Registered Public Accounting Firm</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Consolidated Balance Sheets as of December 31, 2021 and 2020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Consolidated Statements of Operations for the years ended December 31, 2021, 2020, and 2019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Consolidated Statements of Comprehensive Income (Loss) for the years ended December 31, 2021, 2020, and 2019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Consolidated Statements of Stockholders' Equity (Deficit) for the years ended December 31, 2021, 2020, and 2019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 xml:space="preserve">Consolidated Statements of Cash Flows for the years ended December 31, 2021, 2020, and 2019 </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Notes to Consolidated Financial Statements</w:t>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Quarterly Consolidated Financial Information (Unaudited)</w:t>
      </w:r>
    </w:p>
    <w:p>
      <w:pPr>
        <w:pStyle w:val="TextBody"/>
        <w:spacing w:before="0" w:after="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(a)2. Financial Statement Schedule filed in Part IV of this report:</w:t>
      </w:r>
    </w:p>
    <w:p>
      <w:pPr>
        <w:pStyle w:val="TextBody"/>
        <w:spacing w:before="0" w:after="0"/>
        <w:ind w:left="0" w:right="0" w:firstLine="540"/>
        <w:jc w:val="both"/>
        <w:rPr/>
      </w:pPr>
      <w:r>
        <w:rPr/>
      </w:r>
    </w:p>
    <w:p>
      <w:pPr>
        <w:pStyle w:val="TextBody"/>
        <w:spacing w:lineRule="auto" w:line="288" w:before="0" w:after="0"/>
        <w:ind w:left="0" w:right="0" w:hanging="720"/>
        <w:rPr/>
      </w:pPr>
      <w:r>
        <w:rPr>
          <w:color w:val="000000"/>
        </w:rPr>
        <w:t>•</w:t>
      </w:r>
      <w:r>
        <w:rPr>
          <w:rFonts w:ascii="Times New Roman;sans-serif" w:hAnsi="Times New Roman;sans-serif"/>
          <w:b w:val="false"/>
          <w:color w:val="000000"/>
          <w:sz w:val="20"/>
        </w:rPr>
        <w:t>Schedule II—Valuation and Qualifying Accounts</w:t>
      </w:r>
    </w:p>
    <w:p>
      <w:pPr>
        <w:pStyle w:val="TextBody"/>
        <w:spacing w:before="0" w:after="0"/>
        <w:ind w:left="0" w:right="0" w:firstLine="540"/>
        <w:jc w:val="both"/>
        <w:rPr/>
      </w:pPr>
      <w:r>
        <w:rPr/>
      </w:r>
    </w:p>
    <w:p>
      <w:pPr>
        <w:pStyle w:val="TextBody"/>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have omitted all other financial statement schedules because they are not required or are not applicable, or the required information is shown in the consolidated financial statements or notes to the consolidated financial statements.</w:t>
      </w:r>
    </w:p>
    <w:p>
      <w:pPr>
        <w:pStyle w:val="TextBody"/>
        <w:spacing w:before="0" w:after="0"/>
        <w:ind w:left="0" w:right="0" w:firstLine="5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pPr>
      <w:r>
        <w:rPr>
          <w:rFonts w:ascii="Times New Roman;sans-serif" w:hAnsi="Times New Roman;sans-serif"/>
          <w:b/>
          <w:color w:val="000000"/>
          <w:sz w:val="20"/>
        </w:rPr>
        <w:t>SCHEDULE II</w:t>
      </w:r>
      <w:r>
        <w:rPr>
          <w:color w:val="000000"/>
        </w:rPr>
        <w:t>—</w:t>
      </w:r>
      <w:r>
        <w:rPr>
          <w:rFonts w:ascii="Times New Roman;sans-serif" w:hAnsi="Times New Roman;sans-serif"/>
          <w:b/>
          <w:color w:val="000000"/>
          <w:sz w:val="20"/>
        </w:rPr>
        <w:t>VALUATION AND QUALIFYING ACCOUNTS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center"/>
        <w:tblInd w:w="0" w:type="dxa"/>
        <w:tblCellMar>
          <w:top w:w="28" w:type="dxa"/>
          <w:left w:w="28" w:type="dxa"/>
          <w:bottom w:w="28" w:type="dxa"/>
          <w:right w:w="28" w:type="dxa"/>
        </w:tblCellMar>
      </w:tblPr>
      <w:tblGrid>
        <w:gridCol w:w="1416"/>
        <w:gridCol w:w="1245"/>
        <w:gridCol w:w="1258"/>
        <w:gridCol w:w="211"/>
        <w:gridCol w:w="976"/>
        <w:gridCol w:w="109"/>
        <w:gridCol w:w="109"/>
        <w:gridCol w:w="109"/>
        <w:gridCol w:w="109"/>
        <w:gridCol w:w="489"/>
        <w:gridCol w:w="487"/>
        <w:gridCol w:w="489"/>
        <w:gridCol w:w="109"/>
        <w:gridCol w:w="109"/>
        <w:gridCol w:w="109"/>
        <w:gridCol w:w="448"/>
        <w:gridCol w:w="450"/>
        <w:gridCol w:w="300"/>
        <w:gridCol w:w="109"/>
        <w:gridCol w:w="109"/>
        <w:gridCol w:w="109"/>
        <w:gridCol w:w="211"/>
        <w:gridCol w:w="976"/>
        <w:gridCol w:w="159"/>
      </w:tblGrid>
      <w:tr>
        <w:trPr/>
        <w:tc>
          <w:tcPr>
            <w:tcW w:w="1416"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Beginning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Provision (Benefit)</w:t>
              <w:br/>
              <w:t>for</w:t>
              <w:br/>
              <w:t>Credit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Write-offs,</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Recoveries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 of Year</w:t>
            </w:r>
          </w:p>
        </w:tc>
      </w:tr>
      <w:tr>
        <w:trPr/>
        <w:tc>
          <w:tcPr>
            <w:tcW w:w="3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29,487 </w:t>
            </w:r>
          </w:p>
        </w:tc>
        <w:tc>
          <w:tcPr>
            <w:tcW w:w="4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(18,497)</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111,319 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64,375 </w:t>
            </w:r>
          </w:p>
        </w:tc>
        <w:tc>
          <w:tcPr>
            <w:tcW w:w="48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w:t>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100,329 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21,898 </w:t>
            </w:r>
          </w:p>
        </w:tc>
        <w:tc>
          <w:tcPr>
            <w:tcW w:w="48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(15,275)</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39,317 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Beginning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Deductions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Balance at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End of Year</w:t>
            </w:r>
          </w:p>
        </w:tc>
      </w:tr>
      <w:tr>
        <w:trPr/>
        <w:tc>
          <w:tcPr>
            <w:tcW w:w="3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 valuation allowance: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142,058 </w:t>
            </w:r>
          </w:p>
        </w:tc>
        <w:tc>
          <w:tcPr>
            <w:tcW w:w="4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(627,479)</w:t>
            </w:r>
          </w:p>
        </w:tc>
        <w:tc>
          <w:tcPr>
            <w:tcW w:w="3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2,501,263 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2,759,431 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264,366 </w:t>
            </w:r>
          </w:p>
        </w:tc>
        <w:tc>
          <w:tcPr>
            <w:tcW w:w="48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(37,113)</w:t>
            </w:r>
          </w:p>
        </w:tc>
        <w:tc>
          <w:tcPr>
            <w:tcW w:w="30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2,986,684 </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2,643,899 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147,881 </w:t>
            </w:r>
          </w:p>
        </w:tc>
        <w:tc>
          <w:tcPr>
            <w:tcW w:w="48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(32,349)</w:t>
            </w:r>
          </w:p>
        </w:tc>
        <w:tc>
          <w:tcPr>
            <w:tcW w:w="3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2,759,431 </w:t>
            </w:r>
          </w:p>
        </w:tc>
        <w:tc>
          <w:tcPr>
            <w:tcW w:w="1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(a)3. Exhibits</w:t>
      </w:r>
    </w:p>
    <w:p>
      <w:pPr>
        <w:pStyle w:val="TextBody"/>
        <w:spacing w:lineRule="auto" w:line="288" w:before="18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Exhibits that are not filed herewith have been previously filed with the SEC and are incorporated herein by reference.</w:t>
      </w:r>
    </w:p>
    <w:tbl>
      <w:tblPr>
        <w:tblW w:w="10205" w:type="dxa"/>
        <w:jc w:val="left"/>
        <w:tblInd w:w="0" w:type="dxa"/>
        <w:tblCellMar>
          <w:top w:w="28" w:type="dxa"/>
          <w:left w:w="28" w:type="dxa"/>
          <w:bottom w:w="28" w:type="dxa"/>
          <w:right w:w="28" w:type="dxa"/>
        </w:tblCellMar>
      </w:tblPr>
      <w:tblGrid>
        <w:gridCol w:w="234"/>
        <w:gridCol w:w="205"/>
        <w:gridCol w:w="207"/>
        <w:gridCol w:w="109"/>
        <w:gridCol w:w="109"/>
        <w:gridCol w:w="109"/>
        <w:gridCol w:w="2443"/>
        <w:gridCol w:w="2349"/>
        <w:gridCol w:w="2374"/>
        <w:gridCol w:w="340"/>
        <w:gridCol w:w="340"/>
        <w:gridCol w:w="340"/>
        <w:gridCol w:w="342"/>
        <w:gridCol w:w="205"/>
        <w:gridCol w:w="205"/>
        <w:gridCol w:w="294"/>
      </w:tblGrid>
      <w:tr>
        <w:trPr/>
        <w:tc>
          <w:tcPr>
            <w:tcW w:w="234"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2349" w:type="dxa"/>
            <w:tcBorders/>
            <w:shd w:fill="auto" w:val="clear"/>
            <w:vAlign w:val="center"/>
          </w:tcPr>
          <w:p>
            <w:pPr>
              <w:pStyle w:val="TableContents"/>
              <w:spacing w:before="0" w:after="283"/>
              <w:rPr>
                <w:sz w:val="4"/>
                <w:szCs w:val="4"/>
              </w:rPr>
            </w:pPr>
            <w:r>
              <w:rPr>
                <w:sz w:val="4"/>
                <w:szCs w:val="4"/>
              </w:rPr>
            </w:r>
          </w:p>
        </w:tc>
        <w:tc>
          <w:tcPr>
            <w:tcW w:w="237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2" w:type="dxa"/>
            <w:gridSpan w:val="4"/>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704" w:type="dxa"/>
            <w:gridSpan w:val="3"/>
            <w:tcBorders/>
            <w:shd w:fill="auto" w:val="clea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40" w:after="283"/>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4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 xml:space="preserve">Equity Purchase Agreement, dated as of February 14, 2022 by and between Wynn MA, LLC and Realty Income Corporation. </w:t>
              </w:r>
            </w:hyperlink>
          </w:p>
        </w:tc>
        <w:tc>
          <w:tcPr>
            <w:tcW w:w="10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2/14/2022</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Third Amended and Restated Articles of Incorporation of the Registrant.</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5/8/2015</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Ninth Amended and Restated Bylaws of the Registrant.</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2/28/2020</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Specimen certificate for shares of Common Stock, $0.01 par value per share of the Registrant.</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10/7/2002</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Indenture, dated as of April 14, 2020, by and among Wynn Resorts Finance, LLC, and Wynn Resorts Capital Corp., as joint and several obligors and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5/8/2020</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Indenture, dated as of June 17, 2020, by and between Wynn Macau, Limited and Deutsche Bank Trust Company Americas, as trustee, related to senior notes due 2026.</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Indenture, dated as of August 26, 2020, by and between Wynn Macau, Limited and Deutsche Bank Trust Company Americas, as trustee, related to senior notes due 2028.</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11/9/2020</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42-descriptionofregistra.htm">
              <w:r>
                <w:rPr>
                  <w:rStyle w:val="InternetLink"/>
                  <w:rFonts w:ascii="Times New Roman;sans-serif" w:hAnsi="Times New Roman;sans-serif"/>
                  <w:b w:val="false"/>
                  <w:color w:val="0000FF"/>
                  <w:sz w:val="20"/>
                  <w:u w:val="single"/>
                </w:rPr>
                <w:t>Description of Registrant's Securities.</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Indenture, dated as of May 22, 2013, by and among Wynn Las Vegas, LLC, Wynn Las Vegas Capital Corp.,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5/22/2013</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Supplemental Indenture, dated as of February 18, 2015, to Indenture, dated as of May 22, 2013, by and among Wynn Las Vegas, LLC, Wynn Las Vegas Capital Corp.,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Second Supplemental Indenture, dated as of March 20, 2018, to Indenture, dated as of May 22, 2013, by and among Wynn Las Vegas, LLC, Wynn Las Vegas Capital Corp., the guarantors party thereto and U.S. Bank National Association.</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3/21/2018</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Indenture, dated as of February 18, 2015, by and among Wynn Las Vegas, LLC, Wynn Las Vegas Capital Corp.,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2/18/2015</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Indenture, dated as of May 11, 2017, by and among Wynn Las Vegas, LLC, Wynn Las Vegas Capital Corp.,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5/11/2017</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Indenture, dated as of September 20, 2017, by and between Wynn Macau, Limited and Deutsche Bank Trust Company Americas, as trustee, relating to senior notes due 2024.</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11/8/2017</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Indenture, dated as of September 20, 2017, by and between Wynn Macau, Limited and Deutsche Bank Trust Company Americas, as trustee, relating to senior notes due 2027.</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11/8/2017</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 xml:space="preserve">Indenture, dated as of December 17, 2019, by and between Wynn Macau, Limited and Deutsche Bank Trust Company Americas, as trustee, related to senior notes due 2029. </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2/28/2020</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Indenture, dated as of September 20, 2019, by and among Wynn Resorts Finance, LLC, and Wynn Resorts Capital Corp., as joint and several obligors and the Guarantors named therein and U.S. Bank National Association, as trustee.</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11/6/2019</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Credit Agreement, dated as of September 20, 2019, by and among Wynn Resorts Finance, LLC, as borrower, the subsidiaries of borrower party hereto, as guarantors, Deutsche Bank AG New York Branch, as administrative agent and as collateral agent.</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11/6/2019</w:t>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6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Incremental Joinder Agreement No. 1, dated as of March 8, 2019, by and among Wynn Resorts, Limited, as borrower, Wynn Group Asia, Inc. and Wynn Resorts Holdings, LLC, as Guarantors, and Deutsche Bank AG New York Branch, as administrative agent.</w:t>
              </w:r>
            </w:hyperlink>
          </w:p>
        </w:tc>
        <w:tc>
          <w:tcPr>
            <w:tcW w:w="10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42" w:type="dxa"/>
            <w:tcBorders/>
            <w:shd w:fill="auto" w:val="cle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5/9/2019</w:t>
            </w:r>
          </w:p>
        </w:tc>
      </w:tr>
    </w:tbl>
    <w:p>
      <w:pPr>
        <w:pStyle w:val="HorizontalLine"/>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112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228"/>
        <w:gridCol w:w="201"/>
        <w:gridCol w:w="202"/>
        <w:gridCol w:w="109"/>
        <w:gridCol w:w="109"/>
        <w:gridCol w:w="109"/>
        <w:gridCol w:w="2748"/>
        <w:gridCol w:w="2663"/>
        <w:gridCol w:w="2670"/>
        <w:gridCol w:w="133"/>
        <w:gridCol w:w="133"/>
        <w:gridCol w:w="134"/>
        <w:gridCol w:w="109"/>
        <w:gridCol w:w="191"/>
        <w:gridCol w:w="191"/>
        <w:gridCol w:w="275"/>
      </w:tblGrid>
      <w:tr>
        <w:trPr/>
        <w:tc>
          <w:tcPr>
            <w:tcW w:w="2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8" w:type="dxa"/>
            <w:tcBorders/>
            <w:shd w:fill="auto" w:val="clear"/>
            <w:vAlign w:val="center"/>
          </w:tcPr>
          <w:p>
            <w:pPr>
              <w:pStyle w:val="TableContents"/>
              <w:spacing w:before="0" w:after="283"/>
              <w:rPr>
                <w:sz w:val="4"/>
                <w:szCs w:val="4"/>
              </w:rPr>
            </w:pPr>
            <w:r>
              <w:rPr>
                <w:sz w:val="4"/>
                <w:szCs w:val="4"/>
              </w:rPr>
            </w:r>
          </w:p>
        </w:tc>
        <w:tc>
          <w:tcPr>
            <w:tcW w:w="2663"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First Amendment to Credit Agreement, dated as of April 10, 2020, by and among Wynn Resorts Finance, LLC, as borrower, the subsidiaries of borrower party hereto, as guarantors, Deutsche Bank AG New York Branch, as administrative agent and as collateral agent.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5/8/2020</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First Amendment to Term Loan Agreement, dated as of May 5, 2020, by and among Wynn/CA Plaza Property Owner, LLC and Wynn/CA Property Owner, LLC, as borrowers, United Overseas Bank Limited, New York Agency, as administrative agent, and the lenders party thereto.</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8/6/2020</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Fonts w:ascii="Times New Roman;sans-serif" w:hAnsi="Times New Roman;sans-serif"/>
                  <w:b w:val="false"/>
                  <w:color w:val="0000FF"/>
                  <w:sz w:val="20"/>
                  <w:u w:val="single"/>
                </w:rPr>
                <w:t>Amendment No. 2 to Credit Agreement, dated as of November 27, 2020, by and among Wynn Resorts Finance, LLC, as borrower, the subsidiaries of borrower party hereto, as guarantors, Deutsche Bank AG New York Branch, as administrative agent.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4">
              <w:r>
                <w:rPr>
                  <w:rStyle w:val="InternetLink"/>
                  <w:rFonts w:ascii="Times New Roman;sans-serif" w:hAnsi="Times New Roman;sans-serif"/>
                  <w:b w:val="false"/>
                  <w:color w:val="0000FF"/>
                  <w:sz w:val="20"/>
                  <w:u w:val="single"/>
                </w:rPr>
                <w:t xml:space="preserve">Common Terms Agreement Sixth Amendment Agreement, dated December 21, 2018, between, among others, Wynn Resorts (Macau) S.A. as the company and Bank of China Limited, Macau Branch as security agent. </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5">
              <w:r>
                <w:rPr>
                  <w:rStyle w:val="InternetLink"/>
                  <w:rFonts w:ascii="Times New Roman;sans-serif" w:hAnsi="Times New Roman;sans-serif"/>
                  <w:b w:val="false"/>
                  <w:color w:val="0000FF"/>
                  <w:sz w:val="20"/>
                  <w:u w:val="single"/>
                </w:rPr>
                <w:t xml:space="preserve">Term Facility Agreement Fifth Amendment Agreement, dated December 21, 2018, by and among Wynn Resorts (Macau) S.A. and Bank of China Limited, Macau Branch as Hotel Facility Agent and Hotel Facility Lender. </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 xml:space="preserve">Revolving Credit Facility Agreement Second Amendment Agreement, dated as of December 21, 2018, by and among Wynn Resorts (Macau) S.A. and Bank of China Limited, Macau Branch as Revolving Credit Facility Agent and Revolving Credit Facility Lender. </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2/28/2019</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7">
              <w:r>
                <w:rPr>
                  <w:rStyle w:val="InternetLink"/>
                  <w:rFonts w:ascii="Times New Roman;sans-serif" w:hAnsi="Times New Roman;sans-serif"/>
                  <w:b w:val="false"/>
                  <w:color w:val="0000FF"/>
                  <w:sz w:val="20"/>
                  <w:u w:val="single"/>
                </w:rPr>
                <w:t>Common Terms Agreement Fifth Amendment Agreement, dated September 30, 2015, between, among others, Wynn Resorts (Macau) S.A. as the company and Bank of China Limited, Macau Branch as security agent.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8">
              <w:r>
                <w:rPr>
                  <w:rStyle w:val="InternetLink"/>
                  <w:rFonts w:ascii="Times New Roman;sans-serif" w:hAnsi="Times New Roman;sans-serif"/>
                  <w:b w:val="false"/>
                  <w:color w:val="0000FF"/>
                  <w:sz w:val="20"/>
                  <w:u w:val="single"/>
                </w:rPr>
                <w:t>Term Facility Agreement Fourth Amendment Agreement, dated September 30, 2015, by and among Wynn Resorts (Macau) S.A. and Bank of China Limited, Macau Branch as Hotel Facility Agent and Hotel Facility Lender.</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9">
              <w:r>
                <w:rPr>
                  <w:rStyle w:val="InternetLink"/>
                  <w:rFonts w:ascii="Times New Roman;sans-serif" w:hAnsi="Times New Roman;sans-serif"/>
                  <w:b w:val="false"/>
                  <w:color w:val="0000FF"/>
                  <w:sz w:val="20"/>
                  <w:u w:val="single"/>
                </w:rPr>
                <w:t>Revolving Credit Facility Agreement Amendment Agreement, dated as of September 30, 2015, by and among Wynn Resorts (Macau) S.A. and Bank of China Limited, Macau Branch as Revolving Credit Facility Agent and Revolving Credit Facility Lender.</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11/6/2015</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0">
              <w:r>
                <w:rPr>
                  <w:rStyle w:val="InternetLink"/>
                  <w:rFonts w:ascii="Times New Roman;sans-serif" w:hAnsi="Times New Roman;sans-serif"/>
                  <w:b w:val="false"/>
                  <w:color w:val="0000FF"/>
                  <w:sz w:val="20"/>
                  <w:u w:val="single"/>
                </w:rPr>
                <w:t>Debenture, dated as of September 14, 2004, between Wynn Resorts (Macau), S.A. and Société Générale, Hong Kong Branch as the Security Agent.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1">
              <w:r>
                <w:rPr>
                  <w:rStyle w:val="InternetLink"/>
                  <w:rFonts w:ascii="Times New Roman;sans-serif" w:hAnsi="Times New Roman;sans-serif"/>
                  <w:b w:val="false"/>
                  <w:color w:val="0000FF"/>
                  <w:sz w:val="20"/>
                  <w:u w:val="single"/>
                </w:rPr>
                <w:t>Term Loan Agreement, dated as of July 25, 2018, by and among Wynn/CA Plaza Property Owner, LLC and Wynn/CA Property Owner, LLC, as borrowers, United Overseas Bank Limited, New York Agency, as administrative agent and lead arranger, Fifth Third Bank, as joint lead arranger, Sumitomo Mitsui Banking Corporation, as joint lead arranger, Credit Agricole Corporate and Investment Bank, as managing agent, and the lenders party thereto.</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7/30/2018</w:t>
            </w:r>
          </w:p>
        </w:tc>
      </w:tr>
      <w:tr>
        <w:trPr/>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32">
              <w:r>
                <w:rPr>
                  <w:rStyle w:val="InternetLink"/>
                  <w:rFonts w:ascii="Times New Roman;sans-serif" w:hAnsi="Times New Roman;sans-serif"/>
                  <w:b w:val="false"/>
                  <w:color w:val="0000FF"/>
                  <w:sz w:val="20"/>
                  <w:u w:val="single"/>
                </w:rPr>
                <w:t>Facility Agreement, dated as of September 16, 2021, by and among WM Cayman Holdings Limited II, as borrower, Wynn Macau, Limited, as guarantor, and Bank of China Limited, Macau Branch, as agent and a syndicate of lenders.</w:t>
              </w:r>
            </w:hyperlink>
          </w:p>
        </w:tc>
        <w:tc>
          <w:tcPr>
            <w:tcW w:w="4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3">
              <w:r>
                <w:rPr>
                  <w:rStyle w:val="InternetLink"/>
                  <w:rFonts w:ascii="Times New Roman;sans-serif" w:hAnsi="Times New Roman;sans-serif"/>
                  <w:b w:val="false"/>
                  <w:color w:val="0000FF"/>
                  <w:sz w:val="20"/>
                  <w:u w:val="single"/>
                </w:rPr>
                <w:t>Concession Contract for the Operation of Games of Chance or Other Games in Casinos in the Macau Special Administrative Region, dated June 24, 2002, between the Macau Special Administrative Region and Wynn Resorts (Macau), S.A. (English translation of Portuguese version of Concession Agreement).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8/20/2002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4">
              <w:r>
                <w:rPr>
                  <w:rStyle w:val="InternetLink"/>
                  <w:rFonts w:ascii="Times New Roman;sans-serif" w:hAnsi="Times New Roman;sans-serif"/>
                  <w:b w:val="false"/>
                  <w:color w:val="0000FF"/>
                  <w:sz w:val="20"/>
                  <w:u w:val="single"/>
                </w:rPr>
                <w:t>Concession Contract for Operating Casino Gaming or Other Forms of Gaming in the Macao Special Administrative Region, dated June 24, 2002, between the Macau Special Administrative Region and Wynn Resorts (Macau), S.A. (English translation of Chinese version of Concession Agreement).</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9/18/2002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5">
              <w:r>
                <w:rPr>
                  <w:rStyle w:val="InternetLink"/>
                  <w:rFonts w:ascii="Times New Roman;sans-serif" w:hAnsi="Times New Roman;sans-serif"/>
                  <w:b w:val="false"/>
                  <w:color w:val="0000FF"/>
                  <w:sz w:val="20"/>
                  <w:u w:val="single"/>
                </w:rPr>
                <w:t>Unofficial English translation of Land Concession Contract between the Macau Special Administrative Region and Wynn Resorts (Macau), S.A.</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8/3/2004</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6">
              <w:r>
                <w:rPr>
                  <w:rStyle w:val="InternetLink"/>
                  <w:rFonts w:ascii="Times New Roman;sans-serif" w:hAnsi="Times New Roman;sans-serif"/>
                  <w:b w:val="false"/>
                  <w:color w:val="0000FF"/>
                  <w:sz w:val="20"/>
                  <w:u w:val="single"/>
                </w:rPr>
                <w:t>Land Concession Contract, published on May 2, 2012, by and among Palo Real Estate Company Limited, Wynn Resorts (Macau), S.A. and the Macau Special Administrative Region of the People's Republic of China (translated to English from traditional Chinese and Portuguese).</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5/2/2012</w:t>
            </w:r>
          </w:p>
        </w:tc>
      </w:tr>
      <w:tr>
        <w:trPr/>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7">
              <w:r>
                <w:rPr>
                  <w:rStyle w:val="InternetLink"/>
                  <w:rFonts w:ascii="Times New Roman;sans-serif" w:hAnsi="Times New Roman;sans-serif"/>
                  <w:b w:val="false"/>
                  <w:color w:val="0000FF"/>
                  <w:sz w:val="20"/>
                  <w:u w:val="single"/>
                </w:rPr>
                <w:t>Bank Guarantee Reimbursement Agreement, dated as of September 14, 2004, between Wynn Resorts (Macau), S.A. and Banco Nacional Ultramarino.</w:t>
              </w:r>
            </w:hyperlink>
          </w:p>
        </w:tc>
        <w:tc>
          <w:tcPr>
            <w:tcW w:w="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bl>
    <w:p>
      <w:pPr>
        <w:pStyle w:val="HorizontalLine"/>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113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341"/>
        <w:gridCol w:w="301"/>
        <w:gridCol w:w="304"/>
        <w:gridCol w:w="109"/>
        <w:gridCol w:w="109"/>
        <w:gridCol w:w="109"/>
        <w:gridCol w:w="2634"/>
        <w:gridCol w:w="2496"/>
        <w:gridCol w:w="2503"/>
        <w:gridCol w:w="143"/>
        <w:gridCol w:w="143"/>
        <w:gridCol w:w="145"/>
        <w:gridCol w:w="109"/>
        <w:gridCol w:w="220"/>
        <w:gridCol w:w="220"/>
        <w:gridCol w:w="319"/>
      </w:tblGrid>
      <w:tr>
        <w:trPr/>
        <w:tc>
          <w:tcPr>
            <w:tcW w:w="3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4" w:type="dxa"/>
            <w:tcBorders/>
            <w:shd w:fill="auto" w:val="clear"/>
            <w:vAlign w:val="center"/>
          </w:tcPr>
          <w:p>
            <w:pPr>
              <w:pStyle w:val="TableContents"/>
              <w:spacing w:before="0" w:after="283"/>
              <w:rPr>
                <w:sz w:val="4"/>
                <w:szCs w:val="4"/>
              </w:rPr>
            </w:pPr>
            <w:r>
              <w:rPr>
                <w:sz w:val="4"/>
                <w:szCs w:val="4"/>
              </w:rPr>
            </w:r>
          </w:p>
        </w:tc>
        <w:tc>
          <w:tcPr>
            <w:tcW w:w="2496" w:type="dxa"/>
            <w:tcBorders/>
            <w:shd w:fill="auto" w:val="clear"/>
            <w:vAlign w:val="center"/>
          </w:tcPr>
          <w:p>
            <w:pPr>
              <w:pStyle w:val="TableContents"/>
              <w:spacing w:before="0" w:after="283"/>
              <w:rPr>
                <w:sz w:val="4"/>
                <w:szCs w:val="4"/>
              </w:rPr>
            </w:pPr>
            <w:r>
              <w:rPr>
                <w:sz w:val="4"/>
                <w:szCs w:val="4"/>
              </w:rPr>
            </w:r>
          </w:p>
        </w:tc>
        <w:tc>
          <w:tcPr>
            <w:tcW w:w="250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8">
              <w:r>
                <w:rPr>
                  <w:rStyle w:val="InternetLink"/>
                  <w:rFonts w:ascii="Times New Roman;sans-serif" w:hAnsi="Times New Roman;sans-serif"/>
                  <w:b w:val="false"/>
                  <w:color w:val="0000FF"/>
                  <w:sz w:val="20"/>
                  <w:u w:val="single"/>
                </w:rPr>
                <w:t>Corporate Allocation Agreement, dated as of September 19, 2009, by Wynn Macau, Limited and Wynn Resorts, Limited.</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9">
              <w:r>
                <w:rPr>
                  <w:rStyle w:val="InternetLink"/>
                  <w:rFonts w:ascii="Times New Roman;sans-serif" w:hAnsi="Times New Roman;sans-serif"/>
                  <w:b w:val="false"/>
                  <w:color w:val="0000FF"/>
                  <w:sz w:val="20"/>
                  <w:u w:val="single"/>
                </w:rPr>
                <w:t>Amended and Restated Corporate Allocation Agreement, dated as of September 19, 2009, by Wynn Resorts (Macau), S.A., and Wynn Resorts, Limited.</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0">
              <w:r>
                <w:rPr>
                  <w:rStyle w:val="InternetLink"/>
                  <w:rFonts w:ascii="Times New Roman;sans-serif" w:hAnsi="Times New Roman;sans-serif"/>
                  <w:b w:val="false"/>
                  <w:color w:val="0000FF"/>
                  <w:sz w:val="20"/>
                  <w:u w:val="single"/>
                </w:rPr>
                <w:t>Management Fee and Corporate Allocation Agreement, dated as of February 26, 2015, by and between Wynn Las Vegas, LLC and Wynn Resorts, Limited.</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1">
              <w:r>
                <w:rPr>
                  <w:rStyle w:val="InternetLink"/>
                  <w:rFonts w:ascii="Times New Roman;sans-serif" w:hAnsi="Times New Roman;sans-serif"/>
                  <w:b w:val="false"/>
                  <w:color w:val="0000FF"/>
                  <w:sz w:val="20"/>
                  <w:u w:val="single"/>
                </w:rPr>
                <w:t>Management Fee and Corporate Allocation Agreement, dated as of November 20, 2014, by and among Wynn MA, LLC and Wynn Resorts, Limited.</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2/29/2016</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2">
              <w:r>
                <w:rPr>
                  <w:rStyle w:val="InternetLink"/>
                  <w:rFonts w:ascii="Times New Roman;sans-serif" w:hAnsi="Times New Roman;sans-serif"/>
                  <w:b w:val="false"/>
                  <w:color w:val="0000FF"/>
                  <w:sz w:val="20"/>
                  <w:u w:val="single"/>
                </w:rPr>
                <w:t>Intellectual Property License Agreement, dated as of September 19, 2009, by and among Wynn Resorts Holdings, LLC, Wynn Resorts, Limited and Wynn Macau, Limited.</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3">
              <w:r>
                <w:rPr>
                  <w:rStyle w:val="InternetLink"/>
                  <w:rFonts w:ascii="Times New Roman;sans-serif" w:hAnsi="Times New Roman;sans-serif"/>
                  <w:b w:val="false"/>
                  <w:color w:val="0000FF"/>
                  <w:sz w:val="20"/>
                  <w:u w:val="single"/>
                </w:rPr>
                <w:t>Amended and Restated Intellectual Property License Agreement, dated as of September 19, 2009, by and among Wynn Resorts Holdings, LLC, Wynn Resorts, Limited and Wynn Resorts (Macau), S.A.</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4">
              <w:r>
                <w:rPr>
                  <w:rStyle w:val="InternetLink"/>
                  <w:rFonts w:ascii="Times New Roman;sans-serif" w:hAnsi="Times New Roman;sans-serif"/>
                  <w:b w:val="false"/>
                  <w:color w:val="0000FF"/>
                  <w:sz w:val="20"/>
                  <w:u w:val="single"/>
                </w:rPr>
                <w:t>2015 Intellectual Property License Agreement, dated as of February 26, 2015, by and between Wynn Resorts Holdings, LLC, Wynn Resorts, Limited and Wynn Las Vegas, LLC.</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5/8/2015</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5">
              <w:r>
                <w:rPr>
                  <w:rStyle w:val="InternetLink"/>
                  <w:rFonts w:ascii="Times New Roman;sans-serif" w:hAnsi="Times New Roman;sans-serif"/>
                  <w:b w:val="false"/>
                  <w:color w:val="0000FF"/>
                  <w:sz w:val="20"/>
                  <w:u w:val="single"/>
                </w:rPr>
                <w:t>2014 Intellectual Property License Agreement, dated as of November 20, 2014, by and between Wynn Resorts Holdings, LLC, Wynn Resorts, Limited and Wynn MA, LLC.</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2/29/2016</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6">
              <w:r>
                <w:rPr>
                  <w:rStyle w:val="InternetLink"/>
                  <w:rFonts w:ascii="Times New Roman;sans-serif" w:hAnsi="Times New Roman;sans-serif"/>
                  <w:b w:val="false"/>
                  <w:color w:val="0000FF"/>
                  <w:sz w:val="20"/>
                  <w:u w:val="single"/>
                </w:rPr>
                <w:t>Surname Rights Agreement, dated as of August 6, 2004, by and between Stephen A. Wynn and Wynn Resorts Holdings, LLC.</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7">
              <w:r>
                <w:rPr>
                  <w:rStyle w:val="InternetLink"/>
                  <w:rFonts w:ascii="Times New Roman;sans-serif" w:hAnsi="Times New Roman;sans-serif"/>
                  <w:b w:val="false"/>
                  <w:color w:val="0000FF"/>
                  <w:sz w:val="20"/>
                  <w:u w:val="single"/>
                </w:rPr>
                <w:t>Rights of Publicity License, dated as of August 6, 2004, by and between Stephen A. Wynn and Wynn Resorts Holdings, LLC.</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11/4/2004</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+10.7.1.0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8">
              <w:r>
                <w:rPr>
                  <w:rStyle w:val="InternetLink"/>
                  <w:rFonts w:ascii="Times New Roman;sans-serif" w:hAnsi="Times New Roman;sans-serif"/>
                  <w:b w:val="false"/>
                  <w:color w:val="0000FF"/>
                  <w:sz w:val="20"/>
                  <w:u w:val="single"/>
                </w:rPr>
                <w:t>Amended and Restated Employment Agreement, dated as of December 16, 2019, by and between Wynn Resorts, Limited and Matt Maddox.</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2/28/2020</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9">
              <w:r>
                <w:rPr>
                  <w:rStyle w:val="InternetLink"/>
                  <w:rFonts w:ascii="Times New Roman;sans-serif" w:hAnsi="Times New Roman;sans-serif"/>
                  <w:b w:val="false"/>
                  <w:color w:val="0000FF"/>
                  <w:sz w:val="20"/>
                  <w:u w:val="single"/>
                </w:rPr>
                <w:t xml:space="preserve">Second Amended and Restated Employment Agreement dated as of January 1, 2021, by and between Wynn Resorts, Limited and Matt Maddox. </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0">
              <w:r>
                <w:rPr>
                  <w:rStyle w:val="InternetLink"/>
                  <w:rFonts w:ascii="Times New Roman;sans-serif" w:hAnsi="Times New Roman;sans-serif"/>
                  <w:b w:val="false"/>
                  <w:color w:val="0000FF"/>
                  <w:sz w:val="20"/>
                  <w:u w:val="single"/>
                </w:rPr>
                <w:t>Transition Agreement, dated November 9, 2021, by and between Wynn Resorts, Limited and Matt Maddox.</w:t>
              </w:r>
            </w:hyperlink>
          </w:p>
        </w:tc>
        <w:tc>
          <w:tcPr>
            <w:tcW w:w="4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1">
              <w:r>
                <w:rPr>
                  <w:rStyle w:val="InternetLink"/>
                  <w:rFonts w:ascii="Times New Roman;sans-serif" w:hAnsi="Times New Roman;sans-serif"/>
                  <w:b w:val="false"/>
                  <w:color w:val="0000FF"/>
                  <w:sz w:val="20"/>
                  <w:u w:val="single"/>
                </w:rPr>
                <w:t>Employment Agreement, dated as of January 27, 2017 by and between Wynn Resorts, Limited and Craig Billings.</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5/4/2017</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2">
              <w:r>
                <w:rPr>
                  <w:rStyle w:val="InternetLink"/>
                  <w:rFonts w:ascii="Times New Roman;sans-serif" w:hAnsi="Times New Roman;sans-serif"/>
                  <w:b w:val="false"/>
                  <w:color w:val="0000FF"/>
                  <w:sz w:val="20"/>
                  <w:u w:val="single"/>
                </w:rPr>
                <w:t>First Amendment to Employment Agreement, dated as of April 17, 2018, by and between Wynn Resorts, Limited and Craig S. Billings.</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5/9/2018</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3">
              <w:r>
                <w:rPr>
                  <w:rStyle w:val="InternetLink"/>
                  <w:rFonts w:ascii="Times New Roman;sans-serif" w:hAnsi="Times New Roman;sans-serif"/>
                  <w:b w:val="false"/>
                  <w:color w:val="0000FF"/>
                  <w:sz w:val="20"/>
                  <w:u w:val="single"/>
                </w:rPr>
                <w:t>Second Amendment to Employment Agreement, dated as of May 29, 2019, by and between Wynn Resorts, Limited and Craig Billings.</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8/8/2019</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4">
              <w:r>
                <w:rPr>
                  <w:rStyle w:val="InternetLink"/>
                  <w:rFonts w:ascii="Times New Roman;sans-serif" w:hAnsi="Times New Roman;sans-serif"/>
                  <w:b w:val="false"/>
                  <w:color w:val="0000FF"/>
                  <w:sz w:val="20"/>
                  <w:u w:val="single"/>
                </w:rPr>
                <w:t>Third Amended and Restated Employment Agreement dated as of January 1, 2021, by and between Wynn Resorts, Limited and Craig S. Billings.</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5">
              <w:r>
                <w:rPr>
                  <w:rStyle w:val="InternetLink"/>
                  <w:rFonts w:ascii="Times New Roman;sans-serif" w:hAnsi="Times New Roman;sans-serif"/>
                  <w:b w:val="false"/>
                  <w:color w:val="0000FF"/>
                  <w:sz w:val="20"/>
                  <w:u w:val="single"/>
                </w:rPr>
                <w:t>Fourth Amended and Restated Employment Agreement dated as of May 24, 2021, by and between Wynn Resorts, Limited and Craig S. Billings.</w:t>
              </w:r>
            </w:hyperlink>
          </w:p>
        </w:tc>
        <w:tc>
          <w:tcPr>
            <w:tcW w:w="4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5/24/2021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6">
              <w:r>
                <w:rPr>
                  <w:rStyle w:val="InternetLink"/>
                  <w:rFonts w:ascii="Times New Roman;sans-serif" w:hAnsi="Times New Roman;sans-serif"/>
                  <w:b w:val="false"/>
                  <w:color w:val="0000FF"/>
                  <w:sz w:val="20"/>
                  <w:u w:val="single"/>
                </w:rPr>
                <w:t>Employment Agreement, dated November 9, 2021, by and between Wynn Resorts, Limited and Craig S. Billings.</w:t>
              </w:r>
            </w:hyperlink>
          </w:p>
        </w:tc>
        <w:tc>
          <w:tcPr>
            <w:tcW w:w="4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11/9/2021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7">
              <w:r>
                <w:rPr>
                  <w:rStyle w:val="InternetLink"/>
                  <w:rFonts w:ascii="Times New Roman;sans-serif" w:hAnsi="Times New Roman;sans-serif"/>
                  <w:b w:val="false"/>
                  <w:color w:val="0000FF"/>
                  <w:sz w:val="20"/>
                  <w:u w:val="single"/>
                </w:rPr>
                <w:t>Employment Agreement, dated as of August 2, 2018, by and between Wynn Resorts, Limited and Ellen Whittemore.</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8/8/2018</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8">
              <w:r>
                <w:rPr>
                  <w:rStyle w:val="InternetLink"/>
                  <w:rFonts w:ascii="Times New Roman;sans-serif" w:hAnsi="Times New Roman;sans-serif"/>
                  <w:b w:val="false"/>
                  <w:color w:val="0000FF"/>
                  <w:sz w:val="20"/>
                  <w:u w:val="single"/>
                </w:rPr>
                <w:t>First Amendment to Employment Agreement, dated as of May 29, 2019, by and between Wynn Resorts, Limited and Ellen Whittemore.</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8/8/2019</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9">
              <w:r>
                <w:rPr>
                  <w:rStyle w:val="InternetLink"/>
                  <w:rFonts w:ascii="Times New Roman;sans-serif" w:hAnsi="Times New Roman;sans-serif"/>
                  <w:b w:val="false"/>
                  <w:color w:val="0000FF"/>
                  <w:sz w:val="20"/>
                  <w:u w:val="single"/>
                </w:rPr>
                <w:t>Second Amended and Restated Employment Agreement dated as of January 1, 2021, by and between Wynn Resorts, Limited and Ellen F. Whittemore.</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2/26/2021</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733-whittemoreellenemp.htm">
              <w:r>
                <w:rPr>
                  <w:rStyle w:val="InternetLink"/>
                  <w:rFonts w:ascii="Times New Roman;sans-serif" w:hAnsi="Times New Roman;sans-serif"/>
                  <w:b w:val="false"/>
                  <w:color w:val="0000FF"/>
                  <w:sz w:val="20"/>
                  <w:u w:val="single"/>
                </w:rPr>
                <w:t>Third Amended and Restated Employment Agreement dated as of January 12, 2022, by and between Wynn Resorts, Limited and Ellen F. Whittemore.</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10740-cameronxdoejuliewr.htm">
              <w:r>
                <w:rPr>
                  <w:rStyle w:val="InternetLink"/>
                  <w:rFonts w:ascii="Times New Roman;sans-serif" w:hAnsi="Times New Roman;sans-serif"/>
                  <w:b w:val="false"/>
                  <w:color w:val="0000FF"/>
                  <w:sz w:val="20"/>
                  <w:u w:val="single"/>
                </w:rPr>
                <w:t>Employment Agreement, dated as of December 7, 2021 by and between Wynn Resorts, Limited and Julie Cameron-Doe.</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0">
              <w:r>
                <w:rPr>
                  <w:rStyle w:val="InternetLink"/>
                  <w:rFonts w:ascii="Times New Roman;sans-serif" w:hAnsi="Times New Roman;sans-serif"/>
                  <w:b w:val="false"/>
                  <w:color w:val="0000FF"/>
                  <w:sz w:val="20"/>
                  <w:u w:val="single"/>
                </w:rPr>
                <w:t>Amended and Restated 2014 Omnibus Incentive Plan, dated January 1, 2017.</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2/24/2017</w:t>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3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1">
              <w:r>
                <w:rPr>
                  <w:rStyle w:val="InternetLink"/>
                  <w:rFonts w:ascii="Times New Roman;sans-serif" w:hAnsi="Times New Roman;sans-serif"/>
                  <w:b w:val="false"/>
                  <w:color w:val="0000FF"/>
                  <w:sz w:val="20"/>
                  <w:u w:val="single"/>
                </w:rPr>
                <w:t xml:space="preserve">Cooperation Agreement, dated as of August 3, 2018, by and between Wynn Resorts, Limited and Elaine P. Wynn. </w:t>
              </w:r>
            </w:hyperlink>
          </w:p>
        </w:tc>
        <w:tc>
          <w:tcPr>
            <w:tcW w:w="4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8/6/2018</w:t>
            </w:r>
          </w:p>
        </w:tc>
      </w:tr>
    </w:tbl>
    <w:p>
      <w:pPr>
        <w:pStyle w:val="HorizontalLine"/>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114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212"/>
        <w:gridCol w:w="186"/>
        <w:gridCol w:w="188"/>
        <w:gridCol w:w="109"/>
        <w:gridCol w:w="109"/>
        <w:gridCol w:w="109"/>
        <w:gridCol w:w="2833"/>
        <w:gridCol w:w="2670"/>
        <w:gridCol w:w="2677"/>
        <w:gridCol w:w="129"/>
        <w:gridCol w:w="129"/>
        <w:gridCol w:w="130"/>
        <w:gridCol w:w="109"/>
        <w:gridCol w:w="179"/>
        <w:gridCol w:w="179"/>
        <w:gridCol w:w="257"/>
      </w:tblGrid>
      <w:tr>
        <w:trPr/>
        <w:tc>
          <w:tcPr>
            <w:tcW w:w="21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3" w:type="dxa"/>
            <w:tcBorders/>
            <w:shd w:fill="auto" w:val="clear"/>
            <w:vAlign w:val="center"/>
          </w:tcPr>
          <w:p>
            <w:pPr>
              <w:pStyle w:val="TableContents"/>
              <w:spacing w:before="0" w:after="283"/>
              <w:rPr>
                <w:sz w:val="4"/>
                <w:szCs w:val="4"/>
              </w:rPr>
            </w:pPr>
            <w:r>
              <w:rPr>
                <w:sz w:val="4"/>
                <w:szCs w:val="4"/>
              </w:rPr>
            </w:r>
          </w:p>
        </w:tc>
        <w:tc>
          <w:tcPr>
            <w:tcW w:w="2670" w:type="dxa"/>
            <w:tcBorders/>
            <w:shd w:fill="auto" w:val="clear"/>
            <w:vAlign w:val="center"/>
          </w:tcPr>
          <w:p>
            <w:pPr>
              <w:pStyle w:val="TableContents"/>
              <w:spacing w:before="0" w:after="283"/>
              <w:rPr>
                <w:sz w:val="4"/>
                <w:szCs w:val="4"/>
              </w:rPr>
            </w:pPr>
            <w:r>
              <w:rPr>
                <w:sz w:val="4"/>
                <w:szCs w:val="4"/>
              </w:rPr>
            </w:r>
          </w:p>
        </w:tc>
        <w:tc>
          <w:tcPr>
            <w:tcW w:w="267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2">
              <w:r>
                <w:rPr>
                  <w:rStyle w:val="InternetLink"/>
                  <w:rFonts w:ascii="Times New Roman;sans-serif" w:hAnsi="Times New Roman;sans-serif"/>
                  <w:b w:val="false"/>
                  <w:color w:val="0000FF"/>
                  <w:sz w:val="20"/>
                  <w:u w:val="single"/>
                </w:rPr>
                <w:t>Second Amended and Restated Shareholders' Agreement, dated as of January 14, 2016, by and among Wynn Resorts (Macau), Ltd., Wynn Resorts International, Ltd., Chen Chi Ling Linda and Wynn Resorts (Macau), S.A.</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2/28/2018</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3">
              <w:r>
                <w:rPr>
                  <w:rStyle w:val="InternetLink"/>
                  <w:rFonts w:ascii="Times New Roman;sans-serif" w:hAnsi="Times New Roman;sans-serif"/>
                  <w:b w:val="false"/>
                  <w:color w:val="0000FF"/>
                  <w:sz w:val="20"/>
                  <w:u w:val="single"/>
                </w:rPr>
                <w:t>Form of Indemnity Agreement.</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9/18/2002</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11-subsidiariesofwrlx20.htm">
              <w:r>
                <w:rPr>
                  <w:rStyle w:val="InternetLink"/>
                  <w:rFonts w:ascii="Times New Roman;sans-serif" w:hAnsi="Times New Roman;sans-serif"/>
                  <w:b w:val="false"/>
                  <w:color w:val="0000FF"/>
                  <w:sz w:val="20"/>
                  <w:u w:val="single"/>
                </w:rPr>
                <w:t>Subsidiaries of the Registrant.</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231-eyconsentx2021.htm">
              <w:r>
                <w:rPr>
                  <w:rStyle w:val="InternetLink"/>
                  <w:rFonts w:ascii="Times New Roman;sans-serif" w:hAnsi="Times New Roman;sans-serif"/>
                  <w:b w:val="false"/>
                  <w:color w:val="0000FF"/>
                  <w:sz w:val="20"/>
                  <w:u w:val="single"/>
                </w:rPr>
                <w:t>Consent of Ernst &amp; Young LLP, Independent Registered Accounting Firm.</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11-ceoscertificationx20.htm">
              <w:r>
                <w:rPr>
                  <w:rStyle w:val="InternetLink"/>
                </w:rPr>
                <w:t>Certification of Chief Executive Officer</w:t>
              </w:r>
            </w:hyperlink>
            <w:hyperlink w:anchor="ex311-ceoscertificationx20.htm">
              <w:r>
                <w:rPr>
                  <w:rStyle w:val="InternetLink"/>
                </w:rPr>
                <w:t xml:space="preserve"> (Principal Executive and Financial Officer)</w:t>
              </w:r>
            </w:hyperlink>
            <w:hyperlink w:anchor="ex311-ceoscertificationx20.htm">
              <w:r>
                <w:rPr>
                  <w:rStyle w:val="InternetLink"/>
                </w:rPr>
                <w:t xml:space="preserve"> of Periodic Report Pursuant to Rule 13a – 14(a) and Rule 15d – 14(a).</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32-ceoandcfocertificatio.htm">
              <w:r>
                <w:rPr>
                  <w:rStyle w:val="InternetLink"/>
                </w:rPr>
                <w:t>Certification of CEO</w:t>
              </w:r>
            </w:hyperlink>
            <w:hyperlink w:anchor="ex32-ceoandcfocertificatio.htm">
              <w:r>
                <w:rPr>
                  <w:rStyle w:val="InternetLink"/>
                </w:rPr>
                <w:t xml:space="preserve"> (Principal Executive and Financial Officer</w:t>
              </w:r>
            </w:hyperlink>
            <w:hyperlink w:anchor="ex32-ceoandcfocertificatio.htm">
              <w:r>
                <w:rPr>
                  <w:rStyle w:val="InternetLink"/>
                </w:rPr>
                <w:t>)</w:t>
              </w:r>
            </w:hyperlink>
            <w:hyperlink w:anchor="ex32-ceoandcfocertificatio.htm">
              <w:r>
                <w:rPr>
                  <w:rStyle w:val="InternetLink"/>
                </w:rPr>
                <w:t xml:space="preserve"> pursuant to 18 U.S.C. Section 1350.</w:t>
              </w:r>
            </w:hyperlink>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 from Wynn Resorts, Limited's Annual Report on Form 10-K, formatted in Inline XBRL (Inline Extensible Business Reporting Language): (i) the Consolidated Balance Sheets as of December 31, 2021 and December 31, 2020; (ii) the Consolidated Statements of Operations for the years ended December 31, 2021, 2020, and 2019; (iii) the Consolidated Statements of Comprehensive Income (Loss) for the years ended December 31, 2021, 2020, and 2019; (iv) the Consolidated Statements of Stockholders' Equity (Deficit) for the years ended December 31, 2021, 2020, and 2019; (v) the Consolidated Statements of Cash Flows for the years ended December 31, 2021, 2020 and 2019; and (vi) Notes to Consolidated Financial Statements. The instance document does not appear in the Interactive Data File because its XBRL tags are embedded within the Inline XBRL document.</w:t>
            </w:r>
          </w:p>
        </w:tc>
        <w:tc>
          <w:tcPr>
            <w:tcW w:w="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c>
          <w:tcPr>
            <w:tcW w:w="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    Denotes management contract or compensatory plan or arrangement.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115 </w:t>
                      </w:r>
                    </w:p>
                  </w:txbxContent>
                </v:textbox>
              </v:rect>
            </w:pict>
          </mc:Fallback>
        </mc:AlternateContent>
      </w:r>
    </w:p>
    <w:p>
      <w:pPr>
        <w:pStyle w:val="TextBody"/>
        <w:spacing w:lineRule="auto" w:line="288" w:before="0" w:after="0"/>
        <w:rPr/>
      </w:pPr>
      <w:hyperlink w:anchor="ie4db90b58bb24c7b8cb599f2282c310d_7">
        <w:r>
          <w:rPr>
            <w:rStyle w:val="InternetLink"/>
            <w:rFonts w:ascii="Times New Roman;sans-serif" w:hAnsi="Times New Roman;sans-serif"/>
            <w:b w:val="false"/>
            <w:color w:val="0000FF"/>
            <w:sz w:val="16"/>
            <w:u w:val="single"/>
          </w:rPr>
          <w:t>Table of Contents</w:t>
        </w:r>
      </w:hyperlink>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8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CellMar>
          <w:top w:w="28" w:type="dxa"/>
          <w:left w:w="28" w:type="dxa"/>
          <w:bottom w:w="28" w:type="dxa"/>
          <w:right w:w="28" w:type="dxa"/>
        </w:tblCellMar>
      </w:tblPr>
      <w:tblGrid>
        <w:gridCol w:w="725"/>
        <w:gridCol w:w="637"/>
        <w:gridCol w:w="642"/>
        <w:gridCol w:w="109"/>
        <w:gridCol w:w="109"/>
        <w:gridCol w:w="109"/>
        <w:gridCol w:w="381"/>
        <w:gridCol w:w="381"/>
        <w:gridCol w:w="381"/>
        <w:gridCol w:w="2820"/>
        <w:gridCol w:w="1593"/>
        <w:gridCol w:w="2318"/>
      </w:tblGrid>
      <w:tr>
        <w:trPr/>
        <w:tc>
          <w:tcPr>
            <w:tcW w:w="72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820"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r>
      <w:tr>
        <w:trPr/>
        <w:tc>
          <w:tcPr>
            <w:tcW w:w="2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WYNN RESORTS, LIMITED</w:t>
            </w:r>
          </w:p>
        </w:tc>
      </w:tr>
      <w:tr>
        <w:trPr/>
        <w:tc>
          <w:tcPr>
            <w:tcW w:w="2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7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Craig S. Billings </w:t>
            </w:r>
          </w:p>
        </w:tc>
      </w:tr>
      <w:tr>
        <w:trPr/>
        <w:tc>
          <w:tcPr>
            <w:tcW w:w="2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2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 (Principal Executive, Financial and Accounting Officer)</w:t>
            </w:r>
          </w:p>
        </w:tc>
      </w:tr>
    </w:tbl>
    <w:p>
      <w:pPr>
        <w:pStyle w:val="TextBody"/>
        <w:spacing w:lineRule="auto" w:line="288" w:before="18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28" w:type="dxa"/>
          <w:left w:w="28" w:type="dxa"/>
          <w:bottom w:w="28" w:type="dxa"/>
          <w:right w:w="28" w:type="dxa"/>
        </w:tblCellMar>
      </w:tblPr>
      <w:tblGrid>
        <w:gridCol w:w="610"/>
        <w:gridCol w:w="523"/>
        <w:gridCol w:w="527"/>
        <w:gridCol w:w="109"/>
        <w:gridCol w:w="109"/>
        <w:gridCol w:w="109"/>
        <w:gridCol w:w="2120"/>
        <w:gridCol w:w="2120"/>
        <w:gridCol w:w="2146"/>
        <w:gridCol w:w="109"/>
        <w:gridCol w:w="109"/>
        <w:gridCol w:w="109"/>
        <w:gridCol w:w="438"/>
        <w:gridCol w:w="438"/>
        <w:gridCol w:w="629"/>
      </w:tblGrid>
      <w:tr>
        <w:trPr/>
        <w:tc>
          <w:tcPr>
            <w:tcW w:w="61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2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Date</w:t>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S. Billings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 (Principal Executive,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Philip G. Satre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Non-Executive Chair of the Board and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Philip G. Satre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Betsy S. Atkins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Betsy S. Atkins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J. Byrne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Richard J. Byrne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Jay L.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Jay L. Johnson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Patricia Mulroy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Patricia Mulroy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Margaret J. Myers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Margaret J. Myers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Clark T. Randt,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Clark T. Randt, Jr.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Darnell Strom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Darnell Strom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Winifred Webb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r>
        <w:trPr/>
        <w:tc>
          <w:tcPr>
            <w:tcW w:w="16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Winifred Webb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80" w:after="283"/>
        <w:ind w:left="0" w:right="0" w:firstLine="108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116 </w:t>
                      </w:r>
                    </w:p>
                  </w:txbxContent>
                </v:textbox>
              </v:rect>
            </w:pict>
          </mc:Fallback>
        </mc:AlternateContent>
      </w: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4.2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REGISTRANT'S SECURITIES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REGISTERED PURSUANT TO SECTION 12 OF THE SECURITIES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OF 1934</w:t>
      </w:r>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Limited, a Nevada corporation ("Wynn Resorts," "we," or "the Company"), has one class of securities registered under Section 12 of the Securities Exchange Act of 1934, as amended: our Common Stock (as defined below).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terms and provisions of our Common Stock are summarized below. This summary does not purport to be complete and is subject to, and is qualified in its entirety by express reference to, the provisions of our Third Amended and Restated Articles of Incorporation (the "Articles of Incorporation") and our Ninth Amended and Restated Bylaws (the "Bylaws"), each of which is filed as an exhibit to the Annual Report on Form 10-K of which this Exhibit 4.2 is a part. We encourage you to read our Articles of Incorporation, our Bylaws, and the applicable provisions of Nevada law for additional information.</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Our authorized capital shares consist of 400,000,000 shares of common stock, $0.01 par value per share ("Common Stock"), and 40,000,000 shares of preferred stock, $0.01 par value per share ("Preferred Stock"). No shares of our authorized Preferred Stock have been issued or are currently outstanding.</w:t>
      </w:r>
      <w:r>
        <w:rPr>
          <w:color w:val="000000"/>
        </w:rPr>
        <w:t xml:space="preserve"> </w:t>
      </w:r>
      <w:r>
        <w:rPr>
          <w:rFonts w:ascii="Times New Roman;sans-serif" w:hAnsi="Times New Roman;sans-serif"/>
          <w:b w:val="false"/>
          <w:color w:val="000000"/>
          <w:sz w:val="20"/>
        </w:rPr>
        <w:t>Pursuant to our Articles of Incorporation, our board of directors generally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r>
        <w:rPr>
          <w:color w:val="000000"/>
        </w:rPr>
        <w:t xml:space="preserve"> </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any preferential rights of any series of Preferred Stock, holders of shares of Common Stock are entitled to receive dividends on the stock out of assets legally available for distribution if, when and as declared by our board of directors. The declaration and payment of dividends on Common Stock is a business decision to be made by our board of directors from time to time based upon results of our operations and our financial condition and any other factors as our board of directors considers relevant. Payment of dividends on Common Stock may be restricted by applicable Nevada law, and by loan agreements, indentures and other transactions entered into by us from time to time.</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are entitled to one vote per share on all matters voted on generally by the stockholders, including the election of directors, and, except as otherwise required by law or as otherwise provided with respect to any series of Preferred Stock, the holders of Common Stock possess all voting power of our stockholders. Holders of Common Stock do not have cumulative voting rights.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Liquidation Rights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Subject to any preferential rights of any series of Preferred Stock, if any, upon any liquidation, dissolution or winding up of the affairs of the Company, whether voluntary or involuntary, holders of shares of Common Stock are entitled to share equally and ratably in the assets of the Company to be distributed among the holders of outstanding shares of Common Stock.</w:t>
      </w:r>
      <w:r>
        <w:rPr>
          <w:color w:val="000000"/>
        </w:rPr>
        <w:t xml:space="preserve"> </w:t>
      </w:r>
      <w:r>
        <w:rPr>
          <w:rFonts w:ascii="Times New Roman;sans-serif" w:hAnsi="Times New Roman;sans-serif"/>
          <w:b w:val="false"/>
          <w:color w:val="000000"/>
          <w:sz w:val="20"/>
        </w:rPr>
        <w:t>Our Articles of Incorporation provide that a merger, conversion, exchange or consolidation of the Company with or into any other person or sale or transfer of all or any part of the assets of the Company (which does not in fact result in the liquidation of the Corporation and the distribution of assets to stockholders) shall not be deemed to be a voluntary or involuntary liquidation, dissolution or winding up of the affairs of the Company.</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 Conversion, Redemption, or Preemptive Rights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Common Stock have no conversion, redemption or preemptive rights.</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Consideration for Shares</w:t>
      </w:r>
    </w:p>
    <w:p>
      <w:pPr>
        <w:pStyle w:val="TextBody"/>
        <w:spacing w:before="0" w:after="0"/>
        <w:jc w:val="both"/>
        <w:rPr/>
      </w:pPr>
      <w:r>
        <w:rPr/>
      </w:r>
    </w:p>
    <w:p>
      <w:pPr>
        <w:pStyle w:val="TextBody"/>
        <w:spacing w:lineRule="auto" w:line="276"/>
        <w:jc w:val="both"/>
        <w:rPr/>
      </w:pPr>
      <w:r>
        <w:rPr>
          <w:rFonts w:ascii="Times New Roman;sans-serif" w:hAnsi="Times New Roman;sans-serif"/>
          <w:b w:val="false"/>
          <w:color w:val="000000"/>
          <w:sz w:val="20"/>
        </w:rPr>
        <w:t>The Common Stock authorized by the Articles of Incorporation may be issued from time to time for such consideration as is determined by our board of directors.</w:t>
      </w:r>
      <w:r>
        <w:rPr>
          <w:color w:val="000000"/>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outstanding shares of our Common Stock are fully paid and nonassessable.</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Certain Anti-Takeover Effects of our Articles of Incorporation and Bylaws and Nevada Law</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General.</w:t>
      </w:r>
      <w:r>
        <w:rPr>
          <w:color w:val="000000"/>
        </w:rPr>
        <w:t xml:space="preserve"> </w:t>
      </w:r>
      <w:r>
        <w:rPr>
          <w:rFonts w:ascii="Times New Roman;sans-serif" w:hAnsi="Times New Roman;sans-serif"/>
          <w:b w:val="false"/>
          <w:color w:val="000000"/>
          <w:sz w:val="20"/>
        </w:rPr>
        <w:t xml:space="preserve">Certain provisions of our Articles of Incorporation and our Bylaws, and certain provisions of the Nevada Revised Statutes ("NRS") could make our acquisition by a third party, a change in our incumbent management, or a similar change of control more difficult. These provisions, which are summarized below, are likely to reduce our vulnerability to an unsolicited proposal for the restructuring or sale of all or substantially all of our assets or an unsolicited takeover attempt. The summary of the provisions set forth below does not purport to be complete and is qualified in its entirety by reference to our Articles of Incorporation and our Bylaws and the applicable provisions of the NRS.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Classified Board</w:t>
      </w:r>
      <w:r>
        <w:rPr>
          <w:rFonts w:ascii="Times New Roman;sans-serif" w:hAnsi="Times New Roman;sans-serif"/>
          <w:b w:val="false"/>
          <w:color w:val="000000"/>
          <w:sz w:val="20"/>
        </w:rPr>
        <w:t>. Our Articles of Incorporation and Bylaws provide that our board of directors is to be divided into three classes, as nearly equal in number as possible, resulting in our directors serving terms of approximately three years. This provision may have the effect of delaying or discouraging an acquisition of us or a change in our management.</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Advance Notice Requirements.</w:t>
      </w:r>
      <w:r>
        <w:rPr>
          <w:color w:val="000000"/>
        </w:rPr>
        <w:t xml:space="preserve"> </w:t>
      </w:r>
      <w:r>
        <w:rPr>
          <w:rFonts w:ascii="Times New Roman;sans-serif" w:hAnsi="Times New Roman;sans-serif"/>
          <w:b w:val="false"/>
          <w:color w:val="000000"/>
          <w:sz w:val="20"/>
        </w:rPr>
        <w:t>Stockholders wishing to nominate or re-nominate persons for election to our board of directors at an annual meeting or to propose any business to be considered by our stockholders at an annual meeting must comply with certain advance notice and other requirements set forth in our Bylaws. Likewise, if our board of directors has determined that directors shall be elected at a special meeting of stockholders, stockholders wishing to nominate or re-nominate persons for election to our board of directors at such special meeting must comply with certain advance notice and other requirements set forth in our Bylaws.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Special Meetings.</w:t>
      </w:r>
      <w:r>
        <w:rPr>
          <w:color w:val="000000"/>
        </w:rPr>
        <w:t xml:space="preserve"> </w:t>
      </w:r>
      <w:r>
        <w:rPr>
          <w:rFonts w:ascii="Times New Roman;sans-serif" w:hAnsi="Times New Roman;sans-serif"/>
          <w:b w:val="false"/>
          <w:color w:val="000000"/>
          <w:sz w:val="20"/>
        </w:rPr>
        <w:t xml:space="preserve">Our Bylaws provides that special meetings of stockholders may only be called by the Chair of our board of directors or the Chief Executive Officer or, if there is no Chair and no Chief Executive Officer, by the President, and shall be called by the secretary upon the written request of at least a majority of our board of directors.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Board Vacancies.</w:t>
      </w:r>
      <w:r>
        <w:rPr>
          <w:color w:val="000000"/>
        </w:rPr>
        <w:t xml:space="preserve"> </w:t>
      </w:r>
      <w:r>
        <w:rPr>
          <w:rFonts w:ascii="Times New Roman;sans-serif" w:hAnsi="Times New Roman;sans-serif"/>
          <w:b w:val="false"/>
          <w:color w:val="000000"/>
          <w:sz w:val="20"/>
        </w:rPr>
        <w:t xml:space="preserve">Any vacancy on our board of directors, howsoever resulting, may be filled by a majority vote of the directors then in office or by a sole remaining director, in either case even if less than a quorum. Any director elected to fill a vacancy shall hold office for a term expiring at the next annual meeting of stockholders and when their successors are elected or appointed, at which the term of the class to which he or she has been elected expires, or until his or her earlier resignation or removal.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No Stockholder Action by Written Consent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Articles of Incorporation and Bylaws prohibit stockholders from acting by written consent without a meeting.</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Removal of Directors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Our Bylaws provide that, subject to any rights of the holders of preferred stock, if any, and except as otherwise provided in the NRS, any director may be removed from office with or without cause by the affirmative vote of the holders of not less than two-thirds of the voting power of our issued and outstanding stock entitled to vote generally in the election of directors, voting as a single class.</w:t>
      </w:r>
      <w:r>
        <w:rPr>
          <w:color w:val="000000"/>
        </w:rPr>
        <w:t xml:space="preserve"> </w:t>
      </w:r>
      <w:r>
        <w:rPr>
          <w:rFonts w:ascii="Times New Roman;sans-serif" w:hAnsi="Times New Roman;sans-serif"/>
          <w:b w:val="false"/>
          <w:color w:val="000000"/>
          <w:sz w:val="20"/>
        </w:rPr>
        <w:t>NRS 78.335 generally requires the vote of stockholders representing not less than two-thirds of the voting power of the issued and outstanding stock entitled to vote in order to remove an incumbent director.</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Undesignated Preferred Stock</w:t>
      </w:r>
      <w:r>
        <w:rPr>
          <w:rFonts w:ascii="Times New Roman;sans-serif" w:hAnsi="Times New Roman;sans-serif"/>
          <w:b w:val="false"/>
          <w:color w:val="000000"/>
          <w:sz w:val="20"/>
        </w:rPr>
        <w:t>. The authorization of undesignated preferred stock in our Articles of Incorporation makes it possible for our board of directors to issue our Preferred Stock with voting or other rights or preferences that could impede the success of any attempt to change control of the Company. These and other provisions may have the effect of deferring hostile takeovers or delaying changes in control or management of the Company.</w:t>
      </w:r>
      <w:r>
        <w:rPr>
          <w:color w:val="000000"/>
        </w:rPr>
        <w:t xml:space="preserve"> </w:t>
      </w:r>
    </w:p>
    <w:p>
      <w:pPr>
        <w:pStyle w:val="TextBody"/>
        <w:spacing w:before="0" w:after="0"/>
        <w:jc w:val="both"/>
        <w:rPr/>
      </w:pPr>
      <w:r>
        <w:rPr/>
      </w:r>
    </w:p>
    <w:p>
      <w:pPr>
        <w:pStyle w:val="TextBody"/>
        <w:spacing w:lineRule="auto" w:line="276"/>
        <w:jc w:val="both"/>
        <w:rPr/>
      </w:pPr>
      <w:r>
        <w:rPr>
          <w:rFonts w:ascii="Times New Roman;sans-serif" w:hAnsi="Times New Roman;sans-serif"/>
          <w:b w:val="false"/>
          <w:i/>
          <w:color w:val="000000"/>
          <w:sz w:val="20"/>
        </w:rPr>
        <w:t>Nevada Anti-Takeover Statutes</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Nevada Revised Statutes contain provisions governing the acquisition of a controlling interest in certain Nevada corporations.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will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w:t>
      </w:r>
      <w:r>
        <w:br w:type="page"/>
      </w:r>
    </w:p>
    <w:p>
      <w:pPr>
        <w:pStyle w:val="TextBody"/>
        <w:spacing w:before="0" w:after="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Times New Roman;sans-serif" w:hAnsi="Times New Roman;sans-serif"/>
          <w:b w:val="false"/>
          <w:color w:val="000000"/>
          <w:sz w:val="20"/>
        </w:rPr>
        <w:t>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w:t>
      </w:r>
      <w:r>
        <w:rPr>
          <w:color w:val="000000"/>
        </w:rPr>
        <w:t xml:space="preserve"> </w:t>
      </w:r>
      <w:r>
        <w:rPr>
          <w:rFonts w:ascii="Times New Roman;sans-serif" w:hAnsi="Times New Roman;sans-serif"/>
          <w:b w:val="false"/>
          <w:color w:val="000000"/>
          <w:sz w:val="20"/>
        </w:rPr>
        <w:t>Our Bylaws provide that these statutes do not apply to any and all acquisitions of shares of our Common Stock, effected by us. These laws may have a chilling effect on certain transactions if our Articles of Incorporation or Bylaws are not amended to provide that these provisions generally do not apply to the Company or to an acquisition of a controlling interest, or if our disinterested stockholders do not confer voting rights in the control shares.</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color w:val="000000"/>
          <w:sz w:val="20"/>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 Our original articles of incorporation include a provision electing that the Company not be governed by these laws.</w:t>
      </w:r>
      <w:r>
        <w:rPr>
          <w:color w:val="000000"/>
        </w:rPr>
        <w:t xml:space="preserve">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Exclusive Forum Bylaws Provision</w:t>
      </w:r>
      <w:r>
        <w:rPr>
          <w:rFonts w:ascii="Times New Roman;sans-serif" w:hAnsi="Times New Roman;sans-serif"/>
          <w:b w:val="false"/>
          <w:color w:val="000000"/>
          <w:sz w:val="20"/>
        </w:rPr>
        <w:t>. Our Bylaws require that, to the fullest extent permitted by law, and unless the Company consents in writing to the selection of an alternative forum, the Eighth Judicial District Court of Clark County, Nevada, will, to the fullest extent permitted by law, be the sole and exclusive forum for each of the following:</w:t>
      </w:r>
    </w:p>
    <w:p>
      <w:pPr>
        <w:pStyle w:val="TextBody"/>
        <w:spacing w:before="0" w:after="0"/>
        <w:jc w:val="both"/>
        <w:rPr/>
      </w:pPr>
      <w:r>
        <w:rPr/>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any derivative action or proceeding brought in the name or right of the Company or on its behalf,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any action asserting a claim for breach of any fiduciary duty owed by any director, officer, employee or agent of the Company to the Company or the Company's stockholders,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any action arising or asserting a claim arising pursuant to any provision of NRS Chapters 78 or 92A or any provision of our Articles of Incorporation or Bylaws, or </w:t>
      </w:r>
    </w:p>
    <w:p>
      <w:pPr>
        <w:pStyle w:val="TextBody"/>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any action asserting a claim governed by the internal affairs doctrine, including, without limitation, any action to interpret, apply, enforce or determine the validity of our Articles of Incorporation or Bylaws.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applicability of the exclusive forum provision is limited to the extent permitted by law, we believe that the exclusive forum provision would not apply to suits brought to enforce any duty or liability created by the Exchange Act or any other claim for which the federal courts have exclusive jurisdiction, and that federal courts have concurrent jurisdiction over all suits brought to enforce any duty or liability created by the Securities Act. 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Nevada law in the types of lawsuits to which it applies, the provision may have the effect of discouraging lawsuits against our directors and officers.</w:t>
      </w:r>
    </w:p>
    <w:p>
      <w:pPr>
        <w:pStyle w:val="TextBody"/>
        <w:spacing w:before="0" w:after="0"/>
        <w:jc w:val="both"/>
        <w:rPr/>
      </w:pPr>
      <w:r>
        <w:rPr/>
      </w:r>
    </w:p>
    <w:p>
      <w:pPr>
        <w:pStyle w:val="TextBody"/>
        <w:spacing w:lineRule="auto" w:line="276"/>
        <w:jc w:val="both"/>
        <w:rPr/>
      </w:pPr>
      <w:r>
        <w:rPr>
          <w:rFonts w:ascii="Times New Roman;sans-serif" w:hAnsi="Times New Roman;sans-serif"/>
          <w:b w:val="false"/>
          <w:i/>
          <w:color w:val="000000"/>
          <w:sz w:val="20"/>
        </w:rPr>
        <w:t>Gaming Redemption Provisions</w:t>
      </w:r>
      <w:r>
        <w:rPr>
          <w:rFonts w:ascii="Times New Roman;sans-serif" w:hAnsi="Times New Roman;sans-serif"/>
          <w:b w:val="false"/>
          <w:color w:val="000000"/>
          <w:sz w:val="20"/>
        </w:rPr>
        <w:t>. Our Articles of Incorporation provide that, to the extent required by the gaming authority making the determination of unsuitability or to the extent our board of directors determines, in its sole discretion, that a person is likely to jeopardize the Company's or any affiliate's application for, receipt of, approval for, right to the use of, or entitlement to, any gaming license, shares of our capital stock that are owned or controlled by such unsuitable person or its affiliates are subject to redemption by the Company. The redemption price may be paid in cash, by promissory note, or both, as required, and pursuant to the terms established by the applicable gaming authority and, if not, as the Company elects.</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w:t>
      </w:r>
      <w:r>
        <w:rPr>
          <w:rFonts w:ascii="Times New Roman;sans-serif" w:hAnsi="Times New Roman;sans-serif"/>
          <w:b w:val="false"/>
          <w:color w:val="000000"/>
          <w:sz w:val="24"/>
        </w:rPr>
        <w:t>xhibit 10.7.3.3</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4.6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w:t>
      </w:r>
    </w:p>
    <w:p>
      <w:pPr>
        <w:pStyle w:val="TextBody"/>
        <w:spacing w:before="0" w:after="0"/>
        <w:jc w:val="center"/>
        <w:rPr/>
      </w:pPr>
      <w:r>
        <w:rPr/>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AMENDED AND RESTATED</w:t>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EMPLOYMENT AGREEMENT</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color w:val="000000"/>
          <w:sz w:val="20"/>
        </w:rPr>
        <w:t>THIS AMENDED AND RESTATED EMPLOYMENT AGREEMENT</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is made and entered into as of the 12th day of January 2022, by and between </w:t>
      </w:r>
      <w:r>
        <w:rPr>
          <w:rFonts w:ascii="Times New Roman;sans-serif" w:hAnsi="Times New Roman;sans-serif"/>
          <w:b/>
          <w:color w:val="000000"/>
          <w:sz w:val="20"/>
        </w:rPr>
        <w:t xml:space="preserve">WYNN RESORTS, LIMITED </w:t>
      </w:r>
      <w:r>
        <w:rPr>
          <w:rFonts w:ascii="Times New Roman;sans-serif" w:hAnsi="Times New Roman;sans-serif"/>
          <w:b w:val="false"/>
          <w:color w:val="000000"/>
          <w:sz w:val="20"/>
        </w:rPr>
        <w:t>(“</w:t>
      </w:r>
      <w:r>
        <w:rPr>
          <w:rFonts w:ascii="Times New Roman;sans-serif" w:hAnsi="Times New Roman;sans-serif"/>
          <w:b/>
          <w:color w:val="000000"/>
          <w:sz w:val="20"/>
        </w:rPr>
        <w:t>Employer</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 xml:space="preserve">ELLEN WHITTEMORE </w:t>
      </w:r>
      <w:r>
        <w:rPr>
          <w:rFonts w:ascii="Times New Roman;sans-serif" w:hAnsi="Times New Roman;sans-serif"/>
          <w:b w:val="false"/>
          <w:color w:val="000000"/>
          <w:sz w:val="20"/>
        </w:rPr>
        <w:t>(“</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i/>
          <w:color w:val="000000"/>
          <w:sz w:val="20"/>
          <w:u w:val="single"/>
        </w:rPr>
        <w:t>W I T N E S S E T H</w:t>
      </w:r>
      <w:r>
        <w:rPr>
          <w:rFonts w:ascii="Times New Roman;sans-serif" w:hAnsi="Times New Roman;sans-serif"/>
          <w:b/>
          <w:i/>
          <w:color w:val="000000"/>
          <w:sz w:val="20"/>
        </w:rPr>
        <w:t>:</w:t>
      </w:r>
    </w:p>
    <w:p>
      <w:pPr>
        <w:pStyle w:val="TextBody"/>
        <w:spacing w:before="0" w:after="0"/>
        <w:jc w:val="center"/>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Employer is a corporation duly organized and existing under the laws of the State of Nevada, maintains its principal place of business at 3131 Las Vegas Boulevard South, Las Vegas, Nevada 89109, and is engaged in the business of developing, owning and operating casino resorts;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Employee is an adult individual residing at [intentionally omitted];</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 furtherance of its business, Employer has need of qualified, experienced personnel;</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color w:val="000000"/>
          <w:sz w:val="20"/>
        </w:rPr>
        <w:t>, Employee currently serves as Executive Vice President and General Counsel for Employer pursuant to the terms of an Employment Agreement effective as of July 16, 2018 (the “</w:t>
      </w:r>
      <w:r>
        <w:rPr>
          <w:rFonts w:ascii="Times New Roman;sans-serif" w:hAnsi="Times New Roman;sans-serif"/>
          <w:b/>
          <w:color w:val="000000"/>
          <w:sz w:val="20"/>
        </w:rPr>
        <w:t>Prior Agreement</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color w:val="000000"/>
          <w:sz w:val="20"/>
        </w:rPr>
        <w:t>, the Prior Agreement was subsequently amended effective as of May 29, 2019 (the “</w:t>
      </w:r>
      <w:r>
        <w:rPr>
          <w:rFonts w:ascii="Times New Roman;sans-serif" w:hAnsi="Times New Roman;sans-serif"/>
          <w:b/>
          <w:color w:val="000000"/>
          <w:sz w:val="20"/>
        </w:rPr>
        <w:t>2019 Amendment</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color w:val="000000"/>
          <w:sz w:val="20"/>
        </w:rPr>
        <w:t>, the Prior Agreement was subsequently amended effective as of January 1, 2021 (the “</w:t>
      </w:r>
      <w:r>
        <w:rPr>
          <w:rFonts w:ascii="Times New Roman;sans-serif" w:hAnsi="Times New Roman;sans-serif"/>
          <w:b/>
          <w:color w:val="000000"/>
          <w:sz w:val="20"/>
        </w:rPr>
        <w:t>2021 Amendment</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color w:val="000000"/>
          <w:sz w:val="20"/>
        </w:rPr>
        <w:t>, the Prior Agreement, as amended, terminates by its terms as of July 16, 2022, and Employee and Employer desire to enter into this Agreement to ensure the continued employment of Employee by Employer;</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Employee has represented and warranted to Employer that Employee possesses sufficient qualifications and expertise to fulfill the terms of the employment stated in this Agreement; </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Employer is willing to employ Employee, and Employee is desirous of accepting employment from Employer, under the terms and pursuant to the conditions set forth herein.</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NOW, THEREFORE,</w:t>
      </w:r>
      <w:r>
        <w:rPr>
          <w:color w:val="000000"/>
        </w:rPr>
        <w:t xml:space="preserve"> </w:t>
      </w:r>
      <w:r>
        <w:rPr>
          <w:rFonts w:ascii="Times New Roman;sans-serif" w:hAnsi="Times New Roman;sans-serif"/>
          <w:b w:val="false"/>
          <w:color w:val="000000"/>
          <w:sz w:val="20"/>
        </w:rPr>
        <w:t>for and in consideration of the foregoing recitals, and in consideration of the mutual covenants, agreements, understandings, undertakings, representations, warranties and promises hereinafter set forth, and intending to be legally bound thereby, Employer and Employee do hereby covenant and agree as follows: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w:t>
      </w:r>
      <w:r>
        <w:rPr>
          <w:rFonts w:ascii="Times New Roman;sans-serif" w:hAnsi="Times New Roman;sans-serif"/>
          <w:b/>
          <w:i/>
          <w:color w:val="000000"/>
          <w:sz w:val="20"/>
          <w:u w:val="single"/>
        </w:rPr>
        <w:t>DEFINITIONS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As used in this Agreement, the words and terms hereinafter defined have the respective meanings ascribed to them, unless a different meaning clearly appears from the context: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color w:val="000000"/>
          <w:sz w:val="20"/>
          <w:u w:val="single"/>
        </w:rPr>
        <w:t>Affiliate</w:t>
      </w:r>
      <w:r>
        <w:rPr>
          <w:color w:val="000000"/>
        </w:rPr>
        <w:t xml:space="preserve">” </w:t>
      </w:r>
      <w:r>
        <w:rPr>
          <w:rFonts w:ascii="Times New Roman;sans-serif" w:hAnsi="Times New Roman;sans-serif"/>
          <w:b w:val="false"/>
          <w:color w:val="000000"/>
          <w:sz w:val="20"/>
        </w:rPr>
        <w:t>means with respect to a specified Person, any other Person who or which is directly or indirectly controlling, controlled by or under common control with the specified Person. For purposes of this definition only, “control”, “controlling” and “controlled” mean the right to exercise, directly or indirectly, more than fifty percent (50%) of the voting power of the stockholders, members, partners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color w:val="000000"/>
          <w:sz w:val="20"/>
          <w:u w:val="single"/>
        </w:rPr>
        <w:t>Anniversary</w:t>
      </w:r>
      <w:r>
        <w:rPr>
          <w:color w:val="000000"/>
        </w:rPr>
        <w:t xml:space="preserve">” </w:t>
      </w:r>
      <w:r>
        <w:rPr>
          <w:rFonts w:ascii="Times New Roman;sans-serif" w:hAnsi="Times New Roman;sans-serif"/>
          <w:b w:val="false"/>
          <w:color w:val="000000"/>
          <w:sz w:val="20"/>
        </w:rPr>
        <w:t>means each annual anniversary date of the Effective Date during the Term (as defined in Section 5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color w:val="000000"/>
          <w:sz w:val="20"/>
          <w:u w:val="single"/>
        </w:rPr>
        <w:t>Cause</w:t>
      </w:r>
      <w:r>
        <w:rPr>
          <w:color w:val="000000"/>
        </w:rPr>
        <w:t xml:space="preserve">” </w:t>
      </w:r>
      <w:r>
        <w:rPr>
          <w:rFonts w:ascii="Times New Roman;sans-serif" w:hAnsi="Times New Roman;sans-serif"/>
          <w:b w:val="false"/>
          <w:color w:val="000000"/>
          <w:sz w:val="20"/>
        </w:rPr>
        <w:t>means any of the following, as determined in Employer’s sole discretion:</w:t>
      </w:r>
    </w:p>
    <w:p>
      <w:pPr>
        <w:pStyle w:val="TextBody"/>
        <w:spacing w:before="0" w:after="0"/>
        <w:ind w:left="0" w:right="0" w:firstLine="720"/>
        <w:jc w:val="both"/>
        <w:rPr/>
      </w:pPr>
      <w:r>
        <w:rPr/>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(i)Employee’s inability or failure to secure and/or maintain any licenses or permits required by any Government Agency with jurisdiction over the business of Employer or any of its Affiliates, including those set forth in Section 8 of this Agreement (including the License), or disapproval of this Agreement by the Gaming Authorities as provided therein;</w:t>
      </w:r>
      <w:r>
        <w:br w:type="page"/>
      </w:r>
    </w:p>
    <w:p>
      <w:pPr>
        <w:pStyle w:val="TextBody"/>
        <w:spacing w:before="0" w:after="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(ii)the willful misuse or destruction by Employee of the property of Employer or any of its Affiliates having a material value to Employer or such Affiliate;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(iii)fraud, embezzlement, theft and/or dishonest activity committed by Employee (excluding acts involving a de minimis dollar value and not related in any manner whatsoever to Employer or its Affiliate or their business);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(iv)Employee’s conviction of or entering a plea of guilty or nolo contendere to any crime constituting a felony;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(v)Employee’s material breach of this Agreement;</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(vi)Employee’s neglect, refusal, or knowing failure to discharge Employee’s duties (other than due to physical or mental illness) commensurate with Employee’s title and function, or Employee’s failure to comply with a lawful direction of Employer or its board of directors;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(vii)Employee making a knowing material misrepresentation to Employer or its board of directors;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(viii)Employee’s failure to follow a material policy or procedure of Employer or any of its Affiliates that causes material financial harm to Employer;</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(ix)Employee’s violation of Employer’s Preventing Harassment and Discrimination Policy that has been substantiated by an independent investigation by external counsel, which the board of directors, in good faith, determines requires termination as opposed to other disciplinary action; or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(x)Employee’s breach of a statutory or common law duty of loyalty or fiduciary duty to Employer or any of its Affiliates, including Employer’s or any of its Affiliates’ conflict of interest policy,</w:t>
      </w:r>
    </w:p>
    <w:p>
      <w:pPr>
        <w:pStyle w:val="TextBody"/>
        <w:spacing w:lineRule="auto" w:line="240" w:before="0" w:after="0"/>
        <w:jc w:val="both"/>
        <w:rPr/>
      </w:pPr>
      <w:r>
        <w:rPr>
          <w:rFonts w:ascii="Times New Roman;sans-serif" w:hAnsi="Times New Roman;sans-serif"/>
          <w:b w:val="false"/>
          <w:i/>
          <w:color w:val="000000"/>
          <w:sz w:val="20"/>
          <w:u w:val="single"/>
        </w:rPr>
        <w:t>provided</w:t>
      </w:r>
      <w:r>
        <w:rPr>
          <w:rFonts w:ascii="Times New Roman;sans-serif" w:hAnsi="Times New Roman;sans-serif"/>
          <w:b w:val="false"/>
          <w:i/>
          <w:color w:val="000000"/>
          <w:sz w:val="20"/>
        </w:rPr>
        <w:t xml:space="preserve">, </w:t>
      </w:r>
      <w:r>
        <w:rPr>
          <w:rFonts w:ascii="Times New Roman;sans-serif" w:hAnsi="Times New Roman;sans-serif"/>
          <w:b w:val="false"/>
          <w:i/>
          <w:color w:val="000000"/>
          <w:sz w:val="20"/>
          <w:u w:val="single"/>
        </w:rPr>
        <w:t>however</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that Employee’s Complete Disability due to illness or accident or any other mental or physical incapacity shall not constitute “Cause” as defined herein.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color w:val="000000"/>
          <w:sz w:val="20"/>
          <w:u w:val="single"/>
        </w:rPr>
        <w:t>Change of Control</w:t>
      </w:r>
      <w:r>
        <w:rPr>
          <w:color w:val="000000"/>
        </w:rPr>
        <w:t xml:space="preserve">” </w:t>
      </w:r>
      <w:r>
        <w:rPr>
          <w:rFonts w:ascii="Times New Roman;sans-serif" w:hAnsi="Times New Roman;sans-serif"/>
          <w:b w:val="false"/>
          <w:color w:val="000000"/>
          <w:sz w:val="20"/>
        </w:rPr>
        <w:t>means the occurrence, after the Effective Date, of any of the following events: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    any “Person” or “Group” (as such terms are defined in Section 13(d) of the Securities Exchange Act of 1934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and the rules and regulations promulgated thereunder) is or becomes the “Beneficial Owner” (within the meaning of Rule 13d-3 promulgated under the Exchange Act), directly or indirectly, of securities of Wynn Resorts, Limited (“</w:t>
      </w:r>
      <w:r>
        <w:rPr>
          <w:rFonts w:ascii="Times New Roman;sans-serif" w:hAnsi="Times New Roman;sans-serif"/>
          <w:b/>
          <w:color w:val="000000"/>
          <w:sz w:val="20"/>
        </w:rPr>
        <w:t>WRL</w:t>
      </w:r>
      <w:r>
        <w:rPr>
          <w:color w:val="000000"/>
        </w:rPr>
        <w:t>”</w:t>
      </w:r>
      <w:r>
        <w:rPr>
          <w:rFonts w:ascii="Times New Roman;sans-serif" w:hAnsi="Times New Roman;sans-serif"/>
          <w:b w:val="false"/>
          <w:color w:val="000000"/>
          <w:sz w:val="20"/>
        </w:rPr>
        <w:t>), or of any entity resulting from a merger or consolidation involving WRL, representing more than fifty percent (50%) of the combined voting power of the then outstanding securities of WRL or such entity;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(ii)    the individuals who, as of the Effective Date, are members of WRL’s Board of Directors (the “</w:t>
      </w:r>
      <w:r>
        <w:rPr>
          <w:rFonts w:ascii="Times New Roman;sans-serif" w:hAnsi="Times New Roman;sans-serif"/>
          <w:b/>
          <w:color w:val="000000"/>
          <w:sz w:val="20"/>
        </w:rPr>
        <w:t>Existing Directors</w:t>
      </w:r>
      <w:r>
        <w:rPr>
          <w:color w:val="000000"/>
        </w:rPr>
        <w:t>”</w:t>
      </w:r>
      <w:r>
        <w:rPr>
          <w:rFonts w:ascii="Times New Roman;sans-serif" w:hAnsi="Times New Roman;sans-serif"/>
          <w:b w:val="false"/>
          <w:color w:val="000000"/>
          <w:sz w:val="20"/>
        </w:rPr>
        <w:t>)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w:t>
      </w:r>
      <w:r>
        <w:rPr>
          <w:rFonts w:ascii="Times New Roman;sans-serif" w:hAnsi="Times New Roman;sans-serif"/>
          <w:b/>
          <w:color w:val="000000"/>
          <w:sz w:val="20"/>
        </w:rPr>
        <w:t>Proxy Contest</w:t>
      </w:r>
      <w:r>
        <w:rPr>
          <w:rFonts w:ascii="Times New Roman;sans-serif" w:hAnsi="Times New Roman;sans-serif"/>
          <w:b w:val="false"/>
          <w:color w:val="000000"/>
          <w:sz w:val="20"/>
        </w:rPr>
        <w:t>"), including by reason of any agreement intended to avoid or settle any Election Contest or Proxy Contest; or</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    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w:t>
      </w:r>
      <w:r>
        <w:br w:type="page"/>
      </w:r>
    </w:p>
    <w:p>
      <w:pPr>
        <w:pStyle w:val="TextBody"/>
        <w:spacing w:before="0" w:after="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2</w:t>
                      </w:r>
                    </w:p>
                  </w:txbxContent>
                </v:textbox>
              </v:rect>
            </w:pict>
          </mc:Fallback>
        </mc:AlternateContent>
      </w:r>
    </w:p>
    <w:p>
      <w:pPr>
        <w:pStyle w:val="TextBody"/>
        <w:spacing w:before="0" w:after="0"/>
        <w:jc w:val="right"/>
        <w:rPr/>
      </w:pPr>
      <w:r>
        <w:rPr/>
      </w:r>
    </w:p>
    <w:p>
      <w:pPr>
        <w:pStyle w:val="TextBody"/>
        <w:spacing w:lineRule="auto" w:line="240" w:before="0" w:after="0"/>
        <w:jc w:val="both"/>
        <w:rPr/>
      </w:pPr>
      <w:r>
        <w:rPr>
          <w:rFonts w:ascii="Times New Roman;sans-serif" w:hAnsi="Times New Roman;sans-serif"/>
          <w:b w:val="false"/>
          <w:color w:val="000000"/>
          <w:sz w:val="20"/>
        </w:rPr>
        <w:t>in clause (x) or clause (y) above in this subparagraph (iii) (singly or collectively, a "</w:t>
      </w:r>
      <w:r>
        <w:rPr>
          <w:rFonts w:ascii="Times New Roman;sans-serif" w:hAnsi="Times New Roman;sans-serif"/>
          <w:b/>
          <w:color w:val="000000"/>
          <w:sz w:val="20"/>
        </w:rPr>
        <w:t>Transaction</w:t>
      </w:r>
      <w:r>
        <w:rPr>
          <w:rFonts w:ascii="Times New Roman;sans-serif" w:hAnsi="Times New Roman;sans-serif"/>
          <w:b w:val="false"/>
          <w:color w:val="000000"/>
          <w:sz w:val="20"/>
        </w:rPr>
        <w:t>") does not otherwise result in a "Change of Control" pursuant to subparagraph (i) of this definition of "Change of Control"; provided, however, that no such Transaction shall constitute a "Change of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color w:val="000000"/>
          <w:sz w:val="20"/>
          <w:u w:val="single"/>
        </w:rPr>
        <w:t>Complete Disability</w:t>
      </w:r>
      <w:r>
        <w:rPr>
          <w:color w:val="000000"/>
        </w:rPr>
        <w:t xml:space="preserve">” </w:t>
      </w:r>
      <w:r>
        <w:rPr>
          <w:rFonts w:ascii="Times New Roman;sans-serif" w:hAnsi="Times New Roman;sans-serif"/>
          <w:b w:val="false"/>
          <w:color w:val="000000"/>
          <w:sz w:val="20"/>
        </w:rPr>
        <w:t>means the total inability of Employee, due to illness or accident or other mental or physical incapacity, to perform Employee’s obligations under this Agreement (with or without a reasonable accommodation) for a period as determined under Employer’s applicable disability plan or plans.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color w:val="000000"/>
          <w:sz w:val="20"/>
          <w:u w:val="single"/>
        </w:rPr>
        <w:t>Confidential Information</w:t>
      </w:r>
      <w:r>
        <w:rPr>
          <w:color w:val="000000"/>
        </w:rPr>
        <w:t xml:space="preserve">” </w:t>
      </w:r>
      <w:r>
        <w:rPr>
          <w:rFonts w:ascii="Times New Roman;sans-serif" w:hAnsi="Times New Roman;sans-serif"/>
          <w:b w:val="false"/>
          <w:color w:val="000000"/>
          <w:sz w:val="20"/>
        </w:rPr>
        <w:t>means any information that is possessed or developed by or for Employer or any of its Affiliates and that relates to Employer’s or any such Affiliate’s existing or potential business or technology, which is not generally known to the public, or which Employer or any of its Affiliates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any of its Affiliates, any trademarks, service marks, trade names, patents, logos, slogans, domain names, uniform resource locators and other source identifiers, and any other proprietary material of Employer or any of its Affiliates. Confidential Information also includes information received by Employer or any of its Affiliates from others that Employer or any of its Affiliates has an obligation to treat as confidential. No materials or information shall be considered Confidential Information if Employee can prove that the materials or information are: (1) already known to Employee at the time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color w:val="000000"/>
          <w:sz w:val="20"/>
          <w:u w:val="single"/>
        </w:rPr>
        <w:t>Effective Date</w:t>
      </w:r>
      <w:r>
        <w:rPr>
          <w:color w:val="000000"/>
        </w:rPr>
        <w:t xml:space="preserve">” </w:t>
      </w:r>
      <w:r>
        <w:rPr>
          <w:rFonts w:ascii="Times New Roman;sans-serif" w:hAnsi="Times New Roman;sans-serif"/>
          <w:b w:val="false"/>
          <w:color w:val="000000"/>
          <w:sz w:val="20"/>
        </w:rPr>
        <w:t>means January 12, 2022.</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color w:val="000000"/>
          <w:sz w:val="20"/>
          <w:u w:val="single"/>
        </w:rPr>
        <w:t>Foreign Government Official</w:t>
      </w:r>
      <w:r>
        <w:rPr>
          <w:color w:val="000000"/>
        </w:rPr>
        <w:t xml:space="preserve">” </w:t>
      </w:r>
      <w:r>
        <w:rPr>
          <w:rFonts w:ascii="Times New Roman;sans-serif" w:hAnsi="Times New Roman;sans-serif"/>
          <w:b w:val="false"/>
          <w:color w:val="000000"/>
          <w:sz w:val="20"/>
        </w:rPr>
        <w:t>means any officers, office holders, or employees, whether full or part time, regardless of rank, of any foreign Governmental Agency, or any companies wholly- or partially-owned or controlled by a foreign government, or any international organizations, such as the United Nations or World Bank, including any political parties, party officials, candidates for public office, and family members of any of the foregoing.</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color w:val="000000"/>
          <w:sz w:val="20"/>
          <w:u w:val="single"/>
        </w:rPr>
        <w:t>Good Reason</w:t>
      </w:r>
      <w:r>
        <w:rPr>
          <w:color w:val="000000"/>
        </w:rPr>
        <w:t xml:space="preserve">” </w:t>
      </w:r>
      <w:r>
        <w:rPr>
          <w:rFonts w:ascii="Times New Roman;sans-serif" w:hAnsi="Times New Roman;sans-serif"/>
          <w:b w:val="false"/>
          <w:color w:val="000000"/>
          <w:sz w:val="20"/>
        </w:rPr>
        <w:t>means the occurrence, on or after the occurrence of a Change of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Employer or an Affiliate reduces Employee’s Base Salary (as defined in Subparagraph 7(a) below);</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Employer discontinues its bonus plan in which Employee participates as in effect immediately before the Change of Control without immediately replacing such bonus plan with a plan that is the substantial economic equivalent of such bonus plan, or amends such bonus </w:t>
      </w:r>
      <w:r>
        <w:br w:type="page"/>
      </w:r>
    </w:p>
    <w:p>
      <w:pPr>
        <w:pStyle w:val="TextBody"/>
        <w:spacing w:before="0" w:after="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3</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 so as to materially reduce Employee’s potential bonus at any given level of economic performance of Employer or its successor entity;</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Employer materially reduces the aggregate benefits and perquisites to Employee from those being provided immediately before the Change of Control;</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    Employer or any of its Affiliates requires Employee to change the location of Employee’s job or office, so that Employee will be based at a location more than 25 miles from the location of Employee’s job or office immediately before the Change of Control;</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    Employer or any of its Affiliates reduces Employee’s responsibilities or directs Employee to report to a person of lower rank or responsibilities than the person to whom Employee reported immediately before the Change of Control; or</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    the successor to Employer fails or refuses expressly to assume in writing the obligations of Employer under this Agreement.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Agreement, a determination by Employee that Employee has “Good Reason” shall be final and binding on Employer and Employee absent a showing of bad faith on Employee’s part.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color w:val="000000"/>
          <w:sz w:val="20"/>
          <w:u w:val="single"/>
        </w:rPr>
        <w:t>Governmental Agency</w:t>
      </w:r>
      <w:r>
        <w:rPr>
          <w:color w:val="000000"/>
        </w:rPr>
        <w:t xml:space="preserve">” </w:t>
      </w:r>
      <w:r>
        <w:rPr>
          <w:rFonts w:ascii="Times New Roman;sans-serif" w:hAnsi="Times New Roman;sans-serif"/>
          <w:b w:val="false"/>
          <w:color w:val="000000"/>
          <w:sz w:val="20"/>
        </w:rPr>
        <w:t>means any federal, state, local, provincial, or foreign agency, authority, commission, bureau, division, body, tribunal, department, instrumentality or court exercising executive, legislative, regulatory or administrative functions of or pertaining to any federal, state, local, provincial or foreign government, or any political subdivision thereof, or any other governmental or regulatory agency or authority, domestic or foreign.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(k)</w:t>
      </w:r>
      <w:r>
        <w:rPr>
          <w:color w:val="000000"/>
        </w:rPr>
        <w:t>“</w:t>
      </w:r>
      <w:r>
        <w:rPr>
          <w:rFonts w:ascii="Times New Roman;sans-serif" w:hAnsi="Times New Roman;sans-serif"/>
          <w:b/>
          <w:color w:val="000000"/>
          <w:sz w:val="20"/>
          <w:u w:val="single"/>
        </w:rPr>
        <w:t>Original Hire Date</w:t>
      </w:r>
      <w:r>
        <w:rPr>
          <w:color w:val="000000"/>
        </w:rPr>
        <w:t xml:space="preserve">” </w:t>
      </w:r>
      <w:r>
        <w:rPr>
          <w:rFonts w:ascii="Times New Roman;sans-serif" w:hAnsi="Times New Roman;sans-serif"/>
          <w:b w:val="false"/>
          <w:color w:val="000000"/>
          <w:sz w:val="20"/>
        </w:rPr>
        <w:t>means July 16, 2018.</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color w:val="000000"/>
          <w:sz w:val="20"/>
          <w:u w:val="single"/>
        </w:rPr>
        <w:t>Restricted Period</w:t>
      </w:r>
      <w:r>
        <w:rPr>
          <w:color w:val="000000"/>
        </w:rPr>
        <w:t xml:space="preserve">” </w:t>
      </w:r>
      <w:r>
        <w:rPr>
          <w:rFonts w:ascii="Times New Roman;sans-serif" w:hAnsi="Times New Roman;sans-serif"/>
          <w:b w:val="false"/>
          <w:color w:val="000000"/>
          <w:sz w:val="20"/>
        </w:rPr>
        <w:t>means the period Employer employs or compensates Employee, and (x) in the event that Employee is entitled to the Separation Payment, the greater of 12 months following the termination of Employee’s employment or the number of months remaining in the Term but for such termination of employment, or (y) in the event that Employee is not entitled to the Separation Payment, one year following the termination of Employee’s employment.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color w:val="000000"/>
          <w:sz w:val="20"/>
          <w:u w:val="single"/>
        </w:rPr>
        <w:t>Separation Payment</w:t>
      </w:r>
      <w:r>
        <w:rPr>
          <w:color w:val="000000"/>
        </w:rPr>
        <w:t xml:space="preserve">” </w:t>
      </w:r>
      <w:r>
        <w:rPr>
          <w:rFonts w:ascii="Times New Roman;sans-serif" w:hAnsi="Times New Roman;sans-serif"/>
          <w:b w:val="false"/>
          <w:color w:val="000000"/>
          <w:sz w:val="20"/>
        </w:rPr>
        <w:t>means a lump sum equal to (A) Employee’s Base Salary for the remainder of the Term, but not less than twelve (12) months (as defined in Subparagraph 7(a) of this Agreement), plus (B) an amount equal to the greater of (x) the bonus that was paid to Employee under Subparagraph 7(b) for the immediately preceding bonus period, projected over the remainder of the Term (which for avoidance of doubt may be less than 12 months), or (y) the bonus that was paid to Employee under Subparagraph 7(b) for the bonus period preceding the bonus period referred to in (x), projected over the remainder of the Term (which for avoidance of doubt may be less than 12 months), plus (C) any accrued but unpaid vacation pay.</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(n)</w:t>
      </w:r>
      <w:r>
        <w:rPr>
          <w:color w:val="000000"/>
        </w:rPr>
        <w:t>“</w:t>
      </w:r>
      <w:r>
        <w:rPr>
          <w:rFonts w:ascii="Times New Roman;sans-serif" w:hAnsi="Times New Roman;sans-serif"/>
          <w:b/>
          <w:color w:val="000000"/>
          <w:sz w:val="20"/>
          <w:u w:val="single"/>
        </w:rPr>
        <w:t>Trade Secrets</w:t>
      </w:r>
      <w:r>
        <w:rPr>
          <w:color w:val="000000"/>
        </w:rPr>
        <w:t xml:space="preserve">” </w:t>
      </w:r>
      <w:r>
        <w:rPr>
          <w:rFonts w:ascii="Times New Roman;sans-serif" w:hAnsi="Times New Roman;sans-serif"/>
          <w:b w:val="false"/>
          <w:color w:val="000000"/>
          <w:sz w:val="20"/>
        </w:rPr>
        <w:t>as used in this Agreement, shall be given its broadest possible interpretation under applicable federal and state law and means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(i) Employer has taken reasonable measures to keep secret, and that (ii) derives independent economic value, actual or potential, from not being generally known to, and not being readily ascertainable through proper means by, another person who can obtain economic value from the disclosure or use of the information.</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val="false"/>
          <w:color w:val="000000"/>
          <w:sz w:val="20"/>
        </w:rPr>
        <w:t>(o)</w:t>
      </w:r>
      <w:r>
        <w:rPr>
          <w:color w:val="000000"/>
        </w:rPr>
        <w:t>“</w:t>
      </w:r>
      <w:r>
        <w:rPr>
          <w:rFonts w:ascii="Times New Roman;sans-serif" w:hAnsi="Times New Roman;sans-serif"/>
          <w:b/>
          <w:color w:val="000000"/>
          <w:sz w:val="20"/>
          <w:u w:val="single"/>
        </w:rPr>
        <w:t>Work of Authorship</w:t>
      </w:r>
      <w:r>
        <w:rPr>
          <w:color w:val="000000"/>
        </w:rPr>
        <w:t xml:space="preserve">” </w:t>
      </w:r>
      <w:r>
        <w:rPr>
          <w:rFonts w:ascii="Times New Roman;sans-serif" w:hAnsi="Times New Roman;sans-serif"/>
          <w:b w:val="false"/>
          <w:color w:val="000000"/>
          <w:sz w:val="20"/>
        </w:rPr>
        <w:t>means any computer program, code or system as well as any literary, pictorial, sculptural, graphic or audio visual work, whether published or unpublished, and whether copyrightable or not, or other intellectual and industrial property rights of every kind and nature, in whatever form and jointly with others that relates to (i) any of Employer’s or any of its Affiliates’ existing or potential products, practices, processes, formulas, formulations, models, manufacturing techniques, engineering, research, equipment, applications or other business or technical activities or investigations; or (ii) any ideas, work, algorithms, data, technology, specifications, designs, drawings, images, samples, information, know-how, compositions, or investigations conceived or carried on by Employer or any of its Affiliates or by Employee in connection with or because of performing services for Employer or any of its Affiliates.</w:t>
      </w:r>
      <w:r>
        <w:br w:type="page"/>
      </w:r>
    </w:p>
    <w:p>
      <w:pPr>
        <w:pStyle w:val="TextBody"/>
        <w:spacing w:before="0" w:after="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w:t>
                      </w:r>
                    </w:p>
                  </w:txbxContent>
                </v:textbox>
              </v:rect>
            </w:pict>
          </mc:Fallback>
        </mc:AlternateContent>
      </w:r>
    </w:p>
    <w:p>
      <w:pPr>
        <w:pStyle w:val="TextBody"/>
        <w:spacing w:before="0" w:after="0"/>
        <w:jc w:val="right"/>
        <w:rPr/>
      </w:pPr>
      <w:r>
        <w:rPr/>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(p)</w:t>
      </w:r>
      <w:r>
        <w:rPr>
          <w:color w:val="000000"/>
        </w:rPr>
        <w:t>“</w:t>
      </w:r>
      <w:r>
        <w:rPr>
          <w:rFonts w:ascii="Times New Roman;sans-serif" w:hAnsi="Times New Roman;sans-serif"/>
          <w:b/>
          <w:color w:val="000000"/>
          <w:sz w:val="20"/>
          <w:u w:val="single"/>
        </w:rPr>
        <w:t>Work Product</w:t>
      </w:r>
      <w:r>
        <w:rPr>
          <w:color w:val="000000"/>
        </w:rPr>
        <w:t xml:space="preserve">” </w:t>
      </w:r>
      <w:r>
        <w:rPr>
          <w:rFonts w:ascii="Times New Roman;sans-serif" w:hAnsi="Times New Roman;sans-serif"/>
          <w:b w:val="false"/>
          <w:color w:val="000000"/>
          <w:sz w:val="20"/>
        </w:rPr>
        <w:t>means any and all of the following made, conceived or developed by Employee, including any and all intellectual property rights, derivatives or embodiments associated therewith: (i) Works of Authorship; (ii) inventions, whether or not patentable, improvements, and technology; (iii) proprietary and confidential information, including, but not limited to, know how, compositions, development tools, techniques, procedures, methodologies, technical data, customer or vendor lists, pricing or cost information, business or marketing plans or proposals, databases and data compilations and collections; (iv) websites, Internet addresses, urls and domain names and social media accounts; and (v) materials or concepts conceived, developed, originated, fixed or reduced to practice, in any medium, created or designed by Employee, including, without limitation, drawings, sketches, notes, photographs, brand concepts, discoveries, ideas, improvements, disclosures, documentation and related work in progress and supplies.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w:t>
      </w:r>
      <w:r>
        <w:rPr>
          <w:rFonts w:ascii="Times New Roman;sans-serif" w:hAnsi="Times New Roman;sans-serif"/>
          <w:b/>
          <w:i/>
          <w:color w:val="000000"/>
          <w:sz w:val="20"/>
          <w:u w:val="single"/>
        </w:rPr>
        <w:t>BASIC EMPLOYMENT AGREEMENT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Subject to the terms and pursuant to the conditions hereinafter set forth, Employer hereby employs Employee during the Term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her primary residence or her primary office outside of the Las Vegas, Nevada metropolitan area; provided however, that Employee acknowledges and agrees that Employee’s duties may require Employee to occasionally travel to locations where Employer has operations or is investigating development opportunities.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Effective Date, this Agreement supersedes and replaces any and all prior employment agreements (including the Prior Agreement), change of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 Effective Date, Employee shall be employed by Employer under the terms and pursuant to the conditions set forth in this Agreement.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3.</w:t>
      </w:r>
      <w:r>
        <w:rPr>
          <w:rFonts w:ascii="Times New Roman;sans-serif" w:hAnsi="Times New Roman;sans-serif"/>
          <w:b/>
          <w:i/>
          <w:color w:val="000000"/>
          <w:sz w:val="20"/>
          <w:u w:val="single"/>
        </w:rPr>
        <w:t>DUTIES OF EMPLOYEE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Employee shall perform such duties assigned to Employee by Employer as are generally associated with the duties of </w:t>
      </w:r>
      <w:r>
        <w:rPr>
          <w:rFonts w:ascii="Times New Roman;sans-serif" w:hAnsi="Times New Roman;sans-serif"/>
          <w:b/>
          <w:color w:val="000000"/>
          <w:sz w:val="20"/>
        </w:rPr>
        <w:t xml:space="preserve">Executive Vice President and General Counsel </w:t>
      </w:r>
      <w:r>
        <w:rPr>
          <w:rFonts w:ascii="Times New Roman;sans-serif" w:hAnsi="Times New Roman;sans-serif"/>
          <w:b w:val="false"/>
          <w:color w:val="000000"/>
          <w:sz w:val="20"/>
        </w:rPr>
        <w:t>for Employer or such similar duties as may be assigned to Employee by Employer as Employer may determine. Employee’s duties shall include: (i) the efficient and continuous operation of Employer and any of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the Employer and any of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4.</w:t>
      </w:r>
      <w:r>
        <w:rPr>
          <w:rFonts w:ascii="Times New Roman;sans-serif" w:hAnsi="Times New Roman;sans-serif"/>
          <w:b/>
          <w:i/>
          <w:color w:val="000000"/>
          <w:sz w:val="20"/>
          <w:u w:val="single"/>
        </w:rPr>
        <w:t>ACCEPTANCE OF EMPLOYMENT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Employee hereby unconditionally accepts the employment set forth hereunder, under the terms and pursuant to the conditions set forth in this Agreement. Employee hereby covenants and agrees that, except upon Employer’s prior express written authorization, during the Term, Employee will devote the whole of Employee’s normal and customary working time and best efforts solely to the performance of Employee’s duties under this Agreement and Employee shall not perform any services for any casino, hotel/casino or other similar gaming or gambling operation not owned by Employer or any of Employer’s Affiliates.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represents and warrants to Employer that the execution and delivery of this Agreement and the performance of Employee’s duties hereunder do not violate the terms or conditions of any employment agreement or arrangement or any other agreement to which Employee is a party.</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color w:val="000000"/>
          <w:sz w:val="20"/>
        </w:rPr>
        <w:t>5.</w:t>
      </w:r>
      <w:r>
        <w:rPr>
          <w:rFonts w:ascii="Times New Roman;sans-serif" w:hAnsi="Times New Roman;sans-serif"/>
          <w:b/>
          <w:i/>
          <w:color w:val="000000"/>
          <w:sz w:val="20"/>
          <w:u w:val="single"/>
        </w:rPr>
        <w:t>TERM</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Unless sooner terminated as provided in this Agreement, the term of this Agreement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xml:space="preserve">) shall commence on the Effective Date of this Agreement and terminate on January 31, 2025,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w:t>
      </w:r>
      <w:r>
        <w:br w:type="page"/>
      </w:r>
    </w:p>
    <w:p>
      <w:pPr>
        <w:pStyle w:val="TextBody"/>
        <w:spacing w:before="0" w:after="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5</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other terms and conditions of Employee’s employment may be changed by Employer at its discretion, with or without cause or notice, and (c) the employment relationship may be terminated at any time by either party, with or without cause or notice.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6.</w:t>
      </w:r>
      <w:r>
        <w:rPr>
          <w:rFonts w:ascii="Times New Roman;sans-serif" w:hAnsi="Times New Roman;sans-serif"/>
          <w:b/>
          <w:i/>
          <w:color w:val="000000"/>
          <w:sz w:val="20"/>
          <w:u w:val="single"/>
        </w:rPr>
        <w:t>SPECIAL TERMINATION PROVISIONS</w:t>
      </w:r>
      <w:r>
        <w:rPr>
          <w:rFonts w:ascii="Times New Roman;sans-serif" w:hAnsi="Times New Roman;sans-serif"/>
          <w:b/>
          <w:i/>
          <w:color w:val="000000"/>
          <w:sz w:val="20"/>
        </w:rPr>
        <w:t>.</w:t>
      </w:r>
      <w:r>
        <w:rPr>
          <w:color w:val="000000"/>
        </w:rPr>
        <w:t xml:space="preserve">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(a)Notwithstanding the provisions of Section 5, this Agreement shall terminate upon the occurrence of any of the following events:</w:t>
      </w:r>
    </w:p>
    <w:p>
      <w:pPr>
        <w:pStyle w:val="TextBody"/>
        <w:spacing w:before="0" w:after="0"/>
        <w:ind w:left="0" w:right="0" w:firstLine="720"/>
        <w:jc w:val="both"/>
        <w:rPr/>
      </w:pPr>
      <w:r>
        <w:rPr/>
      </w:r>
    </w:p>
    <w:p>
      <w:pPr>
        <w:pStyle w:val="TextBody"/>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(i)the death of Employee;</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(ii)the giving of written notice from Employer to Employee of the termination of this Agreement upon the Complete Disability of Employee;</w:t>
      </w:r>
    </w:p>
    <w:p>
      <w:pPr>
        <w:pStyle w:val="TextBody"/>
        <w:spacing w:before="0" w:after="0"/>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(iii)the giving of written notice by Employer to Employee of the termination of this Agreement upon the discharge of Employee for Cause (Employer’s right to terminate for Cause shall survive the expiration of this Agreement)). It is expressly acknowledged and agreed that the decision as to whether Cause exists for termination of the employment relationship by Employer is delegated to Employer’s Chief Executive Officer. If Employee disagrees with the decision reached by Employer’s Chief Executive Officer, any dispute as to the Cause determination will be limited to whether Employer’s Chief Executive Officer reached his/her decision in good faith, based upon facts reasonably believed by Employer’s Chief Executive Officer to be true, and not for any arbitrary, capricious or illegal reason. This shall be the standard applied by any fact finder, and Employee shall bear the burden to prove that Cause, under this standard, did not exist;</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(iv)the giving of written notice by Employer to Employee of the termination of this Agreement following a disapproval of this Agreement or the denial, suspension, limitation or revocation of Employee’s License (as defined in Section 8(b) of this Agreement); </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(v)the giving of written notice by Employee to Employer upon a material breach of this Agreement by Employer, which material breach remains uncured for a period of thirty (30) days after the giving of such notice, but only if Employee resigns within thirty (30) days immediately following the expiration of such 30-day period.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and if such position is the only position with Employer or with any of its Affiliates (irrespective of the title of the position), or a material reduction in Employee’s Base Salary; provided, however, that “material breach” shall not be construed to include any change, reduction or failure of Employer to which Employee consents, any change in title and/or reporting structure alone with no material change to duties and responsibilities, any changes to Employee’s duties pursuant to Section 6(a)(vi), any changes to Employee’s duties and responsibilities as a result of a request by the Gaming Authorities under Section 8, or the temporary suspension of Employee from duty, pursuant to Employer’s policy, pending investigation by Employer of any incident or occurrence that could give rise to discipline or termination of employment. Termination of employment pursuant to this Section 6(a)(v) does not relieve Employee of her duties and responsibilities under Sections 9, 10, 11, and 21 of this Agreement;</w:t>
      </w:r>
    </w:p>
    <w:p>
      <w:pPr>
        <w:pStyle w:val="TextBody"/>
        <w:spacing w:before="0" w:after="0"/>
        <w:jc w:val="both"/>
        <w:rPr/>
      </w:pPr>
      <w:r>
        <w:rPr/>
      </w:r>
    </w:p>
    <w:p>
      <w:pPr>
        <w:pStyle w:val="TextBody"/>
        <w:spacing w:lineRule="auto" w:line="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(vi)the giving of written ninety (90) day notice by Employer to Employee of Employer’s intention to terminate this Agreement without Cause for any reason deemed sufficient by Employer to be effective at the end of such ninety (90) day period. During such ninety (90) day notice period, Employer shall be permitted to reduce Employee’s responsibilities and time commitment to Employer; provided however, Employer may not reduce Employee’s Base Salary or benefits during such two-week period. At the end of such ninety (90) day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ninety (90) day period. If Employee elects to resign in lieu of termination, Employee must exercise this option in writing within 72 hours of receipt of Employer’s notice of intention to terminate this Agreement </w:t>
      </w:r>
      <w:r>
        <w:br w:type="page"/>
      </w:r>
    </w:p>
    <w:p>
      <w:pPr>
        <w:pStyle w:val="TextBody"/>
        <w:spacing w:before="0" w:after="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6</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without Cause. Employee’s written resignation in lieu of termination must be transmitted to Employer by email or hand delivery;</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(vii)at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 or</w:t>
      </w:r>
    </w:p>
    <w:p>
      <w:pPr>
        <w:pStyle w:val="TextBody"/>
        <w:spacing w:before="0" w:after="0"/>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(viii)at Employee’s sole election in writing as provided in Paragraph 17 of the Agreement upon ninety (90) day notice that Employee wishes to resign her position.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Consequences of Termination</w:t>
      </w:r>
      <w:r>
        <w:rPr>
          <w:rFonts w:ascii="Times New Roman;sans-serif" w:hAnsi="Times New Roman;sans-serif"/>
          <w:b w:val="false"/>
          <w:color w:val="000000"/>
          <w:sz w:val="20"/>
        </w:rPr>
        <w:t>.</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(i)In the event Employee resigns pursuant to Section 6(a)(v), 6(a)(vi), or 6(a)(vii), but not pursuant to Section 6(a)(viii),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at Employee’s election, under Section 7(c), or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or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(ii)In the event of a termination of this Agreement pursuant to Sections 6(a)(i), 6(a)(ii), 6(a)(iv), or 6(a)(viii),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pStyle w:val="TextBody"/>
        <w:spacing w:before="0" w:after="0"/>
        <w:ind w:left="0" w:right="0" w:firstLine="1260"/>
        <w:jc w:val="both"/>
        <w:rPr/>
      </w:pPr>
      <w:r>
        <w:rPr/>
      </w:r>
    </w:p>
    <w:p>
      <w:pPr>
        <w:pStyle w:val="TextBody"/>
        <w:ind w:left="0" w:right="0" w:firstLine="126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6"/>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w:t>
                      </w:r>
                    </w:p>
                  </w:txbxContent>
                </v:textbox>
              </v:rect>
            </w:pict>
          </mc:Fallback>
        </mc:AlternateContent>
      </w:r>
    </w:p>
    <w:p>
      <w:pPr>
        <w:pStyle w:val="TextBody"/>
        <w:spacing w:before="0" w:after="0"/>
        <w:jc w:val="right"/>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7.</w:t>
      </w:r>
      <w:r>
        <w:rPr>
          <w:rFonts w:ascii="Times New Roman;sans-serif" w:hAnsi="Times New Roman;sans-serif"/>
          <w:b/>
          <w:i/>
          <w:color w:val="000000"/>
          <w:sz w:val="20"/>
          <w:u w:val="single"/>
        </w:rPr>
        <w:t>COMPENSATION TO EMPLOYEE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u w:val="single"/>
        </w:rPr>
        <w:t>Base Salary</w:t>
      </w:r>
      <w:r>
        <w:rPr>
          <w:rFonts w:ascii="Times New Roman;sans-serif" w:hAnsi="Times New Roman;sans-serif"/>
          <w:b/>
          <w:color w:val="000000"/>
          <w:sz w:val="20"/>
        </w:rPr>
        <w:t xml:space="preserve">. </w:t>
      </w:r>
      <w:r>
        <w:rPr>
          <w:rFonts w:ascii="Times New Roman;sans-serif" w:hAnsi="Times New Roman;sans-serif"/>
          <w:b w:val="false"/>
          <w:color w:val="000000"/>
          <w:sz w:val="20"/>
        </w:rPr>
        <w:t>Subject to an effective upon the approval of the Compensation Committee of Wynn Resorts, Limited, Employer hereby covenants and agrees to pay to Employee, and Employee hereby covenants and agrees to accept from Employer, a base salary at the rate of Nine Hundred Thousand Dollars ($900,000.00) per annum, payable in such installments as shall be convenient to Employer (the “</w:t>
      </w:r>
      <w:r>
        <w:rPr>
          <w:rFonts w:ascii="Times New Roman;sans-serif" w:hAnsi="Times New Roman;sans-serif"/>
          <w:b/>
          <w:color w:val="000000"/>
          <w:sz w:val="20"/>
        </w:rPr>
        <w:t>Base Salary</w:t>
      </w:r>
      <w:r>
        <w:rPr>
          <w:color w:val="000000"/>
        </w:rPr>
        <w:t>”</w:t>
      </w:r>
      <w:r>
        <w:rPr>
          <w:rFonts w:ascii="Times New Roman;sans-serif" w:hAnsi="Times New Roman;sans-serif"/>
          <w:b w:val="false"/>
          <w:color w:val="000000"/>
          <w:sz w:val="20"/>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u w:val="single"/>
        </w:rPr>
        <w:t>Bonus Compensation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 will participate in Employer’s Amended and Restated Annual Performance Based Incentive Plan for Executive Officers (the “</w:t>
      </w:r>
      <w:r>
        <w:rPr>
          <w:rFonts w:ascii="Times New Roman;sans-serif" w:hAnsi="Times New Roman;sans-serif"/>
          <w:b/>
          <w:color w:val="000000"/>
          <w:sz w:val="20"/>
        </w:rPr>
        <w:t>Annual Bonus Plan</w:t>
      </w:r>
      <w:r>
        <w:rPr>
          <w:color w:val="000000"/>
        </w:rPr>
        <w:t>”</w:t>
      </w:r>
      <w:r>
        <w:rPr>
          <w:rFonts w:ascii="Times New Roman;sans-serif" w:hAnsi="Times New Roman;sans-serif"/>
          <w:b w:val="false"/>
          <w:color w:val="000000"/>
          <w:sz w:val="20"/>
        </w:rPr>
        <w:t>) with an annual target bonus of no less than 200% of the Base Salary. Any annual bonus Employee may be eligible to earn under the Annual Bonus Plan shall be conditioned on Employee’s continued employment through the applicable bonus performance period and may be subject to forfeiture in whole or in part upon Employee’s knowing and material violation of Employer’s Code of Business Conduct and Ethics or the Preventing Harassment and Discrimination Policy.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u w:val="single"/>
        </w:rPr>
        <w:t>Annual Equity Grant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 shall be eligible to receive an annual restricted share grant of Wynn Resorts, Limited common stock with a target value equivalent to no less than 175% of the annual Base Salary for Employee in effect at the end of the applicable year. Such annual grants shall vest over three years, with one-third vesting each year, and shall be awarded through both performance and time-based criteria. In the event the performance-based criteria for vesting in a given year are not tested until after the termination of the Agreement, for any reason other than for Cause under Section 6(a)(iii), and Employee performed services within that relevant period, such grant shall vest as long as the performance-based criteria are met. Employee and Employer will enter into a separate restricted stock agreement incorporating the terms and conditions of each grant, including the grant date, vesting schedule, and termination provisions.</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color w:val="000000"/>
          <w:sz w:val="20"/>
          <w:u w:val="single"/>
        </w:rPr>
        <w:t>Employee Benefit Plans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Employer hereby covenants and agrees that it shall include Employee, if otherwise eligible, in any profit 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shall also participate in the senior executive health program at all times while employed by Employer and for the twelve-month period subsequent to (i) the Term, or (ii) the termination of the Agreement pursuant to Sections 6(a)(v), 6(a)(vi), or 6(a)(vii).</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(e)</w:t>
      </w:r>
      <w:r>
        <w:rPr>
          <w:rFonts w:ascii="Times New Roman;sans-serif" w:hAnsi="Times New Roman;sans-serif"/>
          <w:b/>
          <w:color w:val="000000"/>
          <w:sz w:val="20"/>
          <w:u w:val="single"/>
        </w:rPr>
        <w:t>Expense Reimbursement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During the Term and provided the same are authorized in 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val="false"/>
          <w:color w:val="000000"/>
          <w:sz w:val="20"/>
        </w:rPr>
        <w:t>(f)</w:t>
      </w:r>
      <w:r>
        <w:rPr>
          <w:rFonts w:ascii="Times New Roman;sans-serif" w:hAnsi="Times New Roman;sans-serif"/>
          <w:b/>
          <w:color w:val="000000"/>
          <w:sz w:val="20"/>
          <w:u w:val="single"/>
        </w:rPr>
        <w:t>Vacations and Holidays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Commencing as of the Effective Date, Employee shall be entitled to (i) not less than four (4) weeks paid vacation leave during each twelve (12) month period of employment in accordance with Employer’s standard policy, to be taken at such times as selected by Employee and approved by Employer, and (ii) paid holidays (or, at Employer’s option, an equivalent number of paid days off) in accordance with Employer’s respective standard policies.</w:t>
      </w:r>
      <w:r>
        <w:br w:type="page"/>
      </w:r>
    </w:p>
    <w:p>
      <w:pPr>
        <w:pStyle w:val="TextBody"/>
        <w:spacing w:before="0" w:after="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w:t>
                      </w:r>
                    </w:p>
                  </w:txbxContent>
                </v:textbox>
              </v:rect>
            </w:pict>
          </mc:Fallback>
        </mc:AlternateContent>
      </w:r>
    </w:p>
    <w:p>
      <w:pPr>
        <w:pStyle w:val="TextBody"/>
        <w:spacing w:before="0" w:after="0"/>
        <w:jc w:val="right"/>
        <w:rPr/>
      </w:pPr>
      <w:r>
        <w:rPr/>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(g)</w:t>
      </w:r>
      <w:r>
        <w:rPr>
          <w:rFonts w:ascii="Times New Roman;sans-serif" w:hAnsi="Times New Roman;sans-serif"/>
          <w:b/>
          <w:color w:val="000000"/>
          <w:sz w:val="20"/>
          <w:u w:val="single"/>
        </w:rPr>
        <w:t>Section 409A Provision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(h)</w:t>
      </w:r>
      <w:r>
        <w:rPr>
          <w:rFonts w:ascii="Times New Roman;sans-serif" w:hAnsi="Times New Roman;sans-serif"/>
          <w:b/>
          <w:color w:val="000000"/>
          <w:sz w:val="20"/>
          <w:u w:val="single"/>
        </w:rPr>
        <w:t>Withholdings and Deductions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All compensation provided to Employee by Employer under this Agreement shall be subject to applicable federal, state or local employment-related withholdings and deductions.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w:t>
      </w:r>
      <w:r>
        <w:rPr>
          <w:rFonts w:ascii="Times New Roman;sans-serif" w:hAnsi="Times New Roman;sans-serif"/>
          <w:b/>
          <w:color w:val="000000"/>
          <w:sz w:val="20"/>
          <w:u w:val="single"/>
        </w:rPr>
        <w:t>Original Hire Date</w:t>
      </w:r>
      <w:r>
        <w:rPr>
          <w:rFonts w:ascii="Times New Roman;sans-serif" w:hAnsi="Times New Roman;sans-serif"/>
          <w:b w:val="false"/>
          <w:color w:val="000000"/>
          <w:sz w:val="20"/>
        </w:rPr>
        <w:t>. Employee’s Original Hire Date shall be used for determining all other benefits.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8.</w:t>
      </w:r>
      <w:r>
        <w:rPr>
          <w:rFonts w:ascii="Times New Roman;sans-serif" w:hAnsi="Times New Roman;sans-serif"/>
          <w:b/>
          <w:i/>
          <w:color w:val="000000"/>
          <w:sz w:val="20"/>
          <w:u w:val="single"/>
        </w:rPr>
        <w:t>LICENSING REQUIREMENTS</w:t>
      </w:r>
      <w:r>
        <w:rPr>
          <w:rFonts w:ascii="Times New Roman;sans-serif" w:hAnsi="Times New Roman;sans-serif"/>
          <w:b/>
          <w:i/>
          <w:color w:val="000000"/>
          <w:sz w:val="20"/>
        </w:rPr>
        <w: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(a)Employer and Employee hereby covenant and agree that this Agreement and/or Employee’s employment may be subject to the approval of one or more gaming or other regulatory authorities (the “</w:t>
      </w:r>
      <w:r>
        <w:rPr>
          <w:rFonts w:ascii="Times New Roman;sans-serif" w:hAnsi="Times New Roman;sans-serif"/>
          <w:b/>
          <w:color w:val="000000"/>
          <w:sz w:val="20"/>
        </w:rPr>
        <w:t>Gaming</w:t>
      </w:r>
      <w:r>
        <w:rPr>
          <w:color w:val="000000"/>
        </w:rPr>
        <w:t xml:space="preserve"> </w:t>
      </w:r>
      <w:r>
        <w:rPr>
          <w:rFonts w:ascii="Times New Roman;sans-serif" w:hAnsi="Times New Roman;sans-serif"/>
          <w:b/>
          <w:color w:val="000000"/>
          <w:sz w:val="20"/>
        </w:rPr>
        <w:t>Authorities</w:t>
      </w:r>
      <w:r>
        <w:rPr>
          <w:color w:val="000000"/>
        </w:rPr>
        <w:t>”</w:t>
      </w:r>
      <w:r>
        <w:rPr>
          <w:rFonts w:ascii="Times New Roman;sans-serif" w:hAnsi="Times New Roman;sans-serif"/>
          <w:b w:val="false"/>
          <w:color w:val="000000"/>
          <w:sz w:val="20"/>
        </w:rPr>
        <w:t>) pursuant to the provisions of any applicable gaming and liquor statutes and other laws in any jurisdiction in which Employer or any of its Affiliates conduct or may conduct business (collectively, the “</w:t>
      </w:r>
      <w:r>
        <w:rPr>
          <w:rFonts w:ascii="Times New Roman;sans-serif" w:hAnsi="Times New Roman;sans-serif"/>
          <w:b/>
          <w:color w:val="000000"/>
          <w:sz w:val="20"/>
        </w:rPr>
        <w:t>Gaming Acts</w:t>
      </w:r>
      <w:r>
        <w:rPr>
          <w:color w:val="000000"/>
        </w:rPr>
        <w:t>”</w:t>
      </w:r>
      <w:r>
        <w:rPr>
          <w:rFonts w:ascii="Times New Roman;sans-serif" w:hAnsi="Times New Roman;sans-serif"/>
          <w:b w:val="false"/>
          <w:color w:val="000000"/>
          <w:sz w:val="20"/>
        </w:rPr>
        <w:t>) and the regulations promulgated thereunder (collectively, the “</w:t>
      </w:r>
      <w:r>
        <w:rPr>
          <w:rFonts w:ascii="Times New Roman;sans-serif" w:hAnsi="Times New Roman;sans-serif"/>
          <w:b/>
          <w:color w:val="000000"/>
          <w:sz w:val="20"/>
        </w:rPr>
        <w:t>Gaming Regulations</w:t>
      </w:r>
      <w:r>
        <w:rPr>
          <w:color w:val="000000"/>
        </w:rPr>
        <w:t>”</w:t>
      </w:r>
      <w:r>
        <w:rPr>
          <w:rFonts w:ascii="Times New Roman;sans-serif" w:hAnsi="Times New Roman;sans-serif"/>
          <w:b w:val="false"/>
          <w:color w:val="000000"/>
          <w:sz w:val="20"/>
        </w:rPr>
        <w:t xml:space="preserve">). Employer and Employee hereby covenant and agree to use their best efforts to obtain any and all approvals required by the Gaming Acts and/or Gaming Regulations. In the event that (i) an approval of this Agreement or Employee’s employment by the Gaming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Gaming Authorities, then this Agreement shall immediately terminate and shall be null and void, thus extinguishing any and all obligations of either party, subject to any surviving obligations of Employee under Sections 9, 10, 11 and 21, notwithstanding any other provisions of this Agreement.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(b)If applicable, Employer and Employee hereby covenant and agree that, in order for Employee to discharge the duties required under this Agreement, Employee may be required to apply for, obtain, or hold a license, registration, permit or other approval (a “</w:t>
      </w:r>
      <w:r>
        <w:rPr>
          <w:rFonts w:ascii="Times New Roman;sans-serif" w:hAnsi="Times New Roman;sans-serif"/>
          <w:b/>
          <w:color w:val="000000"/>
          <w:sz w:val="20"/>
        </w:rPr>
        <w:t>License</w:t>
      </w:r>
      <w:r>
        <w:rPr>
          <w:color w:val="000000"/>
        </w:rPr>
        <w:t>”</w:t>
      </w:r>
      <w:r>
        <w:rPr>
          <w:rFonts w:ascii="Times New Roman;sans-serif" w:hAnsi="Times New Roman;sans-serif"/>
          <w:b w:val="false"/>
          <w:color w:val="000000"/>
          <w:sz w:val="20"/>
        </w:rPr>
        <w:t>) issued by the Gaming Authorities pursuant to the terms of the relevant Gaming Act or Gaming Regulations and as otherwise required by this Agreement. If required, in the event Employee fails to apply for and secure, or the Gaming Authorities refuse to issue or renew Employee’s License, Employee, at Employer’s sole cost and expense, shall promptly defend such action and shall take such reasonable steps as may be required to either remove the objections or secure or reinstate the Gaming Authorities’ approval, respectively. The foregoing notwithstanding, if the source of the objections or the Gaming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(c)Employer and Employee hereby covenant and agree that the provisions of this Section 8 shall apply in the event Employee’s duties require that Employee also be licensed by any Governmental Agency other than the Gaming Authorities.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9.</w:t>
      </w:r>
      <w:r>
        <w:rPr>
          <w:rFonts w:ascii="Times New Roman;sans-serif" w:hAnsi="Times New Roman;sans-serif"/>
          <w:b/>
          <w:i/>
          <w:color w:val="000000"/>
          <w:sz w:val="20"/>
          <w:u w:val="single"/>
        </w:rPr>
        <w:t>CONFIDENTIALITY</w:t>
      </w:r>
      <w:r>
        <w:rPr>
          <w:rFonts w:ascii="Times New Roman;sans-serif" w:hAnsi="Times New Roman;sans-serif"/>
          <w:b/>
          <w:i/>
          <w:color w:val="000000"/>
          <w:sz w:val="20"/>
        </w:rPr>
        <w:t>.</w:t>
      </w:r>
    </w:p>
    <w:p>
      <w:pPr>
        <w:pStyle w:val="TextBody"/>
        <w:spacing w:before="0" w:after="0"/>
        <w:jc w:val="both"/>
        <w:rPr/>
      </w:pPr>
      <w:r>
        <w:rPr/>
      </w:r>
    </w:p>
    <w:p>
      <w:pPr>
        <w:pStyle w:val="TextBody"/>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(a)Employee hereby warrants, covenants and agrees that:</w:t>
      </w:r>
    </w:p>
    <w:p>
      <w:pPr>
        <w:pStyle w:val="TextBody"/>
        <w:spacing w:lineRule="auto" w:line="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(i)Employee shall not directly or indirectly use or disclose any Confidential Information, Trade Secrets, or Work Product, whether in written, verbal, electronic, or model form, at any time or in any manner, except as required in the conduct of Employer’s business or as </w:t>
      </w:r>
      <w:r>
        <w:br w:type="page"/>
      </w:r>
    </w:p>
    <w:p>
      <w:pPr>
        <w:pStyle w:val="TextBody"/>
        <w:spacing w:before="0" w:after="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9</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expressly authorized by Employer in writing. Employee shall take all necessary and available precautions to protect against the unauthorized disclosure of Confidential Information, Trade Secrets, or Work Product. Employee acknowledges and agrees that such Confidential Information, Trade Secrets, and Work Product are the sole and exclusive property of Employer or its Affiliates. </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(ii)Employee shall not remove from Employer’s premises any Confidential Information, Trade Secrets, Work Product,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(iii)Upon termination of Employee’s employment with Employer for any reason, Employee shall return to Employer the originals and all copies (in electronic or paper form)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Product; or (iii) otherwise relating to Employee’s performance of duties under this Agreement. Employee further acknowledges and agrees that all such documents are the sole and exclusive property of Employer or its Affiliates.</w:t>
      </w:r>
    </w:p>
    <w:p>
      <w:pPr>
        <w:pStyle w:val="TextBody"/>
        <w:spacing w:before="0" w:after="0"/>
        <w:ind w:left="0" w:right="0" w:firstLine="720"/>
        <w:jc w:val="both"/>
        <w:rPr/>
      </w:pPr>
      <w:r>
        <w:rPr/>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Times New Roman;sans-serif" w:hAnsi="Times New Roman;sans-serif"/>
          <w:b/>
          <w:color w:val="000000"/>
          <w:sz w:val="20"/>
        </w:rPr>
        <w:t>Restricted Information</w:t>
      </w:r>
      <w:r>
        <w:rPr>
          <w:color w:val="000000"/>
        </w:rPr>
        <w:t>”</w:t>
      </w:r>
      <w:r>
        <w:rPr>
          <w:rFonts w:ascii="Times New Roman;sans-serif" w:hAnsi="Times New Roman;sans-serif"/>
          <w:b w:val="false"/>
          <w:color w:val="000000"/>
          <w:sz w:val="20"/>
        </w:rPr>
        <w:t>). In the event Employer requests Restricted Information from Employee, Employee shall advise Employer that the information requested is Restricted Information and may not be disclosed by Employee.</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(8)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(d)Notwithstanding anything to the contrary contained herein, no provision of this Agreement will be interpreted so as to impede Employee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including any gaming regulatory agency, legislative body or any self-regulatory organization, including, but not limited to, the Department of Justice, the Securities and Exchange Commission, the Congress and any agency Inspector General, (c) accepting any U.S. Securities and Exchange Commission awards or (d) making other disclosures under the whistleblower provisions of federal law or regulation. In addition, nothing in this Agreement or any other agreement or Employer policy prohibits or restricts Employee from initiating communications with, or responding to any inquiry from, any administrative, governmental, regulatory, or supervisory authority regarding any good faith concerns about possible violations of law or regulation. Employee does not need the prior authorization of Employer to make any such reports or disclosures, and Employee will not be required to notify Employer that such reports or disclosures have been made.</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2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(e)The obligations of this Section 9 are continuing and shall survive the termination of Employee’s employment with Employer for any reason.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10.</w:t>
      </w:r>
      <w:r>
        <w:rPr>
          <w:rFonts w:ascii="Times New Roman;sans-serif" w:hAnsi="Times New Roman;sans-serif"/>
          <w:b/>
          <w:i/>
          <w:color w:val="000000"/>
          <w:sz w:val="20"/>
          <w:u w:val="single"/>
        </w:rPr>
        <w:t>RESTRICTIVE COVENANT/NO SOLICITATION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In consideration of the mutual promises and covenants contained in this Agreement, including but not limited to the compensation identified in Section 6 (as applicable) and 7 of this Agreement, and for other good and valuable consideration, the receipt and sufficiency of which are hereby mutually acknowledged, Employee agrees as follows: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(a)Employee hereby covenants and agrees that for the during the Restricted Period,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directly or indirectly, provide services to a competing business that are the same as or similar in purpose or function to those Employee provided to Employer or any of its Affiliates during the last two (2) years of Employee’s employment with Employer or that are likely to result in the use or disclosure of Confidential Information, in or about any market in which Employer or its Affiliates currently operate or have announced, publicly or otherwise, a plan to have hotel or gaming operations, including any hotel, casino, restaurant, lounge, nightclub, day club, beach club, or sports wagering or online gaming operations.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(b)Employee hereby further covenants and agrees that during the Restricted Period, Employee shall not take any actions, whether directly or indirectly, including by way of a third-party intermediary, to solicit, encourage or otherwise cause any employee of Employer or its Affiliates to leave employment,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beach club, or sports wagering or online gaming operations. The parties agree that the terms “solicit, encourage or otherwise cause” include Employee’s participation in the recruitment, applicant assessment or review, and employee selection.</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(c)Employee hereby covenants and agrees that, at any time during the Restricted Period, Employee shall not, directly or indirectly, solicit any current, former (within the preceding one-year period) or prospective customer of Employer or any of its Affiliates with whom Employee had material contact or about whom Employee acquired Confidential Information during the last two (2) years of her employment to terminate, reduce or negatively alter his, her, its relationship with Employer or to do business with a competing business.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and do not impose any restraint that is greater than is required for the protection of Employer and its Affiliates.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 and enforce the covenants as revised.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(e)Employee hereby agrees that any subsequent material change or changes in Employee’s title, duties, salary or compensation will not affect the validity or scope of this Section 10, or invalidate this Section 10 in any way. </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color w:val="000000"/>
          <w:sz w:val="20"/>
        </w:rPr>
        <w:t>11.</w:t>
      </w:r>
      <w:r>
        <w:rPr>
          <w:rFonts w:ascii="Times New Roman;sans-serif" w:hAnsi="Times New Roman;sans-serif"/>
          <w:b/>
          <w:i/>
          <w:color w:val="000000"/>
          <w:sz w:val="20"/>
          <w:u w:val="single"/>
        </w:rPr>
        <w:t>REMEDIES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Employee acknowledges that Employer has and will continue to deliver, provide and 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 Product,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w:t>
      </w:r>
      <w:r>
        <w:br w:type="page"/>
      </w:r>
    </w:p>
    <w:p>
      <w:pPr>
        <w:pStyle w:val="TextBody"/>
        <w:spacing w:before="0" w:after="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action for recovery of materials or for breach of any of Employee’s representations, warranties or covenants shall accrue until Employer or its Affiliate has actual notice of such breach, and in the event of any such breach, the Restricted Period shall be extended for a period of time commensurate with the period of breach. If Employee violates one of the post-employment restrictions set forth in Sections 10(b) or (c) of this Agreement, the time period for that restriction will be extended by one day for each day Employee is found to be in violation of it, up to a maximum extension of time equal in length to the original period of restriction, so as to give Employer the benefit of a period of forbearance by Employee that is equal to the original length of time provided for. In addition, Employee agrees that if she breaches her fiduciary duty to Employer or unlawfully take, physically or electronically, property belonging to Employer, the time period for the restriction contained in Section 10(a) may be equitably extended by an enforcing court for a period not to exceed 2 years from the date of cessation of Employee’s employment.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12.</w:t>
      </w:r>
      <w:r>
        <w:rPr>
          <w:rFonts w:ascii="Times New Roman;sans-serif" w:hAnsi="Times New Roman;sans-serif"/>
          <w:b/>
          <w:i/>
          <w:color w:val="000000"/>
          <w:sz w:val="20"/>
          <w:u w:val="single"/>
        </w:rPr>
        <w:t>COUNTERPARTS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may be executed in one or more counterparts, each of which when executed and delivered shall be an original, and both of which, when executed, shall constitute one and the same agreement. The exchange of copies of this Agreement and of signature pages by facsimile or other electronic transmission shall constitute effective execution and delivery of this Agreement as to the parties and may be used in lieu of the original Agreement for all purposes. Signatures of the parties transmitted by facsimile or other electronic means shall be deemed to be original signatures for all purposes.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13.</w:t>
      </w:r>
      <w:r>
        <w:rPr>
          <w:rFonts w:ascii="Times New Roman;sans-serif" w:hAnsi="Times New Roman;sans-serif"/>
          <w:b/>
          <w:i/>
          <w:color w:val="000000"/>
          <w:sz w:val="20"/>
          <w:u w:val="single"/>
        </w:rPr>
        <w:t>SUCCESSION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This Agreement shall be binding upon and inure to the benefit of the parties hereto and their heirs, executors, administrators, personal representatives, successors and permitted assigns.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14.</w:t>
      </w:r>
      <w:r>
        <w:rPr>
          <w:rFonts w:ascii="Times New Roman;sans-serif" w:hAnsi="Times New Roman;sans-serif"/>
          <w:b/>
          <w:i/>
          <w:color w:val="000000"/>
          <w:sz w:val="20"/>
          <w:u w:val="single"/>
        </w:rPr>
        <w:t>ASSIGNMENT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Employee shall not assign this Agreement or delegate Employee’s duties hereunder without the express written prior consent of Employer, by and through a duly authorized officer of Employer (other than Employee),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15.</w:t>
      </w:r>
      <w:r>
        <w:rPr>
          <w:rFonts w:ascii="Times New Roman;sans-serif" w:hAnsi="Times New Roman;sans-serif"/>
          <w:b/>
          <w:i/>
          <w:color w:val="000000"/>
          <w:sz w:val="20"/>
          <w:u w:val="single"/>
        </w:rPr>
        <w:t>AMENDMENT OR MODIFICATION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may not be amended, modified, changed or altered except by a writing signed by both Employer, by and through a duly authorized officer of Employer (other than Employee), and Employee or by Court Order.</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16.</w:t>
      </w:r>
      <w:r>
        <w:rPr>
          <w:rFonts w:ascii="Times New Roman;sans-serif" w:hAnsi="Times New Roman;sans-serif"/>
          <w:b/>
          <w:i/>
          <w:color w:val="000000"/>
          <w:sz w:val="20"/>
          <w:u w:val="single"/>
        </w:rPr>
        <w:t>GOVERNING LAW.</w:t>
      </w:r>
      <w:r>
        <w:rPr>
          <w:color w:val="000000"/>
        </w:rPr>
        <w:t xml:space="preserve"> </w:t>
      </w:r>
      <w:r>
        <w:rPr>
          <w:rFonts w:ascii="Times New Roman;sans-serif" w:hAnsi="Times New Roman;sans-serif"/>
          <w:b w:val="false"/>
          <w:color w:val="000000"/>
          <w:sz w:val="20"/>
        </w:rPr>
        <w:t>This Agreement shall be governed by and construed in accordance with the laws of the State of Nevada, without regard to conflict of laws principles.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17.</w:t>
      </w:r>
      <w:r>
        <w:rPr>
          <w:rFonts w:ascii="Times New Roman;sans-serif" w:hAnsi="Times New Roman;sans-serif"/>
          <w:b/>
          <w:i/>
          <w:color w:val="000000"/>
          <w:sz w:val="20"/>
          <w:u w:val="single"/>
        </w:rPr>
        <w:t>NOTICES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Any and all notices required under this Agreement shall be in writing and shall be either hand-delivered or mailed, certified mail, return receipt requested, addressed to:</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u w:val="single"/>
        </w:rPr>
        <w:t>TO EMPLOYER</w:t>
      </w:r>
      <w:r>
        <w:rPr>
          <w:rFonts w:ascii="Times New Roman;sans-serif" w:hAnsi="Times New Roman;sans-serif"/>
          <w:b w:val="false"/>
          <w:color w:val="000000"/>
          <w:sz w:val="20"/>
        </w:rPr>
        <w:t>:        Wynn Resorts, Limited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3131 Las Vegas Boulevard South</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Las Vegas, Nevada 89109</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Attn: Legal Department</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        </w:t>
      </w:r>
      <w:r>
        <w:rPr>
          <w:rFonts w:ascii="Times New Roman;sans-serif" w:hAnsi="Times New Roman;sans-serif"/>
          <w:b w:val="false"/>
          <w:color w:val="000000"/>
          <w:sz w:val="20"/>
          <w:u w:val="single"/>
        </w:rPr>
        <w:t>TO EMPLOYEE</w:t>
      </w:r>
      <w:r>
        <w:rPr>
          <w:rFonts w:ascii="Times New Roman;sans-serif" w:hAnsi="Times New Roman;sans-serif"/>
          <w:b w:val="false"/>
          <w:color w:val="000000"/>
          <w:sz w:val="20"/>
        </w:rPr>
        <w:t>:            Ellen Whittemore</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[intentionally omitted]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18.</w:t>
      </w:r>
      <w:r>
        <w:rPr>
          <w:rFonts w:ascii="Times New Roman;sans-serif" w:hAnsi="Times New Roman;sans-serif"/>
          <w:b/>
          <w:i/>
          <w:color w:val="000000"/>
          <w:sz w:val="20"/>
          <w:u w:val="single"/>
        </w:rPr>
        <w:t>INTERPRETATION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The preamble recitals to this Agreement are incorporated into and made a part of this 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19.</w:t>
      </w:r>
      <w:r>
        <w:rPr>
          <w:rFonts w:ascii="Times New Roman;sans-serif" w:hAnsi="Times New Roman;sans-serif"/>
          <w:b/>
          <w:i/>
          <w:color w:val="000000"/>
          <w:sz w:val="20"/>
          <w:u w:val="single"/>
        </w:rPr>
        <w:t>SEVERABILITY</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pStyle w:val="TextBody"/>
        <w:spacing w:before="0" w:after="0"/>
        <w:ind w:left="0" w:right="0" w:firstLine="720"/>
        <w:jc w:val="both"/>
        <w:rPr/>
      </w:pPr>
      <w:r>
        <w:rPr/>
      </w:r>
    </w:p>
    <w:p>
      <w:pPr>
        <w:pStyle w:val="TextBody"/>
        <w:spacing w:lineRule="auto" w:line="240"/>
        <w:ind w:left="0" w:right="0" w:firstLine="720"/>
        <w:jc w:val="both"/>
        <w:rPr/>
      </w:pPr>
      <w:r>
        <w:rPr>
          <w:rFonts w:ascii="Times New Roman;sans-serif" w:hAnsi="Times New Roman;sans-serif"/>
          <w:b/>
          <w:color w:val="000000"/>
          <w:sz w:val="20"/>
        </w:rPr>
        <w:t>20.</w:t>
      </w:r>
      <w:r>
        <w:rPr>
          <w:rFonts w:ascii="Times New Roman;sans-serif" w:hAnsi="Times New Roman;sans-serif"/>
          <w:b/>
          <w:i/>
          <w:color w:val="000000"/>
          <w:sz w:val="20"/>
          <w:u w:val="single"/>
        </w:rPr>
        <w:t>WAIVER</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None of the terms of this Agreement, including this Section 20,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r>
        <w:br w:type="page"/>
      </w:r>
    </w:p>
    <w:p>
      <w:pPr>
        <w:pStyle w:val="TextBody"/>
        <w:spacing w:before="0" w:after="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12</w:t>
                      </w:r>
                    </w:p>
                  </w:txbxContent>
                </v:textbox>
              </v:rect>
            </w:pict>
          </mc:Fallback>
        </mc:AlternateContent>
      </w:r>
    </w:p>
    <w:p>
      <w:pPr>
        <w:pStyle w:val="TextBody"/>
        <w:spacing w:before="0" w:after="0"/>
        <w:jc w:val="right"/>
        <w:rPr/>
      </w:pPr>
      <w:r>
        <w:rPr/>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21.</w:t>
      </w:r>
      <w:r>
        <w:rPr>
          <w:rFonts w:ascii="Times New Roman;sans-serif" w:hAnsi="Times New Roman;sans-serif"/>
          <w:b/>
          <w:i/>
          <w:color w:val="000000"/>
          <w:sz w:val="20"/>
          <w:u w:val="single"/>
        </w:rPr>
        <w:t>DISPUTE RESOLUTION</w:t>
      </w:r>
      <w:r>
        <w:rPr>
          <w:rFonts w:ascii="Times New Roman;sans-serif" w:hAnsi="Times New Roman;sans-serif"/>
          <w:b w:val="false"/>
          <w:color w:val="000000"/>
          <w:sz w:val="20"/>
        </w:rPr>
        <w:t>. Except for a claim by either Employee or Employer for injunctive relief where such 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w:t>
      </w:r>
      <w:r>
        <w:rPr>
          <w:rFonts w:ascii="Times New Roman;sans-serif" w:hAnsi="Times New Roman;sans-serif"/>
          <w:b/>
          <w:color w:val="000000"/>
          <w:sz w:val="20"/>
        </w:rPr>
        <w:t>AAA</w:t>
      </w:r>
      <w:r>
        <w:rPr>
          <w:color w:val="000000"/>
        </w:rPr>
        <w:t>”</w:t>
      </w:r>
      <w:r>
        <w:rPr>
          <w:rFonts w:ascii="Times New Roman;sans-serif" w:hAnsi="Times New Roman;sans-serif"/>
          <w:b w:val="false"/>
          <w:color w:val="000000"/>
          <w:sz w:val="20"/>
        </w:rPr>
        <w:t xml:space="preserve">), to the extent not inconsistent with this Section as set forth below, and the Federal Arbitration Act, 9 U.S.C. § 1, </w:t>
      </w:r>
      <w:r>
        <w:rPr>
          <w:rFonts w:ascii="Times New Roman;sans-serif" w:hAnsi="Times New Roman;sans-serif"/>
          <w:b w:val="false"/>
          <w:i/>
          <w:color w:val="000000"/>
          <w:sz w:val="20"/>
        </w:rPr>
        <w:t>et seq</w:t>
      </w:r>
      <w:r>
        <w:rPr>
          <w:rFonts w:ascii="Times New Roman;sans-serif" w:hAnsi="Times New Roman;sans-serif"/>
          <w:b w:val="false"/>
          <w:color w:val="000000"/>
          <w:sz w:val="20"/>
        </w:rPr>
        <w:t xml:space="preserve">. and the Uniform Arbitration Act as adopted in Nevada Revised Statutes 38.015, </w:t>
      </w:r>
      <w:r>
        <w:rPr>
          <w:rFonts w:ascii="Times New Roman;sans-serif" w:hAnsi="Times New Roman;sans-serif"/>
          <w:b w:val="false"/>
          <w:i/>
          <w:color w:val="000000"/>
          <w:sz w:val="20"/>
        </w:rPr>
        <w:t>et seq</w:t>
      </w:r>
      <w:r>
        <w:rPr>
          <w:rFonts w:ascii="Times New Roman;sans-serif" w:hAnsi="Times New Roman;sans-serif"/>
          <w:b w:val="false"/>
          <w:color w:val="000000"/>
          <w:sz w:val="20"/>
        </w:rPr>
        <w:t xml:space="preserve">. This Section 21 applies to any claim Employee might have against any officer, director, employee, or agent of Employer or any of its Affiliates, and all successors and assigns of any of them. These arbitration provisions shall survive the termination of Employee’s employment with Employer and the expiration of this Agreement.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and wrongful discharge.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based on unlawful employment discrimination and/or harassment; claims for injunctive or equitable relief for violations of non-competition and/or confidentiality covenants contained in Sections 9, 10 and 11; or any claims that are prohibited as a matter of law from being covered by this Section 21.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13</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(i)Severability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Times New Roman;sans-serif" w:hAnsi="Times New Roman;sans-serif"/>
          <w:b/>
          <w:color w:val="000000"/>
          <w:sz w:val="20"/>
        </w:rPr>
        <w:t>Employee and Employer agree to mutually waive their respective rights to a trial by jury in a court of competent jurisdiction in which an action is filed to resolve any such covered claims</w:t>
      </w:r>
      <w:r>
        <w:rPr>
          <w:rFonts w:ascii="Times New Roman;sans-serif" w:hAnsi="Times New Roman;sans-serif"/>
          <w:b w:val="false"/>
          <w:color w:val="000000"/>
          <w:sz w:val="20"/>
        </w:rPr>
        <w:t>.</w:t>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Employee and Employer agree to sign below to specifically authorize and affirmatively agree to utilize the provisions of Section 21 of this Agreement.</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60655"/>
                <wp:effectExtent l="0" t="0" r="0" b="0"/>
                <wp:wrapNone/>
                <wp:docPr id="134" name="Frame13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14</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Times New Roman;sans-serif" w:hAnsi="Times New Roman;sans-serif"/>
          <w:b/>
          <w:color w:val="000000"/>
          <w:sz w:val="20"/>
        </w:rPr>
        <w:t>22.</w:t>
      </w:r>
      <w:r>
        <w:rPr>
          <w:rFonts w:ascii="Times New Roman;sans-serif" w:hAnsi="Times New Roman;sans-serif"/>
          <w:b/>
          <w:i/>
          <w:color w:val="000000"/>
          <w:sz w:val="20"/>
          <w:u w:val="single"/>
        </w:rPr>
        <w:t>ENTIRE AGREEMENT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constitutes the entire agreement between Employer and Employee, and 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of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23.</w:t>
      </w:r>
      <w:r>
        <w:rPr>
          <w:rFonts w:ascii="Times New Roman;sans-serif" w:hAnsi="Times New Roman;sans-serif"/>
          <w:b/>
          <w:i/>
          <w:color w:val="000000"/>
          <w:sz w:val="20"/>
          <w:u w:val="single"/>
        </w:rPr>
        <w:t>FCPA COMPLIANCE</w:t>
      </w:r>
      <w:r>
        <w:rPr>
          <w:rFonts w:ascii="Times New Roman;sans-serif" w:hAnsi="Times New Roman;sans-serif"/>
          <w:b w:val="false"/>
          <w:color w:val="000000"/>
          <w:sz w:val="20"/>
        </w:rPr>
        <w:t>. Employer advises Employee that the United States Foreign Corrupt Practices Act (“</w:t>
      </w:r>
      <w:r>
        <w:rPr>
          <w:rFonts w:ascii="Times New Roman;sans-serif" w:hAnsi="Times New Roman;sans-serif"/>
          <w:b/>
          <w:color w:val="000000"/>
          <w:sz w:val="20"/>
        </w:rPr>
        <w:t>FCPA</w:t>
      </w:r>
      <w:r>
        <w:rPr>
          <w:color w:val="000000"/>
        </w:rPr>
        <w:t>”</w:t>
      </w:r>
      <w:r>
        <w:rPr>
          <w:rFonts w:ascii="Times New Roman;sans-serif" w:hAnsi="Times New Roman;sans-serif"/>
          <w:b w:val="false"/>
          <w:color w:val="000000"/>
          <w:sz w:val="20"/>
        </w:rPr>
        <w:t xml:space="preserve">)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 </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policy or procedure of Employer. Employee further represents and warrants that Employee will know and understand, and act in accordance with, all policies and procedures of Employer related to anti-corruption and business conduct. Employee agrees to attend mandatory compliance training. Employee undertakes to duly notify Employer if Employee becomes aware of any such violation of policies or procedures of Employer, or any other violation of law, committed by Employee or any other person or entity, and to indemnify Employer for any losses, damages, fines, and/or penalties which Employer may suffer or incur arising out of or incidental to any such violation committed by Employee.</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also represents and warrants that Employee will disclose to Employer if Employee or any member of Employee’s family is a Foreign Government Official.</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 of breach of this provision, Employer may suspend or terminate this Agreement at any time without notice or indemnity.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24.</w:t>
      </w:r>
      <w:r>
        <w:rPr>
          <w:rFonts w:ascii="Times New Roman;sans-serif" w:hAnsi="Times New Roman;sans-serif"/>
          <w:b/>
          <w:i/>
          <w:color w:val="000000"/>
          <w:sz w:val="20"/>
          <w:u w:val="single"/>
        </w:rPr>
        <w:t>COOPERATION IN MATTERS RELATED TO EMPLOYMENT</w:t>
      </w:r>
      <w:r>
        <w:rPr>
          <w:rFonts w:ascii="Times New Roman;sans-serif" w:hAnsi="Times New Roman;sans-serif"/>
          <w:b/>
          <w:i/>
          <w:color w:val="000000"/>
          <w:sz w:val="20"/>
        </w:rPr>
        <w:t xml:space="preserve">. </w:t>
      </w:r>
      <w:r>
        <w:rPr>
          <w:rFonts w:ascii="Times New Roman;sans-serif" w:hAnsi="Times New Roman;sans-serif"/>
          <w:b w:val="false"/>
          <w:color w:val="000000"/>
          <w:sz w:val="20"/>
        </w:rPr>
        <w:t>During the term of this Agreement, and to the extent necessary following Employee’s separation from employment, Employee agrees to cooperate with Employer, Employer’s counsel, and any Governmental Agency regarding any outstanding matters that involved Employee during the time and scope of her employment with Employer. Employer shall reimburse Employee for any reasonable expenses incurred through Employee’s participation in such cooperation.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25.</w:t>
      </w:r>
      <w:r>
        <w:rPr>
          <w:rFonts w:ascii="Times New Roman;sans-serif" w:hAnsi="Times New Roman;sans-serif"/>
          <w:b/>
          <w:i/>
          <w:color w:val="000000"/>
          <w:sz w:val="20"/>
          <w:u w:val="single"/>
        </w:rPr>
        <w:t>REVIEW BY PARTIES AND THEIR LEGAL COUNSEL</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The parties represent that they have read this Agreement and acknowledge that they have discussed its contents with their respective legal counsel or have been afforded the opportunity to avail themselves of the opportunity to the extent they each wished to do so. Any rule of construction or interpretation otherwise requiring this Agreement to be construed or interpreted against any party by virtue of the authorship of this Agreement shall not apply to the construction and interpretation hereof.</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60655"/>
                <wp:effectExtent l="0" t="0" r="0" b="0"/>
                <wp:wrapNone/>
                <wp:docPr id="135" name="Frame134"/>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15</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**Employee and Employer have read and understand that Section 21 (Dispute Resolution) of this Agreement contains provisions requiring Employee, as well as Employer, to submit certain covered disputes between Employee and Employer to arbitration.  By signing below, Employee and Employer, specifically authorize and affirmatively agree to utilize the provisions of Section 21 of this Agreement.</w:t>
      </w:r>
    </w:p>
    <w:p>
      <w:pPr>
        <w:pStyle w:val="TextBody"/>
        <w:spacing w:before="0" w:after="0"/>
        <w:jc w:val="both"/>
        <w:rPr/>
      </w:pPr>
      <w:r>
        <w:rPr/>
      </w:r>
    </w:p>
    <w:tbl>
      <w:tblPr>
        <w:tblW w:w="5250" w:type="dxa"/>
        <w:jc w:val="left"/>
        <w:tblInd w:w="0" w:type="dxa"/>
        <w:tblCellMar>
          <w:top w:w="28" w:type="dxa"/>
          <w:left w:w="28" w:type="dxa"/>
          <w:bottom w:w="28" w:type="dxa"/>
          <w:right w:w="28" w:type="dxa"/>
        </w:tblCellMar>
      </w:tblPr>
      <w:tblGrid>
        <w:gridCol w:w="1238"/>
        <w:gridCol w:w="1088"/>
        <w:gridCol w:w="1094"/>
        <w:gridCol w:w="535"/>
        <w:gridCol w:w="535"/>
        <w:gridCol w:w="760"/>
      </w:tblGrid>
      <w:tr>
        <w:trPr/>
        <w:tc>
          <w:tcPr>
            <w:tcW w:w="1238"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Ellen Whittemore</w:t>
            </w:r>
          </w:p>
        </w:tc>
      </w:tr>
      <w:tr>
        <w:trPr/>
        <w:tc>
          <w:tcPr>
            <w:tcW w:w="342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Craig S. Billings, Chief Financial Officer</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Whittemore</w:t>
            </w:r>
          </w:p>
        </w:tc>
      </w:tr>
    </w:tbl>
    <w:p>
      <w:pPr>
        <w:pStyle w:val="TextBody"/>
        <w:spacing w:before="0" w:after="0"/>
        <w:jc w:val="both"/>
        <w:rPr/>
      </w:pPr>
      <w:r>
        <w:rPr/>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i/>
          <w:color w:val="000000"/>
          <w:sz w:val="20"/>
        </w:rPr>
        <w:t>IN WITNESS WHEREOF AND INTENDING TO BE LEGALLY BOUND HEREBY,</w:t>
      </w:r>
      <w:r>
        <w:rPr>
          <w:color w:val="000000"/>
        </w:rPr>
        <w:t xml:space="preserve"> </w:t>
      </w:r>
      <w:r>
        <w:rPr>
          <w:rFonts w:ascii="Times New Roman;sans-serif" w:hAnsi="Times New Roman;sans-serif"/>
          <w:b w:val="false"/>
          <w:color w:val="000000"/>
          <w:sz w:val="20"/>
        </w:rPr>
        <w:t>the parties hereto have executed and delivered this Agreement as of the year and date first above written.</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5055" w:type="dxa"/>
        <w:jc w:val="left"/>
        <w:tblInd w:w="0" w:type="dxa"/>
        <w:tblCellMar>
          <w:top w:w="28" w:type="dxa"/>
          <w:left w:w="28" w:type="dxa"/>
          <w:bottom w:w="28" w:type="dxa"/>
          <w:right w:w="28" w:type="dxa"/>
        </w:tblCellMar>
      </w:tblPr>
      <w:tblGrid>
        <w:gridCol w:w="1167"/>
        <w:gridCol w:w="1026"/>
        <w:gridCol w:w="1032"/>
        <w:gridCol w:w="535"/>
        <w:gridCol w:w="535"/>
        <w:gridCol w:w="760"/>
      </w:tblGrid>
      <w:tr>
        <w:trPr/>
        <w:tc>
          <w:tcPr>
            <w:tcW w:w="1167"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Ellen Whittemore</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Craig Billings, Chief Financial Officer</w:t>
            </w:r>
          </w:p>
        </w:tc>
        <w:tc>
          <w:tcPr>
            <w:tcW w:w="183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Ellen Whittemore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EMPLOYMENT AGREEMENT</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by and between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(“Employer”)</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and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ELLEN WHITTEMORE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(“Employee”)</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spacing w:lineRule="auto" w:line="240" w:before="0" w:after="0"/>
        <w:jc w:val="center"/>
        <w:rPr/>
      </w:pPr>
      <w:r>
        <w:rPr>
          <w:rFonts w:ascii="Times New Roman;sans-serif" w:hAnsi="Times New Roman;sans-serif"/>
          <w:b/>
          <w:color w:val="000000"/>
          <w:sz w:val="20"/>
        </w:rPr>
        <w:t>DATED:</w:t>
      </w:r>
      <w:r>
        <w:rPr>
          <w:color w:val="000000"/>
        </w:rPr>
        <w:t>    </w:t>
      </w:r>
      <w:r>
        <w:rPr>
          <w:rFonts w:ascii="Times New Roman;sans-serif" w:hAnsi="Times New Roman;sans-serif"/>
          <w:b w:val="false"/>
          <w:color w:val="000000"/>
          <w:sz w:val="20"/>
        </w:rPr>
        <w:t>January 12, 2022</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10.7.4.0</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60655"/>
                <wp:effectExtent l="0" t="0" r="0" b="0"/>
                <wp:wrapNone/>
                <wp:docPr id="136" name="Frame135"/>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5.35pt;mso-position-horizontal:left;mso-position-horizontal-relative:text">
                <v:textbox>
                  <w:txbxContent>
                    <w:p>
                      <w:pPr>
                        <w:pStyle w:val="TextBody"/>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16</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w:t>
      </w:r>
    </w:p>
    <w:p>
      <w:pPr>
        <w:pStyle w:val="TextBody"/>
        <w:spacing w:before="0" w:after="0"/>
        <w:jc w:val="center"/>
        <w:rPr/>
      </w:pPr>
      <w:r>
        <w:rPr/>
      </w:r>
    </w:p>
    <w:p>
      <w:pPr>
        <w:pStyle w:val="TextBody"/>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EMPLOYMENT AGREEMENT</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color w:val="000000"/>
          <w:sz w:val="20"/>
        </w:rPr>
        <w:t>THIS EMPLOYMENT AGREEMENT</w:t>
      </w:r>
      <w:r>
        <w:rPr>
          <w:color w:val="000000"/>
        </w:rPr>
        <w:t xml:space="preserve"> </w:t>
      </w:r>
      <w:r>
        <w:rPr>
          <w:rFonts w:ascii="Times New Roman;sans-serif" w:hAnsi="Times New Roman;sans-serif"/>
          <w:b w:val="false"/>
          <w:color w:val="000000"/>
          <w:sz w:val="20"/>
        </w:rPr>
        <w:t>(“</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xml:space="preserve">) is made and entered into as of the 7th day of December, 2021, by and between </w:t>
      </w:r>
      <w:r>
        <w:rPr>
          <w:rFonts w:ascii="Times New Roman;sans-serif" w:hAnsi="Times New Roman;sans-serif"/>
          <w:b/>
          <w:color w:val="000000"/>
          <w:sz w:val="20"/>
        </w:rPr>
        <w:t xml:space="preserve">WYNN RESORTS, LIMITED </w:t>
      </w:r>
      <w:r>
        <w:rPr>
          <w:rFonts w:ascii="Times New Roman;sans-serif" w:hAnsi="Times New Roman;sans-serif"/>
          <w:b w:val="false"/>
          <w:color w:val="000000"/>
          <w:sz w:val="20"/>
        </w:rPr>
        <w:t>(“</w:t>
      </w:r>
      <w:r>
        <w:rPr>
          <w:rFonts w:ascii="Times New Roman;sans-serif" w:hAnsi="Times New Roman;sans-serif"/>
          <w:b/>
          <w:color w:val="000000"/>
          <w:sz w:val="20"/>
        </w:rPr>
        <w:t>Employer</w:t>
      </w:r>
      <w:r>
        <w:rPr>
          <w:color w:val="000000"/>
        </w:rPr>
        <w:t>”</w:t>
      </w:r>
      <w:r>
        <w:rPr>
          <w:rFonts w:ascii="Times New Roman;sans-serif" w:hAnsi="Times New Roman;sans-serif"/>
          <w:b w:val="false"/>
          <w:color w:val="000000"/>
          <w:sz w:val="20"/>
        </w:rPr>
        <w:t xml:space="preserve">) and </w:t>
      </w:r>
      <w:r>
        <w:rPr>
          <w:rFonts w:ascii="Times New Roman;sans-serif" w:hAnsi="Times New Roman;sans-serif"/>
          <w:b/>
          <w:color w:val="000000"/>
          <w:sz w:val="20"/>
        </w:rPr>
        <w:t xml:space="preserve">JULIE CAMERON-DOE </w:t>
      </w:r>
      <w:r>
        <w:rPr>
          <w:rFonts w:ascii="Times New Roman;sans-serif" w:hAnsi="Times New Roman;sans-serif"/>
          <w:b w:val="false"/>
          <w:color w:val="000000"/>
          <w:sz w:val="20"/>
        </w:rPr>
        <w:t>(“</w:t>
      </w:r>
      <w:r>
        <w:rPr>
          <w:rFonts w:ascii="Times New Roman;sans-serif" w:hAnsi="Times New Roman;sans-serif"/>
          <w:b/>
          <w:color w:val="000000"/>
          <w:sz w:val="20"/>
        </w:rPr>
        <w:t>Employee</w:t>
      </w:r>
      <w:r>
        <w:rPr>
          <w:color w:val="000000"/>
        </w:rPr>
        <w:t>”</w:t>
      </w:r>
      <w:r>
        <w:rPr>
          <w:rFonts w:ascii="Times New Roman;sans-serif" w:hAnsi="Times New Roman;sans-serif"/>
          <w:b w:val="false"/>
          <w:color w:val="000000"/>
          <w:sz w:val="20"/>
        </w:rPr>
        <w:t>).</w:t>
      </w:r>
    </w:p>
    <w:p>
      <w:pPr>
        <w:pStyle w:val="TextBody"/>
        <w:spacing w:before="0" w:after="0"/>
        <w:jc w:val="both"/>
        <w:rPr/>
      </w:pPr>
      <w:r>
        <w:rPr/>
      </w:r>
    </w:p>
    <w:p>
      <w:pPr>
        <w:pStyle w:val="TextBody"/>
        <w:spacing w:lineRule="auto" w:line="240" w:before="0" w:after="0"/>
        <w:jc w:val="center"/>
        <w:rPr/>
      </w:pPr>
      <w:r>
        <w:rPr>
          <w:rFonts w:ascii="Times New Roman;sans-serif" w:hAnsi="Times New Roman;sans-serif"/>
          <w:b/>
          <w:i/>
          <w:color w:val="000000"/>
          <w:sz w:val="20"/>
          <w:u w:val="single"/>
        </w:rPr>
        <w:t>W I T N E S S E T H</w:t>
      </w:r>
      <w:r>
        <w:rPr>
          <w:rFonts w:ascii="Times New Roman;sans-serif" w:hAnsi="Times New Roman;sans-serif"/>
          <w:b/>
          <w:i/>
          <w:color w:val="000000"/>
          <w:sz w:val="20"/>
        </w:rPr>
        <w:t>:</w:t>
      </w:r>
    </w:p>
    <w:p>
      <w:pPr>
        <w:pStyle w:val="TextBody"/>
        <w:spacing w:before="0" w:after="0"/>
        <w:jc w:val="center"/>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Employer is a corporation duly organized and existing under the laws of the State of Nevada, maintains its principal place of business at 3131 Las Vegas Boulevard South, Las Vegas, Nevada 89109, and is engaged in the business of developing, owning and operating casino resorts;</w:t>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in furtherance of its business, Employer has need of qualified, experienced personnel;</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Employee is an adult individual residing at [intentionally omitted];</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Employee has represented and warranted to Employer that Employee possesses sufficient qualifications and expertise to fulfill the terms of the employment stated in this Agreement; </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WHEREAS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Employer is willing to employ Employee, and Employee is desirous of accepting employment from Employer, under the terms and pursuant to the conditions set forth herein.</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i/>
          <w:color w:val="000000"/>
          <w:sz w:val="20"/>
        </w:rPr>
        <w:t>NOW, THEREFORE,</w:t>
      </w:r>
      <w:r>
        <w:rPr>
          <w:color w:val="000000"/>
        </w:rPr>
        <w:t xml:space="preserve"> </w:t>
      </w:r>
      <w:r>
        <w:rPr>
          <w:rFonts w:ascii="Times New Roman;sans-serif" w:hAnsi="Times New Roman;sans-serif"/>
          <w:b w:val="false"/>
          <w:color w:val="000000"/>
          <w:sz w:val="20"/>
        </w:rPr>
        <w:t>for and in consideration of the foregoing recitals, and in consideration of the mutual covenants, agreements, understandings, undertakings, representations, warranties and promises hereinafter set forth, and intending to be legally bound thereby, Employer and Employee do hereby covenant and agree as follows: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w:t>
      </w:r>
      <w:r>
        <w:rPr>
          <w:rFonts w:ascii="Times New Roman;sans-serif" w:hAnsi="Times New Roman;sans-serif"/>
          <w:b/>
          <w:i/>
          <w:color w:val="000000"/>
          <w:sz w:val="20"/>
          <w:u w:val="single"/>
        </w:rPr>
        <w:t>DEFINITIONS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As used in this Agreement, the words and terms hereinafter defined have the respective meanings ascribed to them, unless a different meaning clearly appears from the context: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w:t>
      </w:r>
      <w:r>
        <w:rPr>
          <w:color w:val="000000"/>
        </w:rPr>
        <w:t>“</w:t>
      </w:r>
      <w:r>
        <w:rPr>
          <w:rFonts w:ascii="Times New Roman;sans-serif" w:hAnsi="Times New Roman;sans-serif"/>
          <w:b/>
          <w:color w:val="000000"/>
          <w:sz w:val="20"/>
          <w:u w:val="single"/>
        </w:rPr>
        <w:t>Affiliate</w:t>
      </w:r>
      <w:r>
        <w:rPr>
          <w:color w:val="000000"/>
        </w:rPr>
        <w:t xml:space="preserve">” </w:t>
      </w:r>
      <w:r>
        <w:rPr>
          <w:rFonts w:ascii="Times New Roman;sans-serif" w:hAnsi="Times New Roman;sans-serif"/>
          <w:b w:val="false"/>
          <w:color w:val="000000"/>
          <w:sz w:val="20"/>
        </w:rPr>
        <w:t>means with respect to a specified Person, any other Person who or which is directly or indirectly controlling, controlled by or under common control with the specified Person. For purposes of this definition only, “control”, “controlling” and “controlled” mean the right to exercise, directly or indirectly, more than fifty percent (50%) of the voting power of the stockholders, members, partners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 partnership, corporation, limited liability company, business trust, joint stock company, trust, unincorporated association, joint venture or other entity of whatever nature.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color w:val="000000"/>
        </w:rPr>
        <w:t>“</w:t>
      </w:r>
      <w:r>
        <w:rPr>
          <w:rFonts w:ascii="Times New Roman;sans-serif" w:hAnsi="Times New Roman;sans-serif"/>
          <w:b/>
          <w:color w:val="000000"/>
          <w:sz w:val="20"/>
          <w:u w:val="single"/>
        </w:rPr>
        <w:t>Anniversary</w:t>
      </w:r>
      <w:r>
        <w:rPr>
          <w:color w:val="000000"/>
        </w:rPr>
        <w:t xml:space="preserve">” </w:t>
      </w:r>
      <w:r>
        <w:rPr>
          <w:rFonts w:ascii="Times New Roman;sans-serif" w:hAnsi="Times New Roman;sans-serif"/>
          <w:b w:val="false"/>
          <w:color w:val="000000"/>
          <w:sz w:val="20"/>
        </w:rPr>
        <w:t>means each annual anniversary date of the Effective Date during the Term (as defined in Section 5 hereof).</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(c)</w:t>
      </w:r>
      <w:r>
        <w:rPr>
          <w:color w:val="000000"/>
        </w:rPr>
        <w:t>“</w:t>
      </w:r>
      <w:r>
        <w:rPr>
          <w:rFonts w:ascii="Times New Roman;sans-serif" w:hAnsi="Times New Roman;sans-serif"/>
          <w:b/>
          <w:color w:val="000000"/>
          <w:sz w:val="20"/>
          <w:u w:val="single"/>
        </w:rPr>
        <w:t>Cause</w:t>
      </w:r>
      <w:r>
        <w:rPr>
          <w:color w:val="000000"/>
        </w:rPr>
        <w:t xml:space="preserve">” </w:t>
      </w:r>
      <w:r>
        <w:rPr>
          <w:rFonts w:ascii="Times New Roman;sans-serif" w:hAnsi="Times New Roman;sans-serif"/>
          <w:b w:val="false"/>
          <w:color w:val="000000"/>
          <w:sz w:val="20"/>
        </w:rPr>
        <w:t>means any of the following:</w:t>
      </w:r>
    </w:p>
    <w:p>
      <w:pPr>
        <w:pStyle w:val="TextBody"/>
        <w:spacing w:before="0" w:after="0"/>
        <w:ind w:left="0" w:right="0" w:firstLine="720"/>
        <w:jc w:val="both"/>
        <w:rPr/>
      </w:pPr>
      <w:r>
        <w:rPr/>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(i)Employee’s failure to satisfactorily pass Employer’s pre-employment drug test and background investigation conducted in accordance with the Employer’s standard policies and procedures;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(ii)Employee’s inability or failure to secure and/or maintain any licenses or permits required by any Government Agency with jurisdiction over the business of Employer or any of its Affiliates;</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(iii)the willful destruction by Employee of the property of Employer or any of its Affiliates having a material value to Employer or such Affiliate;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(iv)fraud, embezzlement, theft and/or dishonest activity committed by Employee (excluding acts involving a de minimis dollar value and not related in any manner whatsoever to Employer or its Affiliate or their business);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(v)Employee’s conviction of or entering a plea of guilty or nolo contendere to any crime constituting a felony; </w:t>
      </w:r>
      <w:r>
        <w:br w:type="page"/>
      </w:r>
    </w:p>
    <w:p>
      <w:pPr>
        <w:pStyle w:val="TextBody"/>
        <w:spacing w:before="0" w:after="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(vi)Employee’s material breach of this Agreement;</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(vii)Employee’s neglect, refusal, or failure to discharge Employee’s duties (other than due to physical or mental illness) commensurate with Employee’s title and function, or Employee’s failure to comply with a lawful direction of Employer;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(viii)Employee making a knowing material misrepresentation to Employer; </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(ix)Employee’s failure to follow a material policy or procedure of Employer or any of its Affiliates;</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(x)Employee’s violation of Employer’s Preventing Harassment and Discrimination Policy; or</w:t>
      </w:r>
    </w:p>
    <w:p>
      <w:pPr>
        <w:pStyle w:val="TextBody"/>
        <w:spacing w:lineRule="auto" w:line="240" w:before="0" w:after="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(xi)Employee’s material breach of a statutory or common law duty of loyalty or fiduciary duty to Employer or any of its Affiliates, including Employer’s or any of its Affiliates’ conflict of interest policy,</w:t>
      </w:r>
    </w:p>
    <w:p>
      <w:pPr>
        <w:pStyle w:val="TextBody"/>
        <w:spacing w:lineRule="auto" w:line="240" w:before="0" w:after="0"/>
        <w:jc w:val="both"/>
        <w:rPr/>
      </w:pPr>
      <w:r>
        <w:rPr>
          <w:rFonts w:ascii="Times New Roman;sans-serif" w:hAnsi="Times New Roman;sans-serif"/>
          <w:b w:val="false"/>
          <w:i/>
          <w:color w:val="000000"/>
          <w:sz w:val="20"/>
          <w:u w:val="single"/>
        </w:rPr>
        <w:t>provided</w:t>
      </w:r>
      <w:r>
        <w:rPr>
          <w:rFonts w:ascii="Times New Roman;sans-serif" w:hAnsi="Times New Roman;sans-serif"/>
          <w:b w:val="false"/>
          <w:i/>
          <w:color w:val="000000"/>
          <w:sz w:val="20"/>
        </w:rPr>
        <w:t xml:space="preserve">, </w:t>
      </w:r>
      <w:r>
        <w:rPr>
          <w:rFonts w:ascii="Times New Roman;sans-serif" w:hAnsi="Times New Roman;sans-serif"/>
          <w:b w:val="false"/>
          <w:i/>
          <w:color w:val="000000"/>
          <w:sz w:val="20"/>
          <w:u w:val="single"/>
        </w:rPr>
        <w:t>however</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that Employee’s Complete Disability shall not constitute “Cause” as defined herein. </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0"/>
        </w:rPr>
        <w:t>(d)</w:t>
      </w:r>
      <w:r>
        <w:rPr>
          <w:color w:val="000000"/>
        </w:rPr>
        <w:t>“</w:t>
      </w:r>
      <w:r>
        <w:rPr>
          <w:rFonts w:ascii="Times New Roman;sans-serif" w:hAnsi="Times New Roman;sans-serif"/>
          <w:b/>
          <w:color w:val="000000"/>
          <w:sz w:val="20"/>
          <w:u w:val="single"/>
        </w:rPr>
        <w:t>Change in Control</w:t>
      </w:r>
      <w:r>
        <w:rPr>
          <w:color w:val="000000"/>
        </w:rPr>
        <w:t xml:space="preserve">” </w:t>
      </w:r>
      <w:r>
        <w:rPr>
          <w:rFonts w:ascii="Times New Roman;sans-serif" w:hAnsi="Times New Roman;sans-serif"/>
          <w:b w:val="false"/>
          <w:color w:val="000000"/>
          <w:sz w:val="20"/>
        </w:rPr>
        <w:t>means the occurrence, after the Effective Date, of any of the following events:</w:t>
      </w:r>
    </w:p>
    <w:p>
      <w:pPr>
        <w:pStyle w:val="TextBody"/>
        <w:spacing w:before="0" w:after="0"/>
        <w:ind w:left="0" w:right="0" w:firstLine="720"/>
        <w:jc w:val="both"/>
        <w:rPr/>
      </w:pPr>
      <w:r>
        <w:rPr/>
      </w:r>
    </w:p>
    <w:p>
      <w:pPr>
        <w:pStyle w:val="TextBody"/>
        <w:spacing w:lineRule="auto" w:line="240" w:before="0" w:after="0"/>
        <w:ind w:left="0" w:right="0" w:firstLine="900"/>
        <w:jc w:val="both"/>
        <w:rPr/>
      </w:pPr>
      <w:r>
        <w:rPr>
          <w:rFonts w:ascii="Times New Roman;sans-serif" w:hAnsi="Times New Roman;sans-serif"/>
          <w:b w:val="false"/>
          <w:color w:val="000000"/>
          <w:sz w:val="20"/>
        </w:rPr>
        <w:t>(i)any “Person” or “Group” (as such terms are defined in Section 13(d) of the Securities Exchange Act of 1934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 and the rules and regulations promulgated thereunder)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pStyle w:val="TextBody"/>
        <w:spacing w:before="0" w:after="0"/>
        <w:jc w:val="both"/>
        <w:rPr/>
      </w:pPr>
      <w:r>
        <w:rPr/>
      </w:r>
    </w:p>
    <w:p>
      <w:pPr>
        <w:pStyle w:val="TextBody"/>
        <w:spacing w:lineRule="auto" w:line="240" w:before="0" w:after="0"/>
        <w:ind w:left="0" w:right="0" w:firstLine="900"/>
        <w:jc w:val="both"/>
        <w:rPr/>
      </w:pPr>
      <w:r>
        <w:rPr>
          <w:rFonts w:ascii="Times New Roman;sans-serif" w:hAnsi="Times New Roman;sans-serif"/>
          <w:b w:val="false"/>
          <w:color w:val="000000"/>
          <w:sz w:val="20"/>
        </w:rPr>
        <w:t>(ii)the individuals who, as of the Effective Date, are members of Employer’s Board of Directors (the “</w:t>
      </w:r>
      <w:r>
        <w:rPr>
          <w:rFonts w:ascii="Times New Roman;sans-serif" w:hAnsi="Times New Roman;sans-serif"/>
          <w:b/>
          <w:color w:val="000000"/>
          <w:sz w:val="20"/>
        </w:rPr>
        <w:t>Existing Directors</w:t>
      </w:r>
      <w:r>
        <w:rPr>
          <w:color w:val="000000"/>
        </w:rPr>
        <w:t>”</w:t>
      </w:r>
      <w:r>
        <w:rPr>
          <w:rFonts w:ascii="Times New Roman;sans-serif" w:hAnsi="Times New Roman;sans-serif"/>
          <w:b w:val="false"/>
          <w:color w:val="000000"/>
          <w:sz w:val="20"/>
        </w:rPr>
        <w:t>) cease, for any reason, to constitute more than fifty percent (50%) of the number of authorized directors of Employer as determined in the manner prescribed in Employer’s articles of incorporation and bylaws; provided, however, that if the election, or nomination for election, by Employer's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w:t>
      </w:r>
      <w:r>
        <w:rPr>
          <w:rFonts w:ascii="Times New Roman;sans-serif" w:hAnsi="Times New Roman;sans-serif"/>
          <w:b/>
          <w:color w:val="000000"/>
          <w:sz w:val="20"/>
        </w:rPr>
        <w:t>Proxy Contest</w:t>
      </w:r>
      <w:r>
        <w:rPr>
          <w:color w:val="000000"/>
        </w:rPr>
        <w:t>”</w:t>
      </w:r>
      <w:r>
        <w:rPr>
          <w:rFonts w:ascii="Times New Roman;sans-serif" w:hAnsi="Times New Roman;sans-serif"/>
          <w:b w:val="false"/>
          <w:color w:val="000000"/>
          <w:sz w:val="20"/>
        </w:rPr>
        <w:t>), including by reason of any agreement intended to avoid or settle any Election Contest or Proxy Contest; or</w:t>
      </w:r>
    </w:p>
    <w:p>
      <w:pPr>
        <w:pStyle w:val="TextBody"/>
        <w:spacing w:before="0" w:after="0"/>
        <w:jc w:val="both"/>
        <w:rPr/>
      </w:pPr>
      <w:r>
        <w:rPr/>
      </w:r>
    </w:p>
    <w:p>
      <w:pPr>
        <w:pStyle w:val="TextBody"/>
        <w:spacing w:lineRule="auto" w:line="240" w:before="0" w:after="0"/>
        <w:ind w:left="0" w:right="0" w:firstLine="900"/>
        <w:jc w:val="both"/>
        <w:rPr/>
      </w:pPr>
      <w:r>
        <w:rPr>
          <w:rFonts w:ascii="Times New Roman;sans-serif" w:hAnsi="Times New Roman;sans-serif"/>
          <w:b w:val="false"/>
          <w:color w:val="000000"/>
          <w:sz w:val="20"/>
        </w:rPr>
        <w:t>(iii)the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or an Affiliate, where any such transaction or series of related transactions as is referred to in clause (x) or clause (y) above in this subparagraph (iii) (singly or collectively, a “</w:t>
      </w:r>
      <w:r>
        <w:rPr>
          <w:rFonts w:ascii="Times New Roman;sans-serif" w:hAnsi="Times New Roman;sans-serif"/>
          <w:b/>
          <w:color w:val="000000"/>
          <w:sz w:val="20"/>
        </w:rPr>
        <w:t>Transaction</w:t>
      </w:r>
      <w:r>
        <w:rPr>
          <w:color w:val="000000"/>
        </w:rPr>
        <w:t>”</w:t>
      </w:r>
      <w:r>
        <w:rPr>
          <w:rFonts w:ascii="Times New Roman;sans-serif" w:hAnsi="Times New Roman;sans-serif"/>
          <w:b w:val="false"/>
          <w:color w:val="000000"/>
          <w:sz w:val="20"/>
        </w:rPr>
        <w:t>)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immediately before the consummation of such Transaction are the Beneficial Owners, immediately following the consummation of such Transaction, of fifty percent (50%) or more of the combined voting power of the then outstanding member’s interests or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member’s interests or voting stock in Employer immediately before such Transaction.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(e)</w:t>
      </w:r>
      <w:r>
        <w:rPr>
          <w:color w:val="000000"/>
        </w:rPr>
        <w:t>“</w:t>
      </w:r>
      <w:r>
        <w:rPr>
          <w:rFonts w:ascii="Times New Roman;sans-serif" w:hAnsi="Times New Roman;sans-serif"/>
          <w:b/>
          <w:color w:val="000000"/>
          <w:sz w:val="20"/>
          <w:u w:val="single"/>
        </w:rPr>
        <w:t>Complete Disability</w:t>
      </w:r>
      <w:r>
        <w:rPr>
          <w:color w:val="000000"/>
        </w:rPr>
        <w:t xml:space="preserve">” </w:t>
      </w:r>
      <w:r>
        <w:rPr>
          <w:rFonts w:ascii="Times New Roman;sans-serif" w:hAnsi="Times New Roman;sans-serif"/>
          <w:b w:val="false"/>
          <w:color w:val="000000"/>
          <w:sz w:val="20"/>
        </w:rPr>
        <w:t>means the total inability of Employee, due to illness or accident or other mental or physical incapacity, to perform Employee’s obligations under this Agreement for a period as defined under Employer’s applicable disability plan or plans.</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(f)</w:t>
      </w:r>
      <w:r>
        <w:rPr>
          <w:color w:val="000000"/>
        </w:rPr>
        <w:t>“</w:t>
      </w:r>
      <w:r>
        <w:rPr>
          <w:rFonts w:ascii="Times New Roman;sans-serif" w:hAnsi="Times New Roman;sans-serif"/>
          <w:b/>
          <w:color w:val="000000"/>
          <w:sz w:val="20"/>
          <w:u w:val="single"/>
        </w:rPr>
        <w:t>Confidential Information</w:t>
      </w:r>
      <w:r>
        <w:rPr>
          <w:color w:val="000000"/>
        </w:rPr>
        <w:t xml:space="preserve">” </w:t>
      </w:r>
      <w:r>
        <w:rPr>
          <w:rFonts w:ascii="Times New Roman;sans-serif" w:hAnsi="Times New Roman;sans-serif"/>
          <w:b w:val="false"/>
          <w:color w:val="000000"/>
          <w:sz w:val="20"/>
        </w:rPr>
        <w:t>means any information that is possessed or developed by or for Employer or any of its Affiliates and that relates to Employer’s or any such Affiliate’s existing or potential business or technology, which is not generally known to the public, or which Employer or any of its Affiliates seeks to protect from disclosure to its existing or potential competitors or others, and includes know how, business and technical plans, strategies, existing and proposed bids, costs, technical developments, purchasing history, existing and proposed research projects, designs, concepts,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any of its Affiliates, any trademarks, service marks, trade names, patents, logos, slogans, domain names, uniform resource locators and other source identifiers, and any other proprietary material of Employer or any of its Affiliates. Confidential Information also includes information received by Employer or any of its Affiliates from others that Employer or any of its Affiliates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 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(g)</w:t>
      </w:r>
      <w:r>
        <w:rPr>
          <w:color w:val="000000"/>
        </w:rPr>
        <w:t>“</w:t>
      </w:r>
      <w:r>
        <w:rPr>
          <w:rFonts w:ascii="Times New Roman;sans-serif" w:hAnsi="Times New Roman;sans-serif"/>
          <w:b/>
          <w:color w:val="000000"/>
          <w:sz w:val="20"/>
          <w:u w:val="single"/>
        </w:rPr>
        <w:t>Effective Date</w:t>
      </w:r>
      <w:r>
        <w:rPr>
          <w:color w:val="000000"/>
        </w:rPr>
        <w:t xml:space="preserve">” </w:t>
      </w:r>
      <w:r>
        <w:rPr>
          <w:rFonts w:ascii="Times New Roman;sans-serif" w:hAnsi="Times New Roman;sans-serif"/>
          <w:b w:val="false"/>
          <w:color w:val="000000"/>
          <w:sz w:val="20"/>
        </w:rPr>
        <w:t>means the mutually agreed-upon date upon which Employee is eligible to commence work for Employer, but in no event later than June 15, 2022. Notwithstanding anything herein to the contrary, Section 6(a)(vii) shall become effective upon the execution date of this Agreement. However, in the event such provision is exercised prior to the Effective Date of the remainder of the Agreement, Employer’s sole liability shall be payment of twelve (12) months of Base Salary, subject to the conditions set forth in Section 6(b)(i).</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(h)</w:t>
      </w:r>
      <w:r>
        <w:rPr>
          <w:color w:val="000000"/>
        </w:rPr>
        <w:t>“</w:t>
      </w:r>
      <w:r>
        <w:rPr>
          <w:rFonts w:ascii="Times New Roman;sans-serif" w:hAnsi="Times New Roman;sans-serif"/>
          <w:b/>
          <w:color w:val="000000"/>
          <w:sz w:val="20"/>
          <w:u w:val="single"/>
        </w:rPr>
        <w:t>Foreign Government Official</w:t>
      </w:r>
      <w:r>
        <w:rPr>
          <w:color w:val="000000"/>
        </w:rPr>
        <w:t xml:space="preserve">” </w:t>
      </w:r>
      <w:r>
        <w:rPr>
          <w:rFonts w:ascii="Times New Roman;sans-serif" w:hAnsi="Times New Roman;sans-serif"/>
          <w:b w:val="false"/>
          <w:color w:val="000000"/>
          <w:sz w:val="20"/>
        </w:rPr>
        <w:t>means any officers, office holders, or employees, whether full or part time, regardless of rank, of any foreign Governmental Agency, or any companies wholly- or partially-owned or controlled by a foreign government, or any international organizations, such as the United Nations or World Bank, including any political parties, party officials, candidates for public office, and family members of any of the foregoing.</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w:t>
      </w:r>
      <w:r>
        <w:rPr>
          <w:color w:val="000000"/>
        </w:rPr>
        <w:t>“</w:t>
      </w:r>
      <w:r>
        <w:rPr>
          <w:rFonts w:ascii="Times New Roman;sans-serif" w:hAnsi="Times New Roman;sans-serif"/>
          <w:b/>
          <w:color w:val="000000"/>
          <w:sz w:val="20"/>
          <w:u w:val="single"/>
        </w:rPr>
        <w:t>Good Reason</w:t>
      </w:r>
      <w:r>
        <w:rPr>
          <w:color w:val="000000"/>
        </w:rPr>
        <w:t xml:space="preserve">” </w:t>
      </w:r>
      <w:r>
        <w:rPr>
          <w:rFonts w:ascii="Times New Roman;sans-serif" w:hAnsi="Times New Roman;sans-serif"/>
          <w:b w:val="false"/>
          <w:color w:val="000000"/>
          <w:sz w:val="20"/>
        </w:rPr>
        <w:t>means the occurrence, on or after the occurrence of a Change in Control, of any of the following (except with Employee’s written consent or resulting from an isolated, insubstantial and inadvertent action not taken in bad faith and which is remedied by Employer or any of its Affiliates promptly after receipt of notice thereof from Employee):</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(i)Employer or an Affiliate reduces Employee’s Base Salary (as defined in Section 7(a) below);</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(iii)Employer materially reduces the aggregate benefits and perquisites to Employee from those being provided immediately before the Change in Control;</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(iv)Employer or any of its Affiliates requires Employee to change the location of Employee’s job or office, so that Employee will be based at a location more than 25 miles from the location of Employee’s job or office immediately before the Change in Control;</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(v)Employer or any of its Affiliates reduces Employee’s responsibilities or directs Employee to report to a person of lower rank or responsibilities than the person to whom Employee reported immediately before the Change in Control;</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(vi)the successor to Employer fails or refuses expressly to assume in writing the obligations of Employer under this Agreement; or</w:t>
      </w:r>
    </w:p>
    <w:p>
      <w:pPr>
        <w:pStyle w:val="TextBody"/>
        <w:spacing w:before="0" w:after="0"/>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(vii)Employer or any of its Affiliates requires Employee to engage in improper reporting of financial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Agreement, a determination by Employee that Employee has “Good Reason” shall be final and binding on Employer and Employee absent a showing of bad faith on Employee’s part.</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(j)</w:t>
      </w:r>
      <w:r>
        <w:rPr>
          <w:color w:val="000000"/>
        </w:rPr>
        <w:t>“</w:t>
      </w:r>
      <w:r>
        <w:rPr>
          <w:rFonts w:ascii="Times New Roman;sans-serif" w:hAnsi="Times New Roman;sans-serif"/>
          <w:b/>
          <w:color w:val="000000"/>
          <w:sz w:val="20"/>
          <w:u w:val="single"/>
        </w:rPr>
        <w:t>Governmental Agency</w:t>
      </w:r>
      <w:r>
        <w:rPr>
          <w:color w:val="000000"/>
        </w:rPr>
        <w:t xml:space="preserve">” </w:t>
      </w:r>
      <w:r>
        <w:rPr>
          <w:rFonts w:ascii="Times New Roman;sans-serif" w:hAnsi="Times New Roman;sans-serif"/>
          <w:b w:val="false"/>
          <w:color w:val="000000"/>
          <w:sz w:val="20"/>
        </w:rPr>
        <w:t>means any federal, state, local, provincial, or foreign agency, authority, commission, bureau, division, body, tribunal, department, instrumentality or court exercising executive, legislative, regulatory or administrative functions of or pertaining to any federal, state, local, provincial or foreign government, or any political subdivision thereof, or any other governmental or regulatory agency or authority, domestic or foreign.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(k)"</w:t>
      </w:r>
      <w:r>
        <w:rPr>
          <w:rFonts w:ascii="Times New Roman;sans-serif" w:hAnsi="Times New Roman;sans-serif"/>
          <w:b/>
          <w:color w:val="000000"/>
          <w:sz w:val="20"/>
          <w:u w:val="single"/>
        </w:rPr>
        <w:t>Separation Payment</w:t>
      </w:r>
      <w:r>
        <w:rPr>
          <w:rFonts w:ascii="Times New Roman;sans-serif" w:hAnsi="Times New Roman;sans-serif"/>
          <w:b w:val="false"/>
          <w:color w:val="000000"/>
          <w:sz w:val="20"/>
        </w:rPr>
        <w:t>" means a lump sum equal to (A) Employee's Base Salary for the remainder of the Term (but not less than 12 months) (as defined in Subparagraph 7(a) of this Agreement), plus (B) the bonus that was paid to Employee under Subparagraph 7(b) for the preceding bonus period, projected over the remainder of the Term (but not less than the preceding bonus that was paid), plus (C) any accrued but unpaid vacation pay.</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(l)</w:t>
      </w:r>
      <w:r>
        <w:rPr>
          <w:color w:val="000000"/>
        </w:rPr>
        <w:t>“</w:t>
      </w:r>
      <w:r>
        <w:rPr>
          <w:rFonts w:ascii="Times New Roman;sans-serif" w:hAnsi="Times New Roman;sans-serif"/>
          <w:b/>
          <w:color w:val="000000"/>
          <w:sz w:val="20"/>
          <w:u w:val="single"/>
        </w:rPr>
        <w:t>Trade Secrets</w:t>
      </w:r>
      <w:r>
        <w:rPr>
          <w:color w:val="000000"/>
        </w:rPr>
        <w:t xml:space="preserve">” </w:t>
      </w:r>
      <w:r>
        <w:rPr>
          <w:rFonts w:ascii="Times New Roman;sans-serif" w:hAnsi="Times New Roman;sans-serif"/>
          <w:b w:val="false"/>
          <w:color w:val="000000"/>
          <w:sz w:val="20"/>
        </w:rPr>
        <w:t>as used in this Agreement, shall be given its broadest possible interpretation under applicable federal and state law and means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(i) Employer has taken reasonable measures to keep secret, and that (ii) derives independent economic value, actual or potential, from not being generally known to, and not being readily ascertainable through proper means by, another person who can obtain economic value from the disclosure or use of the information.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(m)</w:t>
      </w:r>
      <w:r>
        <w:rPr>
          <w:color w:val="000000"/>
        </w:rPr>
        <w:t>“</w:t>
      </w:r>
      <w:r>
        <w:rPr>
          <w:rFonts w:ascii="Times New Roman;sans-serif" w:hAnsi="Times New Roman;sans-serif"/>
          <w:b/>
          <w:color w:val="000000"/>
          <w:sz w:val="20"/>
          <w:u w:val="single"/>
        </w:rPr>
        <w:t>Work of Authorship</w:t>
      </w:r>
      <w:r>
        <w:rPr>
          <w:color w:val="000000"/>
        </w:rPr>
        <w:t xml:space="preserve">” </w:t>
      </w:r>
      <w:r>
        <w:rPr>
          <w:rFonts w:ascii="Times New Roman;sans-serif" w:hAnsi="Times New Roman;sans-serif"/>
          <w:b w:val="false"/>
          <w:color w:val="000000"/>
          <w:sz w:val="20"/>
        </w:rPr>
        <w:t>means any computer program, code or system as well as any literary, pictorial, sculptural, graphic or audio visual work, whether published or unpublished, and whether copyrightable or not, or other intellectual and industrial property rights of every kind and nature, in whatever form and jointly with others that relates to (i) any of Employer’s or any of its Affiliates’ existing or potential products, practices, processes, formulas, formulations, models, manufacturing techniques, engineering, research, equipment, applications or other business or technical activities or investigations; or (ii) any ideas, work, algorithms, data, technology, specifications, designs, drawings, images, samples, information, know-how, compositions, or investigations conceived or carried on by Employer or any of its Affiliates or by Employee in connection with or because of performing services for Employer or any of its Affiliates.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w:t>
      </w:r>
      <w:r>
        <w:rPr>
          <w:rFonts w:ascii="Times New Roman;sans-serif" w:hAnsi="Times New Roman;sans-serif"/>
          <w:b/>
          <w:i/>
          <w:color w:val="000000"/>
          <w:sz w:val="20"/>
          <w:u w:val="single"/>
        </w:rPr>
        <w:t>BASIC EMPLOYMENT AGREEMENT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Subject to the terms and pursuant to the conditions hereinafter set forth, Employer hereby employs Employee during the Term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her primary residence or her primary office outside of Las Vegas, Nevada metropolitan area; provided however, that Employee acknowledges and agrees that Employee’s duties may require Employee to occasionally travel to locations where Employer has operations or is investigating development opportunities.</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color w:val="000000"/>
          <w:sz w:val="20"/>
        </w:rPr>
        <w:t>3.</w:t>
      </w:r>
      <w:r>
        <w:rPr>
          <w:rFonts w:ascii="Times New Roman;sans-serif" w:hAnsi="Times New Roman;sans-serif"/>
          <w:b/>
          <w:i/>
          <w:color w:val="000000"/>
          <w:sz w:val="20"/>
          <w:u w:val="single"/>
        </w:rPr>
        <w:t>DUTIES OF EMPLOYEE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Employee shall perform such duties assigned to Employee by Employer as are generally associated with the duties of </w:t>
      </w:r>
      <w:r>
        <w:rPr>
          <w:rFonts w:ascii="Times New Roman;sans-serif" w:hAnsi="Times New Roman;sans-serif"/>
          <w:b/>
          <w:color w:val="000000"/>
          <w:sz w:val="20"/>
        </w:rPr>
        <w:t xml:space="preserve">Chief Financial Officer </w:t>
      </w:r>
      <w:r>
        <w:rPr>
          <w:rFonts w:ascii="Times New Roman;sans-serif" w:hAnsi="Times New Roman;sans-serif"/>
          <w:b w:val="false"/>
          <w:color w:val="000000"/>
          <w:sz w:val="20"/>
        </w:rPr>
        <w:t xml:space="preserve">for Employer or such similar duties as may be assigned to Employee by Employer as Employer may determine. Employee’s duties shall include: (i) the efficient and continuous operation of Employer and any of its Affiliates; (ii) the preparation of relevant budgets and allocation of relevant funds; (iii) the selection and delegation of duties and responsibilities of subordinates; (iv) the </w:t>
      </w:r>
      <w:r>
        <w:br w:type="page"/>
      </w:r>
    </w:p>
    <w:p>
      <w:pPr>
        <w:pStyle w:val="TextBody"/>
        <w:spacing w:before="0" w:after="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direction, review and oversight of all programs under Employee’s supervision; (v) adherence to standard accounting principles and practices as well as the policies and procedures of the Employer and any of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further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4.</w:t>
      </w:r>
      <w:r>
        <w:rPr>
          <w:rFonts w:ascii="Times New Roman;sans-serif" w:hAnsi="Times New Roman;sans-serif"/>
          <w:b/>
          <w:i/>
          <w:color w:val="000000"/>
          <w:sz w:val="20"/>
          <w:u w:val="single"/>
        </w:rPr>
        <w:t>ACCEPTANCE OF EMPLOYMENT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Employee hereby unconditionally accepts the 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represents and warrants to Employer that the execution and delivery of this Agreement and the performance of the Employee’s duties hereunder do not violate the terms or conditions of any employment agreement or arrangement or any other agreement to which Employee is a party.</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5.</w:t>
      </w:r>
      <w:r>
        <w:rPr>
          <w:rFonts w:ascii="Times New Roman;sans-serif" w:hAnsi="Times New Roman;sans-serif"/>
          <w:b/>
          <w:i/>
          <w:color w:val="000000"/>
          <w:sz w:val="20"/>
          <w:u w:val="single"/>
        </w:rPr>
        <w:t>TERM</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Unless sooner terminated as provided in this Agreement, the term of this Agreement (the “</w:t>
      </w:r>
      <w:r>
        <w:rPr>
          <w:rFonts w:ascii="Times New Roman;sans-serif" w:hAnsi="Times New Roman;sans-serif"/>
          <w:b/>
          <w:color w:val="000000"/>
          <w:sz w:val="20"/>
        </w:rPr>
        <w:t>Term</w:t>
      </w:r>
      <w:r>
        <w:rPr>
          <w:color w:val="000000"/>
        </w:rPr>
        <w:t>”</w:t>
      </w:r>
      <w:r>
        <w:rPr>
          <w:rFonts w:ascii="Times New Roman;sans-serif" w:hAnsi="Times New Roman;sans-serif"/>
          <w:b w:val="false"/>
          <w:color w:val="000000"/>
          <w:sz w:val="20"/>
        </w:rPr>
        <w:t>) shall consist of three (3) years commencing on the Effective Date of this Agreement and terminating on the third Anniversary of the Effective Date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6.</w:t>
      </w:r>
      <w:r>
        <w:rPr>
          <w:rFonts w:ascii="Times New Roman;sans-serif" w:hAnsi="Times New Roman;sans-serif"/>
          <w:b/>
          <w:i/>
          <w:color w:val="000000"/>
          <w:sz w:val="20"/>
          <w:u w:val="single"/>
        </w:rPr>
        <w:t>SPECIAL TERMINATION PROVISIONS</w:t>
      </w:r>
      <w:r>
        <w:rPr>
          <w:rFonts w:ascii="Times New Roman;sans-serif" w:hAnsi="Times New Roman;sans-serif"/>
          <w:b/>
          <w:i/>
          <w:color w:val="000000"/>
          <w:sz w:val="20"/>
        </w:rPr>
        <w:t>.</w:t>
      </w:r>
      <w:r>
        <w:rPr>
          <w:color w:val="000000"/>
        </w:rPr>
        <w:t xml:space="preserve"> </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(a)Notwithstanding the provisions of Section 5, this Agreement shall terminate upon the occurrence of any of the following events:</w:t>
      </w:r>
    </w:p>
    <w:p>
      <w:pPr>
        <w:pStyle w:val="TextBody"/>
        <w:spacing w:before="0" w:after="0"/>
        <w:ind w:left="0" w:right="0" w:firstLine="720"/>
        <w:jc w:val="both"/>
        <w:rPr/>
      </w:pPr>
      <w:r>
        <w:rPr/>
      </w:r>
    </w:p>
    <w:p>
      <w:pPr>
        <w:pStyle w:val="TextBody"/>
        <w:spacing w:lineRule="auto" w:line="240" w:before="0" w:after="0"/>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(i)the death of Employee;</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(ii)the giving of written notice from Employer to Employee of the termination of this Agreement upon the Complete Disability of Employee;</w:t>
      </w:r>
    </w:p>
    <w:p>
      <w:pPr>
        <w:pStyle w:val="TextBody"/>
        <w:spacing w:before="0" w:after="0"/>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(iii)the giving of written notice by Employer to Employee of the termination of this Agreement upon the discharge of Employee for Cause (Employer’s right to terminate for Cause shall survive the expiration of this Agreement)). It is expressly acknowledged and agreed that the decision as to whether Cause exists for termination of the employment relationship by Employer is delegated to Employer’s Chief Executive Officer. If Employee disagrees with the decision reached by Employer’s Chief Executive Officer, any dispute as to the Cause determination will be limited to whether Employer’s Chief Executive Officer reached his/her decision in good faith, based upon facts reasonably believed by Employer’s Chief Executive Officer to be true, and not for any arbitrary, capricious or illegal reason. This shall be the standard applied by any fact finder, and Employee shall bear the burden to prove that Cause, under this standard, did not exist;</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(iv)the giving of written notice by Employer to Employee of the termination of this Agreement following a disapproval of this Agreement or the denial, suspension, limitation or revocation of Employee’s License (as defined in Section 8(b) of this Agreement); </w:t>
      </w:r>
    </w:p>
    <w:p>
      <w:pPr>
        <w:pStyle w:val="TextBody"/>
        <w:spacing w:before="0" w:after="0"/>
        <w:jc w:val="both"/>
        <w:rPr/>
      </w:pPr>
      <w:r>
        <w:rPr/>
      </w:r>
    </w:p>
    <w:p>
      <w:pPr>
        <w:pStyle w:val="TextBody"/>
        <w:spacing w:lineRule="auto" w:line="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w:t>
      </w:r>
      <w:r>
        <w:br w:type="page"/>
      </w:r>
    </w:p>
    <w:p>
      <w:pPr>
        <w:pStyle w:val="TextBody"/>
        <w:spacing w:before="0" w:after="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duties and responsibilities are materially inconsistent with the duties and responsibilities generally associated with Employee’s position within Employer’s organization, and if such position is the only position with Employer or with any of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Gaming Authorities under Section 8, or the temporary suspension of Employee from duty, pursuant to Employer’s policy, pending investigation by Employer of any incident or occurrence that could give rise to discipline or termination of employment. Termination of employment pursuant to this Section 6(a)(v) does not relieve Employee of her duties and responsibilities under Sections 9, 10, 11, and 21 of this Agreement;</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(vi)the giving of written two-week notice by Employer to Employee of Employer’s intention to terminate this Agreement without Cause for any reason deemed sufficient by Employer to be effective at the end of such two-week period. During such two-week notice period, Employer shall be permitted to reduce Employee’s responsibilities and time commitment to Employer; provided however, Employer may not reduce Employee’s Base Salary or benefits during such two-week period. At the end of such two-week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two-week period. If Employee elects to resign in lieu of termination, Employee must exercise this option in writing within 72 hours of receipt of Employer’s notice of intention to terminate this Agreement without Cause. Employee’s written resignation in lieu of termination must be transmitted to Employer by email or hand delivery; or</w:t>
      </w:r>
    </w:p>
    <w:p>
      <w:pPr>
        <w:pStyle w:val="TextBody"/>
        <w:spacing w:before="0" w:after="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(vii)at Employee's sole election in writing as provided in Section 17 of this Agreement, after both a Change in Control and as a result of Good Reason, provided, however, that, within thirty (30) calendar days after Employer's receipt of Employee's written election, Employer must tender the Separation Payment to Employee.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Consequences of Termination</w:t>
      </w:r>
      <w:r>
        <w:rPr>
          <w:rFonts w:ascii="Times New Roman;sans-serif" w:hAnsi="Times New Roman;sans-serif"/>
          <w:b w:val="false"/>
          <w:color w:val="000000"/>
          <w:sz w:val="20"/>
        </w:rPr>
        <w:t>.</w:t>
      </w:r>
    </w:p>
    <w:p>
      <w:pPr>
        <w:pStyle w:val="TextBody"/>
        <w:spacing w:before="0" w:after="0"/>
        <w:ind w:left="0" w:right="0" w:firstLine="720"/>
        <w:jc w:val="both"/>
        <w:rPr/>
      </w:pPr>
      <w:r>
        <w:rPr/>
      </w:r>
    </w:p>
    <w:p>
      <w:pPr>
        <w:pStyle w:val="TextBody"/>
        <w:spacing w:lineRule="auto" w:line="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(i)In the event Employee resigns pursuant to Section 6(a)(v), 6(a)(vi), or 6(a)(vii), Employer's sole liability to Employee shall be payment of the Separation Payment; provided that Employee shall not be entitled to payment of the Separation Payment unless and until Employee first fully executes and returns a written severance agreement and release, prepared and presented by Employer, that fully releases Employer, all of its Affiliates, and their respective officers, directors, agents and employees, from any and all claims or causes of action, whether based upon statute, contract (including breach or construction of this Agreement), or common law, that have arisen as of the date of such execution, irrespective of whether Employee has knowledge of the existence of such claim; and provides for the confidentiality of both the terms of the severance agreement and release and the compensation paid. In the event Employee fails or refuses to execute such severance agreement and release,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Upon receipt of the fully executed severance agreement and release,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Section 6 shall continue until the earlier of (x) the expiration of the period for which the Separation Payment is paid, or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Section 6 shall continue (but not beyond the period described in clause (x) of this sentence) with respect to such pre-existing condition until such exclusion under such other group health plan lapses or expires. In the event Employee is </w:t>
      </w:r>
      <w:r>
        <w:br w:type="page"/>
      </w:r>
    </w:p>
    <w:p>
      <w:pPr>
        <w:pStyle w:val="TextBody"/>
        <w:spacing w:before="0" w:after="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required to make an election under Sections 601 through 607 of the Employee Retirement Income Security Act of 1974, as amended (commonly known as COBRA) to qualify for the health benefits described in this Section 6, the obligations of Employer and its Affiliates under this Section 6 shall be conditioned upon Employee's timely making such an election. In the event of a termination of this Agreement pursuant to any of the provisions of this Section 6, Employee shall not be entitled to any benefits pursuant to any severance plan in effect by Employer or any of Employer's Affiliates.</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(ii)In the event of a termination of this Agreement pursuant to Sections 6(a)(i), 6(a)(ii) or 6(a)(iv),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(iii)In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pStyle w:val="TextBody"/>
        <w:spacing w:before="0" w:after="0"/>
        <w:ind w:left="0" w:right="0" w:firstLine="720"/>
        <w:jc w:val="both"/>
        <w:rPr/>
      </w:pPr>
      <w:r>
        <w:rPr/>
      </w:r>
    </w:p>
    <w:p>
      <w:pPr>
        <w:pStyle w:val="TextBody"/>
        <w:spacing w:lineRule="auto" w:line="240" w:before="0" w:after="0"/>
        <w:jc w:val="both"/>
        <w:rPr/>
      </w:pPr>
      <w:r>
        <w:rPr>
          <w:rFonts w:ascii="Times New Roman;sans-serif" w:hAnsi="Times New Roman;sans-serif"/>
          <w:b/>
          <w:color w:val="000000"/>
          <w:sz w:val="20"/>
        </w:rPr>
        <w:t>7.</w:t>
      </w:r>
      <w:r>
        <w:rPr>
          <w:rFonts w:ascii="Times New Roman;sans-serif" w:hAnsi="Times New Roman;sans-serif"/>
          <w:b/>
          <w:i/>
          <w:color w:val="000000"/>
          <w:sz w:val="20"/>
          <w:u w:val="single"/>
        </w:rPr>
        <w:t>COMPENSATION TO EMPLOYEE</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color w:val="000000"/>
          <w:sz w:val="20"/>
          <w:u w:val="single"/>
        </w:rPr>
        <w:t>Base Salary</w:t>
      </w:r>
      <w:r>
        <w:rPr>
          <w:rFonts w:ascii="Times New Roman;sans-serif" w:hAnsi="Times New Roman;sans-serif"/>
          <w:b/>
          <w:color w:val="000000"/>
          <w:sz w:val="20"/>
        </w:rPr>
        <w:t xml:space="preserve">. </w:t>
      </w:r>
      <w:r>
        <w:rPr>
          <w:rFonts w:ascii="Times New Roman;sans-serif" w:hAnsi="Times New Roman;sans-serif"/>
          <w:b w:val="false"/>
          <w:color w:val="000000"/>
          <w:sz w:val="20"/>
        </w:rPr>
        <w:t>Employer hereby covenants and agrees to pay to Employee, and Employee hereby covenants and agrees to accept from Employer, a base salary at the rate of Nine Hundred Thousand Dollars ($900,000.00) per annum, payable in such installments as shall be convenient to Employer (the “</w:t>
      </w:r>
      <w:r>
        <w:rPr>
          <w:rFonts w:ascii="Times New Roman;sans-serif" w:hAnsi="Times New Roman;sans-serif"/>
          <w:b/>
          <w:color w:val="000000"/>
          <w:sz w:val="20"/>
        </w:rPr>
        <w:t>Base Salary</w:t>
      </w:r>
      <w:r>
        <w:rPr>
          <w:color w:val="000000"/>
        </w:rPr>
        <w:t>”</w:t>
      </w:r>
      <w:r>
        <w:rPr>
          <w:rFonts w:ascii="Times New Roman;sans-serif" w:hAnsi="Times New Roman;sans-serif"/>
          <w:b w:val="false"/>
          <w:color w:val="000000"/>
          <w:sz w:val="20"/>
        </w:rPr>
        <w:t>).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u w:val="single"/>
        </w:rPr>
        <w:t>Bonus Compensation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Employee will participate in Employer’s Amended and Restated Annual Performance Based Incentive Plan for Executive Officers with an annual target bonus of 200% of the Base Salary. Such discretionary target bonus shall not be prorated for 2022. Employee shall also be eligible to receive a bonus at such times and in such amounts as Employer in its sole and exclusive discretion may determine. Employee’s work performance and disciplinary history may be taken into account when determining bonus eligibility and amount. Employer retains the discretion to adopt, amend or terminate any bonus plan at any time prior to a Change of Control.</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color w:val="000000"/>
          <w:sz w:val="20"/>
          <w:u w:val="single"/>
        </w:rPr>
        <w:t>Annual Equity Grant</w:t>
      </w:r>
      <w:r>
        <w:rPr>
          <w:rFonts w:ascii="Times New Roman;sans-serif" w:hAnsi="Times New Roman;sans-serif"/>
          <w:b/>
          <w:color w:val="000000"/>
          <w:sz w:val="20"/>
        </w:rPr>
        <w:t xml:space="preserve">. </w:t>
      </w:r>
      <w:r>
        <w:rPr>
          <w:rFonts w:ascii="Times New Roman;sans-serif" w:hAnsi="Times New Roman;sans-serif"/>
          <w:b w:val="false"/>
          <w:color w:val="000000"/>
          <w:sz w:val="20"/>
        </w:rPr>
        <w:t>Employee shall be eligible to receive an annual restricted share grant of Wynn Resorts, Limited common stock with a target value equivalent to 150% of the annual Base Salary for Employee in effect at the end of the applicable year, with vesting requirements consistent with comparable positions in the Company.  Employee and Employer will enter into a separate restricted stock agreement incorporating the terms and conditions of the grant, including the grant date, vesting schedule, and termination provisions.</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color w:val="000000"/>
          <w:sz w:val="20"/>
          <w:u w:val="single"/>
        </w:rPr>
        <w:t>Equity Grant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Subject to and effective upon the approval of the Compensation Committee of Wynn Resorts, Limited, Employee shall at the earliest possible time after the Effective Date be granted shares of restricted stock of Wynn Resorts, Limited common stock pursuant to the Wynn Resorts, Limited 2014 Omnibus Incentive Plan valued at Two Million, Five Hundred Thousand Dollars ($2,500,000.00) as of the Effective Date. Such grant shall vest annually for three years, with one-third of the grant vesting each year. Employee and Employer will enter into a separate restricted stock agreement incorporating the terms and conditions of the grant, including the grant date, vesting schedule, and termination provisions</w:t>
      </w:r>
    </w:p>
    <w:p>
      <w:pPr>
        <w:pStyle w:val="TextBody"/>
        <w:spacing w:before="0" w:after="0"/>
        <w:rPr/>
      </w:pPr>
      <w:r>
        <w:rPr/>
      </w:r>
    </w:p>
    <w:p>
      <w:pPr>
        <w:pStyle w:val="TextBody"/>
        <w:spacing w:lineRule="auto" w:line="240"/>
        <w:ind w:left="0" w:right="0" w:firstLine="720"/>
        <w:jc w:val="both"/>
        <w:rPr/>
      </w:pPr>
      <w:r>
        <w:rPr>
          <w:rFonts w:ascii="Times New Roman;sans-serif" w:hAnsi="Times New Roman;sans-serif"/>
          <w:b w:val="false"/>
          <w:color w:val="000000"/>
          <w:sz w:val="20"/>
        </w:rPr>
        <w:t>(e)</w:t>
      </w:r>
      <w:r>
        <w:rPr>
          <w:rFonts w:ascii="Times New Roman;sans-serif" w:hAnsi="Times New Roman;sans-serif"/>
          <w:b/>
          <w:color w:val="000000"/>
          <w:sz w:val="20"/>
          <w:u w:val="single"/>
        </w:rPr>
        <w:t>Employee Benefit Plans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Employer hereby covenants and agrees that it shall include Employee, if otherwise eligible, in any profit-sharing plan, executive stock option plan, pension plan, retirement plan, disability or life insurance plan, Executive Medical Plan and/or hospitalization plan, and any other benefit plan which may be placed in effect by Employer or any of its Affiliates and on the same </w:t>
      </w:r>
      <w:r>
        <w:br w:type="page"/>
      </w:r>
    </w:p>
    <w:p>
      <w:pPr>
        <w:pStyle w:val="TextBody"/>
        <w:spacing w:before="0" w:after="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pStyle w:val="TextBody"/>
        <w:spacing w:before="0" w:after="0"/>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Employee shall also participate in the senior executive health program.</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(f)</w:t>
      </w:r>
      <w:r>
        <w:rPr>
          <w:rFonts w:ascii="Times New Roman;sans-serif" w:hAnsi="Times New Roman;sans-serif"/>
          <w:b/>
          <w:color w:val="000000"/>
          <w:sz w:val="20"/>
          <w:u w:val="single"/>
        </w:rPr>
        <w:t>Expense Reimbursement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During the Term and provided the same are authorized in advance by Employer, Employer shall 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(g)</w:t>
      </w:r>
      <w:r>
        <w:rPr>
          <w:rFonts w:ascii="Times New Roman;sans-serif" w:hAnsi="Times New Roman;sans-serif"/>
          <w:b/>
          <w:color w:val="000000"/>
          <w:sz w:val="20"/>
          <w:u w:val="single"/>
        </w:rPr>
        <w:t>Vacations and Holidays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Commencing as of the Effective Date, Employee shall be entitled to (i) annual paid vacation 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pStyle w:val="TextBody"/>
        <w:spacing w:before="0" w:after="0"/>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(h)</w:t>
      </w:r>
      <w:r>
        <w:rPr>
          <w:rFonts w:ascii="Times New Roman;sans-serif" w:hAnsi="Times New Roman;sans-serif"/>
          <w:b/>
          <w:color w:val="000000"/>
          <w:sz w:val="20"/>
          <w:u w:val="single"/>
        </w:rPr>
        <w:t>Section 409A Provision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Notwithstanding any provision of the Agreement to the contrary, if, at the time of Employee’s 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(i)</w:t>
      </w:r>
      <w:r>
        <w:rPr>
          <w:rFonts w:ascii="Times New Roman;sans-serif" w:hAnsi="Times New Roman;sans-serif"/>
          <w:b/>
          <w:color w:val="000000"/>
          <w:sz w:val="20"/>
          <w:u w:val="single"/>
        </w:rPr>
        <w:t>Withholdings and Deductions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All compensation provided to Employee by Employer under this Agreement shall be subject to applicable federal, state or local employment-related withholdings and deductions. </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8.</w:t>
      </w:r>
      <w:r>
        <w:rPr>
          <w:rFonts w:ascii="Times New Roman;sans-serif" w:hAnsi="Times New Roman;sans-serif"/>
          <w:b/>
          <w:i/>
          <w:color w:val="000000"/>
          <w:sz w:val="20"/>
          <w:u w:val="single"/>
        </w:rPr>
        <w:t>LICENSING REQUIREMENTS</w:t>
      </w:r>
      <w:r>
        <w:rPr>
          <w:rFonts w:ascii="Times New Roman;sans-serif" w:hAnsi="Times New Roman;sans-serif"/>
          <w:b/>
          <w:i/>
          <w:color w:val="000000"/>
          <w:sz w:val="20"/>
        </w:rPr>
        <w:t>.</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(a)Employer and Employee hereby covenant and agree that this Agreement and/or Employee’s employment may be subject to the approval of one or more gaming or other regulatory authorities (the “</w:t>
      </w:r>
      <w:r>
        <w:rPr>
          <w:rFonts w:ascii="Times New Roman;sans-serif" w:hAnsi="Times New Roman;sans-serif"/>
          <w:b/>
          <w:color w:val="000000"/>
          <w:sz w:val="20"/>
        </w:rPr>
        <w:t>Gaming</w:t>
      </w:r>
      <w:r>
        <w:rPr>
          <w:color w:val="000000"/>
        </w:rPr>
        <w:t xml:space="preserve"> </w:t>
      </w:r>
      <w:r>
        <w:rPr>
          <w:rFonts w:ascii="Times New Roman;sans-serif" w:hAnsi="Times New Roman;sans-serif"/>
          <w:b/>
          <w:color w:val="000000"/>
          <w:sz w:val="20"/>
        </w:rPr>
        <w:t>Authorities</w:t>
      </w:r>
      <w:r>
        <w:rPr>
          <w:color w:val="000000"/>
        </w:rPr>
        <w:t>”</w:t>
      </w:r>
      <w:r>
        <w:rPr>
          <w:rFonts w:ascii="Times New Roman;sans-serif" w:hAnsi="Times New Roman;sans-serif"/>
          <w:b w:val="false"/>
          <w:color w:val="000000"/>
          <w:sz w:val="20"/>
        </w:rPr>
        <w:t>) pursuant to the provisions of any applicable gaming and liquor statutes and other laws in any jurisdiction in which Employer or any of its Affiliates conduct or may conduct business (collectively, the “</w:t>
      </w:r>
      <w:r>
        <w:rPr>
          <w:rFonts w:ascii="Times New Roman;sans-serif" w:hAnsi="Times New Roman;sans-serif"/>
          <w:b/>
          <w:color w:val="000000"/>
          <w:sz w:val="20"/>
        </w:rPr>
        <w:t>Gaming Acts</w:t>
      </w:r>
      <w:r>
        <w:rPr>
          <w:color w:val="000000"/>
        </w:rPr>
        <w:t>”</w:t>
      </w:r>
      <w:r>
        <w:rPr>
          <w:rFonts w:ascii="Times New Roman;sans-serif" w:hAnsi="Times New Roman;sans-serif"/>
          <w:b w:val="false"/>
          <w:color w:val="000000"/>
          <w:sz w:val="20"/>
        </w:rPr>
        <w:t>) and the regulations promulgated thereunder (collectively, the “</w:t>
      </w:r>
      <w:r>
        <w:rPr>
          <w:rFonts w:ascii="Times New Roman;sans-serif" w:hAnsi="Times New Roman;sans-serif"/>
          <w:b/>
          <w:color w:val="000000"/>
          <w:sz w:val="20"/>
        </w:rPr>
        <w:t>Gaming Regulations</w:t>
      </w:r>
      <w:r>
        <w:rPr>
          <w:color w:val="000000"/>
        </w:rPr>
        <w:t>”</w:t>
      </w:r>
      <w:r>
        <w:rPr>
          <w:rFonts w:ascii="Times New Roman;sans-serif" w:hAnsi="Times New Roman;sans-serif"/>
          <w:b w:val="false"/>
          <w:color w:val="000000"/>
          <w:sz w:val="20"/>
        </w:rPr>
        <w:t xml:space="preserve">). Employer and Employee hereby covenant and agree to use their best efforts to obtain any and all approvals required by the Gaming Acts and/or Gaming Regulations. In the event that (i) an approval of this Agreement or Employee’s employment by the Gaming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Gaming Authorities, then this Agreement shall immediately terminate and shall be null and void, thus extinguishing any and all obligations of either party, subject to any surviving obligations of Employee under Sections 9, 10, and 21, notwithstanding any other provisions of this Agreement. </w:t>
      </w:r>
    </w:p>
    <w:p>
      <w:pPr>
        <w:pStyle w:val="TextBody"/>
        <w:spacing w:before="0" w:after="0"/>
        <w:jc w:val="both"/>
        <w:rPr/>
      </w:pPr>
      <w:r>
        <w:rPr/>
      </w:r>
    </w:p>
    <w:p>
      <w:pPr>
        <w:pStyle w:val="TextBody"/>
        <w:spacing w:lineRule="auto" w:line="240"/>
        <w:ind w:left="0" w:right="0" w:firstLine="720"/>
        <w:jc w:val="both"/>
        <w:rPr/>
      </w:pPr>
      <w:r>
        <w:rPr>
          <w:rFonts w:ascii="Times New Roman;sans-serif" w:hAnsi="Times New Roman;sans-serif"/>
          <w:b w:val="false"/>
          <w:color w:val="000000"/>
          <w:sz w:val="20"/>
        </w:rPr>
        <w:t>(b)If applicable, Employer and Employee hereby covenant and agree that, in order for Employee to discharge the duties required under this Agreement, Employee may be required to apply for, obtain, or hold a license, registration, permit or other approval (a “</w:t>
      </w:r>
      <w:r>
        <w:rPr>
          <w:rFonts w:ascii="Times New Roman;sans-serif" w:hAnsi="Times New Roman;sans-serif"/>
          <w:b/>
          <w:color w:val="000000"/>
          <w:sz w:val="20"/>
        </w:rPr>
        <w:t>License</w:t>
      </w:r>
      <w:r>
        <w:rPr>
          <w:color w:val="000000"/>
        </w:rPr>
        <w:t>”</w:t>
      </w:r>
      <w:r>
        <w:rPr>
          <w:rFonts w:ascii="Times New Roman;sans-serif" w:hAnsi="Times New Roman;sans-serif"/>
          <w:b w:val="false"/>
          <w:color w:val="000000"/>
          <w:sz w:val="20"/>
        </w:rPr>
        <w:t xml:space="preserve">) issued by the Gaming Authorities pursuant to the terms of the relevant Gaming Act or Gaming Regulations and as otherwise required by this Agreement. If required, in the event Employee fails to apply for and secure, or the Gaming Authorities refuse to issue or renew Employee’s License, Employee, at Employer’s sole cost and expense, shall promptly defend such action and shall take such reasonable steps as may be required to either remove the objections or secure or reinstate the Gaming Authorities’ approval, respectively. The foregoing </w:t>
      </w:r>
      <w:r>
        <w:br w:type="page"/>
      </w:r>
    </w:p>
    <w:p>
      <w:pPr>
        <w:pStyle w:val="TextBody"/>
        <w:spacing w:before="0" w:after="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if the source of the objections or the Gaming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(c)Employer and Employee hereby covenant and agree that the provisions of this Section 8 shall apply in the event Employee’s duties require that Employee also be licensed by any Governmental Agency other than the Gaming Authorities.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9.</w:t>
      </w:r>
      <w:r>
        <w:rPr>
          <w:rFonts w:ascii="Times New Roman;sans-serif" w:hAnsi="Times New Roman;sans-serif"/>
          <w:b/>
          <w:i/>
          <w:color w:val="000000"/>
          <w:sz w:val="20"/>
          <w:u w:val="single"/>
        </w:rPr>
        <w:t>OWNERSHIP; CONFIDENTIALITY</w:t>
      </w:r>
      <w:r>
        <w:rPr>
          <w:rFonts w:ascii="Times New Roman;sans-serif" w:hAnsi="Times New Roman;sans-serif"/>
          <w:b/>
          <w:i/>
          <w:color w:val="000000"/>
          <w:sz w:val="20"/>
        </w:rPr>
        <w:t>.</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(a)All Confidential Information, Trade Secrets, or Work of Authorship are the sole and exclusive property of Employer or its Affiliates. Employer will have the entire right and title and interest in and to any Work of Authorship provided or prepared by Employee and/or its agents under this Agreement, and Employee will receive no license or other rights from Employer with respect to such Work of Authorship. The Work of Authorship will be deemed to be “works made for hire” under United States copyright law (17 U.S.C. sections 101, et seq.) and made in the course of employment. To the extent the Work of Authorship may not, by operation of law, vest in Employer, or if any of the Work of Authorship is determined not to be a “work made for hire,” Employee hereby assigns to Employer in perpetuity all right, title and interest in and to the Work of Authorship, including, without limitation, all copyrights in the Work of Authorship (and all renewals and extensions thereof). Without limitation, Employer may exploit the Work of Authorship in any and all media, now known or hereafter devised, throughout the world, in perpetuity. Employer’s rights in the Work of Authorship may be freely assigned and licensed and any such assignment or license will be binding upon Employee and will inure to the benefit of such assignee or licensee. Employee waives any moral rights it may have in the Work of Authorship, including without limitation any right to integrity, association, credit or identification. Employee acknowledges that subsequent to the date of this Agreement, it may not claim to possess any right, title or interest in and to the Work of Authorship and will take no actions jeopardizing the existence or enforceability of the Work of Authorship or Employer’s rights therein. Employee agrees to assist Employer in every legal way to evidence, record and perfect this assignment and to apply for and obtain recordation of and from time to time enforce, maintain, and defend the assigned rights. If Employer is unable for any reason whatsoever to secure Employee’s signature to any document to which it is entitled under this assignment, Employee hereby irrevocably designates and appoints Employer and its duly authorized officers and agents to act as Employee’s agents and attorneys-in-fact, with full power of substitution to act for and on its behalf and instead of Employee, to execute and file any such document or documents and to do all other lawfully permitted acts to further the purposes of the foregoing with the same legal force and effect as if executed by Employee. The foregoing is deemed a power coupled with an interest and is irrevocable.</w:t>
      </w:r>
    </w:p>
    <w:p>
      <w:pPr>
        <w:pStyle w:val="TextBody"/>
        <w:spacing w:before="0" w:after="0"/>
        <w:jc w:val="both"/>
        <w:rPr/>
      </w:pPr>
      <w:r>
        <w:rPr/>
      </w:r>
    </w:p>
    <w:p>
      <w:pPr>
        <w:pStyle w:val="TextBody"/>
        <w:spacing w:lineRule="auto" w:line="240" w:before="0" w:after="0"/>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(b)Employee hereby warrants, covenants and agrees that:</w:t>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(i)Subject to Section 9(d), Employee shall not directly or indirectly use or disclose any Confidential Information, Trade Secrets, or Work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 of Authorship. Employee acknowledges and agrees that such Confidential Information, Trade Secrets, and Work of Authorship are the sole and exclusive property of Employer or its Affiliates. </w:t>
      </w:r>
    </w:p>
    <w:p>
      <w:pPr>
        <w:pStyle w:val="TextBody"/>
        <w:spacing w:before="0" w:after="0"/>
        <w:ind w:left="0" w:right="0" w:firstLine="720"/>
        <w:jc w:val="both"/>
        <w:rPr/>
      </w:pPr>
      <w:r>
        <w:rPr/>
      </w:r>
    </w:p>
    <w:p>
      <w:pPr>
        <w:pStyle w:val="TextBody"/>
        <w:spacing w:lineRule="auto" w:line="240" w:before="0" w:after="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(ii)Employee shall not remove from Employer’s premises any Confidential Information, Trade Secrets, Work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pStyle w:val="TextBody"/>
        <w:spacing w:before="0" w:after="0"/>
        <w:ind w:left="0" w:right="0" w:firstLine="720"/>
        <w:jc w:val="both"/>
        <w:rPr/>
      </w:pPr>
      <w:r>
        <w:rPr/>
      </w:r>
    </w:p>
    <w:p>
      <w:pPr>
        <w:pStyle w:val="TextBody"/>
        <w:spacing w:lineRule="auto" w:line="240"/>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(iii)Upon termination of Employee’s employment with Employer for any reason, Employee shall return to Employer the originals and all copies (in electronic or paper form) of any and all papers, documents and things, including information stored for use in or with computers and software, all files, Rolodex cards, phone books, notes, price lists, customer contracts, bids, customer lists, notebooks, books, memoranda, drawings, computer disks or drives, or other documents: (i) made, compiled by, or delivered to Employee concerning any customer served by Employer or any of its Affiliates or any product, apparatus, or process manufactured, used, </w:t>
      </w:r>
      <w:r>
        <w:br w:type="page"/>
      </w:r>
    </w:p>
    <w:p>
      <w:pPr>
        <w:pStyle w:val="TextBody"/>
        <w:spacing w:before="0" w:after="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developed or investigated by Employer or any of its Affiliates;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(c)Employee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Times New Roman;sans-serif" w:hAnsi="Times New Roman;sans-serif"/>
          <w:b/>
          <w:color w:val="000000"/>
          <w:sz w:val="20"/>
        </w:rPr>
        <w:t>Restricted Information</w:t>
      </w:r>
      <w:r>
        <w:rPr>
          <w:color w:val="000000"/>
        </w:rPr>
        <w:t>”</w:t>
      </w:r>
      <w:r>
        <w:rPr>
          <w:rFonts w:ascii="Times New Roman;sans-serif" w:hAnsi="Times New Roman;sans-serif"/>
          <w:b w:val="false"/>
          <w:color w:val="000000"/>
          <w:sz w:val="20"/>
        </w:rPr>
        <w:t>). In the event Employer requests Restricted Information from Employee, Employee shall advise Employer that the information requested is Restricted Information and may not be disclosed by Employee.</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(d)Nothing in this Agreement or any other agreement between Employee and Employer or its parents, subsidiaries or Affiliates or any other policies of Employer or its parents, subsidiaries or Affiliates shall prohibit or restrict Employee from: (i) filing a charge or complaint with any Governmental Agency, legislative body, or self-regulatory organization (each an “</w:t>
      </w:r>
      <w:r>
        <w:rPr>
          <w:rFonts w:ascii="Times New Roman;sans-serif" w:hAnsi="Times New Roman;sans-serif"/>
          <w:b/>
          <w:color w:val="000000"/>
          <w:sz w:val="20"/>
        </w:rPr>
        <w:t>Agency</w:t>
      </w:r>
      <w:r>
        <w:rPr>
          <w:color w:val="000000"/>
        </w:rPr>
        <w:t>”</w:t>
      </w:r>
      <w:r>
        <w:rPr>
          <w:rFonts w:ascii="Times New Roman;sans-serif" w:hAnsi="Times New Roman;sans-serif"/>
          <w:b w:val="false"/>
          <w:color w:val="000000"/>
          <w:sz w:val="20"/>
        </w:rPr>
        <w:t>), including but not limited to claims of harassment or discrimination; (ii) initiating communications with, or responding to any inquiry from, any Agency regarding any good faith concerns about possible violations of law or regulation, including providing documents or other information, without notice to Employer; (iii) making any disclosure of relevant and necessary information or documents in any action, investigation, or proceeding as required by law or legal process, including with respect to possible violations of laws, without notice to Employer; (iv) participating, cooperating, or testifying in any action, investigation, or proceeding with, or providing information to, any Agency, and/or pursuant to the Sarbanes-Oxley Act including providing documents or other information, without notice to Employer; and/or (v) seeking, obtaining, or accepting any U.S. Securities and Exchange Commission awards. Pursuant to 18 U.S.C. § 1833(b), Employee will not be held criminally or civilly liable under any federal or state trade secret law for the disclosure of a trade secret of Employer or its affiliates that (A) is made (1) in confidence to a federal, state, or local government official, either directly or indirectly, or to Employee’s attorney and (2) solely for the purpose of reporting or investigating a suspected violation of law; or (B) is made in a complaint or other document that is filed under seal in a lawsuit or other proceeding. If Employee files a lawsuit for retaliation by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Nothing in this Agreement or any other agreement between Employer or its affiliates and Employee or any other policies of Employer or its affiliates is intended to conflict with 18 U.S.C. § 1833(b) or create liability for disclosures of trade secrets that are expressly allowed by such section.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(e)The obligations of this Section 9 are continuing and shall survive the termination of Employee’s employment with Employer for any reason.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color w:val="000000"/>
          <w:sz w:val="20"/>
        </w:rPr>
        <w:t>10.</w:t>
      </w:r>
      <w:r>
        <w:rPr>
          <w:rFonts w:ascii="Times New Roman;sans-serif" w:hAnsi="Times New Roman;sans-serif"/>
          <w:b/>
          <w:i/>
          <w:color w:val="000000"/>
          <w:sz w:val="20"/>
          <w:u w:val="single"/>
        </w:rPr>
        <w:t>RESTRICTIVE COVENANT/NO SOLICITATION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In consideration of the mutual promises and covenants contained in this Agreement, including but not limited to the compensation identified in Section 6 (as applicable) and 7 of this Agreement, and for other good and valuable consideration, the receipt and sufficiency of which are hereby mutually acknowledged, Employee agrees as follows: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(a)Employee hereby covenants and agrees that for the entire Term of this Agreement, unless terminated sooner pursuant to Sections 6(a)(i), (v) or (vi), and for such period as Employer employs or hereunder compensates Employee (including payments made pursuant to Sections 6(a)(v) or 6(a)(vi)),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directly or indirectly, provide services to a competing business that are the same as or similar in purpose or function to those Employee provided to Employer or any of its Affiliates during the last two (2) years of Employee’s employment with Employer or that are likely to result in the use or disclosure of Confidential Information, in or about any market in which Employer or its Affiliates currently operate or have announced, publicly or otherwise, a plan to have hotel or gaming operations, including any hotel, casino, restaurant, lounge, nightclub, day club or beach club. Employee further agrees that in the event Employee unilaterally resigns her employment, or is termed pursuant to Section 6(a)(ii), (iii) or (iv), prior to the expiration of the Term of the Agreement, this provision shall survive and shall continue to be in full force and effect for the duration of the Restricted Period (defined below). </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(b)Employee hereby further covenants and agrees that, for such period as Employer employs or hereunder compensates Employee (including payments pursuant to Section 6), and for a period of one (1) year following the termination of employment or compensation (the “</w:t>
      </w:r>
      <w:r>
        <w:rPr>
          <w:rFonts w:ascii="Times New Roman;sans-serif" w:hAnsi="Times New Roman;sans-serif"/>
          <w:b/>
          <w:color w:val="000000"/>
          <w:sz w:val="20"/>
        </w:rPr>
        <w:t>Restricted Period</w:t>
      </w:r>
      <w:r>
        <w:rPr>
          <w:color w:val="000000"/>
        </w:rPr>
        <w:t>”</w:t>
      </w:r>
      <w:r>
        <w:rPr>
          <w:rFonts w:ascii="Times New Roman;sans-serif" w:hAnsi="Times New Roman;sans-serif"/>
          <w:b w:val="false"/>
          <w:color w:val="000000"/>
          <w:sz w:val="20"/>
        </w:rPr>
        <w:t>), for any reason, with or without Cause, or Employee’s resignation from employment, whichever is later, Employee shall not take any actions, whether directly or indirectly, including by way of a third-party intermediary, to solicit, encourage or otherwise cause any employee of Employer or its Affiliates to leave employment,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or beach club operations. The parties agree that the terms “solicit, encourage or otherwise cause” include Employee’s participation in the recruitment, applicant assessment or review, and employee selection.</w:t>
      </w:r>
    </w:p>
    <w:p>
      <w:pPr>
        <w:pStyle w:val="TextBody"/>
        <w:spacing w:before="0" w:after="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(c)Employee hereby covenants and agrees that, at any time during the Restricted Period, Employee shall not, directly or indirectly, solicit any current, former (within the preceding one-year period) or prospective customer of Employer or any of its Affiliates with whom Employee had material contact or about whom Employee acquired Confidential Information during the last two (2) years of her employment to terminate, reduce or negatively alter his, her, its relationship with Employer or to do business with a competing business.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and do not impose any restraint that is greater than is required for the protection of Employer and its Affiliates.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 and enforce the covenants as revised.</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(e)Employee hereby agrees that any subsequent material change or changes in Employee’s title, duties, salary or compensation will not affect the validity or scope of this Section 10, or invalidate this Section 10 in any way.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11.</w:t>
      </w:r>
      <w:r>
        <w:rPr>
          <w:rFonts w:ascii="Times New Roman;sans-serif" w:hAnsi="Times New Roman;sans-serif"/>
          <w:b/>
          <w:i/>
          <w:color w:val="000000"/>
          <w:sz w:val="20"/>
          <w:u w:val="single"/>
        </w:rPr>
        <w:t>REMEDIES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Employee acknowledges that Employer has and will continue to deliver, provide and expose Employee to certain 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 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and in the event of any such breach, the Restricted Period shall be extended for a period of time commensurate with the period of breach. If Employee violates one of the post-employment restrictions set forth in Sections 10(b) or (c) of this Agreement, the time period for that restriction will be extended by one day for each day Employee is found to be in violation of it, up to a maximum extension of time equal in length to the original period of restriction, so as to give Employer the benefit of a period of forbearance by Employee that is equal to the original length of time provided for. In addition, Employee agrees that if she breaches her fiduciary duty to Employer or unlawfully take, physically or electronically, property belonging to Employer, the time period for the restriction contained in Section 10(a) may be equitably extended by an enforcing court for a period not to exceed 2 years from the date of cessation of Employee’s employment.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12.</w:t>
      </w:r>
      <w:r>
        <w:rPr>
          <w:rFonts w:ascii="Times New Roman;sans-serif" w:hAnsi="Times New Roman;sans-serif"/>
          <w:b/>
          <w:i/>
          <w:color w:val="000000"/>
          <w:sz w:val="20"/>
          <w:u w:val="single"/>
        </w:rPr>
        <w:t>COUNTERPARTS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may be executed in one or more counterparts, each of which when executed and delivered shall be an original, and both of which, when executed, shall constitute one and the same agreement. The exchange of copies of this Agreement and of signature pages by facsimile or other electronic transmission shall constitute effective execution and delivery of this Agreement as to the parties and may be used in lieu of the original Agreement for all purposes. Signatures of the parties transmitted by facsimile or other electronic means shall be deemed to be original signatures for all purposes.</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Times New Roman;sans-serif" w:hAnsi="Times New Roman;sans-serif"/>
          <w:b/>
          <w:color w:val="000000"/>
          <w:sz w:val="20"/>
        </w:rPr>
        <w:t>13.</w:t>
      </w:r>
      <w:r>
        <w:rPr>
          <w:rFonts w:ascii="Times New Roman;sans-serif" w:hAnsi="Times New Roman;sans-serif"/>
          <w:b/>
          <w:i/>
          <w:color w:val="000000"/>
          <w:sz w:val="20"/>
          <w:u w:val="single"/>
        </w:rPr>
        <w:t>SUCCESSION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 xml:space="preserve">This Agreement shall be binding upon and inure to the benefit of the parties hereto and their heirs, executors, administrators, personal representatives, successors and permitted assigns.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14.</w:t>
      </w:r>
      <w:r>
        <w:rPr>
          <w:rFonts w:ascii="Times New Roman;sans-serif" w:hAnsi="Times New Roman;sans-serif"/>
          <w:b/>
          <w:i/>
          <w:color w:val="000000"/>
          <w:sz w:val="20"/>
          <w:u w:val="single"/>
        </w:rPr>
        <w:t>ASSIGNMENT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Employee shall not assign this Agreement or delegate Employee’s duties hereunder without the express written prior consent of Employer, by and through a duly authorized officer of Employer (other than Employee),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15.</w:t>
      </w:r>
      <w:r>
        <w:rPr>
          <w:rFonts w:ascii="Times New Roman;sans-serif" w:hAnsi="Times New Roman;sans-serif"/>
          <w:b/>
          <w:i/>
          <w:color w:val="000000"/>
          <w:sz w:val="20"/>
          <w:u w:val="single"/>
        </w:rPr>
        <w:t>AMENDMENT OR MODIFICATION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may not be amended, modified, changed or altered except by a writing signed by both Employer, by and through a duly authorized officer of Employer (other than Employee), and Employee or by Court Order.</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16.</w:t>
      </w:r>
      <w:r>
        <w:rPr>
          <w:rFonts w:ascii="Times New Roman;sans-serif" w:hAnsi="Times New Roman;sans-serif"/>
          <w:b/>
          <w:i/>
          <w:color w:val="000000"/>
          <w:sz w:val="20"/>
          <w:u w:val="single"/>
        </w:rPr>
        <w:t>GOVERNING LAW.</w:t>
      </w:r>
      <w:r>
        <w:rPr>
          <w:color w:val="000000"/>
        </w:rPr>
        <w:t xml:space="preserve"> </w:t>
      </w:r>
      <w:r>
        <w:rPr>
          <w:rFonts w:ascii="Times New Roman;sans-serif" w:hAnsi="Times New Roman;sans-serif"/>
          <w:b w:val="false"/>
          <w:color w:val="000000"/>
          <w:sz w:val="20"/>
        </w:rPr>
        <w:t>This Agreement shall be governed by and construed in accordance with the laws of the State of Nevada, without regard to conflict of laws principles.</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17.</w:t>
      </w:r>
      <w:r>
        <w:rPr>
          <w:rFonts w:ascii="Times New Roman;sans-serif" w:hAnsi="Times New Roman;sans-serif"/>
          <w:b/>
          <w:i/>
          <w:color w:val="000000"/>
          <w:sz w:val="20"/>
          <w:u w:val="single"/>
        </w:rPr>
        <w:t>NOTICES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Any and all notices required under this Agreement shall be in writing and shall be either hand-delivered or mailed, certified mail, return receipt requested, addressed to:</w:t>
      </w:r>
    </w:p>
    <w:p>
      <w:pPr>
        <w:pStyle w:val="TextBody"/>
        <w:spacing w:before="0" w:after="0"/>
        <w:jc w:val="both"/>
        <w:rPr/>
      </w:pPr>
      <w:r>
        <w:rPr/>
      </w:r>
    </w:p>
    <w:p>
      <w:pPr>
        <w:pStyle w:val="TextBody"/>
        <w:spacing w:lineRule="auto" w:line="240" w:before="0" w:after="0"/>
        <w:jc w:val="both"/>
        <w:rPr/>
      </w:pPr>
      <w:r>
        <w:rPr>
          <w:color w:val="000000"/>
        </w:rPr>
        <w:t>        </w:t>
      </w:r>
      <w:r>
        <w:rPr>
          <w:rFonts w:ascii="Times New Roman;sans-serif" w:hAnsi="Times New Roman;sans-serif"/>
          <w:b w:val="false"/>
          <w:color w:val="000000"/>
          <w:sz w:val="20"/>
          <w:u w:val="single"/>
        </w:rPr>
        <w:t>TO EMPLOYER</w:t>
      </w:r>
      <w:r>
        <w:rPr>
          <w:rFonts w:ascii="Times New Roman;sans-serif" w:hAnsi="Times New Roman;sans-serif"/>
          <w:b w:val="false"/>
          <w:color w:val="000000"/>
          <w:sz w:val="20"/>
        </w:rPr>
        <w:t>:        Wynn Resorts, Limited</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3131 Las Vegas Boulevard South</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Las Vegas, Nevada 89109</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Attn: Legal Department</w:t>
      </w:r>
    </w:p>
    <w:p>
      <w:pPr>
        <w:pStyle w:val="TextBody"/>
        <w:spacing w:lineRule="auto" w:line="240" w:before="0" w:after="0"/>
        <w:jc w:val="both"/>
        <w:rPr>
          <w:color w:val="000000"/>
        </w:rPr>
      </w:pPr>
      <w:r>
        <w:rPr>
          <w:color w:val="000000"/>
        </w:rPr>
        <w:t>        </w:t>
      </w:r>
    </w:p>
    <w:p>
      <w:pPr>
        <w:pStyle w:val="TextBody"/>
        <w:spacing w:lineRule="auto" w:line="240" w:before="0" w:after="0"/>
        <w:jc w:val="both"/>
        <w:rPr/>
      </w:pPr>
      <w:r>
        <w:rPr>
          <w:color w:val="000000"/>
        </w:rPr>
        <w:t>        </w:t>
      </w:r>
      <w:r>
        <w:rPr>
          <w:rFonts w:ascii="Times New Roman;sans-serif" w:hAnsi="Times New Roman;sans-serif"/>
          <w:b w:val="false"/>
          <w:color w:val="000000"/>
          <w:sz w:val="20"/>
          <w:u w:val="single"/>
        </w:rPr>
        <w:t>TO EMPLOYEE</w:t>
      </w:r>
      <w:r>
        <w:rPr>
          <w:rFonts w:ascii="Times New Roman;sans-serif" w:hAnsi="Times New Roman;sans-serif"/>
          <w:b w:val="false"/>
          <w:color w:val="000000"/>
          <w:sz w:val="20"/>
        </w:rPr>
        <w:t>:        Julie Cameron-Doe</w:t>
      </w:r>
    </w:p>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0"/>
        </w:rPr>
        <w:t>[intentionally omitted]</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18.</w:t>
      </w:r>
      <w:r>
        <w:rPr>
          <w:rFonts w:ascii="Times New Roman;sans-serif" w:hAnsi="Times New Roman;sans-serif"/>
          <w:b/>
          <w:i/>
          <w:color w:val="000000"/>
          <w:sz w:val="20"/>
          <w:u w:val="single"/>
        </w:rPr>
        <w:t>INTERPRETATION</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The preamble recitals to this Agreement are incorporated into and made a part of this Agreement; titles of sections and paragraphs are for convenience only and are not to be considered a part of this Agreement. Whenever the words “include,” “includes” or “including” are used in this Agreement, they shall be deemed to be followed by the words “without limitation.”</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19.</w:t>
      </w:r>
      <w:r>
        <w:rPr>
          <w:rFonts w:ascii="Times New Roman;sans-serif" w:hAnsi="Times New Roman;sans-serif"/>
          <w:b/>
          <w:i/>
          <w:color w:val="000000"/>
          <w:sz w:val="20"/>
          <w:u w:val="single"/>
        </w:rPr>
        <w:t>SEVERABILITY</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20.</w:t>
      </w:r>
      <w:r>
        <w:rPr>
          <w:rFonts w:ascii="Times New Roman;sans-serif" w:hAnsi="Times New Roman;sans-serif"/>
          <w:b/>
          <w:i/>
          <w:color w:val="000000"/>
          <w:sz w:val="20"/>
          <w:u w:val="single"/>
        </w:rPr>
        <w:t>WAIVER</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None of the terms of this Agreement, including this Section 20,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21.</w:t>
      </w:r>
      <w:r>
        <w:rPr>
          <w:rFonts w:ascii="Times New Roman;sans-serif" w:hAnsi="Times New Roman;sans-serif"/>
          <w:b/>
          <w:i/>
          <w:color w:val="000000"/>
          <w:sz w:val="20"/>
          <w:u w:val="single"/>
        </w:rPr>
        <w:t>DISPUTE RESOLUTION</w:t>
      </w:r>
      <w:r>
        <w:rPr>
          <w:rFonts w:ascii="Times New Roman;sans-serif" w:hAnsi="Times New Roman;sans-serif"/>
          <w:b w:val="false"/>
          <w:color w:val="000000"/>
          <w:sz w:val="20"/>
        </w:rPr>
        <w:t>. Except for a claim by either Employee or Employer for injunctive relief where such would be 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w:t>
      </w:r>
      <w:r>
        <w:rPr>
          <w:rFonts w:ascii="Times New Roman;sans-serif" w:hAnsi="Times New Roman;sans-serif"/>
          <w:b/>
          <w:color w:val="000000"/>
          <w:sz w:val="20"/>
        </w:rPr>
        <w:t>AAA</w:t>
      </w:r>
      <w:r>
        <w:rPr>
          <w:color w:val="000000"/>
        </w:rPr>
        <w:t>”</w:t>
      </w:r>
      <w:r>
        <w:rPr>
          <w:rFonts w:ascii="Times New Roman;sans-serif" w:hAnsi="Times New Roman;sans-serif"/>
          <w:b w:val="false"/>
          <w:color w:val="000000"/>
          <w:sz w:val="20"/>
        </w:rPr>
        <w:t xml:space="preserve">), to the extent not inconsistent with this Section as set forth below, and the Federal Arbitration Act, 9 U.S.C. § 1, </w:t>
      </w:r>
      <w:r>
        <w:rPr>
          <w:rFonts w:ascii="Times New Roman;sans-serif" w:hAnsi="Times New Roman;sans-serif"/>
          <w:b w:val="false"/>
          <w:i/>
          <w:color w:val="000000"/>
          <w:sz w:val="20"/>
        </w:rPr>
        <w:t>et seq</w:t>
      </w:r>
      <w:r>
        <w:rPr>
          <w:rFonts w:ascii="Times New Roman;sans-serif" w:hAnsi="Times New Roman;sans-serif"/>
          <w:b w:val="false"/>
          <w:color w:val="000000"/>
          <w:sz w:val="20"/>
        </w:rPr>
        <w:t xml:space="preserve">. and the Uniform Arbitration Act as adopted in Nevada Revised Statutes 38.015, </w:t>
      </w:r>
      <w:r>
        <w:rPr>
          <w:rFonts w:ascii="Times New Roman;sans-serif" w:hAnsi="Times New Roman;sans-serif"/>
          <w:b w:val="false"/>
          <w:i/>
          <w:color w:val="000000"/>
          <w:sz w:val="20"/>
        </w:rPr>
        <w:t>et seq</w:t>
      </w:r>
      <w:r>
        <w:rPr>
          <w:rFonts w:ascii="Times New Roman;sans-serif" w:hAnsi="Times New Roman;sans-serif"/>
          <w:b w:val="false"/>
          <w:color w:val="000000"/>
          <w:sz w:val="20"/>
        </w:rPr>
        <w:t xml:space="preserve">. This Section 21 applies to any claim Employee might have against any officer, director, employee, or agent of Employer or any of its Affiliates, and all successors and assigns of any of them. These arbitration provisions shall survive the termination of Employee’s employment with Employer and the expiration of this Agreement. </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(a)Coverage of Arbitration Agreement: The promises by Employer and Employee to arbitrate differences, rather than 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w:t>
      </w:r>
      <w:r>
        <w:br w:type="page"/>
      </w:r>
    </w:p>
    <w:p>
      <w:pPr>
        <w:pStyle w:val="TextBody"/>
        <w:spacing w:before="0" w:after="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and wrongful discharge.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based on unlawful employment discrimination and/or harassment; claims for injunctive or equitable relief for violations of non-competition and/or confidentiality covenants contained in Sections 9, 10 and 11; or any claims that are prohibited as a matter of law from being covered by this Section 21.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(b)Waiver of Rights to Pursue Claims in Court and to Jury Trial: This Section 21 does not in any manner waive any rights 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 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(c)Initiation of Arbitration: To commence arbitration of a claim subject to this Section 21, the aggrieved party must, within 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(d)Time Limit to Initiate Arbitration: To ensure timely resolution of disputes, Employee and Employer must initiate 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(e)Arbitrator Selection: The parties contemplate that, except as specifically set forth in this Section 21, selection of one (1) 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pStyle w:val="TextBody"/>
        <w:spacing w:before="0" w:after="0"/>
        <w:ind w:left="0" w:right="0" w:firstLine="720"/>
        <w:jc w:val="both"/>
        <w:rPr/>
      </w:pPr>
      <w:r>
        <w:rPr/>
      </w:r>
    </w:p>
    <w:p>
      <w:pPr>
        <w:pStyle w:val="TextBody"/>
        <w:spacing w:lineRule="auto" w:line="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(f)Arbitration Rights and Procedures: Employee may be represented by an attorney of his/her choice at his/her own 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w:t>
      </w:r>
      <w:r>
        <w:br w:type="page"/>
      </w:r>
    </w:p>
    <w:p>
      <w:pPr>
        <w:pStyle w:val="TextBody"/>
        <w:spacing w:before="0" w:after="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 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(g)Arbitrator’s Award: The arbitrator will issue a written decision containing a statement as to the specific claims and issues 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 </w:t>
      </w:r>
    </w:p>
    <w:p>
      <w:pPr>
        <w:pStyle w:val="TextBody"/>
        <w:spacing w:before="0" w:after="0"/>
        <w:ind w:left="0" w:right="0" w:firstLine="720"/>
        <w:jc w:val="both"/>
        <w:rPr/>
      </w:pPr>
      <w:r>
        <w:rPr/>
      </w:r>
    </w:p>
    <w:p>
      <w:pPr>
        <w:pStyle w:val="TextBody"/>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(h)Fees and Expenses: Unless the law requires otherwise for a particular claim or claims, the party demanding arbitration 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 </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val="false"/>
          <w:color w:val="000000"/>
          <w:sz w:val="20"/>
        </w:rPr>
        <w:t xml:space="preserve">(i)Severability and Waiver of Trial by Jury: Employee and Employer further agree that, if a court of competent jurisdiction 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Times New Roman;sans-serif" w:hAnsi="Times New Roman;sans-serif"/>
          <w:b/>
          <w:color w:val="000000"/>
          <w:sz w:val="20"/>
        </w:rPr>
        <w:t>Employee and Employer agree to mutually waive their respective rights to a trial by jury in a court of competent jurisdiction in which an action is filed to resolve any such covered claims</w:t>
      </w:r>
      <w:r>
        <w:rPr>
          <w:rFonts w:ascii="Times New Roman;sans-serif" w:hAnsi="Times New Roman;sans-serif"/>
          <w:b w:val="false"/>
          <w:color w:val="000000"/>
          <w:sz w:val="20"/>
        </w:rPr>
        <w:t>.</w:t>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Employee and Employer agree to sign below to specifically authorize and affirmatively agree to utilize the provisions of Section 21 of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22.</w:t>
      </w:r>
      <w:r>
        <w:rPr>
          <w:rFonts w:ascii="Times New Roman;sans-serif" w:hAnsi="Times New Roman;sans-serif"/>
          <w:b/>
          <w:i/>
          <w:color w:val="000000"/>
          <w:sz w:val="20"/>
          <w:u w:val="single"/>
        </w:rPr>
        <w:t>ENTIRE AGREEMENT</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This Agreement constitutes the entire agreement between Employer and Employee, and supersedes any prior understandings, agreements, undertakings or severance policies or plans by and between Employer or its Affiliates, on the one side, and Employee, on the other side, with respect to its subject matter or Employee’s employment with Employer or its Affiliates. As of the Effective Date,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23.</w:t>
      </w:r>
      <w:r>
        <w:rPr>
          <w:rFonts w:ascii="Times New Roman;sans-serif" w:hAnsi="Times New Roman;sans-serif"/>
          <w:b/>
          <w:i/>
          <w:color w:val="000000"/>
          <w:sz w:val="20"/>
          <w:u w:val="single"/>
        </w:rPr>
        <w:t>FCPA COMPLIANCE</w:t>
      </w:r>
      <w:r>
        <w:rPr>
          <w:rFonts w:ascii="Times New Roman;sans-serif" w:hAnsi="Times New Roman;sans-serif"/>
          <w:b w:val="false"/>
          <w:color w:val="000000"/>
          <w:sz w:val="20"/>
        </w:rPr>
        <w:t>. Employer advises Employee that the United States Foreign Corrupt Practices Act (“</w:t>
      </w:r>
      <w:r>
        <w:rPr>
          <w:rFonts w:ascii="Times New Roman;sans-serif" w:hAnsi="Times New Roman;sans-serif"/>
          <w:b/>
          <w:color w:val="000000"/>
          <w:sz w:val="20"/>
        </w:rPr>
        <w:t>FCPA</w:t>
      </w:r>
      <w:r>
        <w:rPr>
          <w:color w:val="000000"/>
        </w:rPr>
        <w:t>”</w:t>
      </w:r>
      <w:r>
        <w:rPr>
          <w:rFonts w:ascii="Times New Roman;sans-serif" w:hAnsi="Times New Roman;sans-serif"/>
          <w:b w:val="false"/>
          <w:color w:val="000000"/>
          <w:sz w:val="20"/>
        </w:rPr>
        <w:t xml:space="preserve">) prohibits 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 </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policy or procedure of Employer. Employee further represents and warrants that Employee will know and understand, and act in accordance with, all policies and procedures of Employer related to anti-corruption and business conduct. Employee agrees to attend mandatory compliance training. Employee undertakes to duly notify Employer if Employee becomes aware of any such violation of policies or procedures of Employer, or any other violation of law, committed by Employee or any other person or entity, and to indemnify Employer for any losses, damages, fines, and/or penalties which Employer may suffer or incur arising out of or incidental to any such violation committed by Employee.</w:t>
      </w:r>
    </w:p>
    <w:p>
      <w:pPr>
        <w:pStyle w:val="TextBody"/>
        <w:spacing w:before="0" w:after="0"/>
        <w:ind w:left="0" w:right="0" w:firstLine="720"/>
        <w:jc w:val="both"/>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Employee also represents and warrants that Employee will disclose to Employer if Employee or any member of Employee’s family is a Foreign Government Official.</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 of breach of this provision, Employer may suspend or terminate this Agreement at any time without notice or indemnity.</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24.</w:t>
      </w:r>
      <w:r>
        <w:rPr>
          <w:rFonts w:ascii="Times New Roman;sans-serif" w:hAnsi="Times New Roman;sans-serif"/>
          <w:b/>
          <w:i/>
          <w:color w:val="000000"/>
          <w:sz w:val="20"/>
          <w:u w:val="single"/>
        </w:rPr>
        <w:t>COOPERATION IN MATTERS RELATED TO EMPLOYMENT</w:t>
      </w:r>
      <w:r>
        <w:rPr>
          <w:rFonts w:ascii="Times New Roman;sans-serif" w:hAnsi="Times New Roman;sans-serif"/>
          <w:b/>
          <w:i/>
          <w:color w:val="000000"/>
          <w:sz w:val="20"/>
        </w:rPr>
        <w:t xml:space="preserve">. </w:t>
      </w:r>
      <w:r>
        <w:rPr>
          <w:rFonts w:ascii="Times New Roman;sans-serif" w:hAnsi="Times New Roman;sans-serif"/>
          <w:b w:val="false"/>
          <w:color w:val="000000"/>
          <w:sz w:val="20"/>
        </w:rPr>
        <w:t>During the term of this Agreement, and to the extent necessary following Employee’s separation from employment, Employee agrees to cooperate with Employer, Employer’s counsel, and any Governmental Agency regarding any outstanding matters that involved Employee during the time and scope of her employment with Employer. Employer shall reimburse Employee for any reasonable expenses incurred through Employee’s participation in such cooperation.</w:t>
      </w:r>
    </w:p>
    <w:p>
      <w:pPr>
        <w:pStyle w:val="TextBody"/>
        <w:spacing w:before="0" w:after="0"/>
        <w:jc w:val="both"/>
        <w:rPr/>
      </w:pPr>
      <w:r>
        <w:rPr/>
      </w:r>
    </w:p>
    <w:p>
      <w:pPr>
        <w:pStyle w:val="TextBody"/>
        <w:spacing w:lineRule="auto" w:line="240" w:before="0" w:after="0"/>
        <w:ind w:left="0" w:right="0" w:firstLine="720"/>
        <w:jc w:val="both"/>
        <w:rPr/>
      </w:pPr>
      <w:r>
        <w:rPr>
          <w:rFonts w:ascii="Times New Roman;sans-serif" w:hAnsi="Times New Roman;sans-serif"/>
          <w:b/>
          <w:color w:val="000000"/>
          <w:sz w:val="20"/>
        </w:rPr>
        <w:t>25.</w:t>
      </w:r>
      <w:r>
        <w:rPr>
          <w:rFonts w:ascii="Times New Roman;sans-serif" w:hAnsi="Times New Roman;sans-serif"/>
          <w:b/>
          <w:i/>
          <w:color w:val="000000"/>
          <w:sz w:val="20"/>
          <w:u w:val="single"/>
        </w:rPr>
        <w:t>REVIEW BY PARTIES AND THEIR LEGAL COUNSEL</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The parties represent that they have read this Agreement and acknowledge that they have discussed its contents with their respective legal counsel or have been afforded the opportunity to avail themselves of the opportunity to the extent they each wished to do so. Any rule of construction or interpretation otherwise requiring this Agreement to be construed or interpreted against any party by virtue of the authorship of this Agreement shall not apply to the construction and interpretation hereof.</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**Employee and Employer have read and understand that Section 21 (Dispute Resolution) of this Agreement contains provisions requiring Employee, as well as Employer, to submit certain covered disputes between Employee and Employer to arbitration.  By signing below, Employee and Employer, specifically authorize and affirmatively agree to utilize the provisions of Section 21 of this Agreement.</w:t>
      </w:r>
    </w:p>
    <w:p>
      <w:pPr>
        <w:pStyle w:val="TextBody"/>
        <w:spacing w:before="0" w:after="0"/>
        <w:jc w:val="both"/>
        <w:rPr/>
      </w:pPr>
      <w:r>
        <w:rPr/>
      </w:r>
    </w:p>
    <w:tbl>
      <w:tblPr>
        <w:tblW w:w="5175" w:type="dxa"/>
        <w:jc w:val="left"/>
        <w:tblInd w:w="0" w:type="dxa"/>
        <w:tblCellMar>
          <w:top w:w="28" w:type="dxa"/>
          <w:left w:w="28" w:type="dxa"/>
          <w:bottom w:w="28" w:type="dxa"/>
          <w:right w:w="28" w:type="dxa"/>
        </w:tblCellMar>
      </w:tblPr>
      <w:tblGrid>
        <w:gridCol w:w="1167"/>
        <w:gridCol w:w="1026"/>
        <w:gridCol w:w="1032"/>
        <w:gridCol w:w="570"/>
        <w:gridCol w:w="570"/>
        <w:gridCol w:w="810"/>
      </w:tblGrid>
      <w:tr>
        <w:trPr/>
        <w:tc>
          <w:tcPr>
            <w:tcW w:w="1167"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Craig Billings, Chief Financial Officer</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bl>
    <w:p>
      <w:pPr>
        <w:pStyle w:val="TextBody"/>
        <w:spacing w:before="0" w:after="0"/>
        <w:jc w:val="both"/>
        <w:rPr/>
      </w:pPr>
      <w:r>
        <w:rPr/>
      </w:r>
    </w:p>
    <w:p>
      <w:pPr>
        <w:pStyle w:val="TextBody"/>
        <w:spacing w:lineRule="auto" w:line="240" w:before="0" w:after="0"/>
        <w:jc w:val="both"/>
        <w:rPr>
          <w:color w:val="000000"/>
        </w:rPr>
      </w:pPr>
      <w:r>
        <w:rPr>
          <w:color w:val="000000"/>
        </w:rPr>
        <w:t>    </w:t>
      </w:r>
    </w:p>
    <w:p>
      <w:pPr>
        <w:pStyle w:val="TextBody"/>
        <w:spacing w:lineRule="auto" w:line="240" w:before="0" w:after="0"/>
        <w:ind w:left="0" w:right="0" w:firstLine="720"/>
        <w:jc w:val="both"/>
        <w:rPr/>
      </w:pPr>
      <w:r>
        <w:rPr>
          <w:rFonts w:ascii="Times New Roman;sans-serif" w:hAnsi="Times New Roman;sans-serif"/>
          <w:b/>
          <w:i/>
          <w:color w:val="000000"/>
          <w:sz w:val="20"/>
        </w:rPr>
        <w:t>IN WITNESS WHEREOF AND INTENDING TO BE LEGALLY BOUND HEREBY,</w:t>
      </w:r>
      <w:r>
        <w:rPr>
          <w:color w:val="000000"/>
        </w:rPr>
        <w:t xml:space="preserve"> </w:t>
      </w:r>
      <w:r>
        <w:rPr>
          <w:rFonts w:ascii="Times New Roman;sans-serif" w:hAnsi="Times New Roman;sans-serif"/>
          <w:b w:val="false"/>
          <w:color w:val="000000"/>
          <w:sz w:val="20"/>
        </w:rPr>
        <w:t>the parties hereto have executed and delivered this Agreement as of the year and date first above written.</w:t>
      </w:r>
    </w:p>
    <w:p>
      <w:pPr>
        <w:pStyle w:val="TextBody"/>
        <w:spacing w:before="0" w:after="0"/>
        <w:ind w:left="0" w:right="0" w:firstLine="720"/>
        <w:jc w:val="both"/>
        <w:rPr/>
      </w:pPr>
      <w:r>
        <w:rPr/>
      </w:r>
    </w:p>
    <w:p>
      <w:pPr>
        <w:pStyle w:val="TextBody"/>
        <w:spacing w:before="0" w:after="0"/>
        <w:ind w:left="0" w:right="0" w:firstLine="720"/>
        <w:jc w:val="both"/>
        <w:rPr/>
      </w:pPr>
      <w:r>
        <w:rPr/>
      </w:r>
    </w:p>
    <w:tbl>
      <w:tblPr>
        <w:tblW w:w="5175" w:type="dxa"/>
        <w:jc w:val="left"/>
        <w:tblInd w:w="0" w:type="dxa"/>
        <w:tblCellMar>
          <w:top w:w="28" w:type="dxa"/>
          <w:left w:w="28" w:type="dxa"/>
          <w:bottom w:w="28" w:type="dxa"/>
          <w:right w:w="28" w:type="dxa"/>
        </w:tblCellMar>
      </w:tblPr>
      <w:tblGrid>
        <w:gridCol w:w="1167"/>
        <w:gridCol w:w="1026"/>
        <w:gridCol w:w="1032"/>
        <w:gridCol w:w="570"/>
        <w:gridCol w:w="570"/>
        <w:gridCol w:w="810"/>
      </w:tblGrid>
      <w:tr>
        <w:trPr/>
        <w:tc>
          <w:tcPr>
            <w:tcW w:w="1167"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EMPLOYEE</w:t>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Julie Cameron-Doe</w:t>
            </w:r>
          </w:p>
        </w:tc>
      </w:tr>
      <w:tr>
        <w:trPr/>
        <w:tc>
          <w:tcPr>
            <w:tcW w:w="3225"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Craig Billings, Chief Financial Officer</w:t>
            </w:r>
          </w:p>
        </w:tc>
        <w:tc>
          <w:tcPr>
            <w:tcW w:w="1950" w:type="dxa"/>
            <w:gridSpan w:val="3"/>
            <w:tcBorders/>
            <w:shd w:fill="auto" w:val="clear"/>
            <w:tcMar>
              <w:top w:w="0" w:type="dxa"/>
              <w:left w:w="0" w:type="dxa"/>
              <w:bottom w:w="0" w:type="dxa"/>
              <w:right w:w="0" w:type="dxa"/>
            </w:tcMar>
            <w:vAlign w:val="center"/>
          </w:tcPr>
          <w:p>
            <w:pPr>
              <w:pStyle w:val="TableContents"/>
              <w:spacing w:lineRule="auto" w:line="319"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Julie Cameron-Doe</w:t>
            </w:r>
          </w:p>
        </w:tc>
      </w:tr>
    </w:tbl>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EMPLOYMENT AGREEMENT</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lineRule="auto" w:line="240" w:before="0" w:after="0"/>
        <w:jc w:val="center"/>
        <w:rPr>
          <w:color w:val="000000"/>
        </w:rPr>
      </w:pPr>
      <w:r>
        <w:rPr>
          <w:color w:val="000000"/>
        </w:rPr>
        <w:t>                        </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by and between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WYNN RESORTS, LIMITED</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(“Employer”)</w:t>
      </w:r>
    </w:p>
    <w:p>
      <w:pPr>
        <w:pStyle w:val="TextBody"/>
        <w:spacing w:before="0" w:after="0"/>
        <w:jc w:val="center"/>
        <w:rPr/>
      </w:pPr>
      <w:r>
        <w:rPr/>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and -</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JULIE CAMERON-DOE</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(“Employee”)</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spacing w:lineRule="auto" w:line="240" w:before="0" w:after="0"/>
        <w:jc w:val="center"/>
        <w:rPr/>
      </w:pPr>
      <w:r>
        <w:rPr>
          <w:rFonts w:ascii="Times New Roman;sans-serif" w:hAnsi="Times New Roman;sans-serif"/>
          <w:b/>
          <w:color w:val="000000"/>
          <w:sz w:val="20"/>
        </w:rPr>
        <w:t>DATED:</w:t>
      </w:r>
      <w:r>
        <w:rPr>
          <w:color w:val="000000"/>
        </w:rPr>
        <w:t>    </w:t>
      </w:r>
      <w:r>
        <w:rPr>
          <w:rFonts w:ascii="Times New Roman;sans-serif" w:hAnsi="Times New Roman;sans-serif"/>
          <w:b w:val="false"/>
          <w:color w:val="000000"/>
          <w:sz w:val="20"/>
        </w:rPr>
        <w:t>December 7, 2021</w:t>
      </w:r>
    </w:p>
    <w:p>
      <w:pPr>
        <w:pStyle w:val="TextBody"/>
        <w:spacing w:lineRule="auto" w:line="240"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____________________________________________</w:t>
      </w:r>
    </w:p>
    <w:p>
      <w:pPr>
        <w:pStyle w:val="TextBody"/>
        <w:spacing w:before="0" w:after="0"/>
        <w:jc w:val="center"/>
        <w:rPr/>
      </w:pPr>
      <w:r>
        <w:rPr/>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SUBSIDIARIES OF WYNN RESORTS, LIMITED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Asia Development,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Chamber Associates,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Development Associates,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Jet, LLC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Las Vegas Jet Hangar,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Massachusetts Property,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23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41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49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51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55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57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61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63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80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82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98 Bow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103 Broadway,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127 Broadway,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10 Gardner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8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10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12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18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28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32 Lynde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15 Mystic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35 Mystic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40 Mystic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51 Mystic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6 Scott Place,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7 Scott Place,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10 Scott Place,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12 Scott Place,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5 Thorndike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7 Thorndike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11 Thorndike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21 Thorndike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68 Tremont Street,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East Broadway,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EBH Broadway, LLC (a Massachusetts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Everett Broadway, LLC (a Massachusetts company)</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Nevada Realty Associates,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Rambas Marketing Co., LLC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Wynn Indonesia Marketing, LLC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Wynn International Marketing, Ltd (an Isle of Man company)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Toasty, LLC (a Delaware company)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Valvino Lamore,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WA Insurance,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WDD Massachusetts Purchasing, LLC (Nevada)</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WestWynn,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WLV Labs,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World Travel G-IV, LLC </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 xml:space="preserve">Worldwide Wynn, LLC </w:t>
      </w:r>
      <w:r>
        <w:br w:type="page"/>
      </w:r>
    </w:p>
    <w:p>
      <w:pPr>
        <w:pStyle w:val="TextBody"/>
        <w:spacing w:before="0" w:after="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WSI Holdco,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Aircraft,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Aircraft II,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Aircraft IV,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Aircraft V,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Design &amp; Development,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Energy,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Gallery,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Golf,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Group ME,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Interactive,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WSI Investments, LLC </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Wynn Interactive, LTD (Bermuda)</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Betbull Limited (Malta)</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Sosyal Yazilim ve Danismanlik Hizmetleri AS (Turkey)</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Betbull Games Limited (Malta)</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Social Games Limited (Malta)</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Social Sports Limited (Gibraltar)</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Betbull Social Sports UK Limited</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Wynn Social Sports Global </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Wynn Social Sports US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Interactive Global, LLC</w:t>
      </w:r>
    </w:p>
    <w:p>
      <w:pPr>
        <w:pStyle w:val="TextBody"/>
        <w:spacing w:lineRule="auto" w:line="288" w:before="0" w:after="0"/>
        <w:ind w:left="0" w:right="0" w:firstLine="2520"/>
        <w:rPr>
          <w:rFonts w:ascii="Times New Roman;sans-serif" w:hAnsi="Times New Roman;sans-serif"/>
          <w:b w:val="false"/>
          <w:color w:val="000000"/>
          <w:sz w:val="20"/>
        </w:rPr>
      </w:pPr>
      <w:r>
        <w:rPr>
          <w:rFonts w:ascii="Times New Roman;sans-serif" w:hAnsi="Times New Roman;sans-serif"/>
          <w:b w:val="false"/>
          <w:color w:val="000000"/>
          <w:sz w:val="20"/>
        </w:rPr>
        <w:t>WSI US,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WSI US Transportation, LLC</w:t>
      </w:r>
    </w:p>
    <w:p>
      <w:pPr>
        <w:pStyle w:val="TextBody"/>
        <w:spacing w:lineRule="auto" w:line="288" w:before="0" w:after="0"/>
        <w:ind w:left="0" w:right="0" w:firstLine="2520"/>
        <w:rPr/>
      </w:pPr>
      <w:r>
        <w:rPr>
          <w:rFonts w:ascii="Times New Roman;sans-serif" w:hAnsi="Times New Roman;sans-serif"/>
          <w:b w:val="false"/>
          <w:color w:val="000000"/>
          <w:sz w:val="20"/>
        </w:rPr>
        <w:t>Wynn Social Betting, LLC</w:t>
      </w:r>
      <w:r>
        <w:rPr>
          <w:color w:val="000000"/>
        </w:rPr>
        <w:t xml:space="preserve"> </w:t>
      </w:r>
    </w:p>
    <w:p>
      <w:pPr>
        <w:pStyle w:val="TextBody"/>
        <w:spacing w:lineRule="auto" w:line="288" w:before="0" w:after="0"/>
        <w:ind w:left="0" w:right="0" w:firstLine="2520"/>
        <w:rPr>
          <w:rFonts w:ascii="Times New Roman;sans-serif" w:hAnsi="Times New Roman;sans-serif"/>
          <w:b w:val="false"/>
          <w:color w:val="000000"/>
          <w:sz w:val="20"/>
        </w:rPr>
      </w:pPr>
      <w:r>
        <w:rPr>
          <w:rFonts w:ascii="Times New Roman;sans-serif" w:hAnsi="Times New Roman;sans-serif"/>
          <w:b w:val="false"/>
          <w:color w:val="000000"/>
          <w:sz w:val="20"/>
        </w:rPr>
        <w:t>Wynn Social Gaming,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Investments,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IOM Holdco I, Ltd. (an Isle of Man company) </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Wynn IOM Holdco II, Ltd. (an Isle of Man company) </w:t>
      </w:r>
    </w:p>
    <w:p>
      <w:pPr>
        <w:pStyle w:val="TextBody"/>
        <w:spacing w:lineRule="auto" w:line="276"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SH – Sociedade de Hotelaria, Limitada (a Macau company) </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SH Hoteleria Hong Kong Limited (a Hong Kong company) </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Wynn Manpower, Limited (a Macau company) </w:t>
      </w:r>
    </w:p>
    <w:p>
      <w:pPr>
        <w:pStyle w:val="TextBody"/>
        <w:spacing w:lineRule="auto" w:line="276" w:before="0" w:after="0"/>
        <w:ind w:left="0" w:right="0" w:firstLine="1215"/>
        <w:rPr>
          <w:rFonts w:ascii="Times New Roman;sans-serif" w:hAnsi="Times New Roman;sans-serif"/>
          <w:b w:val="false"/>
          <w:color w:val="000000"/>
          <w:sz w:val="20"/>
        </w:rPr>
      </w:pPr>
      <w:r>
        <w:rPr>
          <w:rFonts w:ascii="Times New Roman;sans-serif" w:hAnsi="Times New Roman;sans-serif"/>
          <w:b w:val="false"/>
          <w:color w:val="000000"/>
          <w:sz w:val="20"/>
        </w:rPr>
        <w:t xml:space="preserve">Harthor Hospitality Services Limited (a Macau company) </w:t>
      </w:r>
    </w:p>
    <w:p>
      <w:pPr>
        <w:pStyle w:val="TextBody"/>
        <w:spacing w:lineRule="auto" w:line="288" w:before="0" w:after="0"/>
        <w:ind w:left="0" w:right="0" w:firstLine="1935"/>
        <w:rPr>
          <w:rFonts w:ascii="Times New Roman;sans-serif" w:hAnsi="Times New Roman;sans-serif"/>
          <w:b w:val="false"/>
          <w:color w:val="000000"/>
          <w:sz w:val="20"/>
        </w:rPr>
      </w:pPr>
      <w:r>
        <w:rPr>
          <w:rFonts w:ascii="Times New Roman;sans-serif" w:hAnsi="Times New Roman;sans-serif"/>
          <w:b w:val="false"/>
          <w:color w:val="000000"/>
          <w:sz w:val="20"/>
        </w:rPr>
        <w:t>Harthor Hospitality Services HK Limited (a Hong Kong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Lumini Hospitality Services Limited (a Macau company) </w:t>
      </w:r>
    </w:p>
    <w:p>
      <w:pPr>
        <w:pStyle w:val="TextBody"/>
        <w:spacing w:lineRule="auto" w:line="288" w:before="0" w:after="0"/>
        <w:ind w:left="0" w:right="0" w:firstLine="1935"/>
        <w:rPr>
          <w:rFonts w:ascii="Times New Roman;sans-serif" w:hAnsi="Times New Roman;sans-serif"/>
          <w:b w:val="false"/>
          <w:color w:val="000000"/>
          <w:sz w:val="20"/>
        </w:rPr>
      </w:pPr>
      <w:r>
        <w:rPr>
          <w:rFonts w:ascii="Times New Roman;sans-serif" w:hAnsi="Times New Roman;sans-serif"/>
          <w:b w:val="false"/>
          <w:color w:val="000000"/>
          <w:sz w:val="20"/>
        </w:rPr>
        <w:t>Lumini Hospitality Services HK Limited (a Hong Kong company)</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SAC Hospitality Services Limited (a Macau company) </w:t>
      </w:r>
    </w:p>
    <w:p>
      <w:pPr>
        <w:pStyle w:val="TextBody"/>
        <w:spacing w:lineRule="auto" w:line="288" w:before="0" w:after="0"/>
        <w:ind w:left="0" w:right="0" w:firstLine="1935"/>
        <w:rPr>
          <w:rFonts w:ascii="Times New Roman;sans-serif" w:hAnsi="Times New Roman;sans-serif"/>
          <w:b w:val="false"/>
          <w:color w:val="000000"/>
          <w:sz w:val="20"/>
        </w:rPr>
      </w:pPr>
      <w:r>
        <w:rPr>
          <w:rFonts w:ascii="Times New Roman;sans-serif" w:hAnsi="Times New Roman;sans-serif"/>
          <w:b w:val="false"/>
          <w:color w:val="000000"/>
          <w:sz w:val="20"/>
        </w:rPr>
        <w:t>SAC Hospitality Services HK Limited (a Hong Kong company)</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Palo Marketing Services Limited (a Macau company)</w:t>
      </w:r>
    </w:p>
    <w:p>
      <w:pPr>
        <w:pStyle w:val="TextBody"/>
        <w:spacing w:lineRule="auto" w:line="288" w:before="0" w:after="0"/>
        <w:ind w:left="0" w:right="0" w:firstLine="2430"/>
        <w:rPr>
          <w:rFonts w:ascii="Times New Roman;sans-serif" w:hAnsi="Times New Roman;sans-serif"/>
          <w:b w:val="false"/>
          <w:color w:val="000000"/>
          <w:sz w:val="20"/>
        </w:rPr>
      </w:pPr>
      <w:r>
        <w:rPr>
          <w:rFonts w:ascii="Times New Roman;sans-serif" w:hAnsi="Times New Roman;sans-serif"/>
          <w:b w:val="false"/>
          <w:color w:val="000000"/>
          <w:sz w:val="20"/>
        </w:rPr>
        <w:t>Palo Hong Kong Limited (a Hong Kong company)</w:t>
      </w:r>
    </w:p>
    <w:p>
      <w:pPr>
        <w:pStyle w:val="TextBody"/>
        <w:spacing w:lineRule="auto" w:line="288" w:before="0" w:after="0"/>
        <w:ind w:left="0" w:right="0" w:firstLine="990"/>
        <w:rPr>
          <w:rFonts w:ascii="Times New Roman;sans-serif" w:hAnsi="Times New Roman;sans-serif"/>
          <w:b w:val="false"/>
          <w:color w:val="000000"/>
          <w:sz w:val="20"/>
        </w:rPr>
      </w:pPr>
      <w:r>
        <w:rPr>
          <w:rFonts w:ascii="Times New Roman;sans-serif" w:hAnsi="Times New Roman;sans-serif"/>
          <w:b w:val="false"/>
          <w:color w:val="000000"/>
          <w:sz w:val="20"/>
        </w:rPr>
        <w:t xml:space="preserve">Palo Manpower Hong Kong Limited (a Hong Kong company)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Development Company,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Nightlife,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North Asia,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Online Store,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Development, LLC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Development (Japan) Godo Kaisha (a Japan Company)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Hotel Marketing &amp; Sales (Asia),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Holdings, LLC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Wynn Resorts Finance, LLC</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Wynn America Group, LLC </w:t>
      </w:r>
    </w:p>
    <w:p>
      <w:pPr>
        <w:pStyle w:val="TextBody"/>
        <w:spacing w:lineRule="auto" w:line="288" w:before="0" w:after="0"/>
        <w:ind w:left="0" w:right="0" w:firstLine="2160"/>
        <w:rPr/>
      </w:pPr>
      <w:r>
        <w:rPr>
          <w:rFonts w:ascii="Times New Roman;sans-serif" w:hAnsi="Times New Roman;sans-serif"/>
          <w:b w:val="false"/>
          <w:color w:val="000000"/>
          <w:sz w:val="20"/>
        </w:rPr>
        <w:t>Everett Property, LLC</w:t>
      </w:r>
      <w:r>
        <w:rPr>
          <w:color w:val="000000"/>
        </w:rPr>
        <w:t xml:space="preserve"> </w:t>
      </w:r>
      <w:r>
        <w:rPr>
          <w:rFonts w:ascii="Times New Roman;sans-serif" w:hAnsi="Times New Roman;sans-serif"/>
          <w:b w:val="false"/>
          <w:color w:val="000000"/>
          <w:sz w:val="20"/>
        </w:rPr>
        <w:t>(a Massachusetts company)</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 xml:space="preserve">Wynn MA, LLC </w:t>
      </w:r>
    </w:p>
    <w:p>
      <w:pPr>
        <w:pStyle w:val="TextBody"/>
        <w:spacing w:lineRule="auto" w:line="288" w:before="0" w:after="0"/>
        <w:ind w:left="0" w:right="0" w:firstLine="2880"/>
        <w:rPr>
          <w:rFonts w:ascii="Times New Roman;sans-serif" w:hAnsi="Times New Roman;sans-serif"/>
          <w:b w:val="false"/>
          <w:color w:val="000000"/>
          <w:sz w:val="20"/>
        </w:rPr>
      </w:pPr>
      <w:r>
        <w:rPr>
          <w:rFonts w:ascii="Times New Roman;sans-serif" w:hAnsi="Times New Roman;sans-serif"/>
          <w:b w:val="false"/>
          <w:color w:val="000000"/>
          <w:sz w:val="20"/>
        </w:rPr>
        <w:t>EBH Holdings, LLC</w:t>
      </w:r>
    </w:p>
    <w:p>
      <w:pPr>
        <w:pStyle w:val="TextBody"/>
        <w:spacing w:lineRule="auto" w:line="288" w:before="0" w:after="0"/>
        <w:ind w:left="0" w:right="0" w:firstLine="2880"/>
        <w:rPr>
          <w:rFonts w:ascii="Times New Roman;sans-serif" w:hAnsi="Times New Roman;sans-serif"/>
          <w:b w:val="false"/>
          <w:color w:val="000000"/>
          <w:sz w:val="20"/>
        </w:rPr>
      </w:pPr>
      <w:r>
        <w:rPr>
          <w:rFonts w:ascii="Times New Roman;sans-serif" w:hAnsi="Times New Roman;sans-serif"/>
          <w:b w:val="false"/>
          <w:color w:val="000000"/>
          <w:sz w:val="20"/>
        </w:rPr>
        <w:t>EBH MA Property, LLC (a Massachusetts company)</w:t>
      </w:r>
    </w:p>
    <w:p>
      <w:pPr>
        <w:pStyle w:val="TextBody"/>
        <w:spacing w:lineRule="auto" w:line="288"/>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Wynn Las Vegas Holdings, LLC</w:t>
      </w:r>
      <w:r>
        <w:br w:type="page"/>
      </w:r>
    </w:p>
    <w:p>
      <w:pPr>
        <w:pStyle w:val="TextBody"/>
        <w:spacing w:before="0" w:after="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ind w:left="0" w:right="0" w:firstLine="2880"/>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LLC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Kevyn, LLC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WLV Events, LLC</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World Travel, LLC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Wynn Las Vegas Capital Corp.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Wynn Show Performers, LLC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Wynn Sunrise, LLC </w:t>
      </w:r>
    </w:p>
    <w:p>
      <w:pPr>
        <w:pStyle w:val="TextBody"/>
        <w:spacing w:lineRule="auto" w:line="288" w:before="0" w:after="0"/>
        <w:ind w:left="0" w:right="0" w:firstLine="1440"/>
        <w:rPr/>
      </w:pPr>
      <w:r>
        <w:rPr>
          <w:rFonts w:ascii="Times New Roman;sans-serif" w:hAnsi="Times New Roman;sans-serif"/>
          <w:b w:val="false"/>
          <w:color w:val="000000"/>
          <w:sz w:val="20"/>
        </w:rPr>
        <w:t>Wynn Group</w:t>
      </w:r>
      <w:r>
        <w:rPr>
          <w:color w:val="000000"/>
        </w:rPr>
        <w:t xml:space="preserve"> </w:t>
      </w:r>
      <w:r>
        <w:rPr>
          <w:rFonts w:ascii="Times New Roman;sans-serif" w:hAnsi="Times New Roman;sans-serif"/>
          <w:b w:val="false"/>
          <w:color w:val="000000"/>
          <w:sz w:val="20"/>
        </w:rPr>
        <w:t xml:space="preserve">Asia, Inc. </w:t>
      </w:r>
    </w:p>
    <w:p>
      <w:pPr>
        <w:pStyle w:val="TextBody"/>
        <w:spacing w:lineRule="auto" w:line="288" w:before="0" w:after="0"/>
        <w:ind w:left="0" w:right="0" w:firstLine="2160"/>
        <w:rPr>
          <w:rFonts w:ascii="Times New Roman;sans-serif" w:hAnsi="Times New Roman;sans-serif"/>
          <w:b w:val="false"/>
          <w:color w:val="000000"/>
          <w:sz w:val="20"/>
        </w:rPr>
      </w:pPr>
      <w:r>
        <w:rPr>
          <w:rFonts w:ascii="Times New Roman;sans-serif" w:hAnsi="Times New Roman;sans-serif"/>
          <w:b w:val="false"/>
          <w:color w:val="000000"/>
          <w:sz w:val="20"/>
        </w:rPr>
        <w:t xml:space="preserve">WM Cayman Holdings Limited I (a Cayman Islands company) </w:t>
      </w:r>
    </w:p>
    <w:p>
      <w:pPr>
        <w:pStyle w:val="TextBody"/>
        <w:spacing w:lineRule="auto" w:line="288" w:before="0" w:after="0"/>
        <w:ind w:left="0" w:right="0" w:firstLine="2655"/>
        <w:rPr>
          <w:rFonts w:ascii="Times New Roman;sans-serif" w:hAnsi="Times New Roman;sans-serif"/>
          <w:b w:val="false"/>
          <w:color w:val="000000"/>
          <w:sz w:val="20"/>
        </w:rPr>
      </w:pPr>
      <w:r>
        <w:rPr>
          <w:rFonts w:ascii="Times New Roman;sans-serif" w:hAnsi="Times New Roman;sans-serif"/>
          <w:b w:val="false"/>
          <w:color w:val="000000"/>
          <w:sz w:val="20"/>
        </w:rPr>
        <w:t xml:space="preserve">Wynn Macau, Limited (a Cayman Islands company and a 72% owned company) </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WML Corp. Ltd. (a Cayman Islands company)</w:t>
      </w:r>
    </w:p>
    <w:p>
      <w:pPr>
        <w:pStyle w:val="TextBody"/>
        <w:spacing w:lineRule="auto" w:line="288" w:before="0" w:after="0"/>
        <w:ind w:left="0" w:right="0" w:firstLine="3600"/>
        <w:rPr>
          <w:rFonts w:ascii="Times New Roman;sans-serif" w:hAnsi="Times New Roman;sans-serif"/>
          <w:b w:val="false"/>
          <w:color w:val="000000"/>
          <w:sz w:val="20"/>
        </w:rPr>
      </w:pPr>
      <w:r>
        <w:rPr>
          <w:rFonts w:ascii="Times New Roman;sans-serif" w:hAnsi="Times New Roman;sans-serif"/>
          <w:b w:val="false"/>
          <w:color w:val="000000"/>
          <w:sz w:val="20"/>
        </w:rPr>
        <w:t xml:space="preserve">WM Cayman Holdings Limited II (a Cayman Islands company) </w:t>
      </w:r>
    </w:p>
    <w:p>
      <w:pPr>
        <w:pStyle w:val="TextBody"/>
        <w:spacing w:lineRule="auto" w:line="288" w:before="0" w:after="0"/>
        <w:ind w:left="0" w:right="0" w:firstLine="3735"/>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International, Ltd. (an Isle of Man company) </w:t>
      </w:r>
    </w:p>
    <w:p>
      <w:pPr>
        <w:pStyle w:val="TextBody"/>
        <w:spacing w:lineRule="auto" w:line="288" w:before="0" w:after="0"/>
        <w:ind w:left="0" w:right="0" w:firstLine="4005"/>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Holdings, Ltd. (an Isle of Man company) </w:t>
      </w:r>
    </w:p>
    <w:p>
      <w:pPr>
        <w:pStyle w:val="TextBody"/>
        <w:spacing w:lineRule="auto" w:line="288" w:before="0" w:after="0"/>
        <w:ind w:left="0" w:right="0" w:firstLine="432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Ltd. (a Hong Kong company) </w:t>
      </w:r>
    </w:p>
    <w:p>
      <w:pPr>
        <w:pStyle w:val="TextBody"/>
        <w:spacing w:lineRule="auto" w:line="288" w:before="0" w:after="0"/>
        <w:ind w:left="0" w:right="0" w:firstLine="4635"/>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(Macau), S.A. (a Macau company) </w:t>
      </w:r>
    </w:p>
    <w:p>
      <w:pPr>
        <w:pStyle w:val="TextBody"/>
        <w:spacing w:lineRule="auto" w:line="288" w:before="0" w:after="0"/>
        <w:ind w:left="0" w:right="0" w:firstLine="4860"/>
        <w:rPr>
          <w:rFonts w:ascii="Times New Roman;sans-serif" w:hAnsi="Times New Roman;sans-serif"/>
          <w:b w:val="false"/>
          <w:color w:val="000000"/>
          <w:sz w:val="20"/>
        </w:rPr>
      </w:pPr>
      <w:r>
        <w:rPr>
          <w:rFonts w:ascii="Times New Roman;sans-serif" w:hAnsi="Times New Roman;sans-serif"/>
          <w:b w:val="false"/>
          <w:color w:val="000000"/>
          <w:sz w:val="20"/>
        </w:rPr>
        <w:t xml:space="preserve">Palo Real Estate Company Ltd. (a Macau company) </w:t>
      </w:r>
    </w:p>
    <w:p>
      <w:pPr>
        <w:pStyle w:val="TextBody"/>
        <w:spacing w:lineRule="auto" w:line="288" w:before="0" w:after="0"/>
        <w:ind w:left="0" w:right="0" w:firstLine="3510"/>
        <w:rPr>
          <w:rFonts w:ascii="Times New Roman;sans-serif" w:hAnsi="Times New Roman;sans-serif"/>
          <w:b w:val="false"/>
          <w:color w:val="000000"/>
          <w:sz w:val="20"/>
        </w:rPr>
      </w:pPr>
      <w:r>
        <w:rPr>
          <w:rFonts w:ascii="Times New Roman;sans-serif" w:hAnsi="Times New Roman;sans-serif"/>
          <w:b w:val="false"/>
          <w:color w:val="000000"/>
          <w:sz w:val="20"/>
        </w:rPr>
        <w:t xml:space="preserve">WML Finance I Limited (a Cayman Islands company)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Wynn Resorts Capital Corporation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Retail, LLC</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Wynn/CA JV, LLC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Wynn/CA Property Owner, LLC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Plaza, LLC</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Wynn/CA Plaza JV, LLC</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Wynn/CA Plaza Property Owner,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Wynn Esplanade, LLC</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Wynn/CA Esplanade JV, LLC</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Wynn/CA Esplanade Property Owner, LLC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Wynn Vacations, LLC </w:t>
      </w:r>
    </w:p>
    <w:p>
      <w:pPr>
        <w:pStyle w:val="TextBody"/>
        <w:spacing w:before="0" w:after="0"/>
        <w:ind w:left="0" w:right="0" w:firstLine="720"/>
        <w:rPr/>
      </w:pPr>
      <w:r>
        <w:rPr/>
      </w:r>
    </w:p>
    <w:p>
      <w:pPr>
        <w:pStyle w:val="TextBody"/>
        <w:spacing w:before="0" w:after="0"/>
        <w:rPr/>
      </w:pPr>
      <w:r>
        <w:rPr/>
      </w:r>
    </w:p>
    <w:p>
      <w:pPr>
        <w:pStyle w:val="TextBody"/>
        <w:spacing w:before="0" w:after="200"/>
        <w:rPr/>
      </w:pPr>
      <w:r>
        <w:rPr/>
      </w:r>
    </w:p>
    <w:p>
      <w:pPr>
        <w:pStyle w:val="TextBody"/>
        <w:spacing w:lineRule="auto" w:line="288"/>
        <w:rPr>
          <w:rFonts w:ascii="Times New Roman;sans-serif" w:hAnsi="Times New Roman;sans-serif"/>
          <w:b/>
          <w:color w:val="000000"/>
          <w:sz w:val="20"/>
        </w:rPr>
      </w:pPr>
      <w:r>
        <w:rPr>
          <w:rFonts w:ascii="Times New Roman;sans-serif" w:hAnsi="Times New Roman;sans-serif"/>
          <w:b/>
          <w:color w:val="000000"/>
          <w:sz w:val="20"/>
        </w:rPr>
        <w:t xml:space="preserve">All subsidiaries are formed in the State of Nevada and wholly owned unless otherwise specifically identified.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200"/>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spacing w:before="0" w:after="0"/>
        <w:jc w:val="center"/>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following Registration Statements:</w:t>
      </w:r>
    </w:p>
    <w:p>
      <w:pPr>
        <w:pStyle w:val="TextBody"/>
        <w:spacing w:before="0" w:after="0"/>
        <w:jc w:val="both"/>
        <w:rPr/>
      </w:pPr>
      <w:r>
        <w:rPr/>
      </w:r>
    </w:p>
    <w:p>
      <w:pPr>
        <w:pStyle w:val="TextBody"/>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1.Registration Statement (Form S-3 No. 333-234542) of Wynn Resorts, Limited,</w:t>
      </w:r>
    </w:p>
    <w:p>
      <w:pPr>
        <w:pStyle w:val="TextBody"/>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2.Registration Statement (Form S-8 No. 333-239579) pertaining to the 2014 Omnibus Incentive Plan of Wynn Resorts, Limited, and</w:t>
      </w:r>
    </w:p>
    <w:p>
      <w:pPr>
        <w:pStyle w:val="TextBody"/>
        <w:spacing w:lineRule="auto" w:line="276"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3.Registration Statement (Form S-8 No. 333-196113) pertaining to the 2014 Omnibus Incentive Plan of Wynn Resorts, Limited;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our reports dated February 28, 2022 with respect to the consolidated financial statements and schedule of Wynn Resorts, Limited and the effectiveness of internal control over financial reporting of Wynn Resorts, Limited, included in this Annual Report (Form 10-K) of Wynn Resorts, Limited for the year ended December 31, 2021.</w:t>
      </w:r>
    </w:p>
    <w:p>
      <w:pPr>
        <w:pStyle w:val="TextBody"/>
        <w:spacing w:before="0" w:after="0"/>
        <w:rPr/>
      </w:pPr>
      <w:r>
        <w:rPr/>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ind w:left="0" w:right="0" w:firstLine="648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Las Vegas, Nevada</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p>
      <w:pPr>
        <w:pStyle w:val="TextBody"/>
        <w:spacing w:before="0" w:after="0"/>
        <w:rPr/>
      </w:pPr>
      <w:r>
        <w:rPr/>
      </w:r>
    </w:p>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60" w:after="283"/>
        <w:rPr>
          <w:rFonts w:ascii="Times New Roman;sans-serif" w:hAnsi="Times New Roman;sans-serif"/>
          <w:b w:val="false"/>
          <w:color w:val="000000"/>
          <w:sz w:val="20"/>
        </w:rPr>
      </w:pPr>
      <w:r>
        <w:rPr>
          <w:rFonts w:ascii="Times New Roman;sans-serif" w:hAnsi="Times New Roman;sans-serif"/>
          <w:b w:val="false"/>
          <w:color w:val="000000"/>
          <w:sz w:val="20"/>
        </w:rPr>
        <w:t>I, Craig S. Billings, certify that: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Wynn Resorts, Limited;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4.I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5.I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6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60" w:after="283"/>
        <w:ind w:left="0" w:right="0" w:hanging="720"/>
        <w:jc w:val="center"/>
        <w:rPr/>
      </w:pPr>
      <w:r>
        <w:rPr/>
      </w:r>
    </w:p>
    <w:tbl>
      <w:tblPr>
        <w:tblW w:w="9411" w:type="dxa"/>
        <w:jc w:val="center"/>
        <w:tblInd w:w="0" w:type="dxa"/>
        <w:tblCellMar>
          <w:top w:w="28" w:type="dxa"/>
          <w:left w:w="28" w:type="dxa"/>
          <w:bottom w:w="28" w:type="dxa"/>
          <w:right w:w="28" w:type="dxa"/>
        </w:tblCellMar>
      </w:tblPr>
      <w:tblGrid>
        <w:gridCol w:w="754"/>
        <w:gridCol w:w="664"/>
        <w:gridCol w:w="667"/>
        <w:gridCol w:w="109"/>
        <w:gridCol w:w="109"/>
        <w:gridCol w:w="109"/>
        <w:gridCol w:w="109"/>
        <w:gridCol w:w="109"/>
        <w:gridCol w:w="109"/>
        <w:gridCol w:w="109"/>
        <w:gridCol w:w="109"/>
        <w:gridCol w:w="109"/>
        <w:gridCol w:w="1856"/>
        <w:gridCol w:w="1856"/>
        <w:gridCol w:w="2633"/>
      </w:tblGrid>
      <w:tr>
        <w:trPr/>
        <w:tc>
          <w:tcPr>
            <w:tcW w:w="75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1856" w:type="dxa"/>
            <w:tcBorders/>
            <w:shd w:fill="auto" w:val="clear"/>
            <w:vAlign w:val="center"/>
          </w:tcPr>
          <w:p>
            <w:pPr>
              <w:pStyle w:val="TableContents"/>
              <w:spacing w:before="0" w:after="283"/>
              <w:rPr>
                <w:sz w:val="4"/>
                <w:szCs w:val="4"/>
              </w:rPr>
            </w:pPr>
            <w:r>
              <w:rPr>
                <w:sz w:val="4"/>
                <w:szCs w:val="4"/>
              </w:rPr>
            </w:r>
          </w:p>
        </w:tc>
        <w:tc>
          <w:tcPr>
            <w:tcW w:w="2633"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Craig S. Billings             </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br/>
              <w:t>Director, Chief Executive Officer (Principal Executive and Financial Officer)</w:t>
            </w:r>
          </w:p>
        </w:tc>
      </w:tr>
    </w:tbl>
    <w:p>
      <w:pPr>
        <w:pStyle w:val="TextBody"/>
        <w:spacing w:before="180" w:after="283"/>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of CEO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80" w:after="283"/>
        <w:ind w:left="0" w:right="0" w:firstLine="108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on Form 10-K of Wynn Resorts, Limited (the “Company”) for the year ended December 31, 2021 as filed with the Securities and Exchange Commission on the date hereof (the “Report”), Craig S. Billings, as Chief Executive Officer (Principal Executive and Financial Officer) of the Company, hereby certifies, pursuant to 18 U.S.C. Section 1350, as adopted pursuant to Section 906 of the Sarbanes-Oxley Act of 2002, that, to the best of his knowledge:</w:t>
      </w:r>
    </w:p>
    <w:p>
      <w:pPr>
        <w:pStyle w:val="TextBody"/>
        <w:spacing w:lineRule="auto" w:line="288" w:before="18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80" w:after="283"/>
        <w:ind w:left="0" w:right="0" w:hanging="108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80" w:after="283"/>
        <w:ind w:left="0" w:right="0" w:hanging="720"/>
        <w:rPr/>
      </w:pPr>
      <w:r>
        <w:rPr/>
      </w:r>
    </w:p>
    <w:tbl>
      <w:tblPr>
        <w:tblW w:w="4318" w:type="dxa"/>
        <w:jc w:val="left"/>
        <w:tblInd w:w="0" w:type="dxa"/>
        <w:tblCellMar>
          <w:top w:w="28" w:type="dxa"/>
          <w:left w:w="28" w:type="dxa"/>
          <w:bottom w:w="28" w:type="dxa"/>
          <w:right w:w="28" w:type="dxa"/>
        </w:tblCellMar>
      </w:tblPr>
      <w:tblGrid>
        <w:gridCol w:w="249"/>
        <w:gridCol w:w="219"/>
        <w:gridCol w:w="221"/>
        <w:gridCol w:w="1060"/>
        <w:gridCol w:w="1060"/>
        <w:gridCol w:w="1509"/>
      </w:tblGrid>
      <w:tr>
        <w:trPr/>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509" w:type="dxa"/>
            <w:tcBorders/>
            <w:shd w:fill="auto" w:val="clear"/>
            <w:vAlign w:val="center"/>
          </w:tcPr>
          <w:p>
            <w:pPr>
              <w:pStyle w:val="TableContents"/>
              <w:spacing w:before="0" w:after="283"/>
              <w:rPr>
                <w:sz w:val="4"/>
                <w:szCs w:val="4"/>
              </w:rPr>
            </w:pPr>
            <w:r>
              <w:rPr>
                <w:sz w:val="4"/>
                <w:szCs w:val="4"/>
              </w:rPr>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S. Billings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6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S. Billings</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Chief Executive Officer</w:t>
            </w:r>
          </w:p>
        </w:tc>
      </w:tr>
      <w:tr>
        <w:trPr/>
        <w:tc>
          <w:tcPr>
            <w:tcW w:w="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and Financial Officer)</w:t>
            </w:r>
          </w:p>
        </w:tc>
      </w:tr>
      <w:tr>
        <w:trPr/>
        <w:tc>
          <w:tcPr>
            <w:tcW w:w="6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3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28, 2022</w:t>
            </w:r>
          </w:p>
        </w:tc>
      </w:tr>
    </w:tbl>
    <w:p>
      <w:pPr>
        <w:pStyle w:val="TextBody"/>
        <w:spacing w:before="2980" w:after="283"/>
        <w:rPr/>
      </w:pPr>
      <w:r>
        <w:rPr/>
      </w:r>
    </w:p>
    <w:p>
      <w:pPr>
        <w:pStyle w:val="TextBody"/>
        <w:spacing w:lineRule="auto" w:line="288" w:before="2980" w:after="283"/>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174922/000119312522043373/d308862dex21.htm" TargetMode="External"/><Relationship Id="rId4" Type="http://schemas.openxmlformats.org/officeDocument/2006/relationships/hyperlink" Target="http://www.sec.gov/Archives/edgar/data/1174922/000117492215000044/ex-31.htm" TargetMode="External"/><Relationship Id="rId5" Type="http://schemas.openxmlformats.org/officeDocument/2006/relationships/hyperlink" Target="https://www.sec.gov/Archives/edgar/data/1174922/000117492220000024/ex32-bylaws.htm" TargetMode="External"/><Relationship Id="rId6" Type="http://schemas.openxmlformats.org/officeDocument/2006/relationships/hyperlink" Target="http://www.sec.gov/Archives/edgar/data/1174922/000091205702037826/a2089719zex-4_1.htm" TargetMode="External"/><Relationship Id="rId7" Type="http://schemas.openxmlformats.org/officeDocument/2006/relationships/hyperlink" Target="http://www.sec.gov/Archives/edgar/data/1174922/000117492220000085/ex41-wynnresortsfinanc.htm" TargetMode="External"/><Relationship Id="rId8" Type="http://schemas.openxmlformats.org/officeDocument/2006/relationships/hyperlink" Target="https://www.sec.gov/Archives/edgar/data/1174922/000117492220000143/ex41-macauindenture.htm" TargetMode="External"/><Relationship Id="rId9" Type="http://schemas.openxmlformats.org/officeDocument/2006/relationships/hyperlink" Target="https://www.sec.gov/Archives/edgar/data/1174922/000117492220000199/ex41-wmlindenturedated.htm" TargetMode="External"/><Relationship Id="rId10" Type="http://schemas.openxmlformats.org/officeDocument/2006/relationships/hyperlink" Target="http://www.sec.gov/Archives/edgar/data/1174922/000119312513231532/d542917dex41.htm" TargetMode="External"/><Relationship Id="rId11" Type="http://schemas.openxmlformats.org/officeDocument/2006/relationships/hyperlink" Target="http://www.sec.gov/Archives/edgar/data/1174922/000117492215000021/ex410-supplementalindentur.htm" TargetMode="External"/><Relationship Id="rId12" Type="http://schemas.openxmlformats.org/officeDocument/2006/relationships/hyperlink" Target="http://www.sec.gov/Archives/edgar/data/1174922/000117492218000042/ex41x032118x8k.htm" TargetMode="External"/><Relationship Id="rId13" Type="http://schemas.openxmlformats.org/officeDocument/2006/relationships/hyperlink" Target="http://www.sec.gov/Archives/edgar/data/1174922/000117492215000017/ex41-indenture.htm" TargetMode="External"/><Relationship Id="rId14" Type="http://schemas.openxmlformats.org/officeDocument/2006/relationships/hyperlink" Target="http://www.sec.gov/Archives/edgar/data/1174922/000117492217000107/ex41x8k51117.htm" TargetMode="External"/><Relationship Id="rId15" Type="http://schemas.openxmlformats.org/officeDocument/2006/relationships/hyperlink" Target="http://www.sec.gov/Archives/edgar/data/1174922/000117492217000177/ex10x3-20170930.htm" TargetMode="External"/><Relationship Id="rId16" Type="http://schemas.openxmlformats.org/officeDocument/2006/relationships/hyperlink" Target="http://www.sec.gov/Archives/edgar/data/1174922/000117492217000177/ex10x4-20170930.htm" TargetMode="External"/><Relationship Id="rId17" Type="http://schemas.openxmlformats.org/officeDocument/2006/relationships/hyperlink" Target="https://www.sec.gov/Archives/edgar/data/1174922/000117492220000024/ex410-20191231.htm" TargetMode="External"/><Relationship Id="rId18" Type="http://schemas.openxmlformats.org/officeDocument/2006/relationships/hyperlink" Target="http://www.sec.gov/Archives/edgar/data/1174922/000117492219000115/ex41-seniornotesindent.htm" TargetMode="External"/><Relationship Id="rId19" Type="http://schemas.openxmlformats.org/officeDocument/2006/relationships/hyperlink" Target="http://www.sec.gov/Archives/edgar/data/1174922/000117492219000115/ex101-wynn2019xcredita.htm" TargetMode="External"/><Relationship Id="rId20" Type="http://schemas.openxmlformats.org/officeDocument/2006/relationships/hyperlink" Target="http://www.sec.gov/Archives/edgar/data/1174922/000117492219000065/wynn-incrementaljoinderagr.htm" TargetMode="External"/><Relationship Id="rId21" Type="http://schemas.openxmlformats.org/officeDocument/2006/relationships/hyperlink" Target="https://www.sec.gov/Archives/edgar/data/1174922/000117492220000085/ex101-wynnxamendmentno.htm" TargetMode="External"/><Relationship Id="rId22" Type="http://schemas.openxmlformats.org/officeDocument/2006/relationships/hyperlink" Target="https://www.sec.gov/Archives/edgar/data/1174922/000117492220000143/ex101-retailamendment.htm" TargetMode="External"/><Relationship Id="rId23" Type="http://schemas.openxmlformats.org/officeDocument/2006/relationships/hyperlink" Target="https://www.sec.gov/Archives/edgar/data/1174922/000117492221000029/ex1014-amendmentno2tocredi.htm" TargetMode="External"/><Relationship Id="rId24" Type="http://schemas.openxmlformats.org/officeDocument/2006/relationships/hyperlink" Target="http://www.sec.gov/Archives/edgar/data/1174922/000117492219000021/a1021-commontermsagreement.htm" TargetMode="External"/><Relationship Id="rId25" Type="http://schemas.openxmlformats.org/officeDocument/2006/relationships/hyperlink" Target="http://www.sec.gov/Archives/edgar/data/1174922/000117492219000021/a1022-termfacilityagreemen.htm" TargetMode="External"/><Relationship Id="rId26" Type="http://schemas.openxmlformats.org/officeDocument/2006/relationships/hyperlink" Target="http://www.sec.gov/Archives/edgar/data/1174922/000117492219000021/a1023-revolvingcreditfacil.htm" TargetMode="External"/><Relationship Id="rId27" Type="http://schemas.openxmlformats.org/officeDocument/2006/relationships/hyperlink" Target="http://www.sec.gov/Archives/edgar/data/1174922/000117492215000106/ex-101.htm" TargetMode="External"/><Relationship Id="rId28" Type="http://schemas.openxmlformats.org/officeDocument/2006/relationships/hyperlink" Target="http://www.sec.gov/Archives/edgar/data/1174922/000117492215000106/ex-102.htm" TargetMode="External"/><Relationship Id="rId29" Type="http://schemas.openxmlformats.org/officeDocument/2006/relationships/hyperlink" Target="http://www.sec.gov/Archives/edgar/data/1174922/000117492215000106/ex-103.htm" TargetMode="External"/><Relationship Id="rId30" Type="http://schemas.openxmlformats.org/officeDocument/2006/relationships/hyperlink" Target="http://www.sec.gov/Archives/edgar/data/1174922/000119312504186496/dex1026.htm" TargetMode="External"/><Relationship Id="rId31" Type="http://schemas.openxmlformats.org/officeDocument/2006/relationships/hyperlink" Target="http://www.sec.gov/Archives/edgar/data/1174922/000117492218000133/ex101x072518x8k.htm" TargetMode="External"/><Relationship Id="rId32" Type="http://schemas.openxmlformats.org/officeDocument/2006/relationships/hyperlink" Target="https://www.sec.gov/Archives/edgar/data/1174922/000117492221000160/wynn2021-macaufacilityagre.htm" TargetMode="External"/><Relationship Id="rId33" Type="http://schemas.openxmlformats.org/officeDocument/2006/relationships/hyperlink" Target="http://www.sec.gov/Archives/edgar/data/1174922/000091205702032887/a2085104zex-10_24.htm" TargetMode="External"/><Relationship Id="rId34" Type="http://schemas.openxmlformats.org/officeDocument/2006/relationships/hyperlink" Target="http://www.sec.gov/Archives/edgar/data/1174922/000091205702035839/a2088833zex-10_27.htm" TargetMode="External"/><Relationship Id="rId35" Type="http://schemas.openxmlformats.org/officeDocument/2006/relationships/hyperlink" Target="http://www.sec.gov/Archives/edgar/data/1174922/000119312504130300/dex108.htm" TargetMode="External"/><Relationship Id="rId36" Type="http://schemas.openxmlformats.org/officeDocument/2006/relationships/hyperlink" Target="http://www.sec.gov/Archives/edgar/data/1174922/000119312512203005/d342364dex101.htm" TargetMode="External"/><Relationship Id="rId37" Type="http://schemas.openxmlformats.org/officeDocument/2006/relationships/hyperlink" Target="http://www.sec.gov/Archives/edgar/data/1174922/000119312504186496/dex1030.htm" TargetMode="External"/><Relationship Id="rId38" Type="http://schemas.openxmlformats.org/officeDocument/2006/relationships/hyperlink" Target="http://www.sec.gov/Archives/edgar/data/1174922/000117492215000021/ex10110-corporateallocatio.htm" TargetMode="External"/><Relationship Id="rId39" Type="http://schemas.openxmlformats.org/officeDocument/2006/relationships/hyperlink" Target="http://www.sec.gov/Archives/edgar/data/1174922/000117492215000021/ex10111-amendedandrestated.htm" TargetMode="External"/><Relationship Id="rId40" Type="http://schemas.openxmlformats.org/officeDocument/2006/relationships/hyperlink" Target="http://www.sec.gov/Archives/edgar/data/1174922/000117492215000021/ex10112-managementfeecorpo.htm" TargetMode="External"/><Relationship Id="rId41" Type="http://schemas.openxmlformats.org/officeDocument/2006/relationships/hyperlink" Target="http://www.sec.gov/Archives/edgar/data/1174922/000117492216000144/ex10113.htm" TargetMode="External"/><Relationship Id="rId42" Type="http://schemas.openxmlformats.org/officeDocument/2006/relationships/hyperlink" Target="http://www.sec.gov/Archives/edgar/data/1174922/000117492215000021/ex10113-intellectualproper.htm" TargetMode="External"/><Relationship Id="rId43" Type="http://schemas.openxmlformats.org/officeDocument/2006/relationships/hyperlink" Target="http://www.sec.gov/Archives/edgar/data/1174922/000117492215000021/ex10114-amendedandrestated.htm" TargetMode="External"/><Relationship Id="rId44" Type="http://schemas.openxmlformats.org/officeDocument/2006/relationships/hyperlink" Target="http://www.sec.gov/Archives/edgar/data/1174922/000117492215000044/ex-108.htm" TargetMode="External"/><Relationship Id="rId45" Type="http://schemas.openxmlformats.org/officeDocument/2006/relationships/hyperlink" Target="http://www.sec.gov/Archives/edgar/data/1174922/000117492216000144/ex10524.htm" TargetMode="External"/><Relationship Id="rId46" Type="http://schemas.openxmlformats.org/officeDocument/2006/relationships/hyperlink" Target="http://www.sec.gov/Archives/edgar/data/1174922/000119312504186496/dex102.htm" TargetMode="External"/><Relationship Id="rId47" Type="http://schemas.openxmlformats.org/officeDocument/2006/relationships/hyperlink" Target="http://www.sec.gov/Archives/edgar/data/1174922/000119312504186496/dex103.htm" TargetMode="External"/><Relationship Id="rId48" Type="http://schemas.openxmlformats.org/officeDocument/2006/relationships/hyperlink" Target="https://www.sec.gov/Archives/edgar/data/1174922/000117492220000024/ex10710-20191231.htm" TargetMode="External"/><Relationship Id="rId49" Type="http://schemas.openxmlformats.org/officeDocument/2006/relationships/hyperlink" Target="https://www.sec.gov/Archives/edgar/data/1174922/000117492221000029/ex10711-maddoxemploymentam.htm" TargetMode="External"/><Relationship Id="rId50" Type="http://schemas.openxmlformats.org/officeDocument/2006/relationships/hyperlink" Target="https://www.sec.gov/Archives/edgar/data/1174922/000117492221000160/maddoxagreement.htm" TargetMode="External"/><Relationship Id="rId51" Type="http://schemas.openxmlformats.org/officeDocument/2006/relationships/hyperlink" Target="http://www.sec.gov/Archives/edgar/data/1174922/000117492217000098/ex103.htm" TargetMode="External"/><Relationship Id="rId52" Type="http://schemas.openxmlformats.org/officeDocument/2006/relationships/hyperlink" Target="http://www.sec.gov/Archives/edgar/data/1174922/000117492218000100/ex107-20180331.htm" TargetMode="External"/><Relationship Id="rId53" Type="http://schemas.openxmlformats.org/officeDocument/2006/relationships/hyperlink" Target="http://www.sec.gov/Archives/edgar/data/1174922/000117492219000080/ex102-billingscraig2nd.htm" TargetMode="External"/><Relationship Id="rId54" Type="http://schemas.openxmlformats.org/officeDocument/2006/relationships/hyperlink" Target="https://www.sec.gov/Archives/edgar/data/1174922/000117492221000029/ex10723-billingsemployment.htm" TargetMode="External"/><Relationship Id="rId55" Type="http://schemas.openxmlformats.org/officeDocument/2006/relationships/hyperlink" Target="https://www.sec.gov/Archives/edgar/data/1174922/000117492221000083/ex101-billingsemploymentam.htm" TargetMode="External"/><Relationship Id="rId56" Type="http://schemas.openxmlformats.org/officeDocument/2006/relationships/hyperlink" Target="https://www.sec.gov/Archives/edgar/data/1174922/000117492221000160/billingsagreement.htm" TargetMode="External"/><Relationship Id="rId57" Type="http://schemas.openxmlformats.org/officeDocument/2006/relationships/hyperlink" Target="http://www.sec.gov/Archives/edgar/data/1174922/000117492218000160/ex10x6-20180630.htm" TargetMode="External"/><Relationship Id="rId58" Type="http://schemas.openxmlformats.org/officeDocument/2006/relationships/hyperlink" Target="http://www.sec.gov/Archives/edgar/data/1174922/000117492219000080/ex103-whittemoreellen1.htm" TargetMode="External"/><Relationship Id="rId59" Type="http://schemas.openxmlformats.org/officeDocument/2006/relationships/hyperlink" Target="https://www.sec.gov/Archives/edgar/data/1174922/000117492221000029/ex10732-whittemoreemployme.htm" TargetMode="External"/><Relationship Id="rId60" Type="http://schemas.openxmlformats.org/officeDocument/2006/relationships/hyperlink" Target="http://www.sec.gov/Archives/edgar/data/1174922/000117492217000027/ex1021.htm" TargetMode="External"/><Relationship Id="rId61" Type="http://schemas.openxmlformats.org/officeDocument/2006/relationships/hyperlink" Target="http://www.sec.gov/Archives/edgar/data/1174922/000119312518239080/d534193dex101.htm" TargetMode="External"/><Relationship Id="rId62" Type="http://schemas.openxmlformats.org/officeDocument/2006/relationships/hyperlink" Target="http://www.sec.gov/Archives/edgar/data/1174922/000117492218000019/ex10320-20171231.htm" TargetMode="External"/><Relationship Id="rId63" Type="http://schemas.openxmlformats.org/officeDocument/2006/relationships/hyperlink" Target="http://www.sec.gov/Archives/edgar/data/1174922/000091205702035839/a2088833zex-10_15.htm"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53</Pages>
  <Words>93110</Words>
  <CharactersWithSpaces>605167</CharactersWithSpaces>
  <Paragraphs>6377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