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Chief Administrative Ofc</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12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0000FF"/>
              </w:rPr>
              <w:t>10/30/2014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187.76</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240,000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vMerge w:val="restart"/>
          </w:tcPr>
          <w:p>
            <w:pPr>
              <w:jc w:val="right"/>
              <w:ind w:right="437"/>
              <w:spacing w:after="0"/>
              <w:rPr>
                <w:sz w:val="20"/>
                <w:szCs w:val="20"/>
                <w:color w:val="auto"/>
              </w:rPr>
            </w:pPr>
            <w:r>
              <w:rPr>
                <w:rFonts w:ascii="Arial" w:cs="Arial" w:eastAsia="Arial" w:hAnsi="Arial"/>
                <w:sz w:val="18"/>
                <w:szCs w:val="18"/>
                <w:color w:val="0000FF"/>
                <w:w w:val="93"/>
              </w:rPr>
              <w:t>500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mother</w:t>
            </w:r>
            <w:r>
              <w:rPr>
                <w:rFonts w:ascii="Arial" w:cs="Arial" w:eastAsia="Arial" w:hAnsi="Arial"/>
                <w:sz w:val="22"/>
                <w:szCs w:val="22"/>
                <w:color w:val="008000"/>
                <w:w w:val="97"/>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gridSpan w:val="9"/>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weighted average price of multiple transactions with a range of prices between $187.50 and $188.13. The reporting person, upon request by the staff of the SEC, Wynn Resorts, Limited (the "Company") or by a security holder of the Company, undertakes to provide further information regarding the number of securities sold at each separate price.</w:t>
      </w: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Kevin Tourek, Attorney-in-</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10/31/2014</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John Strzemp</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2019-12-18T04:11:41Z</dcterms:created>
  <dcterms:modified xsi:type="dcterms:W3CDTF">2019-12-18T04:11:41Z</dcterms:modified>
</cp:coreProperties>
</file>