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8"/>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40" w:type="dxa"/>
            <w:vAlign w:val="bottom"/>
            <w:gridSpan w:val="7"/>
          </w:tcPr>
          <w:p>
            <w:pPr>
              <w:jc w:val="center"/>
              <w:ind w:right="4560"/>
              <w:spacing w:after="0"/>
              <w:rPr>
                <w:sz w:val="20"/>
                <w:szCs w:val="20"/>
                <w:color w:val="auto"/>
              </w:rPr>
            </w:pPr>
            <w:r>
              <w:rPr>
                <w:rFonts w:ascii="Arial" w:cs="Arial" w:eastAsia="Arial" w:hAnsi="Arial"/>
                <w:sz w:val="17"/>
                <w:szCs w:val="17"/>
                <w:b w:val="1"/>
                <w:bCs w:val="1"/>
                <w:color w:val="auto"/>
              </w:rPr>
              <w:t>UNITED STATES</w:t>
            </w:r>
          </w:p>
        </w:tc>
      </w:tr>
      <w:tr>
        <w:trPr>
          <w:trHeight w:val="208"/>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20" w:type="dxa"/>
            <w:vAlign w:val="bottom"/>
            <w:gridSpan w:val="9"/>
          </w:tcPr>
          <w:p>
            <w:pPr>
              <w:jc w:val="center"/>
              <w:ind w:right="3800"/>
              <w:spacing w:after="0"/>
              <w:rPr>
                <w:sz w:val="20"/>
                <w:szCs w:val="20"/>
                <w:color w:val="auto"/>
              </w:rPr>
            </w:pPr>
            <w:r>
              <w:rPr>
                <w:rFonts w:ascii="Arial" w:cs="Arial" w:eastAsia="Arial" w:hAnsi="Arial"/>
                <w:sz w:val="17"/>
                <w:szCs w:val="17"/>
                <w:b w:val="1"/>
                <w:bCs w:val="1"/>
                <w:color w:val="auto"/>
              </w:rPr>
              <w:t>SECURITIES AND EXCHANGE COMMISSION</w:t>
            </w:r>
          </w:p>
        </w:tc>
      </w:tr>
      <w:tr>
        <w:trPr>
          <w:trHeight w:val="227"/>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40" w:type="dxa"/>
            <w:vAlign w:val="bottom"/>
            <w:gridSpan w:val="7"/>
          </w:tcPr>
          <w:p>
            <w:pPr>
              <w:jc w:val="center"/>
              <w:ind w:right="4560"/>
              <w:spacing w:after="0"/>
              <w:rPr>
                <w:sz w:val="20"/>
                <w:szCs w:val="20"/>
                <w:color w:val="auto"/>
              </w:rPr>
            </w:pPr>
            <w:r>
              <w:rPr>
                <w:rFonts w:ascii="Arial" w:cs="Arial" w:eastAsia="Arial" w:hAnsi="Arial"/>
                <w:sz w:val="17"/>
                <w:szCs w:val="17"/>
                <w:b w:val="1"/>
                <w:bCs w:val="1"/>
                <w:color w:val="auto"/>
                <w:w w:val="95"/>
              </w:rPr>
              <w:t>Washington, D.C. 20549</w:t>
            </w:r>
          </w:p>
        </w:tc>
      </w:tr>
      <w:tr>
        <w:trPr>
          <w:trHeight w:val="449"/>
        </w:trPr>
        <w:tc>
          <w:tcPr>
            <w:tcW w:w="2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81"/>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7"/>
          </w:tcPr>
          <w:p>
            <w:pPr>
              <w:jc w:val="center"/>
              <w:ind w:right="4580"/>
              <w:spacing w:after="0"/>
              <w:rPr>
                <w:sz w:val="20"/>
                <w:szCs w:val="20"/>
                <w:color w:val="auto"/>
              </w:rPr>
            </w:pPr>
            <w:r>
              <w:rPr>
                <w:rFonts w:ascii="Arial" w:cs="Arial" w:eastAsia="Arial" w:hAnsi="Arial"/>
                <w:sz w:val="17"/>
                <w:szCs w:val="17"/>
                <w:b w:val="1"/>
                <w:bCs w:val="1"/>
                <w:color w:val="auto"/>
              </w:rPr>
              <w:t>SCHEDULE 13D</w:t>
            </w:r>
          </w:p>
        </w:tc>
      </w:tr>
      <w:tr>
        <w:trPr>
          <w:trHeight w:val="208"/>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20" w:type="dxa"/>
            <w:vAlign w:val="bottom"/>
            <w:gridSpan w:val="9"/>
          </w:tcPr>
          <w:p>
            <w:pPr>
              <w:jc w:val="center"/>
              <w:ind w:right="3780"/>
              <w:spacing w:after="0"/>
              <w:rPr>
                <w:sz w:val="20"/>
                <w:szCs w:val="20"/>
                <w:color w:val="auto"/>
              </w:rPr>
            </w:pPr>
            <w:r>
              <w:rPr>
                <w:rFonts w:ascii="Arial" w:cs="Arial" w:eastAsia="Arial" w:hAnsi="Arial"/>
                <w:sz w:val="17"/>
                <w:szCs w:val="17"/>
                <w:b w:val="1"/>
                <w:bCs w:val="1"/>
                <w:color w:val="auto"/>
                <w:w w:val="91"/>
              </w:rPr>
              <w:t>Under the Securities Exchange Act of 1934</w:t>
            </w:r>
          </w:p>
        </w:tc>
      </w:tr>
      <w:tr>
        <w:trPr>
          <w:trHeight w:val="227"/>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40" w:type="dxa"/>
            <w:vAlign w:val="bottom"/>
            <w:gridSpan w:val="7"/>
          </w:tcPr>
          <w:p>
            <w:pPr>
              <w:jc w:val="center"/>
              <w:ind w:right="4560"/>
              <w:spacing w:after="0"/>
              <w:rPr>
                <w:sz w:val="20"/>
                <w:szCs w:val="20"/>
                <w:color w:val="auto"/>
              </w:rPr>
            </w:pPr>
            <w:r>
              <w:rPr>
                <w:rFonts w:ascii="Arial" w:cs="Arial" w:eastAsia="Arial" w:hAnsi="Arial"/>
                <w:sz w:val="17"/>
                <w:szCs w:val="17"/>
                <w:b w:val="1"/>
                <w:bCs w:val="1"/>
                <w:color w:val="auto"/>
                <w:w w:val="95"/>
              </w:rPr>
              <w:t>(Amendment No. 14)*</w:t>
            </w:r>
          </w:p>
        </w:tc>
      </w:tr>
      <w:tr>
        <w:trPr>
          <w:trHeight w:val="378"/>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7"/>
          </w:tcPr>
          <w:p>
            <w:pPr>
              <w:jc w:val="center"/>
              <w:ind w:right="4580"/>
              <w:spacing w:after="0"/>
              <w:rPr>
                <w:sz w:val="20"/>
                <w:szCs w:val="20"/>
                <w:color w:val="auto"/>
              </w:rPr>
            </w:pPr>
            <w:r>
              <w:rPr>
                <w:rFonts w:ascii="Arial" w:cs="Arial" w:eastAsia="Arial" w:hAnsi="Arial"/>
                <w:sz w:val="17"/>
                <w:szCs w:val="17"/>
                <w:b w:val="1"/>
                <w:bCs w:val="1"/>
                <w:color w:val="auto"/>
              </w:rPr>
              <w:t>WYNN RESORTS, LIMITED</w:t>
            </w:r>
          </w:p>
        </w:tc>
      </w:tr>
      <w:tr>
        <w:trPr>
          <w:trHeight w:val="227"/>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93"/>
              </w:rPr>
              <w:t>(Name of Issuer)</w:t>
            </w:r>
          </w:p>
        </w:tc>
        <w:tc>
          <w:tcPr>
            <w:tcW w:w="4580" w:type="dxa"/>
            <w:vAlign w:val="bottom"/>
            <w:gridSpan w:val="4"/>
          </w:tcPr>
          <w:p>
            <w:pPr>
              <w:spacing w:after="0"/>
              <w:rPr>
                <w:sz w:val="19"/>
                <w:szCs w:val="19"/>
                <w:color w:val="auto"/>
              </w:rPr>
            </w:pPr>
          </w:p>
        </w:tc>
      </w:tr>
      <w:tr>
        <w:trPr>
          <w:trHeight w:val="378"/>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60" w:type="dxa"/>
            <w:vAlign w:val="bottom"/>
            <w:gridSpan w:val="8"/>
          </w:tcPr>
          <w:p>
            <w:pPr>
              <w:jc w:val="center"/>
              <w:ind w:right="4160"/>
              <w:spacing w:after="0"/>
              <w:rPr>
                <w:sz w:val="20"/>
                <w:szCs w:val="20"/>
                <w:color w:val="auto"/>
              </w:rPr>
            </w:pPr>
            <w:r>
              <w:rPr>
                <w:rFonts w:ascii="Arial" w:cs="Arial" w:eastAsia="Arial" w:hAnsi="Arial"/>
                <w:sz w:val="17"/>
                <w:szCs w:val="17"/>
                <w:b w:val="1"/>
                <w:bCs w:val="1"/>
                <w:color w:val="auto"/>
                <w:w w:val="91"/>
              </w:rPr>
              <w:t xml:space="preserve">Common Stock, </w:t>
            </w:r>
            <w:r>
              <w:rPr>
                <w:rFonts w:ascii="Arial" w:cs="Arial" w:eastAsia="Arial" w:hAnsi="Arial"/>
                <w:sz w:val="17"/>
                <w:szCs w:val="17"/>
                <w:b w:val="1"/>
                <w:bCs w:val="1"/>
                <w:u w:val="single" w:color="auto"/>
                <w:color w:val="auto"/>
                <w:w w:val="91"/>
              </w:rPr>
              <w:t>$</w:t>
            </w:r>
            <w:r>
              <w:rPr>
                <w:rFonts w:ascii="Arial" w:cs="Arial" w:eastAsia="Arial" w:hAnsi="Arial"/>
                <w:sz w:val="17"/>
                <w:szCs w:val="17"/>
                <w:b w:val="1"/>
                <w:bCs w:val="1"/>
                <w:color w:val="auto"/>
                <w:w w:val="91"/>
              </w:rPr>
              <w:t>0.01 par value per share</w:t>
            </w:r>
          </w:p>
        </w:tc>
      </w:tr>
      <w:tr>
        <w:trPr>
          <w:trHeight w:val="227"/>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7"/>
                <w:szCs w:val="17"/>
                <w:color w:val="auto"/>
                <w:w w:val="94"/>
              </w:rPr>
              <w:t>(Title of Class of Securities)</w:t>
            </w:r>
          </w:p>
        </w:tc>
        <w:tc>
          <w:tcPr>
            <w:tcW w:w="4160" w:type="dxa"/>
            <w:vAlign w:val="bottom"/>
            <w:gridSpan w:val="3"/>
          </w:tcPr>
          <w:p>
            <w:pPr>
              <w:spacing w:after="0"/>
              <w:rPr>
                <w:sz w:val="19"/>
                <w:szCs w:val="19"/>
                <w:color w:val="auto"/>
              </w:rPr>
            </w:pPr>
          </w:p>
        </w:tc>
      </w:tr>
      <w:tr>
        <w:trPr>
          <w:trHeight w:val="378"/>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983134107</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7"/>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40" w:type="dxa"/>
            <w:vAlign w:val="bottom"/>
            <w:gridSpan w:val="7"/>
          </w:tcPr>
          <w:p>
            <w:pPr>
              <w:jc w:val="center"/>
              <w:ind w:right="4540"/>
              <w:spacing w:after="0"/>
              <w:rPr>
                <w:sz w:val="20"/>
                <w:szCs w:val="20"/>
                <w:color w:val="auto"/>
              </w:rPr>
            </w:pPr>
            <w:r>
              <w:rPr>
                <w:rFonts w:ascii="Arial" w:cs="Arial" w:eastAsia="Arial" w:hAnsi="Arial"/>
                <w:sz w:val="17"/>
                <w:szCs w:val="17"/>
                <w:color w:val="auto"/>
                <w:w w:val="94"/>
              </w:rPr>
              <w:t>(CUSIP Number)</w:t>
            </w:r>
          </w:p>
        </w:tc>
      </w:tr>
      <w:tr>
        <w:trPr>
          <w:trHeight w:val="398"/>
        </w:trPr>
        <w:tc>
          <w:tcPr>
            <w:tcW w:w="3800" w:type="dxa"/>
            <w:vAlign w:val="bottom"/>
            <w:gridSpan w:val="3"/>
          </w:tcPr>
          <w:p>
            <w:pPr>
              <w:jc w:val="center"/>
              <w:ind w:left="1833"/>
              <w:spacing w:after="0"/>
              <w:rPr>
                <w:sz w:val="20"/>
                <w:szCs w:val="20"/>
                <w:color w:val="auto"/>
              </w:rPr>
            </w:pPr>
            <w:r>
              <w:rPr>
                <w:rFonts w:ascii="Arial" w:cs="Arial" w:eastAsia="Arial" w:hAnsi="Arial"/>
                <w:sz w:val="17"/>
                <w:szCs w:val="17"/>
                <w:b w:val="1"/>
                <w:bCs w:val="1"/>
                <w:color w:val="auto"/>
                <w:w w:val="95"/>
              </w:rPr>
              <w:t>Kai Haakon E. Liekefett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0" w:type="dxa"/>
            <w:vAlign w:val="bottom"/>
            <w:gridSpan w:val="2"/>
          </w:tcPr>
          <w:p>
            <w:pPr>
              <w:jc w:val="center"/>
              <w:ind w:right="2280"/>
              <w:spacing w:after="0"/>
              <w:rPr>
                <w:sz w:val="20"/>
                <w:szCs w:val="20"/>
                <w:color w:val="auto"/>
              </w:rPr>
            </w:pPr>
            <w:r>
              <w:rPr>
                <w:rFonts w:ascii="Arial" w:cs="Arial" w:eastAsia="Arial" w:hAnsi="Arial"/>
                <w:sz w:val="17"/>
                <w:szCs w:val="17"/>
                <w:b w:val="1"/>
                <w:bCs w:val="1"/>
                <w:color w:val="auto"/>
                <w:w w:val="88"/>
              </w:rPr>
              <w:t>James Cole</w:t>
            </w:r>
          </w:p>
        </w:tc>
      </w:tr>
      <w:tr>
        <w:trPr>
          <w:trHeight w:val="208"/>
        </w:trPr>
        <w:tc>
          <w:tcPr>
            <w:tcW w:w="3800" w:type="dxa"/>
            <w:vAlign w:val="bottom"/>
            <w:gridSpan w:val="3"/>
          </w:tcPr>
          <w:p>
            <w:pPr>
              <w:jc w:val="center"/>
              <w:ind w:left="1833"/>
              <w:spacing w:after="0"/>
              <w:rPr>
                <w:sz w:val="20"/>
                <w:szCs w:val="20"/>
                <w:color w:val="auto"/>
              </w:rPr>
            </w:pPr>
            <w:r>
              <w:rPr>
                <w:rFonts w:ascii="Arial" w:cs="Arial" w:eastAsia="Arial" w:hAnsi="Arial"/>
                <w:sz w:val="17"/>
                <w:szCs w:val="17"/>
                <w:b w:val="1"/>
                <w:bCs w:val="1"/>
                <w:color w:val="auto"/>
                <w:w w:val="94"/>
              </w:rPr>
              <w:t>Sidley Austin LLP</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60" w:type="dxa"/>
            <w:vAlign w:val="bottom"/>
            <w:gridSpan w:val="3"/>
          </w:tcPr>
          <w:p>
            <w:pPr>
              <w:jc w:val="center"/>
              <w:ind w:right="1540"/>
              <w:spacing w:after="0"/>
              <w:rPr>
                <w:sz w:val="20"/>
                <w:szCs w:val="20"/>
                <w:color w:val="auto"/>
              </w:rPr>
            </w:pPr>
            <w:r>
              <w:rPr>
                <w:rFonts w:ascii="Arial" w:cs="Arial" w:eastAsia="Arial" w:hAnsi="Arial"/>
                <w:sz w:val="17"/>
                <w:szCs w:val="17"/>
                <w:b w:val="1"/>
                <w:bCs w:val="1"/>
                <w:color w:val="auto"/>
                <w:w w:val="95"/>
              </w:rPr>
              <w:t>Sidley Austin LLP</w:t>
            </w:r>
          </w:p>
        </w:tc>
      </w:tr>
      <w:tr>
        <w:trPr>
          <w:trHeight w:val="208"/>
        </w:trPr>
        <w:tc>
          <w:tcPr>
            <w:tcW w:w="3800" w:type="dxa"/>
            <w:vAlign w:val="bottom"/>
            <w:gridSpan w:val="3"/>
          </w:tcPr>
          <w:p>
            <w:pPr>
              <w:jc w:val="center"/>
              <w:ind w:left="1833"/>
              <w:spacing w:after="0"/>
              <w:rPr>
                <w:sz w:val="20"/>
                <w:szCs w:val="20"/>
                <w:color w:val="auto"/>
              </w:rPr>
            </w:pPr>
            <w:r>
              <w:rPr>
                <w:rFonts w:ascii="Arial" w:cs="Arial" w:eastAsia="Arial" w:hAnsi="Arial"/>
                <w:sz w:val="17"/>
                <w:szCs w:val="17"/>
                <w:b w:val="1"/>
                <w:bCs w:val="1"/>
                <w:color w:val="auto"/>
                <w:w w:val="89"/>
              </w:rPr>
              <w:t>787 Seventh Avenue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60" w:type="dxa"/>
            <w:vAlign w:val="bottom"/>
            <w:gridSpan w:val="3"/>
          </w:tcPr>
          <w:p>
            <w:pPr>
              <w:jc w:val="center"/>
              <w:ind w:right="1540"/>
              <w:spacing w:after="0"/>
              <w:rPr>
                <w:sz w:val="20"/>
                <w:szCs w:val="20"/>
                <w:color w:val="auto"/>
              </w:rPr>
            </w:pPr>
            <w:r>
              <w:rPr>
                <w:rFonts w:ascii="Arial" w:cs="Arial" w:eastAsia="Arial" w:hAnsi="Arial"/>
                <w:sz w:val="17"/>
                <w:szCs w:val="17"/>
                <w:b w:val="1"/>
                <w:bCs w:val="1"/>
                <w:color w:val="auto"/>
                <w:w w:val="95"/>
              </w:rPr>
              <w:t>1501 K Street NW</w:t>
            </w:r>
          </w:p>
        </w:tc>
      </w:tr>
      <w:tr>
        <w:trPr>
          <w:trHeight w:val="208"/>
        </w:trPr>
        <w:tc>
          <w:tcPr>
            <w:tcW w:w="3800" w:type="dxa"/>
            <w:vAlign w:val="bottom"/>
            <w:gridSpan w:val="3"/>
          </w:tcPr>
          <w:p>
            <w:pPr>
              <w:jc w:val="center"/>
              <w:ind w:left="1833"/>
              <w:spacing w:after="0"/>
              <w:rPr>
                <w:sz w:val="20"/>
                <w:szCs w:val="20"/>
                <w:color w:val="auto"/>
              </w:rPr>
            </w:pPr>
            <w:r>
              <w:rPr>
                <w:rFonts w:ascii="Arial" w:cs="Arial" w:eastAsia="Arial" w:hAnsi="Arial"/>
                <w:sz w:val="17"/>
                <w:szCs w:val="17"/>
                <w:b w:val="1"/>
                <w:bCs w:val="1"/>
                <w:color w:val="auto"/>
                <w:w w:val="95"/>
              </w:rPr>
              <w:t>New York, NY 10019</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60" w:type="dxa"/>
            <w:vAlign w:val="bottom"/>
            <w:gridSpan w:val="3"/>
          </w:tcPr>
          <w:p>
            <w:pPr>
              <w:jc w:val="center"/>
              <w:ind w:right="1540"/>
              <w:spacing w:after="0"/>
              <w:rPr>
                <w:sz w:val="20"/>
                <w:szCs w:val="20"/>
                <w:color w:val="auto"/>
              </w:rPr>
            </w:pPr>
            <w:r>
              <w:rPr>
                <w:rFonts w:ascii="Arial" w:cs="Arial" w:eastAsia="Arial" w:hAnsi="Arial"/>
                <w:sz w:val="17"/>
                <w:szCs w:val="17"/>
                <w:b w:val="1"/>
                <w:bCs w:val="1"/>
                <w:color w:val="auto"/>
                <w:w w:val="92"/>
              </w:rPr>
              <w:t>Washington, DC 20005</w:t>
            </w:r>
          </w:p>
        </w:tc>
      </w:tr>
      <w:tr>
        <w:trPr>
          <w:trHeight w:val="188"/>
        </w:trPr>
        <w:tc>
          <w:tcPr>
            <w:tcW w:w="2320" w:type="dxa"/>
            <w:vAlign w:val="bottom"/>
          </w:tcPr>
          <w:p>
            <w:pPr>
              <w:spacing w:after="0"/>
              <w:rPr>
                <w:sz w:val="16"/>
                <w:szCs w:val="16"/>
                <w:color w:val="auto"/>
              </w:rPr>
            </w:pPr>
          </w:p>
        </w:tc>
        <w:tc>
          <w:tcPr>
            <w:tcW w:w="10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2"/>
              </w:rPr>
              <w:t>(212) 839-5300</w:t>
            </w:r>
          </w:p>
        </w:tc>
        <w:tc>
          <w:tcPr>
            <w:tcW w:w="400" w:type="dxa"/>
            <w:vAlign w:val="bottom"/>
          </w:tcPr>
          <w:p>
            <w:pPr>
              <w:spacing w:after="0"/>
              <w:rPr>
                <w:sz w:val="16"/>
                <w:szCs w:val="16"/>
                <w:color w:val="auto"/>
              </w:rPr>
            </w:pPr>
          </w:p>
        </w:tc>
        <w:tc>
          <w:tcPr>
            <w:tcW w:w="4220" w:type="dxa"/>
            <w:vAlign w:val="bottom"/>
            <w:gridSpan w:val="7"/>
          </w:tcPr>
          <w:p>
            <w:pPr>
              <w:spacing w:after="0"/>
              <w:rPr>
                <w:sz w:val="16"/>
                <w:szCs w:val="16"/>
                <w:color w:val="auto"/>
              </w:rPr>
            </w:pPr>
          </w:p>
        </w:tc>
        <w:tc>
          <w:tcPr>
            <w:tcW w:w="110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2"/>
              </w:rPr>
              <w:t>(202) 736-8000</w:t>
            </w:r>
          </w:p>
        </w:tc>
        <w:tc>
          <w:tcPr>
            <w:tcW w:w="2300" w:type="dxa"/>
            <w:vAlign w:val="bottom"/>
          </w:tcPr>
          <w:p>
            <w:pPr>
              <w:spacing w:after="0"/>
              <w:rPr>
                <w:sz w:val="16"/>
                <w:szCs w:val="16"/>
                <w:color w:val="auto"/>
              </w:rPr>
            </w:pPr>
          </w:p>
        </w:tc>
      </w:tr>
    </w:tbl>
    <w:p>
      <w:pPr>
        <w:spacing w:after="0" w:line="2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(Name, Address and Telephone Number of Person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Authorized to Receive Notices and Communications)</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April 17, 2018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Event which Requires Filing of this Statement)</w:t>
      </w:r>
    </w:p>
    <w:p>
      <w:pPr>
        <w:spacing w:after="0" w:line="313"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59"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Note: Schedules filed in paper format shall include a signed original and five copies of the schedule, including all exhibits. See Rule 13d-7 for other parties to whom copies are to be sent.</w:t>
      </w:r>
    </w:p>
    <w:p>
      <w:pPr>
        <w:spacing w:after="0" w:line="159" w:lineRule="exact"/>
        <w:rPr>
          <w:sz w:val="24"/>
          <w:szCs w:val="24"/>
          <w:color w:val="auto"/>
        </w:rPr>
      </w:pPr>
    </w:p>
    <w:p>
      <w:pPr>
        <w:ind w:firstLine="4"/>
        <w:spacing w:after="0" w:line="286" w:lineRule="auto"/>
        <w:tabs>
          <w:tab w:leader="none" w:pos="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ind w:right="40"/>
        <w:spacing w:after="0" w:line="31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466090</wp:posOffset>
            </wp:positionV>
            <wp:extent cx="72517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8"/>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0" w:type="dxa"/>
            <w:vAlign w:val="bottom"/>
          </w:tcPr>
          <w:p>
            <w:pPr>
              <w:ind w:left="2380"/>
              <w:spacing w:after="0"/>
              <w:rPr>
                <w:sz w:val="20"/>
                <w:szCs w:val="20"/>
                <w:color w:val="auto"/>
              </w:rPr>
            </w:pPr>
            <w:r>
              <w:rPr>
                <w:rFonts w:ascii="Arial" w:cs="Arial" w:eastAsia="Arial" w:hAnsi="Arial"/>
                <w:sz w:val="17"/>
                <w:szCs w:val="17"/>
                <w:color w:val="auto"/>
              </w:rPr>
              <w:t>SCHEDULE 13D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40" w:type="dxa"/>
            <w:vAlign w:val="bottom"/>
            <w:gridSpan w:val="3"/>
          </w:tcPr>
          <w:p>
            <w:pPr>
              <w:spacing w:after="0"/>
              <w:rPr>
                <w:sz w:val="20"/>
                <w:szCs w:val="20"/>
                <w:color w:val="auto"/>
              </w:rPr>
            </w:pPr>
            <w:r>
              <w:rPr>
                <w:rFonts w:ascii="Arial" w:cs="Arial" w:eastAsia="Arial" w:hAnsi="Arial"/>
                <w:sz w:val="17"/>
                <w:szCs w:val="17"/>
                <w:color w:val="auto"/>
              </w:rPr>
              <w:t>CUSIP NO. 983134107</w:t>
            </w:r>
          </w:p>
        </w:tc>
        <w:tc>
          <w:tcPr>
            <w:tcW w:w="560" w:type="dxa"/>
            <w:vAlign w:val="bottom"/>
          </w:tcPr>
          <w:p>
            <w:pPr>
              <w:spacing w:after="0"/>
              <w:rPr>
                <w:sz w:val="19"/>
                <w:szCs w:val="19"/>
                <w:color w:val="auto"/>
              </w:rPr>
            </w:pPr>
          </w:p>
        </w:tc>
        <w:tc>
          <w:tcPr>
            <w:tcW w:w="8740" w:type="dxa"/>
            <w:vAlign w:val="bottom"/>
            <w:gridSpan w:val="2"/>
          </w:tcPr>
          <w:p>
            <w:pPr>
              <w:ind w:left="7500"/>
              <w:spacing w:after="0"/>
              <w:rPr>
                <w:sz w:val="20"/>
                <w:szCs w:val="20"/>
                <w:color w:val="auto"/>
              </w:rPr>
            </w:pPr>
            <w:r>
              <w:rPr>
                <w:rFonts w:ascii="Arial" w:cs="Arial" w:eastAsia="Arial" w:hAnsi="Arial"/>
                <w:sz w:val="17"/>
                <w:szCs w:val="17"/>
                <w:color w:val="auto"/>
                <w:w w:val="85"/>
              </w:rPr>
              <w:t>Page 2 of 5 Pages</w:t>
            </w: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tcPr>
          <w:p>
            <w:pPr>
              <w:spacing w:after="0"/>
              <w:rPr>
                <w:sz w:val="18"/>
                <w:szCs w:val="18"/>
                <w:color w:val="auto"/>
              </w:rPr>
            </w:pPr>
          </w:p>
        </w:tc>
        <w:tc>
          <w:tcPr>
            <w:tcW w:w="9540" w:type="dxa"/>
            <w:vAlign w:val="bottom"/>
            <w:tcBorders>
              <w:bottom w:val="single" w:sz="8" w:color="auto"/>
            </w:tcBorders>
            <w:gridSpan w:val="4"/>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1</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NAMES OF REPORTING PERSONS</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right w:val="single" w:sz="8" w:color="auto"/>
            </w:tcBorders>
            <w:vMerge w:val="continue"/>
          </w:tcPr>
          <w:p>
            <w:pPr>
              <w:spacing w:after="0"/>
              <w:rPr>
                <w:sz w:val="24"/>
                <w:szCs w:val="24"/>
                <w:color w:val="auto"/>
              </w:rPr>
            </w:pPr>
          </w:p>
        </w:tc>
        <w:tc>
          <w:tcPr>
            <w:tcW w:w="9540" w:type="dxa"/>
            <w:vAlign w:val="bottom"/>
            <w:gridSpan w:val="4"/>
          </w:tcPr>
          <w:p>
            <w:pPr>
              <w:ind w:left="20"/>
              <w:spacing w:after="0"/>
              <w:rPr>
                <w:sz w:val="20"/>
                <w:szCs w:val="20"/>
                <w:color w:val="auto"/>
              </w:rPr>
            </w:pPr>
            <w:r>
              <w:rPr>
                <w:rFonts w:ascii="Arial" w:cs="Arial" w:eastAsia="Arial" w:hAnsi="Arial"/>
                <w:sz w:val="17"/>
                <w:szCs w:val="17"/>
                <w:color w:val="auto"/>
              </w:rPr>
              <w:t>ELAINE P. WYNN</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9540" w:type="dxa"/>
            <w:vAlign w:val="bottom"/>
            <w:tcBorders>
              <w:bottom w:val="single" w:sz="8" w:color="auto"/>
            </w:tcBorders>
            <w:gridSpan w:val="4"/>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2</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CHECK THE APPROPRIATE BOX IF A MEMBER OF A GROUP</w:t>
            </w:r>
          </w:p>
        </w:tc>
        <w:tc>
          <w:tcPr>
            <w:tcW w:w="5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34"/>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5"/>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82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7"/>
                <w:szCs w:val="17"/>
                <w:b w:val="1"/>
                <w:bCs w:val="1"/>
                <w:color w:val="auto"/>
              </w:rPr>
              <w:t>SEC USE ONLY</w:t>
            </w:r>
          </w:p>
        </w:tc>
        <w:tc>
          <w:tcPr>
            <w:tcW w:w="8200" w:type="dxa"/>
            <w:vAlign w:val="bottom"/>
            <w:shd w:val="clear" w:color="auto" w:fill="BFBFBF"/>
          </w:tcPr>
          <w:p>
            <w:pPr>
              <w:spacing w:after="0"/>
              <w:rPr>
                <w:sz w:val="19"/>
                <w:szCs w:val="19"/>
                <w:color w:val="auto"/>
              </w:rPr>
            </w:pPr>
          </w:p>
        </w:tc>
        <w:tc>
          <w:tcPr>
            <w:tcW w:w="5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200" w:type="dxa"/>
            <w:vAlign w:val="bottom"/>
            <w:shd w:val="clear" w:color="auto" w:fill="BFBFBF"/>
          </w:tcPr>
          <w:p>
            <w:pPr>
              <w:spacing w:after="0"/>
              <w:rPr>
                <w:sz w:val="24"/>
                <w:szCs w:val="24"/>
                <w:color w:val="auto"/>
              </w:rPr>
            </w:pPr>
          </w:p>
        </w:tc>
        <w:tc>
          <w:tcPr>
            <w:tcW w:w="5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3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00" w:type="dxa"/>
            <w:vAlign w:val="bottom"/>
            <w:tcBorders>
              <w:bottom w:val="single" w:sz="8" w:color="auto"/>
            </w:tcBorders>
            <w:shd w:val="clear" w:color="auto" w:fill="BFBFBF"/>
          </w:tcPr>
          <w:p>
            <w:pPr>
              <w:spacing w:after="0"/>
              <w:rPr>
                <w:sz w:val="22"/>
                <w:szCs w:val="22"/>
                <w:color w:val="auto"/>
              </w:rPr>
            </w:pPr>
          </w:p>
        </w:tc>
        <w:tc>
          <w:tcPr>
            <w:tcW w:w="54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4</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SOURCE OF FUNDS (SEE INSTRUCTIONS)</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N/A</w:t>
            </w: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9540" w:type="dxa"/>
            <w:vAlign w:val="bottom"/>
            <w:tcBorders>
              <w:bottom w:val="single" w:sz="8" w:color="auto"/>
            </w:tcBorders>
            <w:gridSpan w:val="4"/>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5</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CHECK BOX IF DISCLOSURE OF LEGAL PROCEEDINGS IS REQUIRED PURSUANT TO ITEM 2(D) OR 2(E)</w:t>
            </w:r>
          </w:p>
        </w:tc>
        <w:tc>
          <w:tcPr>
            <w:tcW w:w="540" w:type="dxa"/>
            <w:vAlign w:val="bottom"/>
            <w:tcBorders>
              <w:right w:val="single" w:sz="8" w:color="auto"/>
            </w:tcBorders>
          </w:tcPr>
          <w:p>
            <w:pPr>
              <w:jc w:val="right"/>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5"/>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tcBorders>
            <w:gridSpan w:val="4"/>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6</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CITIZENSHIP OR PLACE OF ORGANIZATION</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right w:val="single" w:sz="8" w:color="auto"/>
            </w:tcBorders>
            <w:vMerge w:val="continue"/>
          </w:tcPr>
          <w:p>
            <w:pPr>
              <w:spacing w:after="0"/>
              <w:rPr>
                <w:sz w:val="24"/>
                <w:szCs w:val="24"/>
                <w:color w:val="auto"/>
              </w:rPr>
            </w:pPr>
          </w:p>
        </w:tc>
        <w:tc>
          <w:tcPr>
            <w:tcW w:w="9540" w:type="dxa"/>
            <w:vAlign w:val="bottom"/>
            <w:gridSpan w:val="4"/>
          </w:tcPr>
          <w:p>
            <w:pPr>
              <w:ind w:left="20"/>
              <w:spacing w:after="0"/>
              <w:rPr>
                <w:sz w:val="20"/>
                <w:szCs w:val="20"/>
                <w:color w:val="auto"/>
              </w:rPr>
            </w:pPr>
            <w:r>
              <w:rPr>
                <w:rFonts w:ascii="Arial" w:cs="Arial" w:eastAsia="Arial" w:hAnsi="Arial"/>
                <w:sz w:val="17"/>
                <w:szCs w:val="17"/>
                <w:color w:val="auto"/>
              </w:rPr>
              <w:t>United States of America</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31"/>
                <w:szCs w:val="31"/>
                <w:b w:val="1"/>
                <w:bCs w:val="1"/>
                <w:color w:val="auto"/>
                <w:w w:val="92"/>
              </w:rPr>
              <w:t>7</w:t>
            </w:r>
          </w:p>
        </w:tc>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SOLE VOTING POWER</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200" w:type="dxa"/>
            <w:vAlign w:val="bottom"/>
          </w:tcPr>
          <w:p>
            <w:pPr>
              <w:ind w:left="40"/>
              <w:spacing w:after="0"/>
              <w:rPr>
                <w:sz w:val="20"/>
                <w:szCs w:val="20"/>
                <w:color w:val="auto"/>
              </w:rPr>
            </w:pPr>
            <w:r>
              <w:rPr>
                <w:rFonts w:ascii="Arial" w:cs="Arial" w:eastAsia="Arial" w:hAnsi="Arial"/>
                <w:sz w:val="17"/>
                <w:szCs w:val="17"/>
                <w:color w:val="auto"/>
              </w:rPr>
              <w:t>9,539,077</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31"/>
                <w:szCs w:val="31"/>
                <w:b w:val="1"/>
                <w:bCs w:val="1"/>
                <w:color w:val="auto"/>
                <w:w w:val="92"/>
              </w:rPr>
              <w:t>8</w:t>
            </w:r>
          </w:p>
        </w:tc>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SHARED VOTING POWER</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 OF SHARES</w:t>
            </w:r>
          </w:p>
        </w:tc>
        <w:tc>
          <w:tcPr>
            <w:tcW w:w="1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8200" w:type="dxa"/>
            <w:vAlign w:val="bottom"/>
            <w:vMerge w:val="continue"/>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SOLE DISPOSITIVE POWER</w:t>
            </w:r>
          </w:p>
        </w:tc>
        <w:tc>
          <w:tcPr>
            <w:tcW w:w="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31"/>
                <w:szCs w:val="31"/>
                <w:b w:val="1"/>
                <w:bCs w:val="1"/>
                <w:color w:val="auto"/>
                <w:w w:val="92"/>
              </w:rPr>
              <w:t>9</w:t>
            </w:r>
          </w:p>
        </w:tc>
        <w:tc>
          <w:tcPr>
            <w:tcW w:w="8200" w:type="dxa"/>
            <w:vAlign w:val="bottom"/>
            <w:vMerge w:val="continue"/>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2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20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tcBorders>
          </w:tcPr>
          <w:p>
            <w:pPr>
              <w:jc w:val="center"/>
              <w:ind w:left="530"/>
              <w:spacing w:after="0"/>
              <w:rPr>
                <w:sz w:val="20"/>
                <w:szCs w:val="20"/>
                <w:color w:val="auto"/>
              </w:rPr>
            </w:pPr>
            <w:r>
              <w:rPr>
                <w:rFonts w:ascii="Arial" w:cs="Arial" w:eastAsia="Arial" w:hAnsi="Arial"/>
                <w:sz w:val="17"/>
                <w:szCs w:val="17"/>
                <w:b w:val="1"/>
                <w:bCs w:val="1"/>
                <w:color w:val="auto"/>
              </w:rPr>
              <w:t>WITH</w:t>
            </w:r>
          </w:p>
        </w:tc>
        <w:tc>
          <w:tcPr>
            <w:tcW w:w="6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200" w:type="dxa"/>
            <w:vAlign w:val="bottom"/>
            <w:vMerge w:val="restart"/>
          </w:tcPr>
          <w:p>
            <w:pPr>
              <w:ind w:left="40"/>
              <w:spacing w:after="0"/>
              <w:rPr>
                <w:sz w:val="20"/>
                <w:szCs w:val="20"/>
                <w:color w:val="auto"/>
              </w:rPr>
            </w:pPr>
            <w:r>
              <w:rPr>
                <w:rFonts w:ascii="Arial" w:cs="Arial" w:eastAsia="Arial" w:hAnsi="Arial"/>
                <w:sz w:val="17"/>
                <w:szCs w:val="17"/>
                <w:color w:val="auto"/>
              </w:rPr>
              <w:t>9,539,077</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36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200" w:type="dxa"/>
            <w:vAlign w:val="bottom"/>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86"/>
              </w:rPr>
              <w:t>10</w:t>
            </w:r>
          </w:p>
        </w:tc>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SHARED DISPOSITIVE POWER</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20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gridSpan w:val="2"/>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86"/>
              </w:rPr>
              <w:t>11</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AGGREGATE AMOUNT BENEFICIALLY OWNED BY EACH REPORTING PERSON</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7"/>
              </w:rPr>
              <w:t>9,539,077</w:t>
            </w: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12</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CHECK BOX IF THE AGGREGATE AMOUNT IN ROW (11) EXCLUDES CERTAIN SHARES (SEE INSTRUCTIONS)</w:t>
            </w:r>
          </w:p>
        </w:tc>
        <w:tc>
          <w:tcPr>
            <w:tcW w:w="540" w:type="dxa"/>
            <w:vAlign w:val="bottom"/>
            <w:tcBorders>
              <w:right w:val="single" w:sz="8" w:color="auto"/>
            </w:tcBorders>
          </w:tcPr>
          <w:p>
            <w:pPr>
              <w:jc w:val="right"/>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5"/>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82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13</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PERCENT OF CLASS REPRESENTED BY AMOUNT IN ROW (11)</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9.25%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1"/>
                <w:szCs w:val="31"/>
                <w:b w:val="1"/>
                <w:bCs w:val="1"/>
                <w:color w:val="auto"/>
                <w:w w:val="92"/>
              </w:rPr>
              <w:t>14</w:t>
            </w:r>
          </w:p>
        </w:tc>
        <w:tc>
          <w:tcPr>
            <w:tcW w:w="9540" w:type="dxa"/>
            <w:vAlign w:val="bottom"/>
            <w:gridSpan w:val="4"/>
          </w:tcPr>
          <w:p>
            <w:pPr>
              <w:ind w:left="20"/>
              <w:spacing w:after="0"/>
              <w:rPr>
                <w:sz w:val="20"/>
                <w:szCs w:val="20"/>
                <w:color w:val="auto"/>
              </w:rPr>
            </w:pPr>
            <w:r>
              <w:rPr>
                <w:rFonts w:ascii="Arial" w:cs="Arial" w:eastAsia="Arial" w:hAnsi="Arial"/>
                <w:sz w:val="17"/>
                <w:szCs w:val="17"/>
                <w:b w:val="1"/>
                <w:bCs w:val="1"/>
                <w:color w:val="auto"/>
              </w:rPr>
              <w:t>TYPE OF REPORTING PERSON (SEE INSTRUCTIONS)</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6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IN</w:t>
            </w:r>
          </w:p>
        </w:tc>
        <w:tc>
          <w:tcPr>
            <w:tcW w:w="5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7"/>
        </w:trPr>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SCHEDULE 13D</w:t>
      </w:r>
    </w:p>
    <w:p>
      <w:pPr>
        <w:spacing w:after="0" w:line="25"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Page 3 of 5 Pages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Amendment No. 14 hereby amends and supplements the Schedule 13D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November 13, 2002, as amended to date (the “</w:t>
      </w:r>
      <w:r>
        <w:rPr>
          <w:rFonts w:ascii="Arial" w:cs="Arial" w:eastAsia="Arial" w:hAnsi="Arial"/>
          <w:sz w:val="17"/>
          <w:szCs w:val="17"/>
          <w:b w:val="1"/>
          <w:bCs w:val="1"/>
          <w:i w:val="1"/>
          <w:iCs w:val="1"/>
          <w:color w:val="auto"/>
        </w:rPr>
        <w:t>Schedule 13D</w:t>
      </w:r>
      <w:r>
        <w:rPr>
          <w:rFonts w:ascii="Arial" w:cs="Arial" w:eastAsia="Arial" w:hAnsi="Arial"/>
          <w:sz w:val="17"/>
          <w:szCs w:val="17"/>
          <w:color w:val="auto"/>
        </w:rPr>
        <w:t>”) relating to the common stock, par value $0.01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Wynn Resorts, Limited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Capitalized terms used but not defined herein shall have the respective meanings set forth in the Schedule 13D.</w:t>
      </w:r>
    </w:p>
    <w:p>
      <w:pPr>
        <w:spacing w:after="0" w:line="165"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Item 4 of the Schedule 13D is hereby amended and supplemented as follows: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7"/>
          <w:szCs w:val="17"/>
          <w:i w:val="1"/>
          <w:iCs w:val="1"/>
          <w:u w:val="single" w:color="auto"/>
          <w:color w:val="auto"/>
        </w:rPr>
        <w:t>Letter to the Board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April 17, 2018, Ms. Wynn sent a letter (the “</w:t>
      </w:r>
      <w:r>
        <w:rPr>
          <w:rFonts w:ascii="Arial" w:cs="Arial" w:eastAsia="Arial" w:hAnsi="Arial"/>
          <w:sz w:val="16"/>
          <w:szCs w:val="16"/>
          <w:b w:val="1"/>
          <w:bCs w:val="1"/>
          <w:i w:val="1"/>
          <w:iCs w:val="1"/>
          <w:color w:val="auto"/>
        </w:rPr>
        <w:t>Letter</w:t>
      </w:r>
      <w:r>
        <w:rPr>
          <w:rFonts w:ascii="Arial" w:cs="Arial" w:eastAsia="Arial" w:hAnsi="Arial"/>
          <w:sz w:val="16"/>
          <w:szCs w:val="16"/>
          <w:color w:val="auto"/>
        </w:rPr>
        <w:t>”) to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In the Letter, Ms. Wynn requests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that Board reopen the window during which shareholders can nominate directors and propose business at the Company’s upcoming 2018 annual meeting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and take steps that would allow for a majority of the Board to be comprised of new directors effective at the Annual Meeting. A copy of the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Letter has been filed as Exhibit 13 to this Schedule 13D and is incorporated by reference herein.</w:t>
      </w:r>
    </w:p>
    <w:p>
      <w:pPr>
        <w:spacing w:after="0" w:line="209" w:lineRule="exact"/>
        <w:rPr>
          <w:sz w:val="20"/>
          <w:szCs w:val="20"/>
          <w:color w:val="auto"/>
        </w:rPr>
      </w:pPr>
    </w:p>
    <w:p>
      <w:pPr>
        <w:ind w:right="20" w:firstLine="1250"/>
        <w:spacing w:after="0" w:line="261" w:lineRule="auto"/>
        <w:rPr>
          <w:sz w:val="20"/>
          <w:szCs w:val="20"/>
          <w:color w:val="auto"/>
        </w:rPr>
      </w:pPr>
      <w:r>
        <w:rPr>
          <w:rFonts w:ascii="Arial" w:cs="Arial" w:eastAsia="Arial" w:hAnsi="Arial"/>
          <w:sz w:val="17"/>
          <w:szCs w:val="17"/>
          <w:color w:val="auto"/>
        </w:rPr>
        <w:t xml:space="preserve">MS. WYNN MAY BE DEEMED TO BE A PARTICIPANT IN THE SOLICITATION OF PROXIES WITH RESPECT TO THE COMPANY’S ANNUAL MEETING OF STOCKHOLDERS. A DESCRIPTION OF MS. WYNN’S INTERESTS, BY SECURITY HOLDINGS OR OTHERWISE, IS CONTAINED IN THIS SCHEDULE 13D, AS AMENDED FROM TIME TO TIME. MS. WYNN STRONGLY ADVISES ALL SHAREHOLDERS OF THE COMPANY TO READ ANY DEFINITIVE PROXY STATEMENTS AND OTHER PROXY MATERIALS AS THEY BECOME AVAILABLE BECAUSE THEY WILL CONTAIN IMPORTANT INFORMATION. SUCH PROXY MATERIALS WILL BE AVAILABLE AT NO CHARGE ON THE SEC’S WEB SITE AT </w:t>
      </w:r>
      <w:r>
        <w:rPr>
          <w:rFonts w:ascii="Arial" w:cs="Arial" w:eastAsia="Arial" w:hAnsi="Arial"/>
          <w:sz w:val="17"/>
          <w:szCs w:val="17"/>
          <w:u w:val="single" w:color="auto"/>
          <w:color w:val="0000FF"/>
        </w:rPr>
        <w:t>HTTP://WWW.SEC.GOV</w:t>
      </w:r>
      <w:r>
        <w:rPr>
          <w:rFonts w:ascii="Arial" w:cs="Arial" w:eastAsia="Arial" w:hAnsi="Arial"/>
          <w:sz w:val="17"/>
          <w:szCs w:val="17"/>
          <w:color w:val="000000"/>
        </w:rPr>
        <w: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i w:val="1"/>
          <w:iCs w:val="1"/>
          <w:u w:val="single" w:color="auto"/>
          <w:color w:val="auto"/>
        </w:rPr>
        <w:t>Settlement Agreement</w:t>
      </w:r>
    </w:p>
    <w:p>
      <w:pPr>
        <w:spacing w:after="0" w:line="221" w:lineRule="exact"/>
        <w:rPr>
          <w:sz w:val="20"/>
          <w:szCs w:val="20"/>
          <w:color w:val="auto"/>
        </w:rPr>
      </w:pPr>
    </w:p>
    <w:p>
      <w:pPr>
        <w:ind w:right="100" w:firstLine="1250"/>
        <w:spacing w:after="0" w:line="278" w:lineRule="auto"/>
        <w:rPr>
          <w:sz w:val="20"/>
          <w:szCs w:val="20"/>
          <w:color w:val="auto"/>
        </w:rPr>
      </w:pPr>
      <w:r>
        <w:rPr>
          <w:rFonts w:ascii="Arial" w:cs="Arial" w:eastAsia="Arial" w:hAnsi="Arial"/>
          <w:sz w:val="16"/>
          <w:szCs w:val="16"/>
          <w:color w:val="auto"/>
        </w:rPr>
        <w:t>On April 16, 2018, Ms. Wynn entered into a Settlement Agreement and Mutual Release (the “</w:t>
      </w:r>
      <w:r>
        <w:rPr>
          <w:rFonts w:ascii="Arial" w:cs="Arial" w:eastAsia="Arial" w:hAnsi="Arial"/>
          <w:sz w:val="16"/>
          <w:szCs w:val="16"/>
          <w:b w:val="1"/>
          <w:bCs w:val="1"/>
          <w:i w:val="1"/>
          <w:iCs w:val="1"/>
          <w:color w:val="auto"/>
        </w:rPr>
        <w:t>Settlement Agreement</w:t>
      </w:r>
      <w:r>
        <w:rPr>
          <w:rFonts w:ascii="Arial" w:cs="Arial" w:eastAsia="Arial" w:hAnsi="Arial"/>
          <w:sz w:val="16"/>
          <w:szCs w:val="16"/>
          <w:color w:val="auto"/>
        </w:rPr>
        <w:t xml:space="preserve">”) with the Company, Stephen A. Wynn and Kimmarie Sinatra relating to the case </w:t>
      </w:r>
      <w:r>
        <w:rPr>
          <w:rFonts w:ascii="Arial" w:cs="Arial" w:eastAsia="Arial" w:hAnsi="Arial"/>
          <w:sz w:val="16"/>
          <w:szCs w:val="16"/>
          <w:i w:val="1"/>
          <w:iCs w:val="1"/>
          <w:color w:val="auto"/>
        </w:rPr>
        <w:t>Wynn Resorts, Limited vs. Kazuo Okada, et al.</w:t>
      </w:r>
      <w:r>
        <w:rPr>
          <w:rFonts w:ascii="Arial" w:cs="Arial" w:eastAsia="Arial" w:hAnsi="Arial"/>
          <w:sz w:val="16"/>
          <w:szCs w:val="16"/>
          <w:color w:val="auto"/>
        </w:rPr>
        <w:t>, Case No. A-12-656710 (the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Under the terms of the Settlement: (i) Ms. Wynn and Mr. Wynn agreed to settle Ms. Wynn’s remaining claims that Mr. Wynn breached the Amended and Restated Stockholders Agreement, dated as of January 6, 2010, among Ms. Wynn, Mr. Wynn and Aruze USA, Inc. (the “</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(ii) Ms. Wynn released her claims against the Company and Ms. Sinatra relating to Mr. Wynn’s alleged breach of the Stockholders Agreement; and (iii) the Company and Ms. Sinatra released their claims brought against Ms. Wynn, all emanating from the Litigation, thereby resolving all claims in that Litigation. Under the terms of the Settlement, Mr. Wynn agreed to pay Ms. Wynn $25.0 million; none of Ms. Wynn, the Company or Ms. Sinatra made any payment. A copy of the form of the Settlement Agreement has been filed as Exhibit 14 to this Schedule 13D and is incorporated by reference herein</w:t>
      </w:r>
    </w:p>
    <w:p>
      <w:pPr>
        <w:spacing w:after="0" w:line="170" w:lineRule="exact"/>
        <w:rPr>
          <w:sz w:val="20"/>
          <w:szCs w:val="20"/>
          <w:color w:val="auto"/>
        </w:rPr>
      </w:pPr>
    </w:p>
    <w:p>
      <w:pPr>
        <w:ind w:right="60" w:firstLine="1250"/>
        <w:spacing w:after="0" w:line="266" w:lineRule="auto"/>
        <w:rPr>
          <w:sz w:val="20"/>
          <w:szCs w:val="20"/>
          <w:color w:val="auto"/>
        </w:rPr>
      </w:pPr>
      <w:r>
        <w:rPr>
          <w:rFonts w:ascii="Arial" w:cs="Arial" w:eastAsia="Arial" w:hAnsi="Arial"/>
          <w:sz w:val="17"/>
          <w:szCs w:val="17"/>
          <w:color w:val="auto"/>
        </w:rPr>
        <w:t>Ms. Wynn may engage in discussions with the Company’s shareholders, management and board of directors regarding a variety of matters relating to the Company, including, among other things, the Company’s strategy, business, management, capital structure and allocation, corporate governance, and board composition. Ms. Wynn may take steps seeking to bring about changes to increase shareholder value, including, but not limited to, pursuing any of the plans or proposals referred to in paragraphs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72517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SCHEDULE 13D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4 of 5 Pages</w:t>
      </w:r>
    </w:p>
    <w:p>
      <w:pPr>
        <w:spacing w:after="0" w:line="200" w:lineRule="exact"/>
        <w:rPr>
          <w:sz w:val="20"/>
          <w:szCs w:val="20"/>
          <w:color w:val="auto"/>
        </w:rPr>
      </w:pP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Item 6 of the Schedule 13D is hereby amended and supplemented as follows: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response to Item 4 of this Amendment No. 14 is incorporated by reference herein.</w:t>
      </w:r>
    </w:p>
    <w:p>
      <w:pPr>
        <w:spacing w:after="0" w:line="221" w:lineRule="exact"/>
        <w:rPr>
          <w:sz w:val="20"/>
          <w:szCs w:val="20"/>
          <w:color w:val="auto"/>
        </w:rPr>
      </w:pPr>
    </w:p>
    <w:p>
      <w:pPr>
        <w:ind w:right="20" w:firstLine="1250"/>
        <w:spacing w:after="0" w:line="266" w:lineRule="auto"/>
        <w:rPr>
          <w:sz w:val="20"/>
          <w:szCs w:val="20"/>
          <w:color w:val="auto"/>
        </w:rPr>
      </w:pPr>
      <w:r>
        <w:rPr>
          <w:rFonts w:ascii="Arial" w:cs="Arial" w:eastAsia="Arial" w:hAnsi="Arial"/>
          <w:sz w:val="17"/>
          <w:szCs w:val="17"/>
          <w:color w:val="auto"/>
        </w:rPr>
        <w:t>Except as set forth herein, Ms. Wynn has no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6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Material to be Filed as Exhibits.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Item 7 of the Schedule 13D is hereby amended and supplemented as follows</w:t>
      </w:r>
      <w:r>
        <w:rPr>
          <w:rFonts w:ascii="Arial" w:cs="Arial" w:eastAsia="Arial" w:hAnsi="Arial"/>
          <w:sz w:val="17"/>
          <w:szCs w:val="17"/>
          <w:color w:val="auto"/>
        </w:rPr>
        <w:t>:</w:t>
      </w:r>
    </w:p>
    <w:p>
      <w:pPr>
        <w:spacing w:after="0" w:line="221" w:lineRule="exact"/>
        <w:rPr>
          <w:sz w:val="20"/>
          <w:szCs w:val="20"/>
          <w:color w:val="auto"/>
        </w:rPr>
      </w:pPr>
    </w:p>
    <w:p>
      <w:pPr>
        <w:ind w:left="1260"/>
        <w:spacing w:after="0"/>
        <w:tabs>
          <w:tab w:leader="none" w:pos="2480" w:val="left"/>
        </w:tabs>
        <w:rPr>
          <w:sz w:val="20"/>
          <w:szCs w:val="20"/>
          <w:color w:val="auto"/>
        </w:rPr>
      </w:pPr>
      <w:r>
        <w:rPr>
          <w:rFonts w:ascii="Arial" w:cs="Arial" w:eastAsia="Arial" w:hAnsi="Arial"/>
          <w:sz w:val="17"/>
          <w:szCs w:val="17"/>
          <w:color w:val="auto"/>
        </w:rPr>
        <w:t>Exhibit 13</w:t>
      </w:r>
      <w:r>
        <w:rPr>
          <w:sz w:val="20"/>
          <w:szCs w:val="20"/>
          <w:color w:val="auto"/>
        </w:rPr>
        <w:tab/>
      </w:r>
      <w:r>
        <w:rPr>
          <w:rFonts w:ascii="Arial" w:cs="Arial" w:eastAsia="Arial" w:hAnsi="Arial"/>
          <w:sz w:val="16"/>
          <w:szCs w:val="16"/>
          <w:color w:val="auto"/>
        </w:rPr>
        <w:t>Letter from Ms. Wynn to the Board dated April 17, 2018</w:t>
      </w:r>
    </w:p>
    <w:p>
      <w:pPr>
        <w:spacing w:after="0" w:line="221" w:lineRule="exact"/>
        <w:rPr>
          <w:sz w:val="20"/>
          <w:szCs w:val="20"/>
          <w:color w:val="auto"/>
        </w:rPr>
      </w:pPr>
    </w:p>
    <w:p>
      <w:pPr>
        <w:ind w:left="2500" w:right="80" w:hanging="1249"/>
        <w:spacing w:after="0" w:line="286" w:lineRule="auto"/>
        <w:tabs>
          <w:tab w:leader="none" w:pos="2480" w:val="left"/>
        </w:tabs>
        <w:rPr>
          <w:sz w:val="20"/>
          <w:szCs w:val="20"/>
          <w:color w:val="auto"/>
        </w:rPr>
      </w:pPr>
      <w:r>
        <w:rPr>
          <w:rFonts w:ascii="Arial" w:cs="Arial" w:eastAsia="Arial" w:hAnsi="Arial"/>
          <w:sz w:val="17"/>
          <w:szCs w:val="17"/>
          <w:color w:val="auto"/>
        </w:rPr>
        <w:t>Exhibit 14</w:t>
      </w:r>
      <w:r>
        <w:rPr>
          <w:sz w:val="20"/>
          <w:szCs w:val="20"/>
          <w:color w:val="auto"/>
        </w:rPr>
        <w:tab/>
      </w:r>
      <w:r>
        <w:rPr>
          <w:rFonts w:ascii="Arial" w:cs="Arial" w:eastAsia="Arial" w:hAnsi="Arial"/>
          <w:sz w:val="17"/>
          <w:szCs w:val="17"/>
          <w:color w:val="auto"/>
        </w:rPr>
        <w:t>Form of Settlement Agreement and Mutual Release by and between the Company, Mr. Wynn, Ms. Wynn and Ms. Sinatra dated April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745490</wp:posOffset>
            </wp:positionV>
            <wp:extent cx="725170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SCHEDULE 13D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5 of 5 Pages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Dated: April 17, 2018</w:t>
      </w:r>
    </w:p>
    <w:p>
      <w:pPr>
        <w:spacing w:after="0" w:line="200" w:lineRule="exact"/>
        <w:rPr>
          <w:sz w:val="20"/>
          <w:szCs w:val="20"/>
          <w:color w:val="auto"/>
        </w:rPr>
      </w:pP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ELAINE P. WYNN</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15875</wp:posOffset>
            </wp:positionV>
            <wp:extent cx="2753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603250</wp:posOffset>
            </wp:positionV>
            <wp:extent cx="72517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u w:val="single" w:color="auto"/>
          <w:color w:val="auto"/>
        </w:rPr>
        <w:t>Exhibit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49"/>
          <w:szCs w:val="49"/>
          <w:color w:val="244061"/>
        </w:rPr>
        <w:t>ELAINE WYNN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17, 2018</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Email and Messenger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Wynn Resorts, Limited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3131 Las Vegas Boulevard South</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Las Vegas, Nevada 89109</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7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 write to you in my capacity as the largest shareholder of Wynn Resorts. In that respect, I am focused on maximizing the value of the Company. I am also the Company’s co-founder, with an interest in fully restoring its reputation and in transforming it into a corporate governance leader. To achieve these goals, I believe that the Company’s governance structure needs to be reformed and that the board of directors needs to be reconstituted. This should be done immediately and certainly before any material decisions are made that could affect the long-term interests of the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More specifically, I hereby request that —</w:t>
      </w:r>
    </w:p>
    <w:p>
      <w:pPr>
        <w:spacing w:after="0" w:line="273" w:lineRule="exact"/>
        <w:rPr>
          <w:sz w:val="20"/>
          <w:szCs w:val="20"/>
          <w:color w:val="auto"/>
        </w:rPr>
      </w:pPr>
    </w:p>
    <w:p>
      <w:pPr>
        <w:jc w:val="both"/>
        <w:ind w:left="620" w:right="280" w:hanging="303"/>
        <w:spacing w:after="0" w:line="295"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board reopen the window during which shareholders can nominate directors and propose other business at the upcoming annual meeting. I believe that a responsible and independent board would do so, given the profound change in circumstances since the nominating window closed. The window should be re-opened for a sufficient period of time — at least 60 days — to allow a fully vetted nomination process to occur.</w:t>
      </w:r>
    </w:p>
    <w:p>
      <w:pPr>
        <w:spacing w:after="0" w:line="207" w:lineRule="exact"/>
        <w:rPr>
          <w:rFonts w:ascii="Arial" w:cs="Arial" w:eastAsia="Arial" w:hAnsi="Arial"/>
          <w:sz w:val="16"/>
          <w:szCs w:val="16"/>
          <w:color w:val="auto"/>
        </w:rPr>
      </w:pPr>
    </w:p>
    <w:p>
      <w:pPr>
        <w:ind w:left="620" w:right="100" w:hanging="303"/>
        <w:spacing w:after="0" w:line="266"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board take steps that would allow for a majority of the board to be comprised of new directors effective at the 2018 annual meeting. I see at least two possible paths to achieving this outcome. The first would be to declassify the board. The second would be for the board to vote to increase its size such that the newly elected directors would constitute a majority of the board. The board would also take such further steps as would be required to mitigate any effects of any implicated change of control provisions.</w:t>
      </w:r>
    </w:p>
    <w:p>
      <w:pPr>
        <w:spacing w:after="0" w:line="22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Once the board reopens the window for nominations and proposals, it is my intention to put forth candidates that meet the following criteria: Each nominee would be independent of the Company, Steve Wynn and myself. The nominees would be highly respected and, in most cases, have significant public company experience. They would have the requisite expertise and experience to help the Company address both its opportunities and challenges. The nominees would help the board conform to current best practices with respect to diversity and would be selected with a view to applicable licensing requirements.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Please note that I do not intend to nominate myself, nor do I plan to nominate anyone who is closely associated with me, personally or professionally. I do not want there to be any possible suggestion that the candidates I nominate are looking out for anyone other than all shareholders.</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Because all of the candidates I nominate would, by definition, be new to the board, they would not be in a position to have their independence questioned due to excessively long tenure — unlike some of the incumbent directors who have served for over 15 years.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244061"/>
        </w:rPr>
        <w:t>3800 Howard Hughes Parkway | Suite 960 | Las Vegas, NV 89169 | T: 702.454.WYNN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2517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Wynn Resorts, Limited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17, 2018</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6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reconstituted board should be in place before any material decisions about transactions are made, or any actions are taken, that could have an adverse impact on long-term shareholder value. This includes, but is clearly not limited to, any decision with respect to a sale of Wynn Boston. I raise this because of various market rumors and the Bloomberg headline of April 13 reading “Wynn Resorts CEO Maddox Says Boston Casino Sale Possible.”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believe that reconstituting the board would be viewed favorably by the Company’s regulators.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I intend to share my perspectives with other shareholders.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As the Company’s largest shareholder and someone who continues to care deeply about its long-term success, I request that you consider and grant my requests.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Please respond to this letter by no later than 5:00 p.m. Eastern Time on April 24, 2018.</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Very truly yours,</w:t>
      </w:r>
    </w:p>
    <w:p>
      <w:pPr>
        <w:spacing w:after="0" w:line="273" w:lineRule="exact"/>
        <w:rPr>
          <w:sz w:val="20"/>
          <w:szCs w:val="20"/>
          <w:color w:val="auto"/>
        </w:rPr>
      </w:pPr>
    </w:p>
    <w:p>
      <w:pPr>
        <w:jc w:val="right"/>
        <w:ind w:right="5140"/>
        <w:spacing w:after="0"/>
        <w:rPr>
          <w:sz w:val="20"/>
          <w:szCs w:val="20"/>
          <w:color w:val="auto"/>
        </w:rPr>
      </w:pPr>
      <w:r>
        <w:rPr>
          <w:rFonts w:ascii="Arial" w:cs="Arial" w:eastAsia="Arial" w:hAnsi="Arial"/>
          <w:sz w:val="17"/>
          <w:szCs w:val="17"/>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-8255</wp:posOffset>
            </wp:positionV>
            <wp:extent cx="917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5" w:lineRule="exact"/>
        <w:rPr>
          <w:sz w:val="20"/>
          <w:szCs w:val="20"/>
          <w:color w:val="auto"/>
        </w:rPr>
      </w:pPr>
    </w:p>
    <w:p>
      <w:pPr>
        <w:jc w:val="right"/>
        <w:ind w:right="5160"/>
        <w:spacing w:after="0"/>
        <w:rPr>
          <w:sz w:val="20"/>
          <w:szCs w:val="20"/>
          <w:color w:val="auto"/>
        </w:rPr>
      </w:pPr>
      <w:r>
        <w:rPr>
          <w:rFonts w:ascii="Arial" w:cs="Arial" w:eastAsia="Arial" w:hAnsi="Arial"/>
          <w:sz w:val="17"/>
          <w:szCs w:val="17"/>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727710</wp:posOffset>
            </wp:positionV>
            <wp:extent cx="72517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165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 w:name="page8"/>
    <w:bookmarkEnd w:id="7"/>
    <w:p>
      <w:pPr>
        <w:ind w:left="9460"/>
        <w:spacing w:after="0"/>
        <w:rPr>
          <w:sz w:val="20"/>
          <w:szCs w:val="20"/>
          <w:color w:val="auto"/>
        </w:rPr>
      </w:pPr>
      <w:r>
        <w:rPr>
          <w:rFonts w:ascii="Arial" w:cs="Arial" w:eastAsia="Arial" w:hAnsi="Arial"/>
          <w:sz w:val="16"/>
          <w:szCs w:val="16"/>
          <w:b w:val="1"/>
          <w:bCs w:val="1"/>
          <w:u w:val="single" w:color="auto"/>
          <w:color w:val="auto"/>
        </w:rPr>
        <w:t>Exhibit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175895</wp:posOffset>
            </wp:positionV>
            <wp:extent cx="7312660" cy="9740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2660" cy="974026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237490</wp:posOffset>
            </wp:positionV>
            <wp:extent cx="7312660" cy="9591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591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660" cy="9591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312660" cy="9698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2660" cy="96989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2019-12-06T20:05:32Z</dcterms:created>
  <dcterms:modified xsi:type="dcterms:W3CDTF">2019-12-06T20:05:32Z</dcterms:modified>
</cp:coreProperties>
</file>